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AC039A" w14:textId="28E3383C" w:rsidR="009A7BA2" w:rsidRPr="00C33C0B" w:rsidRDefault="009A7BA2" w:rsidP="009A7BA2">
      <w:pPr>
        <w:pStyle w:val="CoverH1White"/>
        <w:tabs>
          <w:tab w:val="right" w:pos="8312"/>
        </w:tabs>
        <w:rPr>
          <w:lang w:val="en-GB"/>
        </w:rPr>
      </w:pPr>
      <w:bookmarkStart w:id="0" w:name="_Toc448369494"/>
      <w:bookmarkStart w:id="1" w:name="_Toc427153112"/>
    </w:p>
    <w:p w14:paraId="2C12FF17" w14:textId="77777777" w:rsidR="008A49F1" w:rsidRPr="00C33C0B" w:rsidRDefault="00DC2360" w:rsidP="00905497">
      <w:pPr>
        <w:rPr>
          <w:rStyle w:val="IntenseEmphasis"/>
          <w:lang w:val="en-GB"/>
        </w:rPr>
      </w:pPr>
      <w:r w:rsidRPr="00C33C0B">
        <w:rPr>
          <w:b/>
          <w:bCs/>
          <w:i/>
          <w:iCs/>
          <w:noProof/>
          <w:color w:val="1952F3"/>
        </w:rPr>
        <mc:AlternateContent>
          <mc:Choice Requires="wps">
            <w:drawing>
              <wp:anchor distT="0" distB="0" distL="114300" distR="114300" simplePos="0" relativeHeight="251654144" behindDoc="0" locked="0" layoutInCell="1" allowOverlap="1" wp14:anchorId="27FD5D15" wp14:editId="0D5B0F70">
                <wp:simplePos x="0" y="0"/>
                <wp:positionH relativeFrom="margin">
                  <wp:align>left</wp:align>
                </wp:positionH>
                <wp:positionV relativeFrom="page">
                  <wp:posOffset>2700655</wp:posOffset>
                </wp:positionV>
                <wp:extent cx="5255895" cy="7580630"/>
                <wp:effectExtent l="0" t="0" r="0" b="1270"/>
                <wp:wrapSquare wrapText="bothSides"/>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55895" cy="75806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18A695" w14:textId="77777777" w:rsidR="00B85D72" w:rsidRPr="005C7FB0" w:rsidRDefault="00B85D72"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48BB5BAC" w14:textId="77777777" w:rsidR="00B85D72" w:rsidRPr="005C7FB0" w:rsidRDefault="00B85D72" w:rsidP="009932DE">
                            <w:pPr>
                              <w:pStyle w:val="CoverH1Green"/>
                            </w:pPr>
                            <w:r>
                              <w:t>Report from the Specialist and Consultant Physician Consultation Clinical Committee</w:t>
                            </w:r>
                          </w:p>
                          <w:p w14:paraId="090AB3B8" w14:textId="4594E374" w:rsidR="00B85D72" w:rsidRDefault="00B85D72" w:rsidP="007027A1">
                            <w:pPr>
                              <w:pStyle w:val="Coverdate"/>
                              <w:tabs>
                                <w:tab w:val="center" w:pos="4156"/>
                              </w:tabs>
                              <w:spacing w:after="0"/>
                            </w:pPr>
                            <w:r>
                              <w:t xml:space="preserve">December </w:t>
                            </w:r>
                            <w:r w:rsidRPr="005C7FB0">
                              <w:t>201</w:t>
                            </w:r>
                            <w:r>
                              <w:t>9</w:t>
                            </w:r>
                            <w:r w:rsidRPr="009932DE">
                              <w:rPr>
                                <w:b/>
                                <w:color w:val="FF0000"/>
                                <w:sz w:val="60"/>
                                <w:szCs w:val="60"/>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FD5D15" id="_x0000_t202" coordsize="21600,21600" o:spt="202" path="m,l,21600r21600,l21600,xe">
                <v:stroke joinstyle="miter"/>
                <v:path gradientshapeok="t" o:connecttype="rect"/>
              </v:shapetype>
              <v:shape id="Text Box 11" o:spid="_x0000_s1026" type="#_x0000_t202" alt="&quot;&quot;" style="position:absolute;margin-left:0;margin-top:212.65pt;width:413.85pt;height:596.9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" filled="f" stroked="f">
                <v:textbox>
                  <w:txbxContent>
                    <w:p w14:paraId="2C18A695" w14:textId="77777777" w:rsidR="00B85D72" w:rsidRPr="005C7FB0" w:rsidRDefault="00B85D72"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48BB5BAC" w14:textId="77777777" w:rsidR="00B85D72" w:rsidRPr="005C7FB0" w:rsidRDefault="00B85D72" w:rsidP="009932DE">
                      <w:pPr>
                        <w:pStyle w:val="CoverH1Green"/>
                      </w:pPr>
                      <w:r>
                        <w:t>Report from the Specialist and Consultant Physician Consultation Clinical Committee</w:t>
                      </w:r>
                    </w:p>
                    <w:p w14:paraId="090AB3B8" w14:textId="4594E374" w:rsidR="00B85D72" w:rsidRDefault="00B85D72" w:rsidP="007027A1">
                      <w:pPr>
                        <w:pStyle w:val="Coverdate"/>
                        <w:tabs>
                          <w:tab w:val="center" w:pos="4156"/>
                        </w:tabs>
                        <w:spacing w:after="0"/>
                      </w:pPr>
                      <w:r>
                        <w:t xml:space="preserve">December </w:t>
                      </w:r>
                      <w:r w:rsidRPr="005C7FB0">
                        <w:t>201</w:t>
                      </w:r>
                      <w:r>
                        <w:t>9</w:t>
                      </w:r>
                      <w:r w:rsidRPr="009932DE">
                        <w:rPr>
                          <w:b/>
                          <w:color w:val="FF0000"/>
                          <w:sz w:val="60"/>
                          <w:szCs w:val="60"/>
                          <w:u w:val="single"/>
                        </w:rPr>
                        <w:t xml:space="preserve"> </w:t>
                      </w:r>
                    </w:p>
                  </w:txbxContent>
                </v:textbox>
                <w10:wrap type="square" anchorx="margin" anchory="page"/>
              </v:shape>
            </w:pict>
          </mc:Fallback>
        </mc:AlternateContent>
      </w:r>
      <w:bookmarkStart w:id="2" w:name="_Hlk503433997"/>
      <w:bookmarkEnd w:id="2"/>
      <w:r w:rsidR="008A49F1" w:rsidRPr="00C33C0B">
        <w:rPr>
          <w:rStyle w:val="IntenseEmphasis"/>
          <w:lang w:val="en-GB"/>
        </w:rPr>
        <w:br w:type="page"/>
      </w:r>
    </w:p>
    <w:p w14:paraId="6FD0EE84" w14:textId="77777777" w:rsidR="009B4B96" w:rsidRPr="00C33C0B" w:rsidRDefault="009B4B96" w:rsidP="00684AA4">
      <w:pPr>
        <w:pStyle w:val="Footer"/>
        <w:rPr>
          <w:lang w:val="en-GB"/>
        </w:rPr>
        <w:sectPr w:rsidR="009B4B96" w:rsidRPr="00C33C0B" w:rsidSect="00F639DA">
          <w:headerReference w:type="even" r:id="rId11"/>
          <w:headerReference w:type="default" r:id="rId12"/>
          <w:footerReference w:type="default" r:id="rId13"/>
          <w:headerReference w:type="first" r:id="rId14"/>
          <w:endnotePr>
            <w:numFmt w:val="decimal"/>
          </w:endnotePr>
          <w:pgSz w:w="11906" w:h="16838" w:code="9"/>
          <w:pgMar w:top="1440" w:right="1797" w:bottom="1440" w:left="1797" w:header="720" w:footer="720" w:gutter="0"/>
          <w:pgNumType w:fmt="lowerRoman"/>
          <w:cols w:space="720"/>
          <w:titlePg/>
          <w:docGrid w:linePitch="326"/>
        </w:sectPr>
      </w:pPr>
    </w:p>
    <w:p w14:paraId="3D5B4400" w14:textId="77777777" w:rsidR="00651A96" w:rsidRPr="00560120" w:rsidRDefault="00651A96" w:rsidP="00651A96">
      <w:pPr>
        <w:spacing w:before="0" w:after="0" w:line="240" w:lineRule="auto"/>
        <w:rPr>
          <w:rFonts w:ascii="Calibri" w:hAnsi="Calibri" w:cs="Arial"/>
          <w:b/>
          <w:bCs/>
          <w:color w:val="01653F"/>
          <w:sz w:val="32"/>
          <w:szCs w:val="28"/>
        </w:rPr>
      </w:pPr>
    </w:p>
    <w:p w14:paraId="714C8C30" w14:textId="77777777" w:rsidR="00651A96" w:rsidRPr="00560120" w:rsidRDefault="00651A96" w:rsidP="00651A96">
      <w:pPr>
        <w:pStyle w:val="BoxText0"/>
        <w:pBdr>
          <w:top w:val="single" w:sz="12" w:space="4" w:color="984806"/>
          <w:left w:val="single" w:sz="12" w:space="4" w:color="984806"/>
          <w:bottom w:val="single" w:sz="12" w:space="4" w:color="984806"/>
          <w:right w:val="single" w:sz="12" w:space="4" w:color="984806"/>
        </w:pBdr>
        <w:rPr>
          <w:rFonts w:cs="Arial"/>
          <w:bCs/>
        </w:rPr>
      </w:pPr>
      <w:r w:rsidRPr="00560120">
        <w:rPr>
          <w:rFonts w:cs="Arial"/>
          <w:b/>
          <w:bCs/>
          <w:color w:val="01653F"/>
          <w:sz w:val="32"/>
          <w:szCs w:val="28"/>
        </w:rPr>
        <w:t>Important note</w:t>
      </w:r>
    </w:p>
    <w:p w14:paraId="20AB05A0" w14:textId="77777777" w:rsidR="00651A96" w:rsidRDefault="00651A96" w:rsidP="00651A96">
      <w:pPr>
        <w:pStyle w:val="BoxText0"/>
        <w:pBdr>
          <w:top w:val="single" w:sz="12" w:space="4" w:color="984806"/>
          <w:left w:val="single" w:sz="12" w:space="4" w:color="984806"/>
          <w:bottom w:val="single" w:sz="12" w:space="4" w:color="984806"/>
          <w:right w:val="single" w:sz="12" w:space="4" w:color="984806"/>
        </w:pBdr>
        <w:rPr>
          <w:rFonts w:cs="Arial"/>
          <w:bCs/>
        </w:rPr>
      </w:pPr>
      <w:r w:rsidRPr="00560120">
        <w:rPr>
          <w:rFonts w:cs="Arial"/>
          <w:bCs/>
        </w:rPr>
        <w:t xml:space="preserve">The views and recommendations in this review </w:t>
      </w:r>
      <w:r w:rsidR="00F51F0F">
        <w:rPr>
          <w:rFonts w:cs="Arial"/>
          <w:bCs/>
        </w:rPr>
        <w:t>originated</w:t>
      </w:r>
      <w:r w:rsidR="00F51F0F" w:rsidRPr="00560120">
        <w:rPr>
          <w:rFonts w:cs="Arial"/>
          <w:bCs/>
        </w:rPr>
        <w:t xml:space="preserve"> </w:t>
      </w:r>
      <w:r w:rsidRPr="00560120">
        <w:rPr>
          <w:rFonts w:cs="Arial"/>
          <w:bCs/>
        </w:rPr>
        <w:t xml:space="preserve">from the clinical committee </w:t>
      </w:r>
      <w:r w:rsidR="00F51F0F">
        <w:rPr>
          <w:rFonts w:cs="Arial"/>
          <w:bCs/>
        </w:rPr>
        <w:t xml:space="preserve">and were endorsed by the MBS Review Taskforce </w:t>
      </w:r>
      <w:r w:rsidR="0081111E">
        <w:rPr>
          <w:rFonts w:cs="Arial"/>
          <w:bCs/>
        </w:rPr>
        <w:t xml:space="preserve">following consultation with stakeholders. </w:t>
      </w:r>
    </w:p>
    <w:p w14:paraId="5C038C16" w14:textId="77777777" w:rsidR="0081111E" w:rsidRDefault="0081111E" w:rsidP="0081111E">
      <w:pPr>
        <w:pStyle w:val="BoxText0"/>
        <w:pBdr>
          <w:top w:val="single" w:sz="12" w:space="4" w:color="984806"/>
          <w:left w:val="single" w:sz="12" w:space="4" w:color="984806"/>
          <w:bottom w:val="single" w:sz="12" w:space="4" w:color="984806"/>
          <w:right w:val="single" w:sz="12" w:space="4" w:color="984806"/>
        </w:pBdr>
      </w:pPr>
      <w:r>
        <w:t>The report has now been forwarded to the Government for consideration.</w:t>
      </w:r>
    </w:p>
    <w:p w14:paraId="0F221458" w14:textId="77777777" w:rsidR="0081111E" w:rsidRDefault="0081111E" w:rsidP="0081111E">
      <w:pPr>
        <w:pStyle w:val="BoxText0"/>
        <w:pBdr>
          <w:top w:val="single" w:sz="12" w:space="4" w:color="984806"/>
          <w:left w:val="single" w:sz="12" w:space="4" w:color="984806"/>
          <w:bottom w:val="single" w:sz="12" w:space="4" w:color="984806"/>
          <w:right w:val="single" w:sz="12" w:space="4" w:color="984806"/>
        </w:pBdr>
      </w:pPr>
      <w:r>
        <w:t>The Taskforce welcomes ongoing feedback on this, or any MBS Review report, via: mbsreview@health.gov.au.</w:t>
      </w:r>
    </w:p>
    <w:p w14:paraId="29731A1C" w14:textId="77777777" w:rsidR="00651A96" w:rsidRPr="00560120" w:rsidRDefault="00651A96" w:rsidP="00651A96">
      <w:pPr>
        <w:pStyle w:val="BoxText0"/>
        <w:pBdr>
          <w:top w:val="single" w:sz="12" w:space="4" w:color="984806"/>
          <w:left w:val="single" w:sz="12" w:space="4" w:color="984806"/>
          <w:bottom w:val="single" w:sz="12" w:space="4" w:color="984806"/>
          <w:right w:val="single" w:sz="12" w:space="4" w:color="984806"/>
        </w:pBdr>
        <w:rPr>
          <w:rFonts w:cs="Arial"/>
          <w:b/>
          <w:bCs/>
          <w:color w:val="01653F"/>
        </w:rPr>
      </w:pPr>
      <w:r w:rsidRPr="00560120">
        <w:rPr>
          <w:rFonts w:cs="Arial"/>
          <w:b/>
          <w:bCs/>
          <w:color w:val="01653F"/>
        </w:rPr>
        <w:t>Confidentiality of comments:</w:t>
      </w:r>
    </w:p>
    <w:p w14:paraId="3FBD691B" w14:textId="77777777" w:rsidR="00651A96" w:rsidRPr="00560120" w:rsidRDefault="00651A96" w:rsidP="00651A96">
      <w:pPr>
        <w:pStyle w:val="BoxText0"/>
        <w:pBdr>
          <w:top w:val="single" w:sz="12" w:space="4" w:color="984806"/>
          <w:left w:val="single" w:sz="12" w:space="4" w:color="984806"/>
          <w:bottom w:val="single" w:sz="12" w:space="4" w:color="984806"/>
          <w:right w:val="single" w:sz="12" w:space="4" w:color="984806"/>
        </w:pBdr>
        <w:rPr>
          <w:rFonts w:cs="Arial"/>
        </w:rPr>
      </w:pPr>
      <w:r w:rsidRPr="00560120">
        <w:rPr>
          <w:rFonts w:cs="Arial"/>
        </w:rPr>
        <w:t>If you want your feedback to remain confidential please mark it as such. It is important to be aware that confidential feedback may still be subject to access under freedom of information law</w:t>
      </w:r>
      <w:r>
        <w:rPr>
          <w:rFonts w:cs="Arial"/>
        </w:rPr>
        <w:t>s</w:t>
      </w:r>
      <w:r w:rsidRPr="00560120">
        <w:rPr>
          <w:rFonts w:cs="Arial"/>
        </w:rPr>
        <w:t>.</w:t>
      </w:r>
    </w:p>
    <w:p w14:paraId="60760ED8" w14:textId="77777777" w:rsidR="00651A96" w:rsidRPr="00560120" w:rsidRDefault="00651A96" w:rsidP="00651A96">
      <w:pPr>
        <w:spacing w:before="120" w:after="120"/>
        <w:rPr>
          <w:rFonts w:cs="Arial"/>
        </w:rPr>
      </w:pPr>
    </w:p>
    <w:p w14:paraId="2C244CBC" w14:textId="77777777" w:rsidR="00D67260" w:rsidRPr="00C33C0B" w:rsidRDefault="00D67260" w:rsidP="00D67260">
      <w:pPr>
        <w:spacing w:before="120" w:after="120"/>
        <w:rPr>
          <w:rFonts w:cs="Arial"/>
          <w:lang w:val="en-GB"/>
        </w:rPr>
      </w:pPr>
    </w:p>
    <w:p w14:paraId="07A0A117" w14:textId="77777777" w:rsidR="000F6EE9" w:rsidRPr="00C33C0B" w:rsidRDefault="000F6EE9" w:rsidP="00D67260">
      <w:pPr>
        <w:spacing w:before="120" w:after="120"/>
        <w:rPr>
          <w:rFonts w:cs="Arial"/>
          <w:lang w:val="en-GB"/>
        </w:rPr>
      </w:pPr>
    </w:p>
    <w:p w14:paraId="3850AC33" w14:textId="77777777" w:rsidR="000F6EE9" w:rsidRPr="00C33C0B" w:rsidRDefault="000F6EE9" w:rsidP="00D67260">
      <w:pPr>
        <w:spacing w:before="120" w:after="120"/>
        <w:rPr>
          <w:rFonts w:cs="Arial"/>
          <w:lang w:val="en-GB"/>
        </w:rPr>
        <w:sectPr w:rsidR="000F6EE9" w:rsidRPr="00C33C0B" w:rsidSect="009A7BA2">
          <w:endnotePr>
            <w:numFmt w:val="decimal"/>
          </w:endnotePr>
          <w:pgSz w:w="11906" w:h="16838" w:code="9"/>
          <w:pgMar w:top="1440" w:right="1797" w:bottom="1440" w:left="1797" w:header="720" w:footer="720" w:gutter="0"/>
          <w:cols w:space="720"/>
          <w:docGrid w:linePitch="326"/>
        </w:sectPr>
      </w:pPr>
    </w:p>
    <w:p w14:paraId="09EAE6E3" w14:textId="77777777" w:rsidR="00C56DF9" w:rsidRPr="00C33C0B" w:rsidRDefault="00C56DF9" w:rsidP="009932DE">
      <w:pPr>
        <w:pStyle w:val="TOCHeading"/>
        <w:spacing w:before="240" w:after="240"/>
        <w:rPr>
          <w:lang w:val="en-GB"/>
        </w:rPr>
      </w:pPr>
      <w:r w:rsidRPr="00C33C0B">
        <w:rPr>
          <w:lang w:val="en-GB"/>
        </w:rPr>
        <w:lastRenderedPageBreak/>
        <w:t xml:space="preserve">Table of </w:t>
      </w:r>
      <w:r w:rsidR="005C2F46" w:rsidRPr="00C33C0B">
        <w:rPr>
          <w:lang w:val="en-GB"/>
        </w:rPr>
        <w:t>c</w:t>
      </w:r>
      <w:r w:rsidRPr="00C33C0B">
        <w:rPr>
          <w:lang w:val="en-GB"/>
        </w:rPr>
        <w:t>ontents</w:t>
      </w:r>
      <w:bookmarkEnd w:id="0"/>
    </w:p>
    <w:p w14:paraId="13A85B73" w14:textId="2B1F84F5" w:rsidR="00F65B0A" w:rsidRDefault="00A0282E">
      <w:pPr>
        <w:pStyle w:val="TOC1"/>
        <w:rPr>
          <w:rFonts w:eastAsiaTheme="minorEastAsia" w:cstheme="minorBidi"/>
          <w:lang w:val="en-US" w:eastAsia="en-US"/>
        </w:rPr>
      </w:pPr>
      <w:r w:rsidRPr="00C33C0B">
        <w:rPr>
          <w:b/>
          <w:noProof w:val="0"/>
          <w:lang w:val="en-GB"/>
        </w:rPr>
        <w:fldChar w:fldCharType="begin"/>
      </w:r>
      <w:r w:rsidRPr="00C33C0B">
        <w:rPr>
          <w:noProof w:val="0"/>
          <w:lang w:val="en-GB"/>
        </w:rPr>
        <w:instrText xml:space="preserve"> TOC \o "1-3" \h \z \u </w:instrText>
      </w:r>
      <w:r w:rsidRPr="00C33C0B">
        <w:rPr>
          <w:b/>
          <w:noProof w:val="0"/>
          <w:lang w:val="en-GB"/>
        </w:rPr>
        <w:fldChar w:fldCharType="separate"/>
      </w:r>
      <w:hyperlink w:anchor="_Toc24544658" w:history="1">
        <w:r w:rsidR="00F65B0A" w:rsidRPr="006D1B7F">
          <w:rPr>
            <w:rStyle w:val="Hyperlink"/>
            <w:lang w:val="en-GB"/>
          </w:rPr>
          <w:t>1</w:t>
        </w:r>
        <w:r w:rsidR="00F65B0A">
          <w:rPr>
            <w:rFonts w:eastAsiaTheme="minorEastAsia" w:cstheme="minorBidi"/>
            <w:lang w:val="en-US" w:eastAsia="en-US"/>
          </w:rPr>
          <w:tab/>
        </w:r>
        <w:r w:rsidR="00F65B0A" w:rsidRPr="006D1B7F">
          <w:rPr>
            <w:rStyle w:val="Hyperlink"/>
            <w:lang w:val="en-GB"/>
          </w:rPr>
          <w:t>Executive summary</w:t>
        </w:r>
        <w:r w:rsidR="00F65B0A">
          <w:rPr>
            <w:webHidden/>
          </w:rPr>
          <w:tab/>
        </w:r>
        <w:r w:rsidR="00F65B0A">
          <w:rPr>
            <w:webHidden/>
          </w:rPr>
          <w:fldChar w:fldCharType="begin"/>
        </w:r>
        <w:r w:rsidR="00F65B0A">
          <w:rPr>
            <w:webHidden/>
          </w:rPr>
          <w:instrText xml:space="preserve"> PAGEREF _Toc24544658 \h </w:instrText>
        </w:r>
        <w:r w:rsidR="00F65B0A">
          <w:rPr>
            <w:webHidden/>
          </w:rPr>
        </w:r>
        <w:r w:rsidR="00F65B0A">
          <w:rPr>
            <w:webHidden/>
          </w:rPr>
          <w:fldChar w:fldCharType="separate"/>
        </w:r>
        <w:r w:rsidR="00F040A5">
          <w:rPr>
            <w:webHidden/>
          </w:rPr>
          <w:t>9</w:t>
        </w:r>
        <w:r w:rsidR="00F65B0A">
          <w:rPr>
            <w:webHidden/>
          </w:rPr>
          <w:fldChar w:fldCharType="end"/>
        </w:r>
      </w:hyperlink>
    </w:p>
    <w:p w14:paraId="3CC8FB1B" w14:textId="0BA85A3E" w:rsidR="00F65B0A" w:rsidRDefault="002F1598">
      <w:pPr>
        <w:pStyle w:val="TOC2"/>
        <w:tabs>
          <w:tab w:val="left" w:pos="851"/>
          <w:tab w:val="right" w:leader="dot" w:pos="8302"/>
        </w:tabs>
        <w:rPr>
          <w:rFonts w:eastAsiaTheme="minorEastAsia" w:cstheme="minorBidi"/>
          <w:lang w:val="en-US" w:eastAsia="en-US"/>
        </w:rPr>
      </w:pPr>
      <w:hyperlink w:anchor="_Toc24544659" w:history="1">
        <w:r w:rsidR="00F65B0A" w:rsidRPr="006D1B7F">
          <w:rPr>
            <w:rStyle w:val="Hyperlink"/>
            <w:lang w:val="en-GB"/>
          </w:rPr>
          <w:t>1.1</w:t>
        </w:r>
        <w:r w:rsidR="00F65B0A">
          <w:rPr>
            <w:rFonts w:eastAsiaTheme="minorEastAsia" w:cstheme="minorBidi"/>
            <w:lang w:val="en-US" w:eastAsia="en-US"/>
          </w:rPr>
          <w:tab/>
        </w:r>
        <w:r w:rsidR="00F65B0A" w:rsidRPr="006D1B7F">
          <w:rPr>
            <w:rStyle w:val="Hyperlink"/>
            <w:lang w:val="en-GB"/>
          </w:rPr>
          <w:t>Key recommendations</w:t>
        </w:r>
        <w:r w:rsidR="00F65B0A">
          <w:rPr>
            <w:webHidden/>
          </w:rPr>
          <w:tab/>
        </w:r>
        <w:r w:rsidR="00F65B0A">
          <w:rPr>
            <w:webHidden/>
          </w:rPr>
          <w:fldChar w:fldCharType="begin"/>
        </w:r>
        <w:r w:rsidR="00F65B0A">
          <w:rPr>
            <w:webHidden/>
          </w:rPr>
          <w:instrText xml:space="preserve"> PAGEREF _Toc24544659 \h </w:instrText>
        </w:r>
        <w:r w:rsidR="00F65B0A">
          <w:rPr>
            <w:webHidden/>
          </w:rPr>
        </w:r>
        <w:r w:rsidR="00F65B0A">
          <w:rPr>
            <w:webHidden/>
          </w:rPr>
          <w:fldChar w:fldCharType="separate"/>
        </w:r>
        <w:r w:rsidR="00F040A5">
          <w:rPr>
            <w:webHidden/>
          </w:rPr>
          <w:t>9</w:t>
        </w:r>
        <w:r w:rsidR="00F65B0A">
          <w:rPr>
            <w:webHidden/>
          </w:rPr>
          <w:fldChar w:fldCharType="end"/>
        </w:r>
      </w:hyperlink>
    </w:p>
    <w:p w14:paraId="05561AB9" w14:textId="5069BEA0" w:rsidR="00F65B0A" w:rsidRDefault="002F1598">
      <w:pPr>
        <w:pStyle w:val="TOC3"/>
        <w:tabs>
          <w:tab w:val="left" w:pos="1474"/>
          <w:tab w:val="right" w:leader="dot" w:pos="8302"/>
        </w:tabs>
        <w:rPr>
          <w:rFonts w:eastAsiaTheme="minorEastAsia" w:cstheme="minorBidi"/>
          <w:lang w:val="en-US" w:eastAsia="en-US"/>
        </w:rPr>
      </w:pPr>
      <w:hyperlink w:anchor="_Toc24544660" w:history="1">
        <w:r w:rsidR="00F65B0A" w:rsidRPr="006D1B7F">
          <w:rPr>
            <w:rStyle w:val="Hyperlink"/>
          </w:rPr>
          <w:t>1.1.2</w:t>
        </w:r>
        <w:r w:rsidR="00F65B0A">
          <w:rPr>
            <w:rFonts w:eastAsiaTheme="minorEastAsia" w:cstheme="minorBidi"/>
            <w:lang w:val="en-US" w:eastAsia="en-US"/>
          </w:rPr>
          <w:tab/>
        </w:r>
        <w:r w:rsidR="00F65B0A" w:rsidRPr="006D1B7F">
          <w:rPr>
            <w:rStyle w:val="Hyperlink"/>
          </w:rPr>
          <w:t>Complex plan recommendations</w:t>
        </w:r>
        <w:r w:rsidR="00F65B0A">
          <w:rPr>
            <w:webHidden/>
          </w:rPr>
          <w:tab/>
        </w:r>
        <w:r w:rsidR="00F65B0A">
          <w:rPr>
            <w:webHidden/>
          </w:rPr>
          <w:fldChar w:fldCharType="begin"/>
        </w:r>
        <w:r w:rsidR="00F65B0A">
          <w:rPr>
            <w:webHidden/>
          </w:rPr>
          <w:instrText xml:space="preserve"> PAGEREF _Toc24544660 \h </w:instrText>
        </w:r>
        <w:r w:rsidR="00F65B0A">
          <w:rPr>
            <w:webHidden/>
          </w:rPr>
        </w:r>
        <w:r w:rsidR="00F65B0A">
          <w:rPr>
            <w:webHidden/>
          </w:rPr>
          <w:fldChar w:fldCharType="separate"/>
        </w:r>
        <w:r w:rsidR="00F040A5">
          <w:rPr>
            <w:webHidden/>
          </w:rPr>
          <w:t>10</w:t>
        </w:r>
        <w:r w:rsidR="00F65B0A">
          <w:rPr>
            <w:webHidden/>
          </w:rPr>
          <w:fldChar w:fldCharType="end"/>
        </w:r>
      </w:hyperlink>
    </w:p>
    <w:p w14:paraId="534BCB80" w14:textId="647B928C" w:rsidR="00F65B0A" w:rsidRDefault="002F1598">
      <w:pPr>
        <w:pStyle w:val="TOC3"/>
        <w:tabs>
          <w:tab w:val="left" w:pos="1474"/>
          <w:tab w:val="right" w:leader="dot" w:pos="8302"/>
        </w:tabs>
        <w:rPr>
          <w:rFonts w:eastAsiaTheme="minorEastAsia" w:cstheme="minorBidi"/>
          <w:lang w:val="en-US" w:eastAsia="en-US"/>
        </w:rPr>
      </w:pPr>
      <w:hyperlink w:anchor="_Toc24544661" w:history="1">
        <w:r w:rsidR="00F65B0A" w:rsidRPr="006D1B7F">
          <w:rPr>
            <w:rStyle w:val="Hyperlink"/>
          </w:rPr>
          <w:t>1.1.3</w:t>
        </w:r>
        <w:r w:rsidR="00F65B0A">
          <w:rPr>
            <w:rFonts w:eastAsiaTheme="minorEastAsia" w:cstheme="minorBidi"/>
            <w:lang w:val="en-US" w:eastAsia="en-US"/>
          </w:rPr>
          <w:tab/>
        </w:r>
        <w:r w:rsidR="00F65B0A" w:rsidRPr="006D1B7F">
          <w:rPr>
            <w:rStyle w:val="Hyperlink"/>
          </w:rPr>
          <w:t>Telehealth recommendations</w:t>
        </w:r>
        <w:r w:rsidR="00F65B0A">
          <w:rPr>
            <w:webHidden/>
          </w:rPr>
          <w:tab/>
        </w:r>
        <w:r w:rsidR="00F65B0A">
          <w:rPr>
            <w:webHidden/>
          </w:rPr>
          <w:fldChar w:fldCharType="begin"/>
        </w:r>
        <w:r w:rsidR="00F65B0A">
          <w:rPr>
            <w:webHidden/>
          </w:rPr>
          <w:instrText xml:space="preserve"> PAGEREF _Toc24544661 \h </w:instrText>
        </w:r>
        <w:r w:rsidR="00F65B0A">
          <w:rPr>
            <w:webHidden/>
          </w:rPr>
        </w:r>
        <w:r w:rsidR="00F65B0A">
          <w:rPr>
            <w:webHidden/>
          </w:rPr>
          <w:fldChar w:fldCharType="separate"/>
        </w:r>
        <w:r w:rsidR="00F040A5">
          <w:rPr>
            <w:webHidden/>
          </w:rPr>
          <w:t>11</w:t>
        </w:r>
        <w:r w:rsidR="00F65B0A">
          <w:rPr>
            <w:webHidden/>
          </w:rPr>
          <w:fldChar w:fldCharType="end"/>
        </w:r>
      </w:hyperlink>
    </w:p>
    <w:p w14:paraId="1DCAD25B" w14:textId="0E11B8A7" w:rsidR="00F65B0A" w:rsidRDefault="002F1598">
      <w:pPr>
        <w:pStyle w:val="TOC3"/>
        <w:tabs>
          <w:tab w:val="left" w:pos="1474"/>
          <w:tab w:val="right" w:leader="dot" w:pos="8302"/>
        </w:tabs>
        <w:rPr>
          <w:rFonts w:eastAsiaTheme="minorEastAsia" w:cstheme="minorBidi"/>
          <w:lang w:val="en-US" w:eastAsia="en-US"/>
        </w:rPr>
      </w:pPr>
      <w:hyperlink w:anchor="_Toc24544662" w:history="1">
        <w:r w:rsidR="00F65B0A" w:rsidRPr="006D1B7F">
          <w:rPr>
            <w:rStyle w:val="Hyperlink"/>
          </w:rPr>
          <w:t>1.1.4</w:t>
        </w:r>
        <w:r w:rsidR="00F65B0A">
          <w:rPr>
            <w:rFonts w:eastAsiaTheme="minorEastAsia" w:cstheme="minorBidi"/>
            <w:lang w:val="en-US" w:eastAsia="en-US"/>
          </w:rPr>
          <w:tab/>
        </w:r>
        <w:r w:rsidR="00F65B0A" w:rsidRPr="006D1B7F">
          <w:rPr>
            <w:rStyle w:val="Hyperlink"/>
          </w:rPr>
          <w:t>Case conference recommendations</w:t>
        </w:r>
        <w:r w:rsidR="00F65B0A">
          <w:rPr>
            <w:webHidden/>
          </w:rPr>
          <w:tab/>
        </w:r>
        <w:r w:rsidR="00F65B0A">
          <w:rPr>
            <w:webHidden/>
          </w:rPr>
          <w:fldChar w:fldCharType="begin"/>
        </w:r>
        <w:r w:rsidR="00F65B0A">
          <w:rPr>
            <w:webHidden/>
          </w:rPr>
          <w:instrText xml:space="preserve"> PAGEREF _Toc24544662 \h </w:instrText>
        </w:r>
        <w:r w:rsidR="00F65B0A">
          <w:rPr>
            <w:webHidden/>
          </w:rPr>
        </w:r>
        <w:r w:rsidR="00F65B0A">
          <w:rPr>
            <w:webHidden/>
          </w:rPr>
          <w:fldChar w:fldCharType="separate"/>
        </w:r>
        <w:r w:rsidR="00F040A5">
          <w:rPr>
            <w:webHidden/>
          </w:rPr>
          <w:t>11</w:t>
        </w:r>
        <w:r w:rsidR="00F65B0A">
          <w:rPr>
            <w:webHidden/>
          </w:rPr>
          <w:fldChar w:fldCharType="end"/>
        </w:r>
      </w:hyperlink>
    </w:p>
    <w:p w14:paraId="08F4B345" w14:textId="7C8B8B6F" w:rsidR="00F65B0A" w:rsidRDefault="002F1598">
      <w:pPr>
        <w:pStyle w:val="TOC3"/>
        <w:tabs>
          <w:tab w:val="left" w:pos="1474"/>
          <w:tab w:val="right" w:leader="dot" w:pos="8302"/>
        </w:tabs>
        <w:rPr>
          <w:rFonts w:eastAsiaTheme="minorEastAsia" w:cstheme="minorBidi"/>
          <w:lang w:val="en-US" w:eastAsia="en-US"/>
        </w:rPr>
      </w:pPr>
      <w:hyperlink w:anchor="_Toc24544663" w:history="1">
        <w:r w:rsidR="00F65B0A" w:rsidRPr="006D1B7F">
          <w:rPr>
            <w:rStyle w:val="Hyperlink"/>
          </w:rPr>
          <w:t>1.1.5</w:t>
        </w:r>
        <w:r w:rsidR="00F65B0A">
          <w:rPr>
            <w:rFonts w:eastAsiaTheme="minorEastAsia" w:cstheme="minorBidi"/>
            <w:lang w:val="en-US" w:eastAsia="en-US"/>
          </w:rPr>
          <w:tab/>
        </w:r>
        <w:r w:rsidR="00F65B0A" w:rsidRPr="006D1B7F">
          <w:rPr>
            <w:rStyle w:val="Hyperlink"/>
          </w:rPr>
          <w:t>Use of data to inform quality care and patient-informed choice and consent recommendations</w:t>
        </w:r>
        <w:r w:rsidR="00F65B0A">
          <w:rPr>
            <w:webHidden/>
          </w:rPr>
          <w:tab/>
        </w:r>
        <w:r w:rsidR="00F65B0A">
          <w:rPr>
            <w:webHidden/>
          </w:rPr>
          <w:fldChar w:fldCharType="begin"/>
        </w:r>
        <w:r w:rsidR="00F65B0A">
          <w:rPr>
            <w:webHidden/>
          </w:rPr>
          <w:instrText xml:space="preserve"> PAGEREF _Toc24544663 \h </w:instrText>
        </w:r>
        <w:r w:rsidR="00F65B0A">
          <w:rPr>
            <w:webHidden/>
          </w:rPr>
        </w:r>
        <w:r w:rsidR="00F65B0A">
          <w:rPr>
            <w:webHidden/>
          </w:rPr>
          <w:fldChar w:fldCharType="separate"/>
        </w:r>
        <w:r w:rsidR="00F040A5">
          <w:rPr>
            <w:webHidden/>
          </w:rPr>
          <w:t>12</w:t>
        </w:r>
        <w:r w:rsidR="00F65B0A">
          <w:rPr>
            <w:webHidden/>
          </w:rPr>
          <w:fldChar w:fldCharType="end"/>
        </w:r>
      </w:hyperlink>
    </w:p>
    <w:p w14:paraId="2E8E191C" w14:textId="5F2009CA" w:rsidR="00F65B0A" w:rsidRDefault="002F1598">
      <w:pPr>
        <w:pStyle w:val="TOC3"/>
        <w:tabs>
          <w:tab w:val="left" w:pos="1474"/>
          <w:tab w:val="right" w:leader="dot" w:pos="8302"/>
        </w:tabs>
        <w:rPr>
          <w:rFonts w:eastAsiaTheme="minorEastAsia" w:cstheme="minorBidi"/>
          <w:lang w:val="en-US" w:eastAsia="en-US"/>
        </w:rPr>
      </w:pPr>
      <w:hyperlink w:anchor="_Toc24544664" w:history="1">
        <w:r w:rsidR="00F65B0A" w:rsidRPr="006D1B7F">
          <w:rPr>
            <w:rStyle w:val="Hyperlink"/>
          </w:rPr>
          <w:t>1.1.6</w:t>
        </w:r>
        <w:r w:rsidR="00F65B0A">
          <w:rPr>
            <w:rFonts w:eastAsiaTheme="minorEastAsia" w:cstheme="minorBidi"/>
            <w:lang w:val="en-US" w:eastAsia="en-US"/>
          </w:rPr>
          <w:tab/>
        </w:r>
        <w:r w:rsidR="00F65B0A" w:rsidRPr="006D1B7F">
          <w:rPr>
            <w:rStyle w:val="Hyperlink"/>
          </w:rPr>
          <w:t>My Health Record recommendations</w:t>
        </w:r>
        <w:r w:rsidR="00F65B0A">
          <w:rPr>
            <w:webHidden/>
          </w:rPr>
          <w:tab/>
        </w:r>
        <w:r w:rsidR="00F65B0A">
          <w:rPr>
            <w:webHidden/>
          </w:rPr>
          <w:fldChar w:fldCharType="begin"/>
        </w:r>
        <w:r w:rsidR="00F65B0A">
          <w:rPr>
            <w:webHidden/>
          </w:rPr>
          <w:instrText xml:space="preserve"> PAGEREF _Toc24544664 \h </w:instrText>
        </w:r>
        <w:r w:rsidR="00F65B0A">
          <w:rPr>
            <w:webHidden/>
          </w:rPr>
        </w:r>
        <w:r w:rsidR="00F65B0A">
          <w:rPr>
            <w:webHidden/>
          </w:rPr>
          <w:fldChar w:fldCharType="separate"/>
        </w:r>
        <w:r w:rsidR="00F040A5">
          <w:rPr>
            <w:webHidden/>
          </w:rPr>
          <w:t>12</w:t>
        </w:r>
        <w:r w:rsidR="00F65B0A">
          <w:rPr>
            <w:webHidden/>
          </w:rPr>
          <w:fldChar w:fldCharType="end"/>
        </w:r>
      </w:hyperlink>
    </w:p>
    <w:p w14:paraId="1C66261C" w14:textId="6F1FC520" w:rsidR="00F65B0A" w:rsidRDefault="002F1598">
      <w:pPr>
        <w:pStyle w:val="TOC2"/>
        <w:tabs>
          <w:tab w:val="left" w:pos="851"/>
          <w:tab w:val="right" w:leader="dot" w:pos="8302"/>
        </w:tabs>
        <w:rPr>
          <w:rFonts w:eastAsiaTheme="minorEastAsia" w:cstheme="minorBidi"/>
          <w:lang w:val="en-US" w:eastAsia="en-US"/>
        </w:rPr>
      </w:pPr>
      <w:hyperlink w:anchor="_Toc24544665" w:history="1">
        <w:r w:rsidR="00F65B0A" w:rsidRPr="006D1B7F">
          <w:rPr>
            <w:rStyle w:val="Hyperlink"/>
            <w:lang w:val="en-GB"/>
          </w:rPr>
          <w:t>1.2</w:t>
        </w:r>
        <w:r w:rsidR="00F65B0A">
          <w:rPr>
            <w:rFonts w:eastAsiaTheme="minorEastAsia" w:cstheme="minorBidi"/>
            <w:lang w:val="en-US" w:eastAsia="en-US"/>
          </w:rPr>
          <w:tab/>
        </w:r>
        <w:r w:rsidR="00F65B0A" w:rsidRPr="006D1B7F">
          <w:rPr>
            <w:rStyle w:val="Hyperlink"/>
            <w:lang w:val="en-GB"/>
          </w:rPr>
          <w:t>Consumer engagement</w:t>
        </w:r>
        <w:r w:rsidR="00F65B0A">
          <w:rPr>
            <w:webHidden/>
          </w:rPr>
          <w:tab/>
        </w:r>
        <w:r w:rsidR="00F65B0A">
          <w:rPr>
            <w:webHidden/>
          </w:rPr>
          <w:fldChar w:fldCharType="begin"/>
        </w:r>
        <w:r w:rsidR="00F65B0A">
          <w:rPr>
            <w:webHidden/>
          </w:rPr>
          <w:instrText xml:space="preserve"> PAGEREF _Toc24544665 \h </w:instrText>
        </w:r>
        <w:r w:rsidR="00F65B0A">
          <w:rPr>
            <w:webHidden/>
          </w:rPr>
        </w:r>
        <w:r w:rsidR="00F65B0A">
          <w:rPr>
            <w:webHidden/>
          </w:rPr>
          <w:fldChar w:fldCharType="separate"/>
        </w:r>
        <w:r w:rsidR="00F040A5">
          <w:rPr>
            <w:webHidden/>
          </w:rPr>
          <w:t>13</w:t>
        </w:r>
        <w:r w:rsidR="00F65B0A">
          <w:rPr>
            <w:webHidden/>
          </w:rPr>
          <w:fldChar w:fldCharType="end"/>
        </w:r>
      </w:hyperlink>
    </w:p>
    <w:p w14:paraId="15D0B8F8" w14:textId="421CDA4D" w:rsidR="00F65B0A" w:rsidRDefault="002F1598">
      <w:pPr>
        <w:pStyle w:val="TOC2"/>
        <w:tabs>
          <w:tab w:val="left" w:pos="851"/>
          <w:tab w:val="right" w:leader="dot" w:pos="8302"/>
        </w:tabs>
        <w:rPr>
          <w:rFonts w:eastAsiaTheme="minorEastAsia" w:cstheme="minorBidi"/>
          <w:lang w:val="en-US" w:eastAsia="en-US"/>
        </w:rPr>
      </w:pPr>
      <w:hyperlink w:anchor="_Toc24544666" w:history="1">
        <w:r w:rsidR="00F65B0A" w:rsidRPr="006D1B7F">
          <w:rPr>
            <w:rStyle w:val="Hyperlink"/>
            <w:lang w:val="en-GB"/>
          </w:rPr>
          <w:t>1.3</w:t>
        </w:r>
        <w:r w:rsidR="00F65B0A">
          <w:rPr>
            <w:rFonts w:eastAsiaTheme="minorEastAsia" w:cstheme="minorBidi"/>
            <w:lang w:val="en-US" w:eastAsia="en-US"/>
          </w:rPr>
          <w:tab/>
        </w:r>
        <w:r w:rsidR="00F65B0A" w:rsidRPr="006D1B7F">
          <w:rPr>
            <w:rStyle w:val="Hyperlink"/>
            <w:lang w:val="en-GB"/>
          </w:rPr>
          <w:t>Consumer impact summary</w:t>
        </w:r>
        <w:r w:rsidR="00F65B0A">
          <w:rPr>
            <w:webHidden/>
          </w:rPr>
          <w:tab/>
        </w:r>
        <w:r w:rsidR="00F65B0A">
          <w:rPr>
            <w:webHidden/>
          </w:rPr>
          <w:fldChar w:fldCharType="begin"/>
        </w:r>
        <w:r w:rsidR="00F65B0A">
          <w:rPr>
            <w:webHidden/>
          </w:rPr>
          <w:instrText xml:space="preserve"> PAGEREF _Toc24544666 \h </w:instrText>
        </w:r>
        <w:r w:rsidR="00F65B0A">
          <w:rPr>
            <w:webHidden/>
          </w:rPr>
        </w:r>
        <w:r w:rsidR="00F65B0A">
          <w:rPr>
            <w:webHidden/>
          </w:rPr>
          <w:fldChar w:fldCharType="separate"/>
        </w:r>
        <w:r w:rsidR="00F040A5">
          <w:rPr>
            <w:webHidden/>
          </w:rPr>
          <w:t>13</w:t>
        </w:r>
        <w:r w:rsidR="00F65B0A">
          <w:rPr>
            <w:webHidden/>
          </w:rPr>
          <w:fldChar w:fldCharType="end"/>
        </w:r>
      </w:hyperlink>
    </w:p>
    <w:p w14:paraId="0354CFCC" w14:textId="6BB810BA" w:rsidR="00F65B0A" w:rsidRDefault="002F1598">
      <w:pPr>
        <w:pStyle w:val="TOC1"/>
        <w:rPr>
          <w:rFonts w:eastAsiaTheme="minorEastAsia" w:cstheme="minorBidi"/>
          <w:lang w:val="en-US" w:eastAsia="en-US"/>
        </w:rPr>
      </w:pPr>
      <w:hyperlink w:anchor="_Toc24544667" w:history="1">
        <w:r w:rsidR="00F65B0A" w:rsidRPr="006D1B7F">
          <w:rPr>
            <w:rStyle w:val="Hyperlink"/>
            <w:lang w:val="en-GB"/>
          </w:rPr>
          <w:t>2</w:t>
        </w:r>
        <w:r w:rsidR="00F65B0A">
          <w:rPr>
            <w:rFonts w:eastAsiaTheme="minorEastAsia" w:cstheme="minorBidi"/>
            <w:lang w:val="en-US" w:eastAsia="en-US"/>
          </w:rPr>
          <w:tab/>
        </w:r>
        <w:r w:rsidR="00F65B0A" w:rsidRPr="006D1B7F">
          <w:rPr>
            <w:rStyle w:val="Hyperlink"/>
            <w:lang w:val="en-GB"/>
          </w:rPr>
          <w:t>About the Medicare Benefits Schedule (MBS) Review</w:t>
        </w:r>
        <w:r w:rsidR="00F65B0A">
          <w:rPr>
            <w:webHidden/>
          </w:rPr>
          <w:tab/>
        </w:r>
        <w:r w:rsidR="00F65B0A">
          <w:rPr>
            <w:webHidden/>
          </w:rPr>
          <w:fldChar w:fldCharType="begin"/>
        </w:r>
        <w:r w:rsidR="00F65B0A">
          <w:rPr>
            <w:webHidden/>
          </w:rPr>
          <w:instrText xml:space="preserve"> PAGEREF _Toc24544667 \h </w:instrText>
        </w:r>
        <w:r w:rsidR="00F65B0A">
          <w:rPr>
            <w:webHidden/>
          </w:rPr>
        </w:r>
        <w:r w:rsidR="00F65B0A">
          <w:rPr>
            <w:webHidden/>
          </w:rPr>
          <w:fldChar w:fldCharType="separate"/>
        </w:r>
        <w:r w:rsidR="00F040A5">
          <w:rPr>
            <w:webHidden/>
          </w:rPr>
          <w:t>14</w:t>
        </w:r>
        <w:r w:rsidR="00F65B0A">
          <w:rPr>
            <w:webHidden/>
          </w:rPr>
          <w:fldChar w:fldCharType="end"/>
        </w:r>
      </w:hyperlink>
    </w:p>
    <w:p w14:paraId="67B48672" w14:textId="6DB4DBD0" w:rsidR="00F65B0A" w:rsidRDefault="002F1598">
      <w:pPr>
        <w:pStyle w:val="TOC2"/>
        <w:tabs>
          <w:tab w:val="left" w:pos="851"/>
          <w:tab w:val="right" w:leader="dot" w:pos="8302"/>
        </w:tabs>
        <w:rPr>
          <w:rFonts w:eastAsiaTheme="minorEastAsia" w:cstheme="minorBidi"/>
          <w:lang w:val="en-US" w:eastAsia="en-US"/>
        </w:rPr>
      </w:pPr>
      <w:hyperlink w:anchor="_Toc24544668" w:history="1">
        <w:r w:rsidR="00F65B0A" w:rsidRPr="006D1B7F">
          <w:rPr>
            <w:rStyle w:val="Hyperlink"/>
          </w:rPr>
          <w:t>1.1</w:t>
        </w:r>
        <w:r w:rsidR="00F65B0A">
          <w:rPr>
            <w:rFonts w:eastAsiaTheme="minorEastAsia" w:cstheme="minorBidi"/>
            <w:lang w:val="en-US" w:eastAsia="en-US"/>
          </w:rPr>
          <w:tab/>
        </w:r>
        <w:r w:rsidR="00F65B0A" w:rsidRPr="006D1B7F">
          <w:rPr>
            <w:rStyle w:val="Hyperlink"/>
          </w:rPr>
          <w:t>Medicare and the MBS</w:t>
        </w:r>
        <w:r w:rsidR="00F65B0A">
          <w:rPr>
            <w:webHidden/>
          </w:rPr>
          <w:tab/>
        </w:r>
        <w:r w:rsidR="00F65B0A">
          <w:rPr>
            <w:webHidden/>
          </w:rPr>
          <w:fldChar w:fldCharType="begin"/>
        </w:r>
        <w:r w:rsidR="00F65B0A">
          <w:rPr>
            <w:webHidden/>
          </w:rPr>
          <w:instrText xml:space="preserve"> PAGEREF _Toc24544668 \h </w:instrText>
        </w:r>
        <w:r w:rsidR="00F65B0A">
          <w:rPr>
            <w:webHidden/>
          </w:rPr>
        </w:r>
        <w:r w:rsidR="00F65B0A">
          <w:rPr>
            <w:webHidden/>
          </w:rPr>
          <w:fldChar w:fldCharType="separate"/>
        </w:r>
        <w:r w:rsidR="00F040A5">
          <w:rPr>
            <w:webHidden/>
          </w:rPr>
          <w:t>14</w:t>
        </w:r>
        <w:r w:rsidR="00F65B0A">
          <w:rPr>
            <w:webHidden/>
          </w:rPr>
          <w:fldChar w:fldCharType="end"/>
        </w:r>
      </w:hyperlink>
    </w:p>
    <w:p w14:paraId="1396AC3E" w14:textId="16FBDAE1" w:rsidR="00F65B0A" w:rsidRDefault="002F1598">
      <w:pPr>
        <w:pStyle w:val="TOC3"/>
        <w:tabs>
          <w:tab w:val="left" w:pos="1474"/>
          <w:tab w:val="right" w:leader="dot" w:pos="8302"/>
        </w:tabs>
        <w:rPr>
          <w:rFonts w:eastAsiaTheme="minorEastAsia" w:cstheme="minorBidi"/>
          <w:lang w:val="en-US" w:eastAsia="en-US"/>
        </w:rPr>
      </w:pPr>
      <w:hyperlink w:anchor="_Toc24544669" w:history="1">
        <w:r w:rsidR="00F65B0A" w:rsidRPr="006D1B7F">
          <w:rPr>
            <w:rStyle w:val="Hyperlink"/>
          </w:rPr>
          <w:t>1.1.1</w:t>
        </w:r>
        <w:r w:rsidR="00F65B0A">
          <w:rPr>
            <w:rFonts w:eastAsiaTheme="minorEastAsia" w:cstheme="minorBidi"/>
            <w:lang w:val="en-US" w:eastAsia="en-US"/>
          </w:rPr>
          <w:tab/>
        </w:r>
        <w:r w:rsidR="00F65B0A" w:rsidRPr="006D1B7F">
          <w:rPr>
            <w:rStyle w:val="Hyperlink"/>
          </w:rPr>
          <w:t>What is Medicare?</w:t>
        </w:r>
        <w:r w:rsidR="00F65B0A">
          <w:rPr>
            <w:webHidden/>
          </w:rPr>
          <w:tab/>
        </w:r>
        <w:r w:rsidR="00F65B0A">
          <w:rPr>
            <w:webHidden/>
          </w:rPr>
          <w:fldChar w:fldCharType="begin"/>
        </w:r>
        <w:r w:rsidR="00F65B0A">
          <w:rPr>
            <w:webHidden/>
          </w:rPr>
          <w:instrText xml:space="preserve"> PAGEREF _Toc24544669 \h </w:instrText>
        </w:r>
        <w:r w:rsidR="00F65B0A">
          <w:rPr>
            <w:webHidden/>
          </w:rPr>
        </w:r>
        <w:r w:rsidR="00F65B0A">
          <w:rPr>
            <w:webHidden/>
          </w:rPr>
          <w:fldChar w:fldCharType="separate"/>
        </w:r>
        <w:r w:rsidR="00F040A5">
          <w:rPr>
            <w:webHidden/>
          </w:rPr>
          <w:t>14</w:t>
        </w:r>
        <w:r w:rsidR="00F65B0A">
          <w:rPr>
            <w:webHidden/>
          </w:rPr>
          <w:fldChar w:fldCharType="end"/>
        </w:r>
      </w:hyperlink>
    </w:p>
    <w:p w14:paraId="165A956D" w14:textId="03DF91FD" w:rsidR="00F65B0A" w:rsidRDefault="002F1598">
      <w:pPr>
        <w:pStyle w:val="TOC2"/>
        <w:tabs>
          <w:tab w:val="left" w:pos="851"/>
          <w:tab w:val="right" w:leader="dot" w:pos="8302"/>
        </w:tabs>
        <w:rPr>
          <w:rFonts w:eastAsiaTheme="minorEastAsia" w:cstheme="minorBidi"/>
          <w:lang w:val="en-US" w:eastAsia="en-US"/>
        </w:rPr>
      </w:pPr>
      <w:hyperlink w:anchor="_Toc24544670" w:history="1">
        <w:r w:rsidR="00F65B0A" w:rsidRPr="006D1B7F">
          <w:rPr>
            <w:rStyle w:val="Hyperlink"/>
          </w:rPr>
          <w:t>1.2</w:t>
        </w:r>
        <w:r w:rsidR="00F65B0A">
          <w:rPr>
            <w:rFonts w:eastAsiaTheme="minorEastAsia" w:cstheme="minorBidi"/>
            <w:lang w:val="en-US" w:eastAsia="en-US"/>
          </w:rPr>
          <w:tab/>
        </w:r>
        <w:r w:rsidR="00F65B0A" w:rsidRPr="006D1B7F">
          <w:rPr>
            <w:rStyle w:val="Hyperlink"/>
          </w:rPr>
          <w:t>What is the MBS?</w:t>
        </w:r>
        <w:r w:rsidR="00F65B0A">
          <w:rPr>
            <w:webHidden/>
          </w:rPr>
          <w:tab/>
        </w:r>
        <w:r w:rsidR="00F65B0A">
          <w:rPr>
            <w:webHidden/>
          </w:rPr>
          <w:fldChar w:fldCharType="begin"/>
        </w:r>
        <w:r w:rsidR="00F65B0A">
          <w:rPr>
            <w:webHidden/>
          </w:rPr>
          <w:instrText xml:space="preserve"> PAGEREF _Toc24544670 \h </w:instrText>
        </w:r>
        <w:r w:rsidR="00F65B0A">
          <w:rPr>
            <w:webHidden/>
          </w:rPr>
        </w:r>
        <w:r w:rsidR="00F65B0A">
          <w:rPr>
            <w:webHidden/>
          </w:rPr>
          <w:fldChar w:fldCharType="separate"/>
        </w:r>
        <w:r w:rsidR="00F040A5">
          <w:rPr>
            <w:webHidden/>
          </w:rPr>
          <w:t>14</w:t>
        </w:r>
        <w:r w:rsidR="00F65B0A">
          <w:rPr>
            <w:webHidden/>
          </w:rPr>
          <w:fldChar w:fldCharType="end"/>
        </w:r>
      </w:hyperlink>
    </w:p>
    <w:p w14:paraId="2C233457" w14:textId="46A1F24D" w:rsidR="00F65B0A" w:rsidRDefault="002F1598">
      <w:pPr>
        <w:pStyle w:val="TOC2"/>
        <w:tabs>
          <w:tab w:val="left" w:pos="851"/>
          <w:tab w:val="right" w:leader="dot" w:pos="8302"/>
        </w:tabs>
        <w:rPr>
          <w:rFonts w:eastAsiaTheme="minorEastAsia" w:cstheme="minorBidi"/>
          <w:lang w:val="en-US" w:eastAsia="en-US"/>
        </w:rPr>
      </w:pPr>
      <w:hyperlink w:anchor="_Toc24544671" w:history="1">
        <w:r w:rsidR="00F65B0A" w:rsidRPr="006D1B7F">
          <w:rPr>
            <w:rStyle w:val="Hyperlink"/>
          </w:rPr>
          <w:t>1.3</w:t>
        </w:r>
        <w:r w:rsidR="00F65B0A">
          <w:rPr>
            <w:rFonts w:eastAsiaTheme="minorEastAsia" w:cstheme="minorBidi"/>
            <w:lang w:val="en-US" w:eastAsia="en-US"/>
          </w:rPr>
          <w:tab/>
        </w:r>
        <w:r w:rsidR="00F65B0A" w:rsidRPr="006D1B7F">
          <w:rPr>
            <w:rStyle w:val="Hyperlink"/>
          </w:rPr>
          <w:t>What is the MBS Review Taskforce?</w:t>
        </w:r>
        <w:r w:rsidR="00F65B0A">
          <w:rPr>
            <w:webHidden/>
          </w:rPr>
          <w:tab/>
        </w:r>
        <w:r w:rsidR="00F65B0A">
          <w:rPr>
            <w:webHidden/>
          </w:rPr>
          <w:fldChar w:fldCharType="begin"/>
        </w:r>
        <w:r w:rsidR="00F65B0A">
          <w:rPr>
            <w:webHidden/>
          </w:rPr>
          <w:instrText xml:space="preserve"> PAGEREF _Toc24544671 \h </w:instrText>
        </w:r>
        <w:r w:rsidR="00F65B0A">
          <w:rPr>
            <w:webHidden/>
          </w:rPr>
        </w:r>
        <w:r w:rsidR="00F65B0A">
          <w:rPr>
            <w:webHidden/>
          </w:rPr>
          <w:fldChar w:fldCharType="separate"/>
        </w:r>
        <w:r w:rsidR="00F040A5">
          <w:rPr>
            <w:webHidden/>
          </w:rPr>
          <w:t>14</w:t>
        </w:r>
        <w:r w:rsidR="00F65B0A">
          <w:rPr>
            <w:webHidden/>
          </w:rPr>
          <w:fldChar w:fldCharType="end"/>
        </w:r>
      </w:hyperlink>
    </w:p>
    <w:p w14:paraId="5D9BBADB" w14:textId="259C09F3" w:rsidR="00F65B0A" w:rsidRDefault="002F1598">
      <w:pPr>
        <w:pStyle w:val="TOC3"/>
        <w:tabs>
          <w:tab w:val="left" w:pos="1474"/>
          <w:tab w:val="right" w:leader="dot" w:pos="8302"/>
        </w:tabs>
        <w:rPr>
          <w:rFonts w:eastAsiaTheme="minorEastAsia" w:cstheme="minorBidi"/>
          <w:lang w:val="en-US" w:eastAsia="en-US"/>
        </w:rPr>
      </w:pPr>
      <w:hyperlink w:anchor="_Toc24544672" w:history="1">
        <w:r w:rsidR="00F65B0A" w:rsidRPr="006D1B7F">
          <w:rPr>
            <w:rStyle w:val="Hyperlink"/>
          </w:rPr>
          <w:t>1.3.1</w:t>
        </w:r>
        <w:r w:rsidR="00F65B0A">
          <w:rPr>
            <w:rFonts w:eastAsiaTheme="minorEastAsia" w:cstheme="minorBidi"/>
            <w:lang w:val="en-US" w:eastAsia="en-US"/>
          </w:rPr>
          <w:tab/>
        </w:r>
        <w:r w:rsidR="00F65B0A" w:rsidRPr="006D1B7F">
          <w:rPr>
            <w:rStyle w:val="Hyperlink"/>
          </w:rPr>
          <w:t>What are the goals of the Taskforce?</w:t>
        </w:r>
        <w:r w:rsidR="00F65B0A">
          <w:rPr>
            <w:webHidden/>
          </w:rPr>
          <w:tab/>
        </w:r>
        <w:r w:rsidR="00F65B0A">
          <w:rPr>
            <w:webHidden/>
          </w:rPr>
          <w:fldChar w:fldCharType="begin"/>
        </w:r>
        <w:r w:rsidR="00F65B0A">
          <w:rPr>
            <w:webHidden/>
          </w:rPr>
          <w:instrText xml:space="preserve"> PAGEREF _Toc24544672 \h </w:instrText>
        </w:r>
        <w:r w:rsidR="00F65B0A">
          <w:rPr>
            <w:webHidden/>
          </w:rPr>
        </w:r>
        <w:r w:rsidR="00F65B0A">
          <w:rPr>
            <w:webHidden/>
          </w:rPr>
          <w:fldChar w:fldCharType="separate"/>
        </w:r>
        <w:r w:rsidR="00F040A5">
          <w:rPr>
            <w:webHidden/>
          </w:rPr>
          <w:t>14</w:t>
        </w:r>
        <w:r w:rsidR="00F65B0A">
          <w:rPr>
            <w:webHidden/>
          </w:rPr>
          <w:fldChar w:fldCharType="end"/>
        </w:r>
      </w:hyperlink>
    </w:p>
    <w:p w14:paraId="3A5C47D0" w14:textId="3BF803ED" w:rsidR="00F65B0A" w:rsidRDefault="002F1598">
      <w:pPr>
        <w:pStyle w:val="TOC2"/>
        <w:tabs>
          <w:tab w:val="left" w:pos="851"/>
          <w:tab w:val="right" w:leader="dot" w:pos="8302"/>
        </w:tabs>
        <w:rPr>
          <w:rFonts w:eastAsiaTheme="minorEastAsia" w:cstheme="minorBidi"/>
          <w:lang w:val="en-US" w:eastAsia="en-US"/>
        </w:rPr>
      </w:pPr>
      <w:hyperlink w:anchor="_Toc24544673" w:history="1">
        <w:r w:rsidR="00F65B0A" w:rsidRPr="006D1B7F">
          <w:rPr>
            <w:rStyle w:val="Hyperlink"/>
          </w:rPr>
          <w:t>1.4</w:t>
        </w:r>
        <w:r w:rsidR="00F65B0A">
          <w:rPr>
            <w:rFonts w:eastAsiaTheme="minorEastAsia" w:cstheme="minorBidi"/>
            <w:lang w:val="en-US" w:eastAsia="en-US"/>
          </w:rPr>
          <w:tab/>
        </w:r>
        <w:r w:rsidR="00F65B0A" w:rsidRPr="006D1B7F">
          <w:rPr>
            <w:rStyle w:val="Hyperlink"/>
          </w:rPr>
          <w:t>The Taskforce’s approach</w:t>
        </w:r>
        <w:r w:rsidR="00F65B0A">
          <w:rPr>
            <w:webHidden/>
          </w:rPr>
          <w:tab/>
        </w:r>
        <w:r w:rsidR="00F65B0A">
          <w:rPr>
            <w:webHidden/>
          </w:rPr>
          <w:fldChar w:fldCharType="begin"/>
        </w:r>
        <w:r w:rsidR="00F65B0A">
          <w:rPr>
            <w:webHidden/>
          </w:rPr>
          <w:instrText xml:space="preserve"> PAGEREF _Toc24544673 \h </w:instrText>
        </w:r>
        <w:r w:rsidR="00F65B0A">
          <w:rPr>
            <w:webHidden/>
          </w:rPr>
        </w:r>
        <w:r w:rsidR="00F65B0A">
          <w:rPr>
            <w:webHidden/>
          </w:rPr>
          <w:fldChar w:fldCharType="separate"/>
        </w:r>
        <w:r w:rsidR="00F040A5">
          <w:rPr>
            <w:webHidden/>
          </w:rPr>
          <w:t>15</w:t>
        </w:r>
        <w:r w:rsidR="00F65B0A">
          <w:rPr>
            <w:webHidden/>
          </w:rPr>
          <w:fldChar w:fldCharType="end"/>
        </w:r>
      </w:hyperlink>
    </w:p>
    <w:p w14:paraId="013BD1C1" w14:textId="1603728D" w:rsidR="00F65B0A" w:rsidRDefault="002F1598">
      <w:pPr>
        <w:pStyle w:val="TOC1"/>
        <w:rPr>
          <w:rFonts w:eastAsiaTheme="minorEastAsia" w:cstheme="minorBidi"/>
          <w:lang w:val="en-US" w:eastAsia="en-US"/>
        </w:rPr>
      </w:pPr>
      <w:hyperlink w:anchor="_Toc24544674" w:history="1">
        <w:r w:rsidR="00F65B0A" w:rsidRPr="006D1B7F">
          <w:rPr>
            <w:rStyle w:val="Hyperlink"/>
            <w:lang w:val="en-GB"/>
          </w:rPr>
          <w:t>3</w:t>
        </w:r>
        <w:r w:rsidR="00F65B0A">
          <w:rPr>
            <w:rFonts w:eastAsiaTheme="minorEastAsia" w:cstheme="minorBidi"/>
            <w:lang w:val="en-US" w:eastAsia="en-US"/>
          </w:rPr>
          <w:tab/>
        </w:r>
        <w:r w:rsidR="00F65B0A" w:rsidRPr="006D1B7F">
          <w:rPr>
            <w:rStyle w:val="Hyperlink"/>
            <w:lang w:val="en-GB"/>
          </w:rPr>
          <w:t>About the Specialist and Consultant Physician Consultation Clinical Committee</w:t>
        </w:r>
        <w:r w:rsidR="00F65B0A">
          <w:rPr>
            <w:webHidden/>
          </w:rPr>
          <w:tab/>
        </w:r>
        <w:r w:rsidR="00F65B0A">
          <w:rPr>
            <w:webHidden/>
          </w:rPr>
          <w:fldChar w:fldCharType="begin"/>
        </w:r>
        <w:r w:rsidR="00F65B0A">
          <w:rPr>
            <w:webHidden/>
          </w:rPr>
          <w:instrText xml:space="preserve"> PAGEREF _Toc24544674 \h </w:instrText>
        </w:r>
        <w:r w:rsidR="00F65B0A">
          <w:rPr>
            <w:webHidden/>
          </w:rPr>
        </w:r>
        <w:r w:rsidR="00F65B0A">
          <w:rPr>
            <w:webHidden/>
          </w:rPr>
          <w:fldChar w:fldCharType="separate"/>
        </w:r>
        <w:r w:rsidR="00F040A5">
          <w:rPr>
            <w:webHidden/>
          </w:rPr>
          <w:t>18</w:t>
        </w:r>
        <w:r w:rsidR="00F65B0A">
          <w:rPr>
            <w:webHidden/>
          </w:rPr>
          <w:fldChar w:fldCharType="end"/>
        </w:r>
      </w:hyperlink>
    </w:p>
    <w:p w14:paraId="6EEA8EC2" w14:textId="61E43B5D" w:rsidR="00F65B0A" w:rsidRDefault="002F1598">
      <w:pPr>
        <w:pStyle w:val="TOC2"/>
        <w:tabs>
          <w:tab w:val="left" w:pos="851"/>
          <w:tab w:val="right" w:leader="dot" w:pos="8302"/>
        </w:tabs>
        <w:rPr>
          <w:rFonts w:eastAsiaTheme="minorEastAsia" w:cstheme="minorBidi"/>
          <w:lang w:val="en-US" w:eastAsia="en-US"/>
        </w:rPr>
      </w:pPr>
      <w:hyperlink w:anchor="_Toc24544675" w:history="1">
        <w:r w:rsidR="00F65B0A" w:rsidRPr="006D1B7F">
          <w:rPr>
            <w:rStyle w:val="Hyperlink"/>
            <w:lang w:val="en-GB"/>
          </w:rPr>
          <w:t>3.1</w:t>
        </w:r>
        <w:r w:rsidR="00F65B0A">
          <w:rPr>
            <w:rFonts w:eastAsiaTheme="minorEastAsia" w:cstheme="minorBidi"/>
            <w:lang w:val="en-US" w:eastAsia="en-US"/>
          </w:rPr>
          <w:tab/>
        </w:r>
        <w:r w:rsidR="00F65B0A" w:rsidRPr="006D1B7F">
          <w:rPr>
            <w:rStyle w:val="Hyperlink"/>
            <w:lang w:val="en-GB"/>
          </w:rPr>
          <w:t>Specialist and Consultant Physician Consultation Clinical Committee members</w:t>
        </w:r>
        <w:r w:rsidR="00F65B0A">
          <w:rPr>
            <w:webHidden/>
          </w:rPr>
          <w:tab/>
        </w:r>
        <w:r w:rsidR="00F65B0A">
          <w:rPr>
            <w:webHidden/>
          </w:rPr>
          <w:fldChar w:fldCharType="begin"/>
        </w:r>
        <w:r w:rsidR="00F65B0A">
          <w:rPr>
            <w:webHidden/>
          </w:rPr>
          <w:instrText xml:space="preserve"> PAGEREF _Toc24544675 \h </w:instrText>
        </w:r>
        <w:r w:rsidR="00F65B0A">
          <w:rPr>
            <w:webHidden/>
          </w:rPr>
        </w:r>
        <w:r w:rsidR="00F65B0A">
          <w:rPr>
            <w:webHidden/>
          </w:rPr>
          <w:fldChar w:fldCharType="separate"/>
        </w:r>
        <w:r w:rsidR="00F040A5">
          <w:rPr>
            <w:webHidden/>
          </w:rPr>
          <w:t>18</w:t>
        </w:r>
        <w:r w:rsidR="00F65B0A">
          <w:rPr>
            <w:webHidden/>
          </w:rPr>
          <w:fldChar w:fldCharType="end"/>
        </w:r>
      </w:hyperlink>
    </w:p>
    <w:p w14:paraId="3773AAC7" w14:textId="5253F74F" w:rsidR="00F65B0A" w:rsidRDefault="002F1598">
      <w:pPr>
        <w:pStyle w:val="TOC2"/>
        <w:tabs>
          <w:tab w:val="left" w:pos="851"/>
          <w:tab w:val="right" w:leader="dot" w:pos="8302"/>
        </w:tabs>
        <w:rPr>
          <w:rFonts w:eastAsiaTheme="minorEastAsia" w:cstheme="minorBidi"/>
          <w:lang w:val="en-US" w:eastAsia="en-US"/>
        </w:rPr>
      </w:pPr>
      <w:hyperlink w:anchor="_Toc24544676" w:history="1">
        <w:r w:rsidR="00F65B0A" w:rsidRPr="006D1B7F">
          <w:rPr>
            <w:rStyle w:val="Hyperlink"/>
            <w:lang w:val="en-GB"/>
          </w:rPr>
          <w:t>3.2</w:t>
        </w:r>
        <w:r w:rsidR="00F65B0A">
          <w:rPr>
            <w:rFonts w:eastAsiaTheme="minorEastAsia" w:cstheme="minorBidi"/>
            <w:lang w:val="en-US" w:eastAsia="en-US"/>
          </w:rPr>
          <w:tab/>
        </w:r>
        <w:r w:rsidR="00F65B0A" w:rsidRPr="006D1B7F">
          <w:rPr>
            <w:rStyle w:val="Hyperlink"/>
            <w:lang w:val="en-GB"/>
          </w:rPr>
          <w:t>Conflicts of interest</w:t>
        </w:r>
        <w:r w:rsidR="00F65B0A">
          <w:rPr>
            <w:webHidden/>
          </w:rPr>
          <w:tab/>
        </w:r>
        <w:r w:rsidR="00F65B0A">
          <w:rPr>
            <w:webHidden/>
          </w:rPr>
          <w:fldChar w:fldCharType="begin"/>
        </w:r>
        <w:r w:rsidR="00F65B0A">
          <w:rPr>
            <w:webHidden/>
          </w:rPr>
          <w:instrText xml:space="preserve"> PAGEREF _Toc24544676 \h </w:instrText>
        </w:r>
        <w:r w:rsidR="00F65B0A">
          <w:rPr>
            <w:webHidden/>
          </w:rPr>
        </w:r>
        <w:r w:rsidR="00F65B0A">
          <w:rPr>
            <w:webHidden/>
          </w:rPr>
          <w:fldChar w:fldCharType="separate"/>
        </w:r>
        <w:r w:rsidR="00F040A5">
          <w:rPr>
            <w:webHidden/>
          </w:rPr>
          <w:t>20</w:t>
        </w:r>
        <w:r w:rsidR="00F65B0A">
          <w:rPr>
            <w:webHidden/>
          </w:rPr>
          <w:fldChar w:fldCharType="end"/>
        </w:r>
      </w:hyperlink>
    </w:p>
    <w:p w14:paraId="6B6B74E0" w14:textId="07B51C7B" w:rsidR="00F65B0A" w:rsidRDefault="002F1598">
      <w:pPr>
        <w:pStyle w:val="TOC2"/>
        <w:tabs>
          <w:tab w:val="left" w:pos="851"/>
          <w:tab w:val="right" w:leader="dot" w:pos="8302"/>
        </w:tabs>
        <w:rPr>
          <w:rFonts w:eastAsiaTheme="minorEastAsia" w:cstheme="minorBidi"/>
          <w:lang w:val="en-US" w:eastAsia="en-US"/>
        </w:rPr>
      </w:pPr>
      <w:hyperlink w:anchor="_Toc24544677" w:history="1">
        <w:r w:rsidR="00F65B0A" w:rsidRPr="006D1B7F">
          <w:rPr>
            <w:rStyle w:val="Hyperlink"/>
            <w:lang w:val="en-GB"/>
          </w:rPr>
          <w:t>3.3</w:t>
        </w:r>
        <w:r w:rsidR="00F65B0A">
          <w:rPr>
            <w:rFonts w:eastAsiaTheme="minorEastAsia" w:cstheme="minorBidi"/>
            <w:lang w:val="en-US" w:eastAsia="en-US"/>
          </w:rPr>
          <w:tab/>
        </w:r>
        <w:r w:rsidR="00F65B0A" w:rsidRPr="006D1B7F">
          <w:rPr>
            <w:rStyle w:val="Hyperlink"/>
            <w:lang w:val="en-GB"/>
          </w:rPr>
          <w:t>Areas of responsibility of the Committee</w:t>
        </w:r>
        <w:r w:rsidR="00F65B0A">
          <w:rPr>
            <w:webHidden/>
          </w:rPr>
          <w:tab/>
        </w:r>
        <w:r w:rsidR="00F65B0A">
          <w:rPr>
            <w:webHidden/>
          </w:rPr>
          <w:fldChar w:fldCharType="begin"/>
        </w:r>
        <w:r w:rsidR="00F65B0A">
          <w:rPr>
            <w:webHidden/>
          </w:rPr>
          <w:instrText xml:space="preserve"> PAGEREF _Toc24544677 \h </w:instrText>
        </w:r>
        <w:r w:rsidR="00F65B0A">
          <w:rPr>
            <w:webHidden/>
          </w:rPr>
        </w:r>
        <w:r w:rsidR="00F65B0A">
          <w:rPr>
            <w:webHidden/>
          </w:rPr>
          <w:fldChar w:fldCharType="separate"/>
        </w:r>
        <w:r w:rsidR="00F040A5">
          <w:rPr>
            <w:webHidden/>
          </w:rPr>
          <w:t>20</w:t>
        </w:r>
        <w:r w:rsidR="00F65B0A">
          <w:rPr>
            <w:webHidden/>
          </w:rPr>
          <w:fldChar w:fldCharType="end"/>
        </w:r>
      </w:hyperlink>
    </w:p>
    <w:p w14:paraId="146F9463" w14:textId="3B9DC8F2" w:rsidR="00F65B0A" w:rsidRDefault="002F1598">
      <w:pPr>
        <w:pStyle w:val="TOC2"/>
        <w:tabs>
          <w:tab w:val="left" w:pos="851"/>
          <w:tab w:val="right" w:leader="dot" w:pos="8302"/>
        </w:tabs>
        <w:rPr>
          <w:rFonts w:eastAsiaTheme="minorEastAsia" w:cstheme="minorBidi"/>
          <w:lang w:val="en-US" w:eastAsia="en-US"/>
        </w:rPr>
      </w:pPr>
      <w:hyperlink w:anchor="_Toc24544678" w:history="1">
        <w:r w:rsidR="00F65B0A" w:rsidRPr="006D1B7F">
          <w:rPr>
            <w:rStyle w:val="Hyperlink"/>
            <w:lang w:val="en-GB"/>
          </w:rPr>
          <w:t>3.4</w:t>
        </w:r>
        <w:r w:rsidR="00F65B0A">
          <w:rPr>
            <w:rFonts w:eastAsiaTheme="minorEastAsia" w:cstheme="minorBidi"/>
            <w:lang w:val="en-US" w:eastAsia="en-US"/>
          </w:rPr>
          <w:tab/>
        </w:r>
        <w:r w:rsidR="00F65B0A" w:rsidRPr="006D1B7F">
          <w:rPr>
            <w:rStyle w:val="Hyperlink"/>
            <w:lang w:val="en-GB"/>
          </w:rPr>
          <w:t>Summary of the committee’s review approach</w:t>
        </w:r>
        <w:r w:rsidR="00F65B0A">
          <w:rPr>
            <w:webHidden/>
          </w:rPr>
          <w:tab/>
        </w:r>
        <w:r w:rsidR="00F65B0A">
          <w:rPr>
            <w:webHidden/>
          </w:rPr>
          <w:fldChar w:fldCharType="begin"/>
        </w:r>
        <w:r w:rsidR="00F65B0A">
          <w:rPr>
            <w:webHidden/>
          </w:rPr>
          <w:instrText xml:space="preserve"> PAGEREF _Toc24544678 \h </w:instrText>
        </w:r>
        <w:r w:rsidR="00F65B0A">
          <w:rPr>
            <w:webHidden/>
          </w:rPr>
        </w:r>
        <w:r w:rsidR="00F65B0A">
          <w:rPr>
            <w:webHidden/>
          </w:rPr>
          <w:fldChar w:fldCharType="separate"/>
        </w:r>
        <w:r w:rsidR="00F040A5">
          <w:rPr>
            <w:webHidden/>
          </w:rPr>
          <w:t>23</w:t>
        </w:r>
        <w:r w:rsidR="00F65B0A">
          <w:rPr>
            <w:webHidden/>
          </w:rPr>
          <w:fldChar w:fldCharType="end"/>
        </w:r>
      </w:hyperlink>
    </w:p>
    <w:p w14:paraId="179C59BB" w14:textId="49BC9014" w:rsidR="00F65B0A" w:rsidRDefault="002F1598">
      <w:pPr>
        <w:pStyle w:val="TOC3"/>
        <w:tabs>
          <w:tab w:val="left" w:pos="1474"/>
          <w:tab w:val="right" w:leader="dot" w:pos="8302"/>
        </w:tabs>
        <w:rPr>
          <w:rFonts w:eastAsiaTheme="minorEastAsia" w:cstheme="minorBidi"/>
          <w:lang w:val="en-US" w:eastAsia="en-US"/>
        </w:rPr>
      </w:pPr>
      <w:hyperlink w:anchor="_Toc24544679" w:history="1">
        <w:r w:rsidR="00F65B0A" w:rsidRPr="006D1B7F">
          <w:rPr>
            <w:rStyle w:val="Hyperlink"/>
            <w:lang w:val="en-GB"/>
          </w:rPr>
          <w:t>3.4.1</w:t>
        </w:r>
        <w:r w:rsidR="00F65B0A">
          <w:rPr>
            <w:rFonts w:eastAsiaTheme="minorEastAsia" w:cstheme="minorBidi"/>
            <w:lang w:val="en-US" w:eastAsia="en-US"/>
          </w:rPr>
          <w:tab/>
        </w:r>
        <w:r w:rsidR="00F65B0A" w:rsidRPr="006D1B7F">
          <w:rPr>
            <w:rStyle w:val="Hyperlink"/>
            <w:lang w:val="en-GB"/>
          </w:rPr>
          <w:t>Working groups</w:t>
        </w:r>
        <w:r w:rsidR="00F65B0A">
          <w:rPr>
            <w:webHidden/>
          </w:rPr>
          <w:tab/>
        </w:r>
        <w:r w:rsidR="00F65B0A">
          <w:rPr>
            <w:webHidden/>
          </w:rPr>
          <w:fldChar w:fldCharType="begin"/>
        </w:r>
        <w:r w:rsidR="00F65B0A">
          <w:rPr>
            <w:webHidden/>
          </w:rPr>
          <w:instrText xml:space="preserve"> PAGEREF _Toc24544679 \h </w:instrText>
        </w:r>
        <w:r w:rsidR="00F65B0A">
          <w:rPr>
            <w:webHidden/>
          </w:rPr>
        </w:r>
        <w:r w:rsidR="00F65B0A">
          <w:rPr>
            <w:webHidden/>
          </w:rPr>
          <w:fldChar w:fldCharType="separate"/>
        </w:r>
        <w:r w:rsidR="00F040A5">
          <w:rPr>
            <w:webHidden/>
          </w:rPr>
          <w:t>24</w:t>
        </w:r>
        <w:r w:rsidR="00F65B0A">
          <w:rPr>
            <w:webHidden/>
          </w:rPr>
          <w:fldChar w:fldCharType="end"/>
        </w:r>
      </w:hyperlink>
    </w:p>
    <w:p w14:paraId="642B2483" w14:textId="55C1BE57" w:rsidR="00F65B0A" w:rsidRDefault="002F1598">
      <w:pPr>
        <w:pStyle w:val="TOC3"/>
        <w:tabs>
          <w:tab w:val="left" w:pos="1474"/>
          <w:tab w:val="right" w:leader="dot" w:pos="8302"/>
        </w:tabs>
        <w:rPr>
          <w:rFonts w:eastAsiaTheme="minorEastAsia" w:cstheme="minorBidi"/>
          <w:lang w:val="en-US" w:eastAsia="en-US"/>
        </w:rPr>
      </w:pPr>
      <w:hyperlink w:anchor="_Toc24544680" w:history="1">
        <w:r w:rsidR="00F65B0A" w:rsidRPr="006D1B7F">
          <w:rPr>
            <w:rStyle w:val="Hyperlink"/>
            <w:lang w:val="en-GB"/>
          </w:rPr>
          <w:t>3.4.2</w:t>
        </w:r>
        <w:r w:rsidR="00F65B0A">
          <w:rPr>
            <w:rFonts w:eastAsiaTheme="minorEastAsia" w:cstheme="minorBidi"/>
            <w:lang w:val="en-US" w:eastAsia="en-US"/>
          </w:rPr>
          <w:tab/>
        </w:r>
        <w:r w:rsidR="00F65B0A" w:rsidRPr="006D1B7F">
          <w:rPr>
            <w:rStyle w:val="Hyperlink"/>
            <w:lang w:val="en-GB"/>
          </w:rPr>
          <w:t>Numbering of proposed items</w:t>
        </w:r>
        <w:r w:rsidR="00F65B0A">
          <w:rPr>
            <w:webHidden/>
          </w:rPr>
          <w:tab/>
        </w:r>
        <w:r w:rsidR="00F65B0A">
          <w:rPr>
            <w:webHidden/>
          </w:rPr>
          <w:fldChar w:fldCharType="begin"/>
        </w:r>
        <w:r w:rsidR="00F65B0A">
          <w:rPr>
            <w:webHidden/>
          </w:rPr>
          <w:instrText xml:space="preserve"> PAGEREF _Toc24544680 \h </w:instrText>
        </w:r>
        <w:r w:rsidR="00F65B0A">
          <w:rPr>
            <w:webHidden/>
          </w:rPr>
        </w:r>
        <w:r w:rsidR="00F65B0A">
          <w:rPr>
            <w:webHidden/>
          </w:rPr>
          <w:fldChar w:fldCharType="separate"/>
        </w:r>
        <w:r w:rsidR="00F040A5">
          <w:rPr>
            <w:webHidden/>
          </w:rPr>
          <w:t>24</w:t>
        </w:r>
        <w:r w:rsidR="00F65B0A">
          <w:rPr>
            <w:webHidden/>
          </w:rPr>
          <w:fldChar w:fldCharType="end"/>
        </w:r>
      </w:hyperlink>
    </w:p>
    <w:p w14:paraId="66249DAA" w14:textId="6EC6279D" w:rsidR="00F65B0A" w:rsidRDefault="002F1598">
      <w:pPr>
        <w:pStyle w:val="TOC1"/>
        <w:rPr>
          <w:rFonts w:eastAsiaTheme="minorEastAsia" w:cstheme="minorBidi"/>
          <w:lang w:val="en-US" w:eastAsia="en-US"/>
        </w:rPr>
      </w:pPr>
      <w:hyperlink w:anchor="_Toc24544681" w:history="1">
        <w:r w:rsidR="00F65B0A" w:rsidRPr="006D1B7F">
          <w:rPr>
            <w:rStyle w:val="Hyperlink"/>
            <w:lang w:val="en-GB"/>
          </w:rPr>
          <w:t>4</w:t>
        </w:r>
        <w:r w:rsidR="00F65B0A">
          <w:rPr>
            <w:rFonts w:eastAsiaTheme="minorEastAsia" w:cstheme="minorBidi"/>
            <w:lang w:val="en-US" w:eastAsia="en-US"/>
          </w:rPr>
          <w:tab/>
        </w:r>
        <w:r w:rsidR="00F65B0A" w:rsidRPr="006D1B7F">
          <w:rPr>
            <w:rStyle w:val="Hyperlink"/>
            <w:lang w:val="en-GB"/>
          </w:rPr>
          <w:t>Standard attendance recommendations</w:t>
        </w:r>
        <w:r w:rsidR="00F65B0A">
          <w:rPr>
            <w:webHidden/>
          </w:rPr>
          <w:tab/>
        </w:r>
        <w:r w:rsidR="00F65B0A">
          <w:rPr>
            <w:webHidden/>
          </w:rPr>
          <w:fldChar w:fldCharType="begin"/>
        </w:r>
        <w:r w:rsidR="00F65B0A">
          <w:rPr>
            <w:webHidden/>
          </w:rPr>
          <w:instrText xml:space="preserve"> PAGEREF _Toc24544681 \h </w:instrText>
        </w:r>
        <w:r w:rsidR="00F65B0A">
          <w:rPr>
            <w:webHidden/>
          </w:rPr>
        </w:r>
        <w:r w:rsidR="00F65B0A">
          <w:rPr>
            <w:webHidden/>
          </w:rPr>
          <w:fldChar w:fldCharType="separate"/>
        </w:r>
        <w:r w:rsidR="00F040A5">
          <w:rPr>
            <w:webHidden/>
          </w:rPr>
          <w:t>25</w:t>
        </w:r>
        <w:r w:rsidR="00F65B0A">
          <w:rPr>
            <w:webHidden/>
          </w:rPr>
          <w:fldChar w:fldCharType="end"/>
        </w:r>
      </w:hyperlink>
    </w:p>
    <w:p w14:paraId="25C16810" w14:textId="3F043415" w:rsidR="00F65B0A" w:rsidRDefault="002F1598">
      <w:pPr>
        <w:pStyle w:val="TOC2"/>
        <w:tabs>
          <w:tab w:val="left" w:pos="851"/>
          <w:tab w:val="right" w:leader="dot" w:pos="8302"/>
        </w:tabs>
        <w:rPr>
          <w:rFonts w:eastAsiaTheme="minorEastAsia" w:cstheme="minorBidi"/>
          <w:lang w:val="en-US" w:eastAsia="en-US"/>
        </w:rPr>
      </w:pPr>
      <w:hyperlink w:anchor="_Toc24544682" w:history="1">
        <w:r w:rsidR="00F65B0A" w:rsidRPr="006D1B7F">
          <w:rPr>
            <w:rStyle w:val="Hyperlink"/>
            <w:lang w:val="en-GB"/>
          </w:rPr>
          <w:t>4.1</w:t>
        </w:r>
        <w:r w:rsidR="00F65B0A">
          <w:rPr>
            <w:rFonts w:eastAsiaTheme="minorEastAsia" w:cstheme="minorBidi"/>
            <w:lang w:val="en-US" w:eastAsia="en-US"/>
          </w:rPr>
          <w:tab/>
        </w:r>
        <w:r w:rsidR="00F65B0A" w:rsidRPr="006D1B7F">
          <w:rPr>
            <w:rStyle w:val="Hyperlink"/>
            <w:lang w:val="en-GB"/>
          </w:rPr>
          <w:t>Current standard attendances for consultant specialists</w:t>
        </w:r>
        <w:r w:rsidR="00F65B0A">
          <w:rPr>
            <w:webHidden/>
          </w:rPr>
          <w:tab/>
        </w:r>
        <w:r w:rsidR="00F65B0A">
          <w:rPr>
            <w:webHidden/>
          </w:rPr>
          <w:fldChar w:fldCharType="begin"/>
        </w:r>
        <w:r w:rsidR="00F65B0A">
          <w:rPr>
            <w:webHidden/>
          </w:rPr>
          <w:instrText xml:space="preserve"> PAGEREF _Toc24544682 \h </w:instrText>
        </w:r>
        <w:r w:rsidR="00F65B0A">
          <w:rPr>
            <w:webHidden/>
          </w:rPr>
        </w:r>
        <w:r w:rsidR="00F65B0A">
          <w:rPr>
            <w:webHidden/>
          </w:rPr>
          <w:fldChar w:fldCharType="separate"/>
        </w:r>
        <w:r w:rsidR="00F040A5">
          <w:rPr>
            <w:webHidden/>
          </w:rPr>
          <w:t>25</w:t>
        </w:r>
        <w:r w:rsidR="00F65B0A">
          <w:rPr>
            <w:webHidden/>
          </w:rPr>
          <w:fldChar w:fldCharType="end"/>
        </w:r>
      </w:hyperlink>
    </w:p>
    <w:p w14:paraId="07C1F779" w14:textId="300EE90D" w:rsidR="00F65B0A" w:rsidRDefault="002F1598">
      <w:pPr>
        <w:pStyle w:val="TOC2"/>
        <w:tabs>
          <w:tab w:val="left" w:pos="851"/>
          <w:tab w:val="right" w:leader="dot" w:pos="8302"/>
        </w:tabs>
        <w:rPr>
          <w:rFonts w:eastAsiaTheme="minorEastAsia" w:cstheme="minorBidi"/>
          <w:lang w:val="en-US" w:eastAsia="en-US"/>
        </w:rPr>
      </w:pPr>
      <w:hyperlink w:anchor="_Toc24544683" w:history="1">
        <w:r w:rsidR="00F65B0A" w:rsidRPr="006D1B7F">
          <w:rPr>
            <w:rStyle w:val="Hyperlink"/>
          </w:rPr>
          <w:t>4.2</w:t>
        </w:r>
        <w:r w:rsidR="00F65B0A">
          <w:rPr>
            <w:rFonts w:eastAsiaTheme="minorEastAsia" w:cstheme="minorBidi"/>
            <w:lang w:val="en-US" w:eastAsia="en-US"/>
          </w:rPr>
          <w:tab/>
        </w:r>
        <w:r w:rsidR="00F65B0A" w:rsidRPr="006D1B7F">
          <w:rPr>
            <w:rStyle w:val="Hyperlink"/>
          </w:rPr>
          <w:t>Historical context</w:t>
        </w:r>
        <w:r w:rsidR="00F65B0A">
          <w:rPr>
            <w:webHidden/>
          </w:rPr>
          <w:tab/>
        </w:r>
        <w:r w:rsidR="00F65B0A">
          <w:rPr>
            <w:webHidden/>
          </w:rPr>
          <w:fldChar w:fldCharType="begin"/>
        </w:r>
        <w:r w:rsidR="00F65B0A">
          <w:rPr>
            <w:webHidden/>
          </w:rPr>
          <w:instrText xml:space="preserve"> PAGEREF _Toc24544683 \h </w:instrText>
        </w:r>
        <w:r w:rsidR="00F65B0A">
          <w:rPr>
            <w:webHidden/>
          </w:rPr>
        </w:r>
        <w:r w:rsidR="00F65B0A">
          <w:rPr>
            <w:webHidden/>
          </w:rPr>
          <w:fldChar w:fldCharType="separate"/>
        </w:r>
        <w:r w:rsidR="00F040A5">
          <w:rPr>
            <w:webHidden/>
          </w:rPr>
          <w:t>25</w:t>
        </w:r>
        <w:r w:rsidR="00F65B0A">
          <w:rPr>
            <w:webHidden/>
          </w:rPr>
          <w:fldChar w:fldCharType="end"/>
        </w:r>
      </w:hyperlink>
    </w:p>
    <w:p w14:paraId="373F7F46" w14:textId="364DD571" w:rsidR="00F65B0A" w:rsidRDefault="002F1598">
      <w:pPr>
        <w:pStyle w:val="TOC3"/>
        <w:tabs>
          <w:tab w:val="left" w:pos="1474"/>
          <w:tab w:val="right" w:leader="dot" w:pos="8302"/>
        </w:tabs>
        <w:rPr>
          <w:rFonts w:eastAsiaTheme="minorEastAsia" w:cstheme="minorBidi"/>
          <w:lang w:val="en-US" w:eastAsia="en-US"/>
        </w:rPr>
      </w:pPr>
      <w:hyperlink w:anchor="_Toc24544684" w:history="1">
        <w:r w:rsidR="00F65B0A" w:rsidRPr="006D1B7F">
          <w:rPr>
            <w:rStyle w:val="Hyperlink"/>
          </w:rPr>
          <w:t>4.2.1</w:t>
        </w:r>
        <w:r w:rsidR="00F65B0A">
          <w:rPr>
            <w:rFonts w:eastAsiaTheme="minorEastAsia" w:cstheme="minorBidi"/>
            <w:lang w:val="en-US" w:eastAsia="en-US"/>
          </w:rPr>
          <w:tab/>
        </w:r>
        <w:r w:rsidR="00F65B0A" w:rsidRPr="006D1B7F">
          <w:rPr>
            <w:rStyle w:val="Hyperlink"/>
            <w:lang w:val="en-GB"/>
          </w:rPr>
          <w:t>The distinction between “specialists” and “consultant physicians”</w:t>
        </w:r>
        <w:r w:rsidR="00F65B0A">
          <w:rPr>
            <w:webHidden/>
          </w:rPr>
          <w:tab/>
        </w:r>
        <w:r w:rsidR="00F65B0A">
          <w:rPr>
            <w:webHidden/>
          </w:rPr>
          <w:fldChar w:fldCharType="begin"/>
        </w:r>
        <w:r w:rsidR="00F65B0A">
          <w:rPr>
            <w:webHidden/>
          </w:rPr>
          <w:instrText xml:space="preserve"> PAGEREF _Toc24544684 \h </w:instrText>
        </w:r>
        <w:r w:rsidR="00F65B0A">
          <w:rPr>
            <w:webHidden/>
          </w:rPr>
        </w:r>
        <w:r w:rsidR="00F65B0A">
          <w:rPr>
            <w:webHidden/>
          </w:rPr>
          <w:fldChar w:fldCharType="separate"/>
        </w:r>
        <w:r w:rsidR="00F040A5">
          <w:rPr>
            <w:webHidden/>
          </w:rPr>
          <w:t>26</w:t>
        </w:r>
        <w:r w:rsidR="00F65B0A">
          <w:rPr>
            <w:webHidden/>
          </w:rPr>
          <w:fldChar w:fldCharType="end"/>
        </w:r>
      </w:hyperlink>
    </w:p>
    <w:p w14:paraId="1A02819D" w14:textId="6538FF8F" w:rsidR="00F65B0A" w:rsidRDefault="002F1598">
      <w:pPr>
        <w:pStyle w:val="TOC2"/>
        <w:tabs>
          <w:tab w:val="left" w:pos="851"/>
          <w:tab w:val="right" w:leader="dot" w:pos="8302"/>
        </w:tabs>
        <w:rPr>
          <w:rFonts w:eastAsiaTheme="minorEastAsia" w:cstheme="minorBidi"/>
          <w:lang w:val="en-US" w:eastAsia="en-US"/>
        </w:rPr>
      </w:pPr>
      <w:hyperlink w:anchor="_Toc24544685" w:history="1">
        <w:r w:rsidR="00F65B0A" w:rsidRPr="006D1B7F">
          <w:rPr>
            <w:rStyle w:val="Hyperlink"/>
          </w:rPr>
          <w:t>4.3</w:t>
        </w:r>
        <w:r w:rsidR="00F65B0A">
          <w:rPr>
            <w:rFonts w:eastAsiaTheme="minorEastAsia" w:cstheme="minorBidi"/>
            <w:lang w:val="en-US" w:eastAsia="en-US"/>
          </w:rPr>
          <w:tab/>
        </w:r>
        <w:r w:rsidR="00F65B0A" w:rsidRPr="006D1B7F">
          <w:rPr>
            <w:rStyle w:val="Hyperlink"/>
          </w:rPr>
          <w:t>Overview of current standard attendance items</w:t>
        </w:r>
        <w:r w:rsidR="00F65B0A">
          <w:rPr>
            <w:webHidden/>
          </w:rPr>
          <w:tab/>
        </w:r>
        <w:r w:rsidR="00F65B0A">
          <w:rPr>
            <w:webHidden/>
          </w:rPr>
          <w:fldChar w:fldCharType="begin"/>
        </w:r>
        <w:r w:rsidR="00F65B0A">
          <w:rPr>
            <w:webHidden/>
          </w:rPr>
          <w:instrText xml:space="preserve"> PAGEREF _Toc24544685 \h </w:instrText>
        </w:r>
        <w:r w:rsidR="00F65B0A">
          <w:rPr>
            <w:webHidden/>
          </w:rPr>
        </w:r>
        <w:r w:rsidR="00F65B0A">
          <w:rPr>
            <w:webHidden/>
          </w:rPr>
          <w:fldChar w:fldCharType="separate"/>
        </w:r>
        <w:r w:rsidR="00F040A5">
          <w:rPr>
            <w:webHidden/>
          </w:rPr>
          <w:t>28</w:t>
        </w:r>
        <w:r w:rsidR="00F65B0A">
          <w:rPr>
            <w:webHidden/>
          </w:rPr>
          <w:fldChar w:fldCharType="end"/>
        </w:r>
      </w:hyperlink>
    </w:p>
    <w:p w14:paraId="6D332E10" w14:textId="5E56E018" w:rsidR="00F65B0A" w:rsidRDefault="002F1598">
      <w:pPr>
        <w:pStyle w:val="TOC2"/>
        <w:tabs>
          <w:tab w:val="left" w:pos="851"/>
          <w:tab w:val="right" w:leader="dot" w:pos="8302"/>
        </w:tabs>
        <w:rPr>
          <w:rFonts w:eastAsiaTheme="minorEastAsia" w:cstheme="minorBidi"/>
          <w:lang w:val="en-US" w:eastAsia="en-US"/>
        </w:rPr>
      </w:pPr>
      <w:hyperlink w:anchor="_Toc24544686" w:history="1">
        <w:r w:rsidR="00F65B0A" w:rsidRPr="006D1B7F">
          <w:rPr>
            <w:rStyle w:val="Hyperlink"/>
          </w:rPr>
          <w:t>4.4</w:t>
        </w:r>
        <w:r w:rsidR="00F65B0A">
          <w:rPr>
            <w:rFonts w:eastAsiaTheme="minorEastAsia" w:cstheme="minorBidi"/>
            <w:lang w:val="en-US" w:eastAsia="en-US"/>
          </w:rPr>
          <w:tab/>
        </w:r>
        <w:r w:rsidR="00F65B0A" w:rsidRPr="006D1B7F">
          <w:rPr>
            <w:rStyle w:val="Hyperlink"/>
          </w:rPr>
          <w:t>Issues with current standard attendance items</w:t>
        </w:r>
        <w:r w:rsidR="00F65B0A">
          <w:rPr>
            <w:webHidden/>
          </w:rPr>
          <w:tab/>
        </w:r>
        <w:r w:rsidR="00F65B0A">
          <w:rPr>
            <w:webHidden/>
          </w:rPr>
          <w:fldChar w:fldCharType="begin"/>
        </w:r>
        <w:r w:rsidR="00F65B0A">
          <w:rPr>
            <w:webHidden/>
          </w:rPr>
          <w:instrText xml:space="preserve"> PAGEREF _Toc24544686 \h </w:instrText>
        </w:r>
        <w:r w:rsidR="00F65B0A">
          <w:rPr>
            <w:webHidden/>
          </w:rPr>
        </w:r>
        <w:r w:rsidR="00F65B0A">
          <w:rPr>
            <w:webHidden/>
          </w:rPr>
          <w:fldChar w:fldCharType="separate"/>
        </w:r>
        <w:r w:rsidR="00F040A5">
          <w:rPr>
            <w:webHidden/>
          </w:rPr>
          <w:t>28</w:t>
        </w:r>
        <w:r w:rsidR="00F65B0A">
          <w:rPr>
            <w:webHidden/>
          </w:rPr>
          <w:fldChar w:fldCharType="end"/>
        </w:r>
      </w:hyperlink>
    </w:p>
    <w:p w14:paraId="5F7B0755" w14:textId="381618AE" w:rsidR="00F65B0A" w:rsidRDefault="002F1598">
      <w:pPr>
        <w:pStyle w:val="TOC2"/>
        <w:tabs>
          <w:tab w:val="left" w:pos="851"/>
          <w:tab w:val="right" w:leader="dot" w:pos="8302"/>
        </w:tabs>
        <w:rPr>
          <w:rFonts w:eastAsiaTheme="minorEastAsia" w:cstheme="minorBidi"/>
          <w:lang w:val="en-US" w:eastAsia="en-US"/>
        </w:rPr>
      </w:pPr>
      <w:hyperlink w:anchor="_Toc24544687" w:history="1">
        <w:r w:rsidR="00F65B0A" w:rsidRPr="006D1B7F">
          <w:rPr>
            <w:rStyle w:val="Hyperlink"/>
          </w:rPr>
          <w:t>4.5</w:t>
        </w:r>
        <w:r w:rsidR="00F65B0A">
          <w:rPr>
            <w:rFonts w:eastAsiaTheme="minorEastAsia" w:cstheme="minorBidi"/>
            <w:lang w:val="en-US" w:eastAsia="en-US"/>
          </w:rPr>
          <w:tab/>
        </w:r>
        <w:r w:rsidR="00F65B0A" w:rsidRPr="006D1B7F">
          <w:rPr>
            <w:rStyle w:val="Hyperlink"/>
          </w:rPr>
          <w:t>Guiding principles for standard attendance items in the MBS</w:t>
        </w:r>
        <w:r w:rsidR="00F65B0A">
          <w:rPr>
            <w:webHidden/>
          </w:rPr>
          <w:tab/>
        </w:r>
        <w:r w:rsidR="00F65B0A">
          <w:rPr>
            <w:webHidden/>
          </w:rPr>
          <w:fldChar w:fldCharType="begin"/>
        </w:r>
        <w:r w:rsidR="00F65B0A">
          <w:rPr>
            <w:webHidden/>
          </w:rPr>
          <w:instrText xml:space="preserve"> PAGEREF _Toc24544687 \h </w:instrText>
        </w:r>
        <w:r w:rsidR="00F65B0A">
          <w:rPr>
            <w:webHidden/>
          </w:rPr>
        </w:r>
        <w:r w:rsidR="00F65B0A">
          <w:rPr>
            <w:webHidden/>
          </w:rPr>
          <w:fldChar w:fldCharType="separate"/>
        </w:r>
        <w:r w:rsidR="00F040A5">
          <w:rPr>
            <w:webHidden/>
          </w:rPr>
          <w:t>32</w:t>
        </w:r>
        <w:r w:rsidR="00F65B0A">
          <w:rPr>
            <w:webHidden/>
          </w:rPr>
          <w:fldChar w:fldCharType="end"/>
        </w:r>
      </w:hyperlink>
    </w:p>
    <w:p w14:paraId="0DD53AE6" w14:textId="7FF61AF4" w:rsidR="00F65B0A" w:rsidRDefault="002F1598">
      <w:pPr>
        <w:pStyle w:val="TOC2"/>
        <w:tabs>
          <w:tab w:val="left" w:pos="851"/>
          <w:tab w:val="right" w:leader="dot" w:pos="8302"/>
        </w:tabs>
        <w:rPr>
          <w:rFonts w:eastAsiaTheme="minorEastAsia" w:cstheme="minorBidi"/>
          <w:lang w:val="en-US" w:eastAsia="en-US"/>
        </w:rPr>
      </w:pPr>
      <w:hyperlink w:anchor="_Toc24544688" w:history="1">
        <w:r w:rsidR="00F65B0A" w:rsidRPr="006D1B7F">
          <w:rPr>
            <w:rStyle w:val="Hyperlink"/>
          </w:rPr>
          <w:t>4.6</w:t>
        </w:r>
        <w:r w:rsidR="00F65B0A">
          <w:rPr>
            <w:rFonts w:eastAsiaTheme="minorEastAsia" w:cstheme="minorBidi"/>
            <w:lang w:val="en-US" w:eastAsia="en-US"/>
          </w:rPr>
          <w:tab/>
        </w:r>
        <w:r w:rsidR="00F65B0A" w:rsidRPr="006D1B7F">
          <w:rPr>
            <w:rStyle w:val="Hyperlink"/>
          </w:rPr>
          <w:t xml:space="preserve">Recommendation 1 - </w:t>
        </w:r>
        <w:r w:rsidR="00F65B0A" w:rsidRPr="006D1B7F">
          <w:rPr>
            <w:rStyle w:val="Hyperlink"/>
            <w:lang w:val="en-GB"/>
          </w:rPr>
          <w:t>Introduce attendance items based on attendance duration and patient complexity factors</w:t>
        </w:r>
        <w:r w:rsidR="00F65B0A">
          <w:rPr>
            <w:webHidden/>
          </w:rPr>
          <w:tab/>
        </w:r>
        <w:r w:rsidR="00F65B0A">
          <w:rPr>
            <w:webHidden/>
          </w:rPr>
          <w:fldChar w:fldCharType="begin"/>
        </w:r>
        <w:r w:rsidR="00F65B0A">
          <w:rPr>
            <w:webHidden/>
          </w:rPr>
          <w:instrText xml:space="preserve"> PAGEREF _Toc24544688 \h </w:instrText>
        </w:r>
        <w:r w:rsidR="00F65B0A">
          <w:rPr>
            <w:webHidden/>
          </w:rPr>
        </w:r>
        <w:r w:rsidR="00F65B0A">
          <w:rPr>
            <w:webHidden/>
          </w:rPr>
          <w:fldChar w:fldCharType="separate"/>
        </w:r>
        <w:r w:rsidR="00F040A5">
          <w:rPr>
            <w:webHidden/>
          </w:rPr>
          <w:t>33</w:t>
        </w:r>
        <w:r w:rsidR="00F65B0A">
          <w:rPr>
            <w:webHidden/>
          </w:rPr>
          <w:fldChar w:fldCharType="end"/>
        </w:r>
      </w:hyperlink>
    </w:p>
    <w:p w14:paraId="48413610" w14:textId="64B92448" w:rsidR="00F65B0A" w:rsidRDefault="002F1598">
      <w:pPr>
        <w:pStyle w:val="TOC2"/>
        <w:tabs>
          <w:tab w:val="left" w:pos="851"/>
          <w:tab w:val="right" w:leader="dot" w:pos="8302"/>
        </w:tabs>
        <w:rPr>
          <w:rFonts w:eastAsiaTheme="minorEastAsia" w:cstheme="minorBidi"/>
          <w:lang w:val="en-US" w:eastAsia="en-US"/>
        </w:rPr>
      </w:pPr>
      <w:hyperlink w:anchor="_Toc24544689" w:history="1">
        <w:r w:rsidR="00F65B0A" w:rsidRPr="006D1B7F">
          <w:rPr>
            <w:rStyle w:val="Hyperlink"/>
          </w:rPr>
          <w:t>4.7</w:t>
        </w:r>
        <w:r w:rsidR="00F65B0A">
          <w:rPr>
            <w:rFonts w:eastAsiaTheme="minorEastAsia" w:cstheme="minorBidi"/>
            <w:lang w:val="en-US" w:eastAsia="en-US"/>
          </w:rPr>
          <w:tab/>
        </w:r>
        <w:r w:rsidR="00F65B0A" w:rsidRPr="006D1B7F">
          <w:rPr>
            <w:rStyle w:val="Hyperlink"/>
          </w:rPr>
          <w:t>Rationale 1</w:t>
        </w:r>
        <w:r w:rsidR="00F65B0A">
          <w:rPr>
            <w:webHidden/>
          </w:rPr>
          <w:tab/>
        </w:r>
        <w:r w:rsidR="00F65B0A">
          <w:rPr>
            <w:webHidden/>
          </w:rPr>
          <w:fldChar w:fldCharType="begin"/>
        </w:r>
        <w:r w:rsidR="00F65B0A">
          <w:rPr>
            <w:webHidden/>
          </w:rPr>
          <w:instrText xml:space="preserve"> PAGEREF _Toc24544689 \h </w:instrText>
        </w:r>
        <w:r w:rsidR="00F65B0A">
          <w:rPr>
            <w:webHidden/>
          </w:rPr>
        </w:r>
        <w:r w:rsidR="00F65B0A">
          <w:rPr>
            <w:webHidden/>
          </w:rPr>
          <w:fldChar w:fldCharType="separate"/>
        </w:r>
        <w:r w:rsidR="00F040A5">
          <w:rPr>
            <w:webHidden/>
          </w:rPr>
          <w:t>38</w:t>
        </w:r>
        <w:r w:rsidR="00F65B0A">
          <w:rPr>
            <w:webHidden/>
          </w:rPr>
          <w:fldChar w:fldCharType="end"/>
        </w:r>
      </w:hyperlink>
    </w:p>
    <w:p w14:paraId="08C3D99C" w14:textId="1B58E4D9" w:rsidR="00F65B0A" w:rsidRDefault="002F1598">
      <w:pPr>
        <w:pStyle w:val="TOC3"/>
        <w:tabs>
          <w:tab w:val="left" w:pos="1474"/>
          <w:tab w:val="right" w:leader="dot" w:pos="8302"/>
        </w:tabs>
        <w:rPr>
          <w:rFonts w:eastAsiaTheme="minorEastAsia" w:cstheme="minorBidi"/>
          <w:lang w:val="en-US" w:eastAsia="en-US"/>
        </w:rPr>
      </w:pPr>
      <w:hyperlink w:anchor="_Toc24544690" w:history="1">
        <w:r w:rsidR="00F65B0A" w:rsidRPr="006D1B7F">
          <w:rPr>
            <w:rStyle w:val="Hyperlink"/>
          </w:rPr>
          <w:t>4.7.1</w:t>
        </w:r>
        <w:r w:rsidR="00F65B0A">
          <w:rPr>
            <w:rFonts w:eastAsiaTheme="minorEastAsia" w:cstheme="minorBidi"/>
            <w:lang w:val="en-US" w:eastAsia="en-US"/>
          </w:rPr>
          <w:tab/>
        </w:r>
        <w:r w:rsidR="00F65B0A" w:rsidRPr="006D1B7F">
          <w:rPr>
            <w:rStyle w:val="Hyperlink"/>
          </w:rPr>
          <w:t>Alternative options to time-tiering</w:t>
        </w:r>
        <w:r w:rsidR="00F65B0A">
          <w:rPr>
            <w:webHidden/>
          </w:rPr>
          <w:tab/>
        </w:r>
        <w:r w:rsidR="00F65B0A">
          <w:rPr>
            <w:webHidden/>
          </w:rPr>
          <w:fldChar w:fldCharType="begin"/>
        </w:r>
        <w:r w:rsidR="00F65B0A">
          <w:rPr>
            <w:webHidden/>
          </w:rPr>
          <w:instrText xml:space="preserve"> PAGEREF _Toc24544690 \h </w:instrText>
        </w:r>
        <w:r w:rsidR="00F65B0A">
          <w:rPr>
            <w:webHidden/>
          </w:rPr>
        </w:r>
        <w:r w:rsidR="00F65B0A">
          <w:rPr>
            <w:webHidden/>
          </w:rPr>
          <w:fldChar w:fldCharType="separate"/>
        </w:r>
        <w:r w:rsidR="00F040A5">
          <w:rPr>
            <w:webHidden/>
          </w:rPr>
          <w:t>39</w:t>
        </w:r>
        <w:r w:rsidR="00F65B0A">
          <w:rPr>
            <w:webHidden/>
          </w:rPr>
          <w:fldChar w:fldCharType="end"/>
        </w:r>
      </w:hyperlink>
    </w:p>
    <w:p w14:paraId="5C7FE852" w14:textId="668D5D84" w:rsidR="00F65B0A" w:rsidRDefault="002F1598">
      <w:pPr>
        <w:pStyle w:val="TOC2"/>
        <w:tabs>
          <w:tab w:val="left" w:pos="851"/>
          <w:tab w:val="right" w:leader="dot" w:pos="8302"/>
        </w:tabs>
        <w:rPr>
          <w:rFonts w:eastAsiaTheme="minorEastAsia" w:cstheme="minorBidi"/>
          <w:lang w:val="en-US" w:eastAsia="en-US"/>
        </w:rPr>
      </w:pPr>
      <w:hyperlink w:anchor="_Toc24544691" w:history="1">
        <w:r w:rsidR="00F65B0A" w:rsidRPr="006D1B7F">
          <w:rPr>
            <w:rStyle w:val="Hyperlink"/>
          </w:rPr>
          <w:t>4.8</w:t>
        </w:r>
        <w:r w:rsidR="00F65B0A">
          <w:rPr>
            <w:rFonts w:eastAsiaTheme="minorEastAsia" w:cstheme="minorBidi"/>
            <w:lang w:val="en-US" w:eastAsia="en-US"/>
          </w:rPr>
          <w:tab/>
        </w:r>
        <w:r w:rsidR="00F65B0A" w:rsidRPr="006D1B7F">
          <w:rPr>
            <w:rStyle w:val="Hyperlink"/>
          </w:rPr>
          <w:t>Recommendation 2 – Introduce new attendance items for acute, urgent and unplanned attendances</w:t>
        </w:r>
        <w:r w:rsidR="00F65B0A">
          <w:rPr>
            <w:webHidden/>
          </w:rPr>
          <w:tab/>
        </w:r>
        <w:r w:rsidR="00F65B0A">
          <w:rPr>
            <w:webHidden/>
          </w:rPr>
          <w:fldChar w:fldCharType="begin"/>
        </w:r>
        <w:r w:rsidR="00F65B0A">
          <w:rPr>
            <w:webHidden/>
          </w:rPr>
          <w:instrText xml:space="preserve"> PAGEREF _Toc24544691 \h </w:instrText>
        </w:r>
        <w:r w:rsidR="00F65B0A">
          <w:rPr>
            <w:webHidden/>
          </w:rPr>
        </w:r>
        <w:r w:rsidR="00F65B0A">
          <w:rPr>
            <w:webHidden/>
          </w:rPr>
          <w:fldChar w:fldCharType="separate"/>
        </w:r>
        <w:r w:rsidR="00F040A5">
          <w:rPr>
            <w:webHidden/>
          </w:rPr>
          <w:t>40</w:t>
        </w:r>
        <w:r w:rsidR="00F65B0A">
          <w:rPr>
            <w:webHidden/>
          </w:rPr>
          <w:fldChar w:fldCharType="end"/>
        </w:r>
      </w:hyperlink>
    </w:p>
    <w:p w14:paraId="320089E6" w14:textId="1544CBE5" w:rsidR="00F65B0A" w:rsidRDefault="002F1598">
      <w:pPr>
        <w:pStyle w:val="TOC2"/>
        <w:tabs>
          <w:tab w:val="left" w:pos="851"/>
          <w:tab w:val="right" w:leader="dot" w:pos="8302"/>
        </w:tabs>
        <w:rPr>
          <w:rFonts w:eastAsiaTheme="minorEastAsia" w:cstheme="minorBidi"/>
          <w:lang w:val="en-US" w:eastAsia="en-US"/>
        </w:rPr>
      </w:pPr>
      <w:hyperlink w:anchor="_Toc24544692" w:history="1">
        <w:r w:rsidR="00F65B0A" w:rsidRPr="006D1B7F">
          <w:rPr>
            <w:rStyle w:val="Hyperlink"/>
          </w:rPr>
          <w:t>4.9</w:t>
        </w:r>
        <w:r w:rsidR="00F65B0A">
          <w:rPr>
            <w:rFonts w:eastAsiaTheme="minorEastAsia" w:cstheme="minorBidi"/>
            <w:lang w:val="en-US" w:eastAsia="en-US"/>
          </w:rPr>
          <w:tab/>
        </w:r>
        <w:r w:rsidR="00F65B0A" w:rsidRPr="006D1B7F">
          <w:rPr>
            <w:rStyle w:val="Hyperlink"/>
          </w:rPr>
          <w:t>Rationale 2</w:t>
        </w:r>
        <w:r w:rsidR="00F65B0A">
          <w:rPr>
            <w:webHidden/>
          </w:rPr>
          <w:tab/>
        </w:r>
        <w:r w:rsidR="00F65B0A">
          <w:rPr>
            <w:webHidden/>
          </w:rPr>
          <w:fldChar w:fldCharType="begin"/>
        </w:r>
        <w:r w:rsidR="00F65B0A">
          <w:rPr>
            <w:webHidden/>
          </w:rPr>
          <w:instrText xml:space="preserve"> PAGEREF _Toc24544692 \h </w:instrText>
        </w:r>
        <w:r w:rsidR="00F65B0A">
          <w:rPr>
            <w:webHidden/>
          </w:rPr>
        </w:r>
        <w:r w:rsidR="00F65B0A">
          <w:rPr>
            <w:webHidden/>
          </w:rPr>
          <w:fldChar w:fldCharType="separate"/>
        </w:r>
        <w:r w:rsidR="00F040A5">
          <w:rPr>
            <w:webHidden/>
          </w:rPr>
          <w:t>41</w:t>
        </w:r>
        <w:r w:rsidR="00F65B0A">
          <w:rPr>
            <w:webHidden/>
          </w:rPr>
          <w:fldChar w:fldCharType="end"/>
        </w:r>
      </w:hyperlink>
    </w:p>
    <w:p w14:paraId="59B71CE9" w14:textId="665F382E" w:rsidR="00F65B0A" w:rsidRDefault="002F1598">
      <w:pPr>
        <w:pStyle w:val="TOC2"/>
        <w:tabs>
          <w:tab w:val="left" w:pos="1474"/>
          <w:tab w:val="right" w:leader="dot" w:pos="8302"/>
        </w:tabs>
        <w:rPr>
          <w:rFonts w:eastAsiaTheme="minorEastAsia" w:cstheme="minorBidi"/>
          <w:lang w:val="en-US" w:eastAsia="en-US"/>
        </w:rPr>
      </w:pPr>
      <w:hyperlink w:anchor="_Toc24544693" w:history="1">
        <w:r w:rsidR="00F65B0A" w:rsidRPr="006D1B7F">
          <w:rPr>
            <w:rStyle w:val="Hyperlink"/>
          </w:rPr>
          <w:t>4.10</w:t>
        </w:r>
        <w:r w:rsidR="00F65B0A">
          <w:rPr>
            <w:rFonts w:eastAsiaTheme="minorEastAsia" w:cstheme="minorBidi"/>
            <w:lang w:val="en-US" w:eastAsia="en-US"/>
          </w:rPr>
          <w:tab/>
        </w:r>
        <w:r w:rsidR="00F65B0A" w:rsidRPr="006D1B7F">
          <w:rPr>
            <w:rStyle w:val="Hyperlink"/>
          </w:rPr>
          <w:t>Recommendation 3 - Further considerations when implementing time</w:t>
        </w:r>
        <w:r w:rsidR="00F65B0A" w:rsidRPr="006D1B7F">
          <w:rPr>
            <w:rStyle w:val="Hyperlink"/>
          </w:rPr>
          <w:noBreakHyphen/>
          <w:t>tiering</w:t>
        </w:r>
        <w:r w:rsidR="00F65B0A">
          <w:rPr>
            <w:webHidden/>
          </w:rPr>
          <w:tab/>
        </w:r>
        <w:r w:rsidR="00F65B0A">
          <w:rPr>
            <w:webHidden/>
          </w:rPr>
          <w:fldChar w:fldCharType="begin"/>
        </w:r>
        <w:r w:rsidR="00F65B0A">
          <w:rPr>
            <w:webHidden/>
          </w:rPr>
          <w:instrText xml:space="preserve"> PAGEREF _Toc24544693 \h </w:instrText>
        </w:r>
        <w:r w:rsidR="00F65B0A">
          <w:rPr>
            <w:webHidden/>
          </w:rPr>
        </w:r>
        <w:r w:rsidR="00F65B0A">
          <w:rPr>
            <w:webHidden/>
          </w:rPr>
          <w:fldChar w:fldCharType="separate"/>
        </w:r>
        <w:r w:rsidR="00F040A5">
          <w:rPr>
            <w:webHidden/>
          </w:rPr>
          <w:t>41</w:t>
        </w:r>
        <w:r w:rsidR="00F65B0A">
          <w:rPr>
            <w:webHidden/>
          </w:rPr>
          <w:fldChar w:fldCharType="end"/>
        </w:r>
      </w:hyperlink>
    </w:p>
    <w:p w14:paraId="60DD071C" w14:textId="590C5DCF" w:rsidR="00F65B0A" w:rsidRDefault="002F1598">
      <w:pPr>
        <w:pStyle w:val="TOC2"/>
        <w:tabs>
          <w:tab w:val="left" w:pos="1474"/>
          <w:tab w:val="right" w:leader="dot" w:pos="8302"/>
        </w:tabs>
        <w:rPr>
          <w:rFonts w:eastAsiaTheme="minorEastAsia" w:cstheme="minorBidi"/>
          <w:lang w:val="en-US" w:eastAsia="en-US"/>
        </w:rPr>
      </w:pPr>
      <w:hyperlink w:anchor="_Toc24544694" w:history="1">
        <w:r w:rsidR="00F65B0A" w:rsidRPr="006D1B7F">
          <w:rPr>
            <w:rStyle w:val="Hyperlink"/>
          </w:rPr>
          <w:t>4.11</w:t>
        </w:r>
        <w:r w:rsidR="00F65B0A">
          <w:rPr>
            <w:rFonts w:eastAsiaTheme="minorEastAsia" w:cstheme="minorBidi"/>
            <w:lang w:val="en-US" w:eastAsia="en-US"/>
          </w:rPr>
          <w:tab/>
        </w:r>
        <w:r w:rsidR="00F65B0A" w:rsidRPr="006D1B7F">
          <w:rPr>
            <w:rStyle w:val="Hyperlink"/>
          </w:rPr>
          <w:t>Recommendation 4 – Approach to fee setting</w:t>
        </w:r>
        <w:r w:rsidR="00F65B0A">
          <w:rPr>
            <w:webHidden/>
          </w:rPr>
          <w:tab/>
        </w:r>
        <w:r w:rsidR="00F65B0A">
          <w:rPr>
            <w:webHidden/>
          </w:rPr>
          <w:fldChar w:fldCharType="begin"/>
        </w:r>
        <w:r w:rsidR="00F65B0A">
          <w:rPr>
            <w:webHidden/>
          </w:rPr>
          <w:instrText xml:space="preserve"> PAGEREF _Toc24544694 \h </w:instrText>
        </w:r>
        <w:r w:rsidR="00F65B0A">
          <w:rPr>
            <w:webHidden/>
          </w:rPr>
        </w:r>
        <w:r w:rsidR="00F65B0A">
          <w:rPr>
            <w:webHidden/>
          </w:rPr>
          <w:fldChar w:fldCharType="separate"/>
        </w:r>
        <w:r w:rsidR="00F040A5">
          <w:rPr>
            <w:webHidden/>
          </w:rPr>
          <w:t>42</w:t>
        </w:r>
        <w:r w:rsidR="00F65B0A">
          <w:rPr>
            <w:webHidden/>
          </w:rPr>
          <w:fldChar w:fldCharType="end"/>
        </w:r>
      </w:hyperlink>
    </w:p>
    <w:p w14:paraId="1A66AFAA" w14:textId="6EAC7451" w:rsidR="00F65B0A" w:rsidRDefault="002F1598">
      <w:pPr>
        <w:pStyle w:val="TOC2"/>
        <w:tabs>
          <w:tab w:val="left" w:pos="1474"/>
          <w:tab w:val="right" w:leader="dot" w:pos="8302"/>
        </w:tabs>
        <w:rPr>
          <w:rFonts w:eastAsiaTheme="minorEastAsia" w:cstheme="minorBidi"/>
          <w:lang w:val="en-US" w:eastAsia="en-US"/>
        </w:rPr>
      </w:pPr>
      <w:hyperlink w:anchor="_Toc24544695" w:history="1">
        <w:r w:rsidR="00F65B0A" w:rsidRPr="006D1B7F">
          <w:rPr>
            <w:rStyle w:val="Hyperlink"/>
          </w:rPr>
          <w:t>4.12</w:t>
        </w:r>
        <w:r w:rsidR="00F65B0A">
          <w:rPr>
            <w:rFonts w:eastAsiaTheme="minorEastAsia" w:cstheme="minorBidi"/>
            <w:lang w:val="en-US" w:eastAsia="en-US"/>
          </w:rPr>
          <w:tab/>
        </w:r>
        <w:r w:rsidR="00F65B0A" w:rsidRPr="006D1B7F">
          <w:rPr>
            <w:rStyle w:val="Hyperlink"/>
          </w:rPr>
          <w:t>Rationale 4</w:t>
        </w:r>
        <w:r w:rsidR="00F65B0A">
          <w:rPr>
            <w:webHidden/>
          </w:rPr>
          <w:tab/>
        </w:r>
        <w:r w:rsidR="00F65B0A">
          <w:rPr>
            <w:webHidden/>
          </w:rPr>
          <w:fldChar w:fldCharType="begin"/>
        </w:r>
        <w:r w:rsidR="00F65B0A">
          <w:rPr>
            <w:webHidden/>
          </w:rPr>
          <w:instrText xml:space="preserve"> PAGEREF _Toc24544695 \h </w:instrText>
        </w:r>
        <w:r w:rsidR="00F65B0A">
          <w:rPr>
            <w:webHidden/>
          </w:rPr>
        </w:r>
        <w:r w:rsidR="00F65B0A">
          <w:rPr>
            <w:webHidden/>
          </w:rPr>
          <w:fldChar w:fldCharType="separate"/>
        </w:r>
        <w:r w:rsidR="00F040A5">
          <w:rPr>
            <w:webHidden/>
          </w:rPr>
          <w:t>43</w:t>
        </w:r>
        <w:r w:rsidR="00F65B0A">
          <w:rPr>
            <w:webHidden/>
          </w:rPr>
          <w:fldChar w:fldCharType="end"/>
        </w:r>
      </w:hyperlink>
    </w:p>
    <w:p w14:paraId="706DD536" w14:textId="6D4AEDDC" w:rsidR="00F65B0A" w:rsidRDefault="002F1598">
      <w:pPr>
        <w:pStyle w:val="TOC2"/>
        <w:tabs>
          <w:tab w:val="left" w:pos="1474"/>
          <w:tab w:val="right" w:leader="dot" w:pos="8302"/>
        </w:tabs>
        <w:rPr>
          <w:rFonts w:eastAsiaTheme="minorEastAsia" w:cstheme="minorBidi"/>
          <w:lang w:val="en-US" w:eastAsia="en-US"/>
        </w:rPr>
      </w:pPr>
      <w:hyperlink w:anchor="_Toc24544696" w:history="1">
        <w:r w:rsidR="00F65B0A" w:rsidRPr="006D1B7F">
          <w:rPr>
            <w:rStyle w:val="Hyperlink"/>
          </w:rPr>
          <w:t>4.13</w:t>
        </w:r>
        <w:r w:rsidR="00F65B0A">
          <w:rPr>
            <w:rFonts w:eastAsiaTheme="minorEastAsia" w:cstheme="minorBidi"/>
            <w:lang w:val="en-US" w:eastAsia="en-US"/>
          </w:rPr>
          <w:tab/>
        </w:r>
        <w:r w:rsidR="00F65B0A" w:rsidRPr="006D1B7F">
          <w:rPr>
            <w:rStyle w:val="Hyperlink"/>
          </w:rPr>
          <w:t>Recommendation 5 – Impact of time</w:t>
        </w:r>
        <w:r w:rsidR="00F65B0A" w:rsidRPr="006D1B7F">
          <w:rPr>
            <w:rStyle w:val="Hyperlink"/>
          </w:rPr>
          <w:noBreakHyphen/>
          <w:t>tiering on distant outreach services</w:t>
        </w:r>
        <w:r w:rsidR="00F65B0A">
          <w:rPr>
            <w:webHidden/>
          </w:rPr>
          <w:tab/>
        </w:r>
        <w:r w:rsidR="00F65B0A">
          <w:rPr>
            <w:webHidden/>
          </w:rPr>
          <w:fldChar w:fldCharType="begin"/>
        </w:r>
        <w:r w:rsidR="00F65B0A">
          <w:rPr>
            <w:webHidden/>
          </w:rPr>
          <w:instrText xml:space="preserve"> PAGEREF _Toc24544696 \h </w:instrText>
        </w:r>
        <w:r w:rsidR="00F65B0A">
          <w:rPr>
            <w:webHidden/>
          </w:rPr>
        </w:r>
        <w:r w:rsidR="00F65B0A">
          <w:rPr>
            <w:webHidden/>
          </w:rPr>
          <w:fldChar w:fldCharType="separate"/>
        </w:r>
        <w:r w:rsidR="00F040A5">
          <w:rPr>
            <w:webHidden/>
          </w:rPr>
          <w:t>43</w:t>
        </w:r>
        <w:r w:rsidR="00F65B0A">
          <w:rPr>
            <w:webHidden/>
          </w:rPr>
          <w:fldChar w:fldCharType="end"/>
        </w:r>
      </w:hyperlink>
    </w:p>
    <w:p w14:paraId="40996B42" w14:textId="3EDB078C" w:rsidR="00F65B0A" w:rsidRDefault="002F1598">
      <w:pPr>
        <w:pStyle w:val="TOC2"/>
        <w:tabs>
          <w:tab w:val="left" w:pos="1474"/>
          <w:tab w:val="right" w:leader="dot" w:pos="8302"/>
        </w:tabs>
        <w:rPr>
          <w:rFonts w:eastAsiaTheme="minorEastAsia" w:cstheme="minorBidi"/>
          <w:lang w:val="en-US" w:eastAsia="en-US"/>
        </w:rPr>
      </w:pPr>
      <w:hyperlink w:anchor="_Toc24544697" w:history="1">
        <w:r w:rsidR="00F65B0A" w:rsidRPr="006D1B7F">
          <w:rPr>
            <w:rStyle w:val="Hyperlink"/>
          </w:rPr>
          <w:t>4.14</w:t>
        </w:r>
        <w:r w:rsidR="00F65B0A">
          <w:rPr>
            <w:rFonts w:eastAsiaTheme="minorEastAsia" w:cstheme="minorBidi"/>
            <w:lang w:val="en-US" w:eastAsia="en-US"/>
          </w:rPr>
          <w:tab/>
        </w:r>
        <w:r w:rsidR="00F65B0A" w:rsidRPr="006D1B7F">
          <w:rPr>
            <w:rStyle w:val="Hyperlink"/>
          </w:rPr>
          <w:t>Rationale 5</w:t>
        </w:r>
        <w:r w:rsidR="00F65B0A">
          <w:rPr>
            <w:webHidden/>
          </w:rPr>
          <w:tab/>
        </w:r>
        <w:r w:rsidR="00F65B0A">
          <w:rPr>
            <w:webHidden/>
          </w:rPr>
          <w:fldChar w:fldCharType="begin"/>
        </w:r>
        <w:r w:rsidR="00F65B0A">
          <w:rPr>
            <w:webHidden/>
          </w:rPr>
          <w:instrText xml:space="preserve"> PAGEREF _Toc24544697 \h </w:instrText>
        </w:r>
        <w:r w:rsidR="00F65B0A">
          <w:rPr>
            <w:webHidden/>
          </w:rPr>
        </w:r>
        <w:r w:rsidR="00F65B0A">
          <w:rPr>
            <w:webHidden/>
          </w:rPr>
          <w:fldChar w:fldCharType="separate"/>
        </w:r>
        <w:r w:rsidR="00F040A5">
          <w:rPr>
            <w:webHidden/>
          </w:rPr>
          <w:t>44</w:t>
        </w:r>
        <w:r w:rsidR="00F65B0A">
          <w:rPr>
            <w:webHidden/>
          </w:rPr>
          <w:fldChar w:fldCharType="end"/>
        </w:r>
      </w:hyperlink>
    </w:p>
    <w:p w14:paraId="58B49984" w14:textId="404FC741" w:rsidR="00F65B0A" w:rsidRDefault="002F1598">
      <w:pPr>
        <w:pStyle w:val="TOC1"/>
        <w:rPr>
          <w:rFonts w:eastAsiaTheme="minorEastAsia" w:cstheme="minorBidi"/>
          <w:lang w:val="en-US" w:eastAsia="en-US"/>
        </w:rPr>
      </w:pPr>
      <w:hyperlink w:anchor="_Toc24544698" w:history="1">
        <w:r w:rsidR="00F65B0A" w:rsidRPr="006D1B7F">
          <w:rPr>
            <w:rStyle w:val="Hyperlink"/>
          </w:rPr>
          <w:t>5</w:t>
        </w:r>
        <w:r w:rsidR="00F65B0A">
          <w:rPr>
            <w:rFonts w:eastAsiaTheme="minorEastAsia" w:cstheme="minorBidi"/>
            <w:lang w:val="en-US" w:eastAsia="en-US"/>
          </w:rPr>
          <w:tab/>
        </w:r>
        <w:r w:rsidR="00F65B0A" w:rsidRPr="006D1B7F">
          <w:rPr>
            <w:rStyle w:val="Hyperlink"/>
          </w:rPr>
          <w:t>Complex plan recommendations</w:t>
        </w:r>
        <w:r w:rsidR="00F65B0A">
          <w:rPr>
            <w:webHidden/>
          </w:rPr>
          <w:tab/>
        </w:r>
        <w:r w:rsidR="00F65B0A">
          <w:rPr>
            <w:webHidden/>
          </w:rPr>
          <w:fldChar w:fldCharType="begin"/>
        </w:r>
        <w:r w:rsidR="00F65B0A">
          <w:rPr>
            <w:webHidden/>
          </w:rPr>
          <w:instrText xml:space="preserve"> PAGEREF _Toc24544698 \h </w:instrText>
        </w:r>
        <w:r w:rsidR="00F65B0A">
          <w:rPr>
            <w:webHidden/>
          </w:rPr>
        </w:r>
        <w:r w:rsidR="00F65B0A">
          <w:rPr>
            <w:webHidden/>
          </w:rPr>
          <w:fldChar w:fldCharType="separate"/>
        </w:r>
        <w:r w:rsidR="00F040A5">
          <w:rPr>
            <w:webHidden/>
          </w:rPr>
          <w:t>45</w:t>
        </w:r>
        <w:r w:rsidR="00F65B0A">
          <w:rPr>
            <w:webHidden/>
          </w:rPr>
          <w:fldChar w:fldCharType="end"/>
        </w:r>
      </w:hyperlink>
    </w:p>
    <w:p w14:paraId="2372554A" w14:textId="2B76405D" w:rsidR="00F65B0A" w:rsidRDefault="002F1598">
      <w:pPr>
        <w:pStyle w:val="TOC2"/>
        <w:tabs>
          <w:tab w:val="left" w:pos="851"/>
          <w:tab w:val="right" w:leader="dot" w:pos="8302"/>
        </w:tabs>
        <w:rPr>
          <w:rFonts w:eastAsiaTheme="minorEastAsia" w:cstheme="minorBidi"/>
          <w:lang w:val="en-US" w:eastAsia="en-US"/>
        </w:rPr>
      </w:pPr>
      <w:hyperlink w:anchor="_Toc24544699" w:history="1">
        <w:r w:rsidR="00F65B0A" w:rsidRPr="006D1B7F">
          <w:rPr>
            <w:rStyle w:val="Hyperlink"/>
          </w:rPr>
          <w:t>5.1</w:t>
        </w:r>
        <w:r w:rsidR="00F65B0A">
          <w:rPr>
            <w:rFonts w:eastAsiaTheme="minorEastAsia" w:cstheme="minorBidi"/>
            <w:lang w:val="en-US" w:eastAsia="en-US"/>
          </w:rPr>
          <w:tab/>
        </w:r>
        <w:r w:rsidR="00F65B0A" w:rsidRPr="006D1B7F">
          <w:rPr>
            <w:rStyle w:val="Hyperlink"/>
          </w:rPr>
          <w:t>The complex plan context</w:t>
        </w:r>
        <w:r w:rsidR="00F65B0A">
          <w:rPr>
            <w:webHidden/>
          </w:rPr>
          <w:tab/>
        </w:r>
        <w:r w:rsidR="00F65B0A">
          <w:rPr>
            <w:webHidden/>
          </w:rPr>
          <w:fldChar w:fldCharType="begin"/>
        </w:r>
        <w:r w:rsidR="00F65B0A">
          <w:rPr>
            <w:webHidden/>
          </w:rPr>
          <w:instrText xml:space="preserve"> PAGEREF _Toc24544699 \h </w:instrText>
        </w:r>
        <w:r w:rsidR="00F65B0A">
          <w:rPr>
            <w:webHidden/>
          </w:rPr>
        </w:r>
        <w:r w:rsidR="00F65B0A">
          <w:rPr>
            <w:webHidden/>
          </w:rPr>
          <w:fldChar w:fldCharType="separate"/>
        </w:r>
        <w:r w:rsidR="00F040A5">
          <w:rPr>
            <w:webHidden/>
          </w:rPr>
          <w:t>45</w:t>
        </w:r>
        <w:r w:rsidR="00F65B0A">
          <w:rPr>
            <w:webHidden/>
          </w:rPr>
          <w:fldChar w:fldCharType="end"/>
        </w:r>
      </w:hyperlink>
    </w:p>
    <w:p w14:paraId="743EC6C8" w14:textId="19BFDCF5" w:rsidR="00F65B0A" w:rsidRDefault="002F1598">
      <w:pPr>
        <w:pStyle w:val="TOC2"/>
        <w:tabs>
          <w:tab w:val="left" w:pos="851"/>
          <w:tab w:val="right" w:leader="dot" w:pos="8302"/>
        </w:tabs>
        <w:rPr>
          <w:rFonts w:eastAsiaTheme="minorEastAsia" w:cstheme="minorBidi"/>
          <w:lang w:val="en-US" w:eastAsia="en-US"/>
        </w:rPr>
      </w:pPr>
      <w:hyperlink w:anchor="_Toc24544700" w:history="1">
        <w:r w:rsidR="00F65B0A" w:rsidRPr="006D1B7F">
          <w:rPr>
            <w:rStyle w:val="Hyperlink"/>
          </w:rPr>
          <w:t>5.2</w:t>
        </w:r>
        <w:r w:rsidR="00F65B0A">
          <w:rPr>
            <w:rFonts w:eastAsiaTheme="minorEastAsia" w:cstheme="minorBidi"/>
            <w:lang w:val="en-US" w:eastAsia="en-US"/>
          </w:rPr>
          <w:tab/>
        </w:r>
        <w:r w:rsidR="00F65B0A" w:rsidRPr="006D1B7F">
          <w:rPr>
            <w:rStyle w:val="Hyperlink"/>
          </w:rPr>
          <w:t>Recommendation 6 - Removing consultant physician, addiction medicine, and sexual health medicine complex plan items</w:t>
        </w:r>
        <w:r w:rsidR="00F65B0A">
          <w:rPr>
            <w:webHidden/>
          </w:rPr>
          <w:tab/>
        </w:r>
        <w:r w:rsidR="00F65B0A">
          <w:rPr>
            <w:webHidden/>
          </w:rPr>
          <w:fldChar w:fldCharType="begin"/>
        </w:r>
        <w:r w:rsidR="00F65B0A">
          <w:rPr>
            <w:webHidden/>
          </w:rPr>
          <w:instrText xml:space="preserve"> PAGEREF _Toc24544700 \h </w:instrText>
        </w:r>
        <w:r w:rsidR="00F65B0A">
          <w:rPr>
            <w:webHidden/>
          </w:rPr>
        </w:r>
        <w:r w:rsidR="00F65B0A">
          <w:rPr>
            <w:webHidden/>
          </w:rPr>
          <w:fldChar w:fldCharType="separate"/>
        </w:r>
        <w:r w:rsidR="00F040A5">
          <w:rPr>
            <w:webHidden/>
          </w:rPr>
          <w:t>46</w:t>
        </w:r>
        <w:r w:rsidR="00F65B0A">
          <w:rPr>
            <w:webHidden/>
          </w:rPr>
          <w:fldChar w:fldCharType="end"/>
        </w:r>
      </w:hyperlink>
    </w:p>
    <w:p w14:paraId="275CCAC3" w14:textId="535CF8AA" w:rsidR="00F65B0A" w:rsidRDefault="002F1598">
      <w:pPr>
        <w:pStyle w:val="TOC2"/>
        <w:tabs>
          <w:tab w:val="left" w:pos="851"/>
          <w:tab w:val="right" w:leader="dot" w:pos="8302"/>
        </w:tabs>
        <w:rPr>
          <w:rFonts w:eastAsiaTheme="minorEastAsia" w:cstheme="minorBidi"/>
          <w:lang w:val="en-US" w:eastAsia="en-US"/>
        </w:rPr>
      </w:pPr>
      <w:hyperlink w:anchor="_Toc24544701" w:history="1">
        <w:r w:rsidR="00F65B0A" w:rsidRPr="006D1B7F">
          <w:rPr>
            <w:rStyle w:val="Hyperlink"/>
          </w:rPr>
          <w:t>5.3</w:t>
        </w:r>
        <w:r w:rsidR="00F65B0A">
          <w:rPr>
            <w:rFonts w:eastAsiaTheme="minorEastAsia" w:cstheme="minorBidi"/>
            <w:lang w:val="en-US" w:eastAsia="en-US"/>
          </w:rPr>
          <w:tab/>
        </w:r>
        <w:r w:rsidR="00F65B0A" w:rsidRPr="006D1B7F">
          <w:rPr>
            <w:rStyle w:val="Hyperlink"/>
          </w:rPr>
          <w:t>Rationale 6</w:t>
        </w:r>
        <w:r w:rsidR="00F65B0A">
          <w:rPr>
            <w:webHidden/>
          </w:rPr>
          <w:tab/>
        </w:r>
        <w:r w:rsidR="00F65B0A">
          <w:rPr>
            <w:webHidden/>
          </w:rPr>
          <w:fldChar w:fldCharType="begin"/>
        </w:r>
        <w:r w:rsidR="00F65B0A">
          <w:rPr>
            <w:webHidden/>
          </w:rPr>
          <w:instrText xml:space="preserve"> PAGEREF _Toc24544701 \h </w:instrText>
        </w:r>
        <w:r w:rsidR="00F65B0A">
          <w:rPr>
            <w:webHidden/>
          </w:rPr>
        </w:r>
        <w:r w:rsidR="00F65B0A">
          <w:rPr>
            <w:webHidden/>
          </w:rPr>
          <w:fldChar w:fldCharType="separate"/>
        </w:r>
        <w:r w:rsidR="00F040A5">
          <w:rPr>
            <w:webHidden/>
          </w:rPr>
          <w:t>46</w:t>
        </w:r>
        <w:r w:rsidR="00F65B0A">
          <w:rPr>
            <w:webHidden/>
          </w:rPr>
          <w:fldChar w:fldCharType="end"/>
        </w:r>
      </w:hyperlink>
    </w:p>
    <w:p w14:paraId="2DDB6818" w14:textId="48FF8CAA" w:rsidR="00F65B0A" w:rsidRDefault="002F1598">
      <w:pPr>
        <w:pStyle w:val="TOC2"/>
        <w:tabs>
          <w:tab w:val="left" w:pos="851"/>
          <w:tab w:val="right" w:leader="dot" w:pos="8302"/>
        </w:tabs>
        <w:rPr>
          <w:rFonts w:eastAsiaTheme="minorEastAsia" w:cstheme="minorBidi"/>
          <w:lang w:val="en-US" w:eastAsia="en-US"/>
        </w:rPr>
      </w:pPr>
      <w:hyperlink w:anchor="_Toc24544702" w:history="1">
        <w:r w:rsidR="00F65B0A" w:rsidRPr="006D1B7F">
          <w:rPr>
            <w:rStyle w:val="Hyperlink"/>
          </w:rPr>
          <w:t>5.4</w:t>
        </w:r>
        <w:r w:rsidR="00F65B0A">
          <w:rPr>
            <w:rFonts w:eastAsiaTheme="minorEastAsia" w:cstheme="minorBidi"/>
            <w:lang w:val="en-US" w:eastAsia="en-US"/>
          </w:rPr>
          <w:tab/>
        </w:r>
        <w:r w:rsidR="00F65B0A" w:rsidRPr="006D1B7F">
          <w:rPr>
            <w:rStyle w:val="Hyperlink"/>
          </w:rPr>
          <w:t xml:space="preserve">Recommendation 7 - Retain </w:t>
        </w:r>
        <w:r w:rsidR="00F65B0A" w:rsidRPr="006D1B7F">
          <w:rPr>
            <w:rStyle w:val="Hyperlink"/>
            <w:lang w:val="en-GB"/>
          </w:rPr>
          <w:t xml:space="preserve">access to paediatric complex plan items with strengthened descriptor </w:t>
        </w:r>
        <w:r w:rsidR="00F65B0A">
          <w:rPr>
            <w:webHidden/>
          </w:rPr>
          <w:tab/>
        </w:r>
        <w:r w:rsidR="00F65B0A">
          <w:rPr>
            <w:webHidden/>
          </w:rPr>
          <w:fldChar w:fldCharType="begin"/>
        </w:r>
        <w:r w:rsidR="00F65B0A">
          <w:rPr>
            <w:webHidden/>
          </w:rPr>
          <w:instrText xml:space="preserve"> PAGEREF _Toc24544702 \h </w:instrText>
        </w:r>
        <w:r w:rsidR="00F65B0A">
          <w:rPr>
            <w:webHidden/>
          </w:rPr>
        </w:r>
        <w:r w:rsidR="00F65B0A">
          <w:rPr>
            <w:webHidden/>
          </w:rPr>
          <w:fldChar w:fldCharType="separate"/>
        </w:r>
        <w:r w:rsidR="00F040A5">
          <w:rPr>
            <w:webHidden/>
          </w:rPr>
          <w:t>47</w:t>
        </w:r>
        <w:r w:rsidR="00F65B0A">
          <w:rPr>
            <w:webHidden/>
          </w:rPr>
          <w:fldChar w:fldCharType="end"/>
        </w:r>
      </w:hyperlink>
    </w:p>
    <w:p w14:paraId="55351E9C" w14:textId="1990792B" w:rsidR="00F65B0A" w:rsidRDefault="002F1598">
      <w:pPr>
        <w:pStyle w:val="TOC2"/>
        <w:tabs>
          <w:tab w:val="left" w:pos="851"/>
          <w:tab w:val="right" w:leader="dot" w:pos="8302"/>
        </w:tabs>
        <w:rPr>
          <w:rFonts w:eastAsiaTheme="minorEastAsia" w:cstheme="minorBidi"/>
          <w:lang w:val="en-US" w:eastAsia="en-US"/>
        </w:rPr>
      </w:pPr>
      <w:hyperlink w:anchor="_Toc24544703" w:history="1">
        <w:r w:rsidR="00F65B0A" w:rsidRPr="006D1B7F">
          <w:rPr>
            <w:rStyle w:val="Hyperlink"/>
          </w:rPr>
          <w:t>5.5</w:t>
        </w:r>
        <w:r w:rsidR="00F65B0A">
          <w:rPr>
            <w:rFonts w:eastAsiaTheme="minorEastAsia" w:cstheme="minorBidi"/>
            <w:lang w:val="en-US" w:eastAsia="en-US"/>
          </w:rPr>
          <w:tab/>
        </w:r>
        <w:r w:rsidR="00F65B0A" w:rsidRPr="006D1B7F">
          <w:rPr>
            <w:rStyle w:val="Hyperlink"/>
          </w:rPr>
          <w:t>Rationale 7</w:t>
        </w:r>
        <w:r w:rsidR="00F65B0A">
          <w:rPr>
            <w:webHidden/>
          </w:rPr>
          <w:tab/>
        </w:r>
        <w:r w:rsidR="00F65B0A">
          <w:rPr>
            <w:webHidden/>
          </w:rPr>
          <w:fldChar w:fldCharType="begin"/>
        </w:r>
        <w:r w:rsidR="00F65B0A">
          <w:rPr>
            <w:webHidden/>
          </w:rPr>
          <w:instrText xml:space="preserve"> PAGEREF _Toc24544703 \h </w:instrText>
        </w:r>
        <w:r w:rsidR="00F65B0A">
          <w:rPr>
            <w:webHidden/>
          </w:rPr>
        </w:r>
        <w:r w:rsidR="00F65B0A">
          <w:rPr>
            <w:webHidden/>
          </w:rPr>
          <w:fldChar w:fldCharType="separate"/>
        </w:r>
        <w:r w:rsidR="00F040A5">
          <w:rPr>
            <w:webHidden/>
          </w:rPr>
          <w:t>49</w:t>
        </w:r>
        <w:r w:rsidR="00F65B0A">
          <w:rPr>
            <w:webHidden/>
          </w:rPr>
          <w:fldChar w:fldCharType="end"/>
        </w:r>
      </w:hyperlink>
    </w:p>
    <w:p w14:paraId="71E421DB" w14:textId="4C2178ED" w:rsidR="00F65B0A" w:rsidRDefault="002F1598">
      <w:pPr>
        <w:pStyle w:val="TOC2"/>
        <w:tabs>
          <w:tab w:val="left" w:pos="851"/>
          <w:tab w:val="right" w:leader="dot" w:pos="8302"/>
        </w:tabs>
        <w:rPr>
          <w:rFonts w:eastAsiaTheme="minorEastAsia" w:cstheme="minorBidi"/>
          <w:lang w:val="en-US" w:eastAsia="en-US"/>
        </w:rPr>
      </w:pPr>
      <w:hyperlink w:anchor="_Toc24544704" w:history="1">
        <w:r w:rsidR="00F65B0A" w:rsidRPr="006D1B7F">
          <w:rPr>
            <w:rStyle w:val="Hyperlink"/>
          </w:rPr>
          <w:t>5.6</w:t>
        </w:r>
        <w:r w:rsidR="00F65B0A">
          <w:rPr>
            <w:rFonts w:eastAsiaTheme="minorEastAsia" w:cstheme="minorBidi"/>
            <w:lang w:val="en-US" w:eastAsia="en-US"/>
          </w:rPr>
          <w:tab/>
        </w:r>
        <w:r w:rsidR="00F65B0A" w:rsidRPr="006D1B7F">
          <w:rPr>
            <w:rStyle w:val="Hyperlink"/>
          </w:rPr>
          <w:t>Recommendation 8 – Retain the comprehensive geriatric assessment items</w:t>
        </w:r>
        <w:r w:rsidR="00F65B0A">
          <w:rPr>
            <w:webHidden/>
          </w:rPr>
          <w:tab/>
        </w:r>
        <w:r w:rsidR="00F65B0A">
          <w:rPr>
            <w:webHidden/>
          </w:rPr>
          <w:fldChar w:fldCharType="begin"/>
        </w:r>
        <w:r w:rsidR="00F65B0A">
          <w:rPr>
            <w:webHidden/>
          </w:rPr>
          <w:instrText xml:space="preserve"> PAGEREF _Toc24544704 \h </w:instrText>
        </w:r>
        <w:r w:rsidR="00F65B0A">
          <w:rPr>
            <w:webHidden/>
          </w:rPr>
        </w:r>
        <w:r w:rsidR="00F65B0A">
          <w:rPr>
            <w:webHidden/>
          </w:rPr>
          <w:fldChar w:fldCharType="separate"/>
        </w:r>
        <w:r w:rsidR="00F040A5">
          <w:rPr>
            <w:webHidden/>
          </w:rPr>
          <w:t>50</w:t>
        </w:r>
        <w:r w:rsidR="00F65B0A">
          <w:rPr>
            <w:webHidden/>
          </w:rPr>
          <w:fldChar w:fldCharType="end"/>
        </w:r>
      </w:hyperlink>
    </w:p>
    <w:p w14:paraId="57F3D0EF" w14:textId="2C6D1580" w:rsidR="00F65B0A" w:rsidRDefault="002F1598">
      <w:pPr>
        <w:pStyle w:val="TOC2"/>
        <w:tabs>
          <w:tab w:val="left" w:pos="851"/>
          <w:tab w:val="right" w:leader="dot" w:pos="8302"/>
        </w:tabs>
        <w:rPr>
          <w:rFonts w:eastAsiaTheme="minorEastAsia" w:cstheme="minorBidi"/>
          <w:lang w:val="en-US" w:eastAsia="en-US"/>
        </w:rPr>
      </w:pPr>
      <w:hyperlink w:anchor="_Toc24544705" w:history="1">
        <w:r w:rsidR="00F65B0A" w:rsidRPr="006D1B7F">
          <w:rPr>
            <w:rStyle w:val="Hyperlink"/>
          </w:rPr>
          <w:t>5.7</w:t>
        </w:r>
        <w:r w:rsidR="00F65B0A">
          <w:rPr>
            <w:rFonts w:eastAsiaTheme="minorEastAsia" w:cstheme="minorBidi"/>
            <w:lang w:val="en-US" w:eastAsia="en-US"/>
          </w:rPr>
          <w:tab/>
        </w:r>
        <w:r w:rsidR="00F65B0A" w:rsidRPr="006D1B7F">
          <w:rPr>
            <w:rStyle w:val="Hyperlink"/>
          </w:rPr>
          <w:t>Rationale 8</w:t>
        </w:r>
        <w:r w:rsidR="00F65B0A">
          <w:rPr>
            <w:webHidden/>
          </w:rPr>
          <w:tab/>
        </w:r>
        <w:r w:rsidR="00F65B0A">
          <w:rPr>
            <w:webHidden/>
          </w:rPr>
          <w:fldChar w:fldCharType="begin"/>
        </w:r>
        <w:r w:rsidR="00F65B0A">
          <w:rPr>
            <w:webHidden/>
          </w:rPr>
          <w:instrText xml:space="preserve"> PAGEREF _Toc24544705 \h </w:instrText>
        </w:r>
        <w:r w:rsidR="00F65B0A">
          <w:rPr>
            <w:webHidden/>
          </w:rPr>
        </w:r>
        <w:r w:rsidR="00F65B0A">
          <w:rPr>
            <w:webHidden/>
          </w:rPr>
          <w:fldChar w:fldCharType="separate"/>
        </w:r>
        <w:r w:rsidR="00F040A5">
          <w:rPr>
            <w:webHidden/>
          </w:rPr>
          <w:t>50</w:t>
        </w:r>
        <w:r w:rsidR="00F65B0A">
          <w:rPr>
            <w:webHidden/>
          </w:rPr>
          <w:fldChar w:fldCharType="end"/>
        </w:r>
      </w:hyperlink>
    </w:p>
    <w:p w14:paraId="3FA33CC3" w14:textId="4A19570A" w:rsidR="00F65B0A" w:rsidRDefault="002F1598">
      <w:pPr>
        <w:pStyle w:val="TOC1"/>
        <w:rPr>
          <w:rFonts w:eastAsiaTheme="minorEastAsia" w:cstheme="minorBidi"/>
          <w:lang w:val="en-US" w:eastAsia="en-US"/>
        </w:rPr>
      </w:pPr>
      <w:hyperlink w:anchor="_Toc24544706" w:history="1">
        <w:r w:rsidR="00F65B0A" w:rsidRPr="006D1B7F">
          <w:rPr>
            <w:rStyle w:val="Hyperlink"/>
          </w:rPr>
          <w:t>6</w:t>
        </w:r>
        <w:r w:rsidR="00F65B0A">
          <w:rPr>
            <w:rFonts w:eastAsiaTheme="minorEastAsia" w:cstheme="minorBidi"/>
            <w:lang w:val="en-US" w:eastAsia="en-US"/>
          </w:rPr>
          <w:tab/>
        </w:r>
        <w:r w:rsidR="00F65B0A" w:rsidRPr="006D1B7F">
          <w:rPr>
            <w:rStyle w:val="Hyperlink"/>
          </w:rPr>
          <w:t>Telehealth recommendations</w:t>
        </w:r>
        <w:r w:rsidR="00F65B0A">
          <w:rPr>
            <w:webHidden/>
          </w:rPr>
          <w:tab/>
        </w:r>
        <w:r w:rsidR="00F65B0A">
          <w:rPr>
            <w:webHidden/>
          </w:rPr>
          <w:fldChar w:fldCharType="begin"/>
        </w:r>
        <w:r w:rsidR="00F65B0A">
          <w:rPr>
            <w:webHidden/>
          </w:rPr>
          <w:instrText xml:space="preserve"> PAGEREF _Toc24544706 \h </w:instrText>
        </w:r>
        <w:r w:rsidR="00F65B0A">
          <w:rPr>
            <w:webHidden/>
          </w:rPr>
        </w:r>
        <w:r w:rsidR="00F65B0A">
          <w:rPr>
            <w:webHidden/>
          </w:rPr>
          <w:fldChar w:fldCharType="separate"/>
        </w:r>
        <w:r w:rsidR="00F040A5">
          <w:rPr>
            <w:webHidden/>
          </w:rPr>
          <w:t>51</w:t>
        </w:r>
        <w:r w:rsidR="00F65B0A">
          <w:rPr>
            <w:webHidden/>
          </w:rPr>
          <w:fldChar w:fldCharType="end"/>
        </w:r>
      </w:hyperlink>
    </w:p>
    <w:p w14:paraId="745ED9CE" w14:textId="5C161E5A" w:rsidR="00F65B0A" w:rsidRDefault="002F1598">
      <w:pPr>
        <w:pStyle w:val="TOC2"/>
        <w:tabs>
          <w:tab w:val="left" w:pos="851"/>
          <w:tab w:val="right" w:leader="dot" w:pos="8302"/>
        </w:tabs>
        <w:rPr>
          <w:rFonts w:eastAsiaTheme="minorEastAsia" w:cstheme="minorBidi"/>
          <w:lang w:val="en-US" w:eastAsia="en-US"/>
        </w:rPr>
      </w:pPr>
      <w:hyperlink w:anchor="_Toc24544707" w:history="1">
        <w:r w:rsidR="00F65B0A" w:rsidRPr="006D1B7F">
          <w:rPr>
            <w:rStyle w:val="Hyperlink"/>
          </w:rPr>
          <w:t>6.1</w:t>
        </w:r>
        <w:r w:rsidR="00F65B0A">
          <w:rPr>
            <w:rFonts w:eastAsiaTheme="minorEastAsia" w:cstheme="minorBidi"/>
            <w:lang w:val="en-US" w:eastAsia="en-US"/>
          </w:rPr>
          <w:tab/>
        </w:r>
        <w:r w:rsidR="00F65B0A" w:rsidRPr="006D1B7F">
          <w:rPr>
            <w:rStyle w:val="Hyperlink"/>
          </w:rPr>
          <w:t>Current telehealth framework</w:t>
        </w:r>
        <w:r w:rsidR="00F65B0A">
          <w:rPr>
            <w:webHidden/>
          </w:rPr>
          <w:tab/>
        </w:r>
        <w:r w:rsidR="00F65B0A">
          <w:rPr>
            <w:webHidden/>
          </w:rPr>
          <w:fldChar w:fldCharType="begin"/>
        </w:r>
        <w:r w:rsidR="00F65B0A">
          <w:rPr>
            <w:webHidden/>
          </w:rPr>
          <w:instrText xml:space="preserve"> PAGEREF _Toc24544707 \h </w:instrText>
        </w:r>
        <w:r w:rsidR="00F65B0A">
          <w:rPr>
            <w:webHidden/>
          </w:rPr>
        </w:r>
        <w:r w:rsidR="00F65B0A">
          <w:rPr>
            <w:webHidden/>
          </w:rPr>
          <w:fldChar w:fldCharType="separate"/>
        </w:r>
        <w:r w:rsidR="00F040A5">
          <w:rPr>
            <w:webHidden/>
          </w:rPr>
          <w:t>51</w:t>
        </w:r>
        <w:r w:rsidR="00F65B0A">
          <w:rPr>
            <w:webHidden/>
          </w:rPr>
          <w:fldChar w:fldCharType="end"/>
        </w:r>
      </w:hyperlink>
    </w:p>
    <w:p w14:paraId="75D6B349" w14:textId="63473F6B" w:rsidR="00F65B0A" w:rsidRDefault="002F1598">
      <w:pPr>
        <w:pStyle w:val="TOC2"/>
        <w:tabs>
          <w:tab w:val="left" w:pos="851"/>
          <w:tab w:val="right" w:leader="dot" w:pos="8302"/>
        </w:tabs>
        <w:rPr>
          <w:rFonts w:eastAsiaTheme="minorEastAsia" w:cstheme="minorBidi"/>
          <w:lang w:val="en-US" w:eastAsia="en-US"/>
        </w:rPr>
      </w:pPr>
      <w:hyperlink w:anchor="_Toc24544708" w:history="1">
        <w:r w:rsidR="00F65B0A" w:rsidRPr="006D1B7F">
          <w:rPr>
            <w:rStyle w:val="Hyperlink"/>
          </w:rPr>
          <w:t>6.2</w:t>
        </w:r>
        <w:r w:rsidR="00F65B0A">
          <w:rPr>
            <w:rFonts w:eastAsiaTheme="minorEastAsia" w:cstheme="minorBidi"/>
            <w:lang w:val="en-US" w:eastAsia="en-US"/>
          </w:rPr>
          <w:tab/>
        </w:r>
        <w:r w:rsidR="00F65B0A" w:rsidRPr="006D1B7F">
          <w:rPr>
            <w:rStyle w:val="Hyperlink"/>
          </w:rPr>
          <w:t>Benefits of telehealth</w:t>
        </w:r>
        <w:r w:rsidR="00F65B0A">
          <w:rPr>
            <w:webHidden/>
          </w:rPr>
          <w:tab/>
        </w:r>
        <w:r w:rsidR="00F65B0A">
          <w:rPr>
            <w:webHidden/>
          </w:rPr>
          <w:fldChar w:fldCharType="begin"/>
        </w:r>
        <w:r w:rsidR="00F65B0A">
          <w:rPr>
            <w:webHidden/>
          </w:rPr>
          <w:instrText xml:space="preserve"> PAGEREF _Toc24544708 \h </w:instrText>
        </w:r>
        <w:r w:rsidR="00F65B0A">
          <w:rPr>
            <w:webHidden/>
          </w:rPr>
        </w:r>
        <w:r w:rsidR="00F65B0A">
          <w:rPr>
            <w:webHidden/>
          </w:rPr>
          <w:fldChar w:fldCharType="separate"/>
        </w:r>
        <w:r w:rsidR="00F040A5">
          <w:rPr>
            <w:webHidden/>
          </w:rPr>
          <w:t>52</w:t>
        </w:r>
        <w:r w:rsidR="00F65B0A">
          <w:rPr>
            <w:webHidden/>
          </w:rPr>
          <w:fldChar w:fldCharType="end"/>
        </w:r>
      </w:hyperlink>
    </w:p>
    <w:p w14:paraId="48A8F6AC" w14:textId="4DFB8DE4" w:rsidR="00F65B0A" w:rsidRDefault="002F1598">
      <w:pPr>
        <w:pStyle w:val="TOC2"/>
        <w:tabs>
          <w:tab w:val="left" w:pos="851"/>
          <w:tab w:val="right" w:leader="dot" w:pos="8302"/>
        </w:tabs>
        <w:rPr>
          <w:rFonts w:eastAsiaTheme="minorEastAsia" w:cstheme="minorBidi"/>
          <w:lang w:val="en-US" w:eastAsia="en-US"/>
        </w:rPr>
      </w:pPr>
      <w:hyperlink w:anchor="_Toc24544709" w:history="1">
        <w:r w:rsidR="00F65B0A" w:rsidRPr="006D1B7F">
          <w:rPr>
            <w:rStyle w:val="Hyperlink"/>
          </w:rPr>
          <w:t>6.3</w:t>
        </w:r>
        <w:r w:rsidR="00F65B0A">
          <w:rPr>
            <w:rFonts w:eastAsiaTheme="minorEastAsia" w:cstheme="minorBidi"/>
            <w:lang w:val="en-US" w:eastAsia="en-US"/>
          </w:rPr>
          <w:tab/>
        </w:r>
        <w:r w:rsidR="00F65B0A" w:rsidRPr="006D1B7F">
          <w:rPr>
            <w:rStyle w:val="Hyperlink"/>
          </w:rPr>
          <w:t>Barriers to telehealth growth</w:t>
        </w:r>
        <w:r w:rsidR="00F65B0A">
          <w:rPr>
            <w:webHidden/>
          </w:rPr>
          <w:tab/>
        </w:r>
        <w:r w:rsidR="00F65B0A">
          <w:rPr>
            <w:webHidden/>
          </w:rPr>
          <w:fldChar w:fldCharType="begin"/>
        </w:r>
        <w:r w:rsidR="00F65B0A">
          <w:rPr>
            <w:webHidden/>
          </w:rPr>
          <w:instrText xml:space="preserve"> PAGEREF _Toc24544709 \h </w:instrText>
        </w:r>
        <w:r w:rsidR="00F65B0A">
          <w:rPr>
            <w:webHidden/>
          </w:rPr>
        </w:r>
        <w:r w:rsidR="00F65B0A">
          <w:rPr>
            <w:webHidden/>
          </w:rPr>
          <w:fldChar w:fldCharType="separate"/>
        </w:r>
        <w:r w:rsidR="00F040A5">
          <w:rPr>
            <w:webHidden/>
          </w:rPr>
          <w:t>52</w:t>
        </w:r>
        <w:r w:rsidR="00F65B0A">
          <w:rPr>
            <w:webHidden/>
          </w:rPr>
          <w:fldChar w:fldCharType="end"/>
        </w:r>
      </w:hyperlink>
    </w:p>
    <w:p w14:paraId="150C07C4" w14:textId="18627255" w:rsidR="00F65B0A" w:rsidRDefault="002F1598">
      <w:pPr>
        <w:pStyle w:val="TOC2"/>
        <w:tabs>
          <w:tab w:val="left" w:pos="851"/>
          <w:tab w:val="right" w:leader="dot" w:pos="8302"/>
        </w:tabs>
        <w:rPr>
          <w:rFonts w:eastAsiaTheme="minorEastAsia" w:cstheme="minorBidi"/>
          <w:lang w:val="en-US" w:eastAsia="en-US"/>
        </w:rPr>
      </w:pPr>
      <w:hyperlink w:anchor="_Toc24544710" w:history="1">
        <w:r w:rsidR="00F65B0A" w:rsidRPr="006D1B7F">
          <w:rPr>
            <w:rStyle w:val="Hyperlink"/>
          </w:rPr>
          <w:t>6.4</w:t>
        </w:r>
        <w:r w:rsidR="00F65B0A">
          <w:rPr>
            <w:rFonts w:eastAsiaTheme="minorEastAsia" w:cstheme="minorBidi"/>
            <w:lang w:val="en-US" w:eastAsia="en-US"/>
          </w:rPr>
          <w:tab/>
        </w:r>
        <w:r w:rsidR="00F65B0A" w:rsidRPr="006D1B7F">
          <w:rPr>
            <w:rStyle w:val="Hyperlink"/>
          </w:rPr>
          <w:t>Recommendation 9 – A new framework for telehealth</w:t>
        </w:r>
        <w:r w:rsidR="00F65B0A">
          <w:rPr>
            <w:webHidden/>
          </w:rPr>
          <w:tab/>
        </w:r>
        <w:r w:rsidR="00F65B0A">
          <w:rPr>
            <w:webHidden/>
          </w:rPr>
          <w:fldChar w:fldCharType="begin"/>
        </w:r>
        <w:r w:rsidR="00F65B0A">
          <w:rPr>
            <w:webHidden/>
          </w:rPr>
          <w:instrText xml:space="preserve"> PAGEREF _Toc24544710 \h </w:instrText>
        </w:r>
        <w:r w:rsidR="00F65B0A">
          <w:rPr>
            <w:webHidden/>
          </w:rPr>
        </w:r>
        <w:r w:rsidR="00F65B0A">
          <w:rPr>
            <w:webHidden/>
          </w:rPr>
          <w:fldChar w:fldCharType="separate"/>
        </w:r>
        <w:r w:rsidR="00F040A5">
          <w:rPr>
            <w:webHidden/>
          </w:rPr>
          <w:t>52</w:t>
        </w:r>
        <w:r w:rsidR="00F65B0A">
          <w:rPr>
            <w:webHidden/>
          </w:rPr>
          <w:fldChar w:fldCharType="end"/>
        </w:r>
      </w:hyperlink>
    </w:p>
    <w:p w14:paraId="0992B788" w14:textId="1E87030A" w:rsidR="00F65B0A" w:rsidRDefault="002F1598">
      <w:pPr>
        <w:pStyle w:val="TOC2"/>
        <w:tabs>
          <w:tab w:val="left" w:pos="851"/>
          <w:tab w:val="right" w:leader="dot" w:pos="8302"/>
        </w:tabs>
        <w:rPr>
          <w:rFonts w:eastAsiaTheme="minorEastAsia" w:cstheme="minorBidi"/>
          <w:lang w:val="en-US" w:eastAsia="en-US"/>
        </w:rPr>
      </w:pPr>
      <w:hyperlink w:anchor="_Toc24544711" w:history="1">
        <w:r w:rsidR="00F65B0A" w:rsidRPr="006D1B7F">
          <w:rPr>
            <w:rStyle w:val="Hyperlink"/>
          </w:rPr>
          <w:t>6.5</w:t>
        </w:r>
        <w:r w:rsidR="00F65B0A">
          <w:rPr>
            <w:rFonts w:eastAsiaTheme="minorEastAsia" w:cstheme="minorBidi"/>
            <w:lang w:val="en-US" w:eastAsia="en-US"/>
          </w:rPr>
          <w:tab/>
        </w:r>
        <w:r w:rsidR="00F65B0A" w:rsidRPr="006D1B7F">
          <w:rPr>
            <w:rStyle w:val="Hyperlink"/>
          </w:rPr>
          <w:t>Recommendation 10 – Reinvest in telehealth</w:t>
        </w:r>
        <w:r w:rsidR="00F65B0A">
          <w:rPr>
            <w:webHidden/>
          </w:rPr>
          <w:tab/>
        </w:r>
        <w:r w:rsidR="00F65B0A">
          <w:rPr>
            <w:webHidden/>
          </w:rPr>
          <w:fldChar w:fldCharType="begin"/>
        </w:r>
        <w:r w:rsidR="00F65B0A">
          <w:rPr>
            <w:webHidden/>
          </w:rPr>
          <w:instrText xml:space="preserve"> PAGEREF _Toc24544711 \h </w:instrText>
        </w:r>
        <w:r w:rsidR="00F65B0A">
          <w:rPr>
            <w:webHidden/>
          </w:rPr>
        </w:r>
        <w:r w:rsidR="00F65B0A">
          <w:rPr>
            <w:webHidden/>
          </w:rPr>
          <w:fldChar w:fldCharType="separate"/>
        </w:r>
        <w:r w:rsidR="00F040A5">
          <w:rPr>
            <w:webHidden/>
          </w:rPr>
          <w:t>55</w:t>
        </w:r>
        <w:r w:rsidR="00F65B0A">
          <w:rPr>
            <w:webHidden/>
          </w:rPr>
          <w:fldChar w:fldCharType="end"/>
        </w:r>
      </w:hyperlink>
    </w:p>
    <w:p w14:paraId="5C97A144" w14:textId="6EF80F57" w:rsidR="00F65B0A" w:rsidRDefault="002F1598">
      <w:pPr>
        <w:pStyle w:val="TOC2"/>
        <w:tabs>
          <w:tab w:val="left" w:pos="851"/>
          <w:tab w:val="right" w:leader="dot" w:pos="8302"/>
        </w:tabs>
        <w:rPr>
          <w:rFonts w:eastAsiaTheme="minorEastAsia" w:cstheme="minorBidi"/>
          <w:lang w:val="en-US" w:eastAsia="en-US"/>
        </w:rPr>
      </w:pPr>
      <w:hyperlink w:anchor="_Toc24544712" w:history="1">
        <w:r w:rsidR="00F65B0A" w:rsidRPr="006D1B7F">
          <w:rPr>
            <w:rStyle w:val="Hyperlink"/>
          </w:rPr>
          <w:t>6.6</w:t>
        </w:r>
        <w:r w:rsidR="00F65B0A">
          <w:rPr>
            <w:rFonts w:eastAsiaTheme="minorEastAsia" w:cstheme="minorBidi"/>
            <w:lang w:val="en-US" w:eastAsia="en-US"/>
          </w:rPr>
          <w:tab/>
        </w:r>
        <w:r w:rsidR="00F65B0A" w:rsidRPr="006D1B7F">
          <w:rPr>
            <w:rStyle w:val="Hyperlink"/>
          </w:rPr>
          <w:t>Rationale 9 &amp;108</w:t>
        </w:r>
        <w:r w:rsidR="00F65B0A">
          <w:rPr>
            <w:webHidden/>
          </w:rPr>
          <w:tab/>
        </w:r>
        <w:r w:rsidR="00F65B0A">
          <w:rPr>
            <w:webHidden/>
          </w:rPr>
          <w:fldChar w:fldCharType="begin"/>
        </w:r>
        <w:r w:rsidR="00F65B0A">
          <w:rPr>
            <w:webHidden/>
          </w:rPr>
          <w:instrText xml:space="preserve"> PAGEREF _Toc24544712 \h </w:instrText>
        </w:r>
        <w:r w:rsidR="00F65B0A">
          <w:rPr>
            <w:webHidden/>
          </w:rPr>
        </w:r>
        <w:r w:rsidR="00F65B0A">
          <w:rPr>
            <w:webHidden/>
          </w:rPr>
          <w:fldChar w:fldCharType="separate"/>
        </w:r>
        <w:r w:rsidR="00F040A5">
          <w:rPr>
            <w:webHidden/>
          </w:rPr>
          <w:t>57</w:t>
        </w:r>
        <w:r w:rsidR="00F65B0A">
          <w:rPr>
            <w:webHidden/>
          </w:rPr>
          <w:fldChar w:fldCharType="end"/>
        </w:r>
      </w:hyperlink>
    </w:p>
    <w:p w14:paraId="401284C5" w14:textId="41C31181" w:rsidR="00F65B0A" w:rsidRDefault="002F1598">
      <w:pPr>
        <w:pStyle w:val="TOC1"/>
        <w:rPr>
          <w:rFonts w:eastAsiaTheme="minorEastAsia" w:cstheme="minorBidi"/>
          <w:lang w:val="en-US" w:eastAsia="en-US"/>
        </w:rPr>
      </w:pPr>
      <w:hyperlink w:anchor="_Toc24544713" w:history="1">
        <w:r w:rsidR="00F65B0A" w:rsidRPr="006D1B7F">
          <w:rPr>
            <w:rStyle w:val="Hyperlink"/>
          </w:rPr>
          <w:t>7</w:t>
        </w:r>
        <w:r w:rsidR="00F65B0A">
          <w:rPr>
            <w:rFonts w:eastAsiaTheme="minorEastAsia" w:cstheme="minorBidi"/>
            <w:lang w:val="en-US" w:eastAsia="en-US"/>
          </w:rPr>
          <w:tab/>
        </w:r>
        <w:r w:rsidR="00F65B0A" w:rsidRPr="006D1B7F">
          <w:rPr>
            <w:rStyle w:val="Hyperlink"/>
          </w:rPr>
          <w:t>Case conference recommendations</w:t>
        </w:r>
        <w:r w:rsidR="00F65B0A">
          <w:rPr>
            <w:webHidden/>
          </w:rPr>
          <w:tab/>
        </w:r>
        <w:r w:rsidR="00F65B0A">
          <w:rPr>
            <w:webHidden/>
          </w:rPr>
          <w:fldChar w:fldCharType="begin"/>
        </w:r>
        <w:r w:rsidR="00F65B0A">
          <w:rPr>
            <w:webHidden/>
          </w:rPr>
          <w:instrText xml:space="preserve"> PAGEREF _Toc24544713 \h </w:instrText>
        </w:r>
        <w:r w:rsidR="00F65B0A">
          <w:rPr>
            <w:webHidden/>
          </w:rPr>
        </w:r>
        <w:r w:rsidR="00F65B0A">
          <w:rPr>
            <w:webHidden/>
          </w:rPr>
          <w:fldChar w:fldCharType="separate"/>
        </w:r>
        <w:r w:rsidR="00F040A5">
          <w:rPr>
            <w:webHidden/>
          </w:rPr>
          <w:t>59</w:t>
        </w:r>
        <w:r w:rsidR="00F65B0A">
          <w:rPr>
            <w:webHidden/>
          </w:rPr>
          <w:fldChar w:fldCharType="end"/>
        </w:r>
      </w:hyperlink>
    </w:p>
    <w:p w14:paraId="217C55F5" w14:textId="1079048B" w:rsidR="00F65B0A" w:rsidRDefault="002F1598">
      <w:pPr>
        <w:pStyle w:val="TOC2"/>
        <w:tabs>
          <w:tab w:val="left" w:pos="851"/>
          <w:tab w:val="right" w:leader="dot" w:pos="8302"/>
        </w:tabs>
        <w:rPr>
          <w:rFonts w:eastAsiaTheme="minorEastAsia" w:cstheme="minorBidi"/>
          <w:lang w:val="en-US" w:eastAsia="en-US"/>
        </w:rPr>
      </w:pPr>
      <w:hyperlink w:anchor="_Toc24544714" w:history="1">
        <w:r w:rsidR="00F65B0A" w:rsidRPr="006D1B7F">
          <w:rPr>
            <w:rStyle w:val="Hyperlink"/>
            <w:lang w:val="en-GB"/>
          </w:rPr>
          <w:t>7.1</w:t>
        </w:r>
        <w:r w:rsidR="00F65B0A">
          <w:rPr>
            <w:rFonts w:eastAsiaTheme="minorEastAsia" w:cstheme="minorBidi"/>
            <w:lang w:val="en-US" w:eastAsia="en-US"/>
          </w:rPr>
          <w:tab/>
        </w:r>
        <w:r w:rsidR="00F65B0A" w:rsidRPr="006D1B7F">
          <w:rPr>
            <w:rStyle w:val="Hyperlink"/>
            <w:lang w:val="en-GB"/>
          </w:rPr>
          <w:t>Current case conferencing framework</w:t>
        </w:r>
        <w:r w:rsidR="00F65B0A">
          <w:rPr>
            <w:webHidden/>
          </w:rPr>
          <w:tab/>
        </w:r>
        <w:r w:rsidR="00F65B0A">
          <w:rPr>
            <w:webHidden/>
          </w:rPr>
          <w:fldChar w:fldCharType="begin"/>
        </w:r>
        <w:r w:rsidR="00F65B0A">
          <w:rPr>
            <w:webHidden/>
          </w:rPr>
          <w:instrText xml:space="preserve"> PAGEREF _Toc24544714 \h </w:instrText>
        </w:r>
        <w:r w:rsidR="00F65B0A">
          <w:rPr>
            <w:webHidden/>
          </w:rPr>
        </w:r>
        <w:r w:rsidR="00F65B0A">
          <w:rPr>
            <w:webHidden/>
          </w:rPr>
          <w:fldChar w:fldCharType="separate"/>
        </w:r>
        <w:r w:rsidR="00F040A5">
          <w:rPr>
            <w:webHidden/>
          </w:rPr>
          <w:t>59</w:t>
        </w:r>
        <w:r w:rsidR="00F65B0A">
          <w:rPr>
            <w:webHidden/>
          </w:rPr>
          <w:fldChar w:fldCharType="end"/>
        </w:r>
      </w:hyperlink>
    </w:p>
    <w:p w14:paraId="39FA4A0F" w14:textId="319C2590" w:rsidR="00F65B0A" w:rsidRDefault="002F1598">
      <w:pPr>
        <w:pStyle w:val="TOC2"/>
        <w:tabs>
          <w:tab w:val="left" w:pos="851"/>
          <w:tab w:val="right" w:leader="dot" w:pos="8302"/>
        </w:tabs>
        <w:rPr>
          <w:rFonts w:eastAsiaTheme="minorEastAsia" w:cstheme="minorBidi"/>
          <w:lang w:val="en-US" w:eastAsia="en-US"/>
        </w:rPr>
      </w:pPr>
      <w:hyperlink w:anchor="_Toc24544715" w:history="1">
        <w:r w:rsidR="00F65B0A" w:rsidRPr="006D1B7F">
          <w:rPr>
            <w:rStyle w:val="Hyperlink"/>
          </w:rPr>
          <w:t>7.2</w:t>
        </w:r>
        <w:r w:rsidR="00F65B0A">
          <w:rPr>
            <w:rFonts w:eastAsiaTheme="minorEastAsia" w:cstheme="minorBidi"/>
            <w:lang w:val="en-US" w:eastAsia="en-US"/>
          </w:rPr>
          <w:tab/>
        </w:r>
        <w:r w:rsidR="00F65B0A" w:rsidRPr="006D1B7F">
          <w:rPr>
            <w:rStyle w:val="Hyperlink"/>
          </w:rPr>
          <w:t xml:space="preserve">Recommendation 11 - </w:t>
        </w:r>
        <w:r w:rsidR="00F65B0A" w:rsidRPr="006D1B7F">
          <w:rPr>
            <w:rStyle w:val="Hyperlink"/>
            <w:lang w:val="en-GB"/>
          </w:rPr>
          <w:t>Introduce a new framework of case conference items and allow access to all consultant specialists</w:t>
        </w:r>
        <w:r w:rsidR="00F65B0A">
          <w:rPr>
            <w:webHidden/>
          </w:rPr>
          <w:tab/>
        </w:r>
        <w:r w:rsidR="00F65B0A">
          <w:rPr>
            <w:webHidden/>
          </w:rPr>
          <w:fldChar w:fldCharType="begin"/>
        </w:r>
        <w:r w:rsidR="00F65B0A">
          <w:rPr>
            <w:webHidden/>
          </w:rPr>
          <w:instrText xml:space="preserve"> PAGEREF _Toc24544715 \h </w:instrText>
        </w:r>
        <w:r w:rsidR="00F65B0A">
          <w:rPr>
            <w:webHidden/>
          </w:rPr>
        </w:r>
        <w:r w:rsidR="00F65B0A">
          <w:rPr>
            <w:webHidden/>
          </w:rPr>
          <w:fldChar w:fldCharType="separate"/>
        </w:r>
        <w:r w:rsidR="00F040A5">
          <w:rPr>
            <w:webHidden/>
          </w:rPr>
          <w:t>60</w:t>
        </w:r>
        <w:r w:rsidR="00F65B0A">
          <w:rPr>
            <w:webHidden/>
          </w:rPr>
          <w:fldChar w:fldCharType="end"/>
        </w:r>
      </w:hyperlink>
    </w:p>
    <w:p w14:paraId="51F7E1D0" w14:textId="68992F6D" w:rsidR="00F65B0A" w:rsidRDefault="002F1598">
      <w:pPr>
        <w:pStyle w:val="TOC2"/>
        <w:tabs>
          <w:tab w:val="left" w:pos="851"/>
          <w:tab w:val="right" w:leader="dot" w:pos="8302"/>
        </w:tabs>
        <w:rPr>
          <w:rFonts w:eastAsiaTheme="minorEastAsia" w:cstheme="minorBidi"/>
          <w:lang w:val="en-US" w:eastAsia="en-US"/>
        </w:rPr>
      </w:pPr>
      <w:hyperlink w:anchor="_Toc24544716" w:history="1">
        <w:r w:rsidR="00F65B0A" w:rsidRPr="006D1B7F">
          <w:rPr>
            <w:rStyle w:val="Hyperlink"/>
          </w:rPr>
          <w:t>7.3</w:t>
        </w:r>
        <w:r w:rsidR="00F65B0A">
          <w:rPr>
            <w:rFonts w:eastAsiaTheme="minorEastAsia" w:cstheme="minorBidi"/>
            <w:lang w:val="en-US" w:eastAsia="en-US"/>
          </w:rPr>
          <w:tab/>
        </w:r>
        <w:r w:rsidR="00F65B0A" w:rsidRPr="006D1B7F">
          <w:rPr>
            <w:rStyle w:val="Hyperlink"/>
          </w:rPr>
          <w:t>Rationale 11</w:t>
        </w:r>
        <w:r w:rsidR="00F65B0A">
          <w:rPr>
            <w:webHidden/>
          </w:rPr>
          <w:tab/>
        </w:r>
        <w:r w:rsidR="00F65B0A">
          <w:rPr>
            <w:webHidden/>
          </w:rPr>
          <w:fldChar w:fldCharType="begin"/>
        </w:r>
        <w:r w:rsidR="00F65B0A">
          <w:rPr>
            <w:webHidden/>
          </w:rPr>
          <w:instrText xml:space="preserve"> PAGEREF _Toc24544716 \h </w:instrText>
        </w:r>
        <w:r w:rsidR="00F65B0A">
          <w:rPr>
            <w:webHidden/>
          </w:rPr>
        </w:r>
        <w:r w:rsidR="00F65B0A">
          <w:rPr>
            <w:webHidden/>
          </w:rPr>
          <w:fldChar w:fldCharType="separate"/>
        </w:r>
        <w:r w:rsidR="00F040A5">
          <w:rPr>
            <w:webHidden/>
          </w:rPr>
          <w:t>64</w:t>
        </w:r>
        <w:r w:rsidR="00F65B0A">
          <w:rPr>
            <w:webHidden/>
          </w:rPr>
          <w:fldChar w:fldCharType="end"/>
        </w:r>
      </w:hyperlink>
    </w:p>
    <w:p w14:paraId="2D9EC387" w14:textId="1373CB4F" w:rsidR="00F65B0A" w:rsidRDefault="002F1598">
      <w:pPr>
        <w:pStyle w:val="TOC2"/>
        <w:tabs>
          <w:tab w:val="left" w:pos="851"/>
          <w:tab w:val="right" w:leader="dot" w:pos="8302"/>
        </w:tabs>
        <w:rPr>
          <w:rFonts w:eastAsiaTheme="minorEastAsia" w:cstheme="minorBidi"/>
          <w:lang w:val="en-US" w:eastAsia="en-US"/>
        </w:rPr>
      </w:pPr>
      <w:hyperlink w:anchor="_Toc24544717" w:history="1">
        <w:r w:rsidR="00F65B0A" w:rsidRPr="006D1B7F">
          <w:rPr>
            <w:rStyle w:val="Hyperlink"/>
          </w:rPr>
          <w:t>7.4</w:t>
        </w:r>
        <w:r w:rsidR="00F65B0A">
          <w:rPr>
            <w:rFonts w:eastAsiaTheme="minorEastAsia" w:cstheme="minorBidi"/>
            <w:lang w:val="en-US" w:eastAsia="en-US"/>
          </w:rPr>
          <w:tab/>
        </w:r>
        <w:r w:rsidR="00F65B0A" w:rsidRPr="006D1B7F">
          <w:rPr>
            <w:rStyle w:val="Hyperlink"/>
          </w:rPr>
          <w:t xml:space="preserve">Recommendation 12 - </w:t>
        </w:r>
        <w:r w:rsidR="00F65B0A" w:rsidRPr="006D1B7F">
          <w:rPr>
            <w:rStyle w:val="Hyperlink"/>
            <w:lang w:val="en-GB"/>
          </w:rPr>
          <w:t>Introduce case conference items for allied health professionals (AHPs) and nurse practitioners</w:t>
        </w:r>
        <w:r w:rsidR="00F65B0A">
          <w:rPr>
            <w:webHidden/>
          </w:rPr>
          <w:tab/>
        </w:r>
        <w:r w:rsidR="00F65B0A">
          <w:rPr>
            <w:webHidden/>
          </w:rPr>
          <w:fldChar w:fldCharType="begin"/>
        </w:r>
        <w:r w:rsidR="00F65B0A">
          <w:rPr>
            <w:webHidden/>
          </w:rPr>
          <w:instrText xml:space="preserve"> PAGEREF _Toc24544717 \h </w:instrText>
        </w:r>
        <w:r w:rsidR="00F65B0A">
          <w:rPr>
            <w:webHidden/>
          </w:rPr>
        </w:r>
        <w:r w:rsidR="00F65B0A">
          <w:rPr>
            <w:webHidden/>
          </w:rPr>
          <w:fldChar w:fldCharType="separate"/>
        </w:r>
        <w:r w:rsidR="00F040A5">
          <w:rPr>
            <w:webHidden/>
          </w:rPr>
          <w:t>67</w:t>
        </w:r>
        <w:r w:rsidR="00F65B0A">
          <w:rPr>
            <w:webHidden/>
          </w:rPr>
          <w:fldChar w:fldCharType="end"/>
        </w:r>
      </w:hyperlink>
    </w:p>
    <w:p w14:paraId="3EBFD926" w14:textId="51F4F5FB" w:rsidR="00F65B0A" w:rsidRDefault="002F1598">
      <w:pPr>
        <w:pStyle w:val="TOC2"/>
        <w:tabs>
          <w:tab w:val="left" w:pos="851"/>
          <w:tab w:val="right" w:leader="dot" w:pos="8302"/>
        </w:tabs>
        <w:rPr>
          <w:rFonts w:eastAsiaTheme="minorEastAsia" w:cstheme="minorBidi"/>
          <w:lang w:val="en-US" w:eastAsia="en-US"/>
        </w:rPr>
      </w:pPr>
      <w:hyperlink w:anchor="_Toc24544718" w:history="1">
        <w:r w:rsidR="00F65B0A" w:rsidRPr="006D1B7F">
          <w:rPr>
            <w:rStyle w:val="Hyperlink"/>
          </w:rPr>
          <w:t>7.5</w:t>
        </w:r>
        <w:r w:rsidR="00F65B0A">
          <w:rPr>
            <w:rFonts w:eastAsiaTheme="minorEastAsia" w:cstheme="minorBidi"/>
            <w:lang w:val="en-US" w:eastAsia="en-US"/>
          </w:rPr>
          <w:tab/>
        </w:r>
        <w:r w:rsidR="00F65B0A" w:rsidRPr="006D1B7F">
          <w:rPr>
            <w:rStyle w:val="Hyperlink"/>
          </w:rPr>
          <w:t>Rationale 12</w:t>
        </w:r>
        <w:r w:rsidR="00F65B0A">
          <w:rPr>
            <w:webHidden/>
          </w:rPr>
          <w:tab/>
        </w:r>
        <w:r w:rsidR="00F65B0A">
          <w:rPr>
            <w:webHidden/>
          </w:rPr>
          <w:fldChar w:fldCharType="begin"/>
        </w:r>
        <w:r w:rsidR="00F65B0A">
          <w:rPr>
            <w:webHidden/>
          </w:rPr>
          <w:instrText xml:space="preserve"> PAGEREF _Toc24544718 \h </w:instrText>
        </w:r>
        <w:r w:rsidR="00F65B0A">
          <w:rPr>
            <w:webHidden/>
          </w:rPr>
        </w:r>
        <w:r w:rsidR="00F65B0A">
          <w:rPr>
            <w:webHidden/>
          </w:rPr>
          <w:fldChar w:fldCharType="separate"/>
        </w:r>
        <w:r w:rsidR="00F040A5">
          <w:rPr>
            <w:webHidden/>
          </w:rPr>
          <w:t>67</w:t>
        </w:r>
        <w:r w:rsidR="00F65B0A">
          <w:rPr>
            <w:webHidden/>
          </w:rPr>
          <w:fldChar w:fldCharType="end"/>
        </w:r>
      </w:hyperlink>
    </w:p>
    <w:p w14:paraId="60FA6F1A" w14:textId="78730224" w:rsidR="00F65B0A" w:rsidRDefault="002F1598">
      <w:pPr>
        <w:pStyle w:val="TOC2"/>
        <w:tabs>
          <w:tab w:val="left" w:pos="851"/>
          <w:tab w:val="right" w:leader="dot" w:pos="8302"/>
        </w:tabs>
        <w:rPr>
          <w:rFonts w:eastAsiaTheme="minorEastAsia" w:cstheme="minorBidi"/>
          <w:lang w:val="en-US" w:eastAsia="en-US"/>
        </w:rPr>
      </w:pPr>
      <w:hyperlink w:anchor="_Toc24544719" w:history="1">
        <w:r w:rsidR="00F65B0A" w:rsidRPr="006D1B7F">
          <w:rPr>
            <w:rStyle w:val="Hyperlink"/>
          </w:rPr>
          <w:t>7.6</w:t>
        </w:r>
        <w:r w:rsidR="00F65B0A">
          <w:rPr>
            <w:rFonts w:eastAsiaTheme="minorEastAsia" w:cstheme="minorBidi"/>
            <w:lang w:val="en-US" w:eastAsia="en-US"/>
          </w:rPr>
          <w:tab/>
        </w:r>
        <w:r w:rsidR="00F65B0A" w:rsidRPr="006D1B7F">
          <w:rPr>
            <w:rStyle w:val="Hyperlink"/>
          </w:rPr>
          <w:t>Recommendation 13 – Referral for examination of informed financial consent</w:t>
        </w:r>
        <w:r w:rsidR="00F65B0A">
          <w:rPr>
            <w:webHidden/>
          </w:rPr>
          <w:tab/>
        </w:r>
        <w:r w:rsidR="00F65B0A">
          <w:rPr>
            <w:webHidden/>
          </w:rPr>
          <w:fldChar w:fldCharType="begin"/>
        </w:r>
        <w:r w:rsidR="00F65B0A">
          <w:rPr>
            <w:webHidden/>
          </w:rPr>
          <w:instrText xml:space="preserve"> PAGEREF _Toc24544719 \h </w:instrText>
        </w:r>
        <w:r w:rsidR="00F65B0A">
          <w:rPr>
            <w:webHidden/>
          </w:rPr>
        </w:r>
        <w:r w:rsidR="00F65B0A">
          <w:rPr>
            <w:webHidden/>
          </w:rPr>
          <w:fldChar w:fldCharType="separate"/>
        </w:r>
        <w:r w:rsidR="00F040A5">
          <w:rPr>
            <w:webHidden/>
          </w:rPr>
          <w:t>67</w:t>
        </w:r>
        <w:r w:rsidR="00F65B0A">
          <w:rPr>
            <w:webHidden/>
          </w:rPr>
          <w:fldChar w:fldCharType="end"/>
        </w:r>
      </w:hyperlink>
    </w:p>
    <w:p w14:paraId="028532A8" w14:textId="2240794A" w:rsidR="00F65B0A" w:rsidRDefault="002F1598">
      <w:pPr>
        <w:pStyle w:val="TOC2"/>
        <w:tabs>
          <w:tab w:val="left" w:pos="851"/>
          <w:tab w:val="right" w:leader="dot" w:pos="8302"/>
        </w:tabs>
        <w:rPr>
          <w:rFonts w:eastAsiaTheme="minorEastAsia" w:cstheme="minorBidi"/>
          <w:lang w:val="en-US" w:eastAsia="en-US"/>
        </w:rPr>
      </w:pPr>
      <w:hyperlink w:anchor="_Toc24544720" w:history="1">
        <w:r w:rsidR="00F65B0A" w:rsidRPr="006D1B7F">
          <w:rPr>
            <w:rStyle w:val="Hyperlink"/>
          </w:rPr>
          <w:t>7.7</w:t>
        </w:r>
        <w:r w:rsidR="00F65B0A">
          <w:rPr>
            <w:rFonts w:eastAsiaTheme="minorEastAsia" w:cstheme="minorBidi"/>
            <w:lang w:val="en-US" w:eastAsia="en-US"/>
          </w:rPr>
          <w:tab/>
        </w:r>
        <w:r w:rsidR="00F65B0A" w:rsidRPr="006D1B7F">
          <w:rPr>
            <w:rStyle w:val="Hyperlink"/>
          </w:rPr>
          <w:t>Rationale 13</w:t>
        </w:r>
        <w:r w:rsidR="00F65B0A">
          <w:rPr>
            <w:webHidden/>
          </w:rPr>
          <w:tab/>
        </w:r>
        <w:r w:rsidR="00F65B0A">
          <w:rPr>
            <w:webHidden/>
          </w:rPr>
          <w:fldChar w:fldCharType="begin"/>
        </w:r>
        <w:r w:rsidR="00F65B0A">
          <w:rPr>
            <w:webHidden/>
          </w:rPr>
          <w:instrText xml:space="preserve"> PAGEREF _Toc24544720 \h </w:instrText>
        </w:r>
        <w:r w:rsidR="00F65B0A">
          <w:rPr>
            <w:webHidden/>
          </w:rPr>
        </w:r>
        <w:r w:rsidR="00F65B0A">
          <w:rPr>
            <w:webHidden/>
          </w:rPr>
          <w:fldChar w:fldCharType="separate"/>
        </w:r>
        <w:r w:rsidR="00F040A5">
          <w:rPr>
            <w:webHidden/>
          </w:rPr>
          <w:t>67</w:t>
        </w:r>
        <w:r w:rsidR="00F65B0A">
          <w:rPr>
            <w:webHidden/>
          </w:rPr>
          <w:fldChar w:fldCharType="end"/>
        </w:r>
      </w:hyperlink>
    </w:p>
    <w:p w14:paraId="4AF51452" w14:textId="402D7867" w:rsidR="00F65B0A" w:rsidRDefault="002F1598">
      <w:pPr>
        <w:pStyle w:val="TOC1"/>
        <w:rPr>
          <w:rFonts w:eastAsiaTheme="minorEastAsia" w:cstheme="minorBidi"/>
          <w:lang w:val="en-US" w:eastAsia="en-US"/>
        </w:rPr>
      </w:pPr>
      <w:hyperlink w:anchor="_Toc24544721" w:history="1">
        <w:r w:rsidR="00F65B0A" w:rsidRPr="006D1B7F">
          <w:rPr>
            <w:rStyle w:val="Hyperlink"/>
          </w:rPr>
          <w:t>8</w:t>
        </w:r>
        <w:r w:rsidR="00F65B0A">
          <w:rPr>
            <w:rFonts w:eastAsiaTheme="minorEastAsia" w:cstheme="minorBidi"/>
            <w:lang w:val="en-US" w:eastAsia="en-US"/>
          </w:rPr>
          <w:tab/>
        </w:r>
        <w:r w:rsidR="00F65B0A" w:rsidRPr="006D1B7F">
          <w:rPr>
            <w:rStyle w:val="Hyperlink"/>
          </w:rPr>
          <w:t>Use of data to inform quality care and patient informed choice and consent recommendations</w:t>
        </w:r>
        <w:r w:rsidR="00F65B0A">
          <w:rPr>
            <w:webHidden/>
          </w:rPr>
          <w:tab/>
        </w:r>
        <w:r w:rsidR="00F65B0A">
          <w:rPr>
            <w:webHidden/>
          </w:rPr>
          <w:fldChar w:fldCharType="begin"/>
        </w:r>
        <w:r w:rsidR="00F65B0A">
          <w:rPr>
            <w:webHidden/>
          </w:rPr>
          <w:instrText xml:space="preserve"> PAGEREF _Toc24544721 \h </w:instrText>
        </w:r>
        <w:r w:rsidR="00F65B0A">
          <w:rPr>
            <w:webHidden/>
          </w:rPr>
        </w:r>
        <w:r w:rsidR="00F65B0A">
          <w:rPr>
            <w:webHidden/>
          </w:rPr>
          <w:fldChar w:fldCharType="separate"/>
        </w:r>
        <w:r w:rsidR="00F040A5">
          <w:rPr>
            <w:webHidden/>
          </w:rPr>
          <w:t>69</w:t>
        </w:r>
        <w:r w:rsidR="00F65B0A">
          <w:rPr>
            <w:webHidden/>
          </w:rPr>
          <w:fldChar w:fldCharType="end"/>
        </w:r>
      </w:hyperlink>
    </w:p>
    <w:p w14:paraId="37197DF6" w14:textId="25FFA152" w:rsidR="00F65B0A" w:rsidRDefault="002F1598">
      <w:pPr>
        <w:pStyle w:val="TOC2"/>
        <w:tabs>
          <w:tab w:val="left" w:pos="851"/>
          <w:tab w:val="right" w:leader="dot" w:pos="8302"/>
        </w:tabs>
        <w:rPr>
          <w:rFonts w:eastAsiaTheme="minorEastAsia" w:cstheme="minorBidi"/>
          <w:lang w:val="en-US" w:eastAsia="en-US"/>
        </w:rPr>
      </w:pPr>
      <w:hyperlink w:anchor="_Toc24544722" w:history="1">
        <w:r w:rsidR="00F65B0A" w:rsidRPr="006D1B7F">
          <w:rPr>
            <w:rStyle w:val="Hyperlink"/>
            <w:lang w:val="en-GB"/>
          </w:rPr>
          <w:t>8.1</w:t>
        </w:r>
        <w:r w:rsidR="00F65B0A">
          <w:rPr>
            <w:rFonts w:eastAsiaTheme="minorEastAsia" w:cstheme="minorBidi"/>
            <w:lang w:val="en-US" w:eastAsia="en-US"/>
          </w:rPr>
          <w:tab/>
        </w:r>
        <w:r w:rsidR="00F65B0A" w:rsidRPr="006D1B7F">
          <w:rPr>
            <w:rStyle w:val="Hyperlink"/>
            <w:lang w:val="en-GB"/>
          </w:rPr>
          <w:t>The role of data in patient care</w:t>
        </w:r>
        <w:r w:rsidR="00F65B0A">
          <w:rPr>
            <w:webHidden/>
          </w:rPr>
          <w:tab/>
        </w:r>
        <w:r w:rsidR="00F65B0A">
          <w:rPr>
            <w:webHidden/>
          </w:rPr>
          <w:fldChar w:fldCharType="begin"/>
        </w:r>
        <w:r w:rsidR="00F65B0A">
          <w:rPr>
            <w:webHidden/>
          </w:rPr>
          <w:instrText xml:space="preserve"> PAGEREF _Toc24544722 \h </w:instrText>
        </w:r>
        <w:r w:rsidR="00F65B0A">
          <w:rPr>
            <w:webHidden/>
          </w:rPr>
        </w:r>
        <w:r w:rsidR="00F65B0A">
          <w:rPr>
            <w:webHidden/>
          </w:rPr>
          <w:fldChar w:fldCharType="separate"/>
        </w:r>
        <w:r w:rsidR="00F040A5">
          <w:rPr>
            <w:webHidden/>
          </w:rPr>
          <w:t>69</w:t>
        </w:r>
        <w:r w:rsidR="00F65B0A">
          <w:rPr>
            <w:webHidden/>
          </w:rPr>
          <w:fldChar w:fldCharType="end"/>
        </w:r>
      </w:hyperlink>
    </w:p>
    <w:p w14:paraId="68020D9F" w14:textId="5AB52D0F" w:rsidR="00F65B0A" w:rsidRDefault="002F1598">
      <w:pPr>
        <w:pStyle w:val="TOC2"/>
        <w:tabs>
          <w:tab w:val="left" w:pos="851"/>
          <w:tab w:val="right" w:leader="dot" w:pos="8302"/>
        </w:tabs>
        <w:rPr>
          <w:rFonts w:eastAsiaTheme="minorEastAsia" w:cstheme="minorBidi"/>
          <w:lang w:val="en-US" w:eastAsia="en-US"/>
        </w:rPr>
      </w:pPr>
      <w:hyperlink w:anchor="_Toc24544723" w:history="1">
        <w:r w:rsidR="00F65B0A" w:rsidRPr="006D1B7F">
          <w:rPr>
            <w:rStyle w:val="Hyperlink"/>
          </w:rPr>
          <w:t>8.2</w:t>
        </w:r>
        <w:r w:rsidR="00F65B0A">
          <w:rPr>
            <w:rFonts w:eastAsiaTheme="minorEastAsia" w:cstheme="minorBidi"/>
            <w:lang w:val="en-US" w:eastAsia="en-US"/>
          </w:rPr>
          <w:tab/>
        </w:r>
        <w:r w:rsidR="00F65B0A" w:rsidRPr="006D1B7F">
          <w:rPr>
            <w:rStyle w:val="Hyperlink"/>
          </w:rPr>
          <w:t xml:space="preserve">Recommendation 14 - </w:t>
        </w:r>
        <w:r w:rsidR="00F65B0A" w:rsidRPr="006D1B7F">
          <w:rPr>
            <w:rStyle w:val="Hyperlink"/>
            <w:lang w:val="en-GB"/>
          </w:rPr>
          <w:t>Establish a national minimum data set to inform evidence-based clinical practice and inform patient choice</w:t>
        </w:r>
        <w:r w:rsidR="00F65B0A">
          <w:rPr>
            <w:webHidden/>
          </w:rPr>
          <w:tab/>
        </w:r>
        <w:r w:rsidR="00F65B0A">
          <w:rPr>
            <w:webHidden/>
          </w:rPr>
          <w:fldChar w:fldCharType="begin"/>
        </w:r>
        <w:r w:rsidR="00F65B0A">
          <w:rPr>
            <w:webHidden/>
          </w:rPr>
          <w:instrText xml:space="preserve"> PAGEREF _Toc24544723 \h </w:instrText>
        </w:r>
        <w:r w:rsidR="00F65B0A">
          <w:rPr>
            <w:webHidden/>
          </w:rPr>
        </w:r>
        <w:r w:rsidR="00F65B0A">
          <w:rPr>
            <w:webHidden/>
          </w:rPr>
          <w:fldChar w:fldCharType="separate"/>
        </w:r>
        <w:r w:rsidR="00F040A5">
          <w:rPr>
            <w:webHidden/>
          </w:rPr>
          <w:t>70</w:t>
        </w:r>
        <w:r w:rsidR="00F65B0A">
          <w:rPr>
            <w:webHidden/>
          </w:rPr>
          <w:fldChar w:fldCharType="end"/>
        </w:r>
      </w:hyperlink>
    </w:p>
    <w:p w14:paraId="31D18300" w14:textId="3CABFC92" w:rsidR="00F65B0A" w:rsidRDefault="002F1598">
      <w:pPr>
        <w:pStyle w:val="TOC2"/>
        <w:tabs>
          <w:tab w:val="left" w:pos="851"/>
          <w:tab w:val="right" w:leader="dot" w:pos="8302"/>
        </w:tabs>
        <w:rPr>
          <w:rFonts w:eastAsiaTheme="minorEastAsia" w:cstheme="minorBidi"/>
          <w:lang w:val="en-US" w:eastAsia="en-US"/>
        </w:rPr>
      </w:pPr>
      <w:hyperlink w:anchor="_Toc24544724" w:history="1">
        <w:r w:rsidR="00F65B0A" w:rsidRPr="006D1B7F">
          <w:rPr>
            <w:rStyle w:val="Hyperlink"/>
          </w:rPr>
          <w:t>8.3</w:t>
        </w:r>
        <w:r w:rsidR="00F65B0A">
          <w:rPr>
            <w:rFonts w:eastAsiaTheme="minorEastAsia" w:cstheme="minorBidi"/>
            <w:lang w:val="en-US" w:eastAsia="en-US"/>
          </w:rPr>
          <w:tab/>
        </w:r>
        <w:r w:rsidR="00F65B0A" w:rsidRPr="006D1B7F">
          <w:rPr>
            <w:rStyle w:val="Hyperlink"/>
          </w:rPr>
          <w:t>Rationale 14</w:t>
        </w:r>
        <w:r w:rsidR="00F65B0A">
          <w:rPr>
            <w:webHidden/>
          </w:rPr>
          <w:tab/>
        </w:r>
        <w:r w:rsidR="00F65B0A">
          <w:rPr>
            <w:webHidden/>
          </w:rPr>
          <w:fldChar w:fldCharType="begin"/>
        </w:r>
        <w:r w:rsidR="00F65B0A">
          <w:rPr>
            <w:webHidden/>
          </w:rPr>
          <w:instrText xml:space="preserve"> PAGEREF _Toc24544724 \h </w:instrText>
        </w:r>
        <w:r w:rsidR="00F65B0A">
          <w:rPr>
            <w:webHidden/>
          </w:rPr>
        </w:r>
        <w:r w:rsidR="00F65B0A">
          <w:rPr>
            <w:webHidden/>
          </w:rPr>
          <w:fldChar w:fldCharType="separate"/>
        </w:r>
        <w:r w:rsidR="00F040A5">
          <w:rPr>
            <w:webHidden/>
          </w:rPr>
          <w:t>71</w:t>
        </w:r>
        <w:r w:rsidR="00F65B0A">
          <w:rPr>
            <w:webHidden/>
          </w:rPr>
          <w:fldChar w:fldCharType="end"/>
        </w:r>
      </w:hyperlink>
    </w:p>
    <w:p w14:paraId="4D9B629A" w14:textId="3CEA8984" w:rsidR="00F65B0A" w:rsidRDefault="002F1598">
      <w:pPr>
        <w:pStyle w:val="TOC2"/>
        <w:tabs>
          <w:tab w:val="left" w:pos="851"/>
          <w:tab w:val="right" w:leader="dot" w:pos="8302"/>
        </w:tabs>
        <w:rPr>
          <w:rFonts w:eastAsiaTheme="minorEastAsia" w:cstheme="minorBidi"/>
          <w:lang w:val="en-US" w:eastAsia="en-US"/>
        </w:rPr>
      </w:pPr>
      <w:hyperlink w:anchor="_Toc24544725" w:history="1">
        <w:r w:rsidR="00F65B0A" w:rsidRPr="006D1B7F">
          <w:rPr>
            <w:rStyle w:val="Hyperlink"/>
          </w:rPr>
          <w:t>8.4</w:t>
        </w:r>
        <w:r w:rsidR="00F65B0A">
          <w:rPr>
            <w:rFonts w:eastAsiaTheme="minorEastAsia" w:cstheme="minorBidi"/>
            <w:lang w:val="en-US" w:eastAsia="en-US"/>
          </w:rPr>
          <w:tab/>
        </w:r>
        <w:r w:rsidR="00F65B0A" w:rsidRPr="006D1B7F">
          <w:rPr>
            <w:rStyle w:val="Hyperlink"/>
          </w:rPr>
          <w:t xml:space="preserve">Recommendation 15 – Provide </w:t>
        </w:r>
        <w:r w:rsidR="00F65B0A" w:rsidRPr="006D1B7F">
          <w:rPr>
            <w:rStyle w:val="Hyperlink"/>
            <w:lang w:val="en-GB"/>
          </w:rPr>
          <w:t>transparency on the cost and quality of consultant specialist services</w:t>
        </w:r>
        <w:r w:rsidR="00F65B0A">
          <w:rPr>
            <w:webHidden/>
          </w:rPr>
          <w:tab/>
        </w:r>
        <w:r w:rsidR="00F65B0A">
          <w:rPr>
            <w:webHidden/>
          </w:rPr>
          <w:fldChar w:fldCharType="begin"/>
        </w:r>
        <w:r w:rsidR="00F65B0A">
          <w:rPr>
            <w:webHidden/>
          </w:rPr>
          <w:instrText xml:space="preserve"> PAGEREF _Toc24544725 \h </w:instrText>
        </w:r>
        <w:r w:rsidR="00F65B0A">
          <w:rPr>
            <w:webHidden/>
          </w:rPr>
        </w:r>
        <w:r w:rsidR="00F65B0A">
          <w:rPr>
            <w:webHidden/>
          </w:rPr>
          <w:fldChar w:fldCharType="separate"/>
        </w:r>
        <w:r w:rsidR="00F040A5">
          <w:rPr>
            <w:webHidden/>
          </w:rPr>
          <w:t>71</w:t>
        </w:r>
        <w:r w:rsidR="00F65B0A">
          <w:rPr>
            <w:webHidden/>
          </w:rPr>
          <w:fldChar w:fldCharType="end"/>
        </w:r>
      </w:hyperlink>
    </w:p>
    <w:p w14:paraId="5D229259" w14:textId="005E899D" w:rsidR="00F65B0A" w:rsidRDefault="002F1598">
      <w:pPr>
        <w:pStyle w:val="TOC2"/>
        <w:tabs>
          <w:tab w:val="left" w:pos="851"/>
          <w:tab w:val="right" w:leader="dot" w:pos="8302"/>
        </w:tabs>
        <w:rPr>
          <w:rFonts w:eastAsiaTheme="minorEastAsia" w:cstheme="minorBidi"/>
          <w:lang w:val="en-US" w:eastAsia="en-US"/>
        </w:rPr>
      </w:pPr>
      <w:hyperlink w:anchor="_Toc24544726" w:history="1">
        <w:r w:rsidR="00F65B0A" w:rsidRPr="006D1B7F">
          <w:rPr>
            <w:rStyle w:val="Hyperlink"/>
          </w:rPr>
          <w:t>8.5</w:t>
        </w:r>
        <w:r w:rsidR="00F65B0A">
          <w:rPr>
            <w:rFonts w:eastAsiaTheme="minorEastAsia" w:cstheme="minorBidi"/>
            <w:lang w:val="en-US" w:eastAsia="en-US"/>
          </w:rPr>
          <w:tab/>
        </w:r>
        <w:r w:rsidR="00F65B0A" w:rsidRPr="006D1B7F">
          <w:rPr>
            <w:rStyle w:val="Hyperlink"/>
          </w:rPr>
          <w:t>Rationale 15</w:t>
        </w:r>
        <w:r w:rsidR="00F65B0A">
          <w:rPr>
            <w:webHidden/>
          </w:rPr>
          <w:tab/>
        </w:r>
        <w:r w:rsidR="00F65B0A">
          <w:rPr>
            <w:webHidden/>
          </w:rPr>
          <w:fldChar w:fldCharType="begin"/>
        </w:r>
        <w:r w:rsidR="00F65B0A">
          <w:rPr>
            <w:webHidden/>
          </w:rPr>
          <w:instrText xml:space="preserve"> PAGEREF _Toc24544726 \h </w:instrText>
        </w:r>
        <w:r w:rsidR="00F65B0A">
          <w:rPr>
            <w:webHidden/>
          </w:rPr>
        </w:r>
        <w:r w:rsidR="00F65B0A">
          <w:rPr>
            <w:webHidden/>
          </w:rPr>
          <w:fldChar w:fldCharType="separate"/>
        </w:r>
        <w:r w:rsidR="00F040A5">
          <w:rPr>
            <w:webHidden/>
          </w:rPr>
          <w:t>72</w:t>
        </w:r>
        <w:r w:rsidR="00F65B0A">
          <w:rPr>
            <w:webHidden/>
          </w:rPr>
          <w:fldChar w:fldCharType="end"/>
        </w:r>
      </w:hyperlink>
    </w:p>
    <w:p w14:paraId="12554976" w14:textId="214D3868" w:rsidR="00F65B0A" w:rsidRDefault="002F1598">
      <w:pPr>
        <w:pStyle w:val="TOC2"/>
        <w:tabs>
          <w:tab w:val="left" w:pos="851"/>
          <w:tab w:val="right" w:leader="dot" w:pos="8302"/>
        </w:tabs>
        <w:rPr>
          <w:rFonts w:eastAsiaTheme="minorEastAsia" w:cstheme="minorBidi"/>
          <w:lang w:val="en-US" w:eastAsia="en-US"/>
        </w:rPr>
      </w:pPr>
      <w:hyperlink w:anchor="_Toc24544727" w:history="1">
        <w:r w:rsidR="00F65B0A" w:rsidRPr="006D1B7F">
          <w:rPr>
            <w:rStyle w:val="Hyperlink"/>
          </w:rPr>
          <w:t>8.6</w:t>
        </w:r>
        <w:r w:rsidR="00F65B0A">
          <w:rPr>
            <w:rFonts w:eastAsiaTheme="minorEastAsia" w:cstheme="minorBidi"/>
            <w:lang w:val="en-US" w:eastAsia="en-US"/>
          </w:rPr>
          <w:tab/>
        </w:r>
        <w:r w:rsidR="00F65B0A" w:rsidRPr="006D1B7F">
          <w:rPr>
            <w:rStyle w:val="Hyperlink"/>
          </w:rPr>
          <w:t xml:space="preserve">Recommendation 16 - </w:t>
        </w:r>
        <w:r w:rsidR="00F65B0A" w:rsidRPr="006D1B7F">
          <w:rPr>
            <w:rStyle w:val="Hyperlink"/>
            <w:lang w:val="en-GB"/>
          </w:rPr>
          <w:t>Improve informed comprehensive patient consent and shared decision-making practices</w:t>
        </w:r>
        <w:r w:rsidR="00F65B0A">
          <w:rPr>
            <w:webHidden/>
          </w:rPr>
          <w:tab/>
        </w:r>
        <w:r w:rsidR="00F65B0A">
          <w:rPr>
            <w:webHidden/>
          </w:rPr>
          <w:fldChar w:fldCharType="begin"/>
        </w:r>
        <w:r w:rsidR="00F65B0A">
          <w:rPr>
            <w:webHidden/>
          </w:rPr>
          <w:instrText xml:space="preserve"> PAGEREF _Toc24544727 \h </w:instrText>
        </w:r>
        <w:r w:rsidR="00F65B0A">
          <w:rPr>
            <w:webHidden/>
          </w:rPr>
        </w:r>
        <w:r w:rsidR="00F65B0A">
          <w:rPr>
            <w:webHidden/>
          </w:rPr>
          <w:fldChar w:fldCharType="separate"/>
        </w:r>
        <w:r w:rsidR="00F040A5">
          <w:rPr>
            <w:webHidden/>
          </w:rPr>
          <w:t>73</w:t>
        </w:r>
        <w:r w:rsidR="00F65B0A">
          <w:rPr>
            <w:webHidden/>
          </w:rPr>
          <w:fldChar w:fldCharType="end"/>
        </w:r>
      </w:hyperlink>
    </w:p>
    <w:p w14:paraId="6CEFE145" w14:textId="1B53C2CD" w:rsidR="00F65B0A" w:rsidRDefault="002F1598">
      <w:pPr>
        <w:pStyle w:val="TOC2"/>
        <w:tabs>
          <w:tab w:val="left" w:pos="851"/>
          <w:tab w:val="right" w:leader="dot" w:pos="8302"/>
        </w:tabs>
        <w:rPr>
          <w:rFonts w:eastAsiaTheme="minorEastAsia" w:cstheme="minorBidi"/>
          <w:lang w:val="en-US" w:eastAsia="en-US"/>
        </w:rPr>
      </w:pPr>
      <w:hyperlink w:anchor="_Toc24544728" w:history="1">
        <w:r w:rsidR="00F65B0A" w:rsidRPr="006D1B7F">
          <w:rPr>
            <w:rStyle w:val="Hyperlink"/>
          </w:rPr>
          <w:t>8.7</w:t>
        </w:r>
        <w:r w:rsidR="00F65B0A">
          <w:rPr>
            <w:rFonts w:eastAsiaTheme="minorEastAsia" w:cstheme="minorBidi"/>
            <w:lang w:val="en-US" w:eastAsia="en-US"/>
          </w:rPr>
          <w:tab/>
        </w:r>
        <w:r w:rsidR="00F65B0A" w:rsidRPr="006D1B7F">
          <w:rPr>
            <w:rStyle w:val="Hyperlink"/>
          </w:rPr>
          <w:t>Rationale 16</w:t>
        </w:r>
        <w:r w:rsidR="00F65B0A">
          <w:rPr>
            <w:webHidden/>
          </w:rPr>
          <w:tab/>
        </w:r>
        <w:r w:rsidR="00F65B0A">
          <w:rPr>
            <w:webHidden/>
          </w:rPr>
          <w:fldChar w:fldCharType="begin"/>
        </w:r>
        <w:r w:rsidR="00F65B0A">
          <w:rPr>
            <w:webHidden/>
          </w:rPr>
          <w:instrText xml:space="preserve"> PAGEREF _Toc24544728 \h </w:instrText>
        </w:r>
        <w:r w:rsidR="00F65B0A">
          <w:rPr>
            <w:webHidden/>
          </w:rPr>
        </w:r>
        <w:r w:rsidR="00F65B0A">
          <w:rPr>
            <w:webHidden/>
          </w:rPr>
          <w:fldChar w:fldCharType="separate"/>
        </w:r>
        <w:r w:rsidR="00F040A5">
          <w:rPr>
            <w:webHidden/>
          </w:rPr>
          <w:t>74</w:t>
        </w:r>
        <w:r w:rsidR="00F65B0A">
          <w:rPr>
            <w:webHidden/>
          </w:rPr>
          <w:fldChar w:fldCharType="end"/>
        </w:r>
      </w:hyperlink>
    </w:p>
    <w:p w14:paraId="49A2171E" w14:textId="763ADCE9" w:rsidR="00F65B0A" w:rsidRDefault="002F1598">
      <w:pPr>
        <w:pStyle w:val="TOC1"/>
        <w:rPr>
          <w:rFonts w:eastAsiaTheme="minorEastAsia" w:cstheme="minorBidi"/>
          <w:lang w:val="en-US" w:eastAsia="en-US"/>
        </w:rPr>
      </w:pPr>
      <w:hyperlink w:anchor="_Toc24544729" w:history="1">
        <w:r w:rsidR="00F65B0A" w:rsidRPr="006D1B7F">
          <w:rPr>
            <w:rStyle w:val="Hyperlink"/>
          </w:rPr>
          <w:t>9</w:t>
        </w:r>
        <w:r w:rsidR="00F65B0A">
          <w:rPr>
            <w:rFonts w:eastAsiaTheme="minorEastAsia" w:cstheme="minorBidi"/>
            <w:lang w:val="en-US" w:eastAsia="en-US"/>
          </w:rPr>
          <w:tab/>
        </w:r>
        <w:r w:rsidR="00F65B0A" w:rsidRPr="006D1B7F">
          <w:rPr>
            <w:rStyle w:val="Hyperlink"/>
          </w:rPr>
          <w:t>My Health Record recommendations</w:t>
        </w:r>
        <w:r w:rsidR="00F65B0A">
          <w:rPr>
            <w:webHidden/>
          </w:rPr>
          <w:tab/>
        </w:r>
        <w:r w:rsidR="00F65B0A">
          <w:rPr>
            <w:webHidden/>
          </w:rPr>
          <w:fldChar w:fldCharType="begin"/>
        </w:r>
        <w:r w:rsidR="00F65B0A">
          <w:rPr>
            <w:webHidden/>
          </w:rPr>
          <w:instrText xml:space="preserve"> PAGEREF _Toc24544729 \h </w:instrText>
        </w:r>
        <w:r w:rsidR="00F65B0A">
          <w:rPr>
            <w:webHidden/>
          </w:rPr>
        </w:r>
        <w:r w:rsidR="00F65B0A">
          <w:rPr>
            <w:webHidden/>
          </w:rPr>
          <w:fldChar w:fldCharType="separate"/>
        </w:r>
        <w:r w:rsidR="00F040A5">
          <w:rPr>
            <w:webHidden/>
          </w:rPr>
          <w:t>75</w:t>
        </w:r>
        <w:r w:rsidR="00F65B0A">
          <w:rPr>
            <w:webHidden/>
          </w:rPr>
          <w:fldChar w:fldCharType="end"/>
        </w:r>
      </w:hyperlink>
    </w:p>
    <w:p w14:paraId="6A5DA7E6" w14:textId="03112A4F" w:rsidR="00F65B0A" w:rsidRDefault="002F1598">
      <w:pPr>
        <w:pStyle w:val="TOC2"/>
        <w:tabs>
          <w:tab w:val="left" w:pos="851"/>
          <w:tab w:val="right" w:leader="dot" w:pos="8302"/>
        </w:tabs>
        <w:rPr>
          <w:rFonts w:eastAsiaTheme="minorEastAsia" w:cstheme="minorBidi"/>
          <w:lang w:val="en-US" w:eastAsia="en-US"/>
        </w:rPr>
      </w:pPr>
      <w:hyperlink w:anchor="_Toc24544730" w:history="1">
        <w:r w:rsidR="00F65B0A" w:rsidRPr="006D1B7F">
          <w:rPr>
            <w:rStyle w:val="Hyperlink"/>
          </w:rPr>
          <w:t>9.1</w:t>
        </w:r>
        <w:r w:rsidR="00F65B0A">
          <w:rPr>
            <w:rFonts w:eastAsiaTheme="minorEastAsia" w:cstheme="minorBidi"/>
            <w:lang w:val="en-US" w:eastAsia="en-US"/>
          </w:rPr>
          <w:tab/>
        </w:r>
        <w:r w:rsidR="00F65B0A" w:rsidRPr="006D1B7F">
          <w:rPr>
            <w:rStyle w:val="Hyperlink"/>
          </w:rPr>
          <w:t>My Health Record</w:t>
        </w:r>
        <w:r w:rsidR="00F65B0A">
          <w:rPr>
            <w:webHidden/>
          </w:rPr>
          <w:tab/>
        </w:r>
        <w:r w:rsidR="00F65B0A">
          <w:rPr>
            <w:webHidden/>
          </w:rPr>
          <w:fldChar w:fldCharType="begin"/>
        </w:r>
        <w:r w:rsidR="00F65B0A">
          <w:rPr>
            <w:webHidden/>
          </w:rPr>
          <w:instrText xml:space="preserve"> PAGEREF _Toc24544730 \h </w:instrText>
        </w:r>
        <w:r w:rsidR="00F65B0A">
          <w:rPr>
            <w:webHidden/>
          </w:rPr>
        </w:r>
        <w:r w:rsidR="00F65B0A">
          <w:rPr>
            <w:webHidden/>
          </w:rPr>
          <w:fldChar w:fldCharType="separate"/>
        </w:r>
        <w:r w:rsidR="00F040A5">
          <w:rPr>
            <w:webHidden/>
          </w:rPr>
          <w:t>75</w:t>
        </w:r>
        <w:r w:rsidR="00F65B0A">
          <w:rPr>
            <w:webHidden/>
          </w:rPr>
          <w:fldChar w:fldCharType="end"/>
        </w:r>
      </w:hyperlink>
    </w:p>
    <w:p w14:paraId="25FEFFC4" w14:textId="0334BDAC" w:rsidR="00F65B0A" w:rsidRDefault="002F1598">
      <w:pPr>
        <w:pStyle w:val="TOC2"/>
        <w:tabs>
          <w:tab w:val="left" w:pos="851"/>
          <w:tab w:val="right" w:leader="dot" w:pos="8302"/>
        </w:tabs>
        <w:rPr>
          <w:rFonts w:eastAsiaTheme="minorEastAsia" w:cstheme="minorBidi"/>
          <w:lang w:val="en-US" w:eastAsia="en-US"/>
        </w:rPr>
      </w:pPr>
      <w:hyperlink w:anchor="_Toc24544731" w:history="1">
        <w:r w:rsidR="00F65B0A" w:rsidRPr="006D1B7F">
          <w:rPr>
            <w:rStyle w:val="Hyperlink"/>
          </w:rPr>
          <w:t>9.2</w:t>
        </w:r>
        <w:r w:rsidR="00F65B0A">
          <w:rPr>
            <w:rFonts w:eastAsiaTheme="minorEastAsia" w:cstheme="minorBidi"/>
            <w:lang w:val="en-US" w:eastAsia="en-US"/>
          </w:rPr>
          <w:tab/>
        </w:r>
        <w:r w:rsidR="00F65B0A" w:rsidRPr="006D1B7F">
          <w:rPr>
            <w:rStyle w:val="Hyperlink"/>
          </w:rPr>
          <w:t>Barriers to uptake of My Health Record by consultant specialists</w:t>
        </w:r>
        <w:r w:rsidR="00F65B0A">
          <w:rPr>
            <w:webHidden/>
          </w:rPr>
          <w:tab/>
        </w:r>
        <w:r w:rsidR="00F65B0A">
          <w:rPr>
            <w:webHidden/>
          </w:rPr>
          <w:fldChar w:fldCharType="begin"/>
        </w:r>
        <w:r w:rsidR="00F65B0A">
          <w:rPr>
            <w:webHidden/>
          </w:rPr>
          <w:instrText xml:space="preserve"> PAGEREF _Toc24544731 \h </w:instrText>
        </w:r>
        <w:r w:rsidR="00F65B0A">
          <w:rPr>
            <w:webHidden/>
          </w:rPr>
        </w:r>
        <w:r w:rsidR="00F65B0A">
          <w:rPr>
            <w:webHidden/>
          </w:rPr>
          <w:fldChar w:fldCharType="separate"/>
        </w:r>
        <w:r w:rsidR="00F040A5">
          <w:rPr>
            <w:webHidden/>
          </w:rPr>
          <w:t>75</w:t>
        </w:r>
        <w:r w:rsidR="00F65B0A">
          <w:rPr>
            <w:webHidden/>
          </w:rPr>
          <w:fldChar w:fldCharType="end"/>
        </w:r>
      </w:hyperlink>
    </w:p>
    <w:p w14:paraId="42A6DA8B" w14:textId="23249F4A" w:rsidR="00F65B0A" w:rsidRDefault="002F1598">
      <w:pPr>
        <w:pStyle w:val="TOC2"/>
        <w:tabs>
          <w:tab w:val="left" w:pos="851"/>
          <w:tab w:val="right" w:leader="dot" w:pos="8302"/>
        </w:tabs>
        <w:rPr>
          <w:rFonts w:eastAsiaTheme="minorEastAsia" w:cstheme="minorBidi"/>
          <w:lang w:val="en-US" w:eastAsia="en-US"/>
        </w:rPr>
      </w:pPr>
      <w:hyperlink w:anchor="_Toc24544732" w:history="1">
        <w:r w:rsidR="00F65B0A" w:rsidRPr="006D1B7F">
          <w:rPr>
            <w:rStyle w:val="Hyperlink"/>
          </w:rPr>
          <w:t>9.3</w:t>
        </w:r>
        <w:r w:rsidR="00F65B0A">
          <w:rPr>
            <w:rFonts w:eastAsiaTheme="minorEastAsia" w:cstheme="minorBidi"/>
            <w:lang w:val="en-US" w:eastAsia="en-US"/>
          </w:rPr>
          <w:tab/>
        </w:r>
        <w:r w:rsidR="00F65B0A" w:rsidRPr="006D1B7F">
          <w:rPr>
            <w:rStyle w:val="Hyperlink"/>
          </w:rPr>
          <w:t>Recommendation 17 – Incentivise adoption of My Health Record</w:t>
        </w:r>
        <w:r w:rsidR="00F65B0A">
          <w:rPr>
            <w:webHidden/>
          </w:rPr>
          <w:tab/>
        </w:r>
        <w:r w:rsidR="00F65B0A">
          <w:rPr>
            <w:webHidden/>
          </w:rPr>
          <w:fldChar w:fldCharType="begin"/>
        </w:r>
        <w:r w:rsidR="00F65B0A">
          <w:rPr>
            <w:webHidden/>
          </w:rPr>
          <w:instrText xml:space="preserve"> PAGEREF _Toc24544732 \h </w:instrText>
        </w:r>
        <w:r w:rsidR="00F65B0A">
          <w:rPr>
            <w:webHidden/>
          </w:rPr>
        </w:r>
        <w:r w:rsidR="00F65B0A">
          <w:rPr>
            <w:webHidden/>
          </w:rPr>
          <w:fldChar w:fldCharType="separate"/>
        </w:r>
        <w:r w:rsidR="00F040A5">
          <w:rPr>
            <w:webHidden/>
          </w:rPr>
          <w:t>76</w:t>
        </w:r>
        <w:r w:rsidR="00F65B0A">
          <w:rPr>
            <w:webHidden/>
          </w:rPr>
          <w:fldChar w:fldCharType="end"/>
        </w:r>
      </w:hyperlink>
    </w:p>
    <w:p w14:paraId="161AE642" w14:textId="3D3DAFD4" w:rsidR="00F65B0A" w:rsidRDefault="002F1598">
      <w:pPr>
        <w:pStyle w:val="TOC2"/>
        <w:tabs>
          <w:tab w:val="left" w:pos="851"/>
          <w:tab w:val="right" w:leader="dot" w:pos="8302"/>
        </w:tabs>
        <w:rPr>
          <w:rFonts w:eastAsiaTheme="minorEastAsia" w:cstheme="minorBidi"/>
          <w:lang w:val="en-US" w:eastAsia="en-US"/>
        </w:rPr>
      </w:pPr>
      <w:hyperlink w:anchor="_Toc24544733" w:history="1">
        <w:r w:rsidR="00F65B0A" w:rsidRPr="006D1B7F">
          <w:rPr>
            <w:rStyle w:val="Hyperlink"/>
          </w:rPr>
          <w:t>9.4</w:t>
        </w:r>
        <w:r w:rsidR="00F65B0A">
          <w:rPr>
            <w:rFonts w:eastAsiaTheme="minorEastAsia" w:cstheme="minorBidi"/>
            <w:lang w:val="en-US" w:eastAsia="en-US"/>
          </w:rPr>
          <w:tab/>
        </w:r>
        <w:r w:rsidR="00F65B0A" w:rsidRPr="006D1B7F">
          <w:rPr>
            <w:rStyle w:val="Hyperlink"/>
          </w:rPr>
          <w:t>Rationale 17</w:t>
        </w:r>
        <w:r w:rsidR="00F65B0A">
          <w:rPr>
            <w:webHidden/>
          </w:rPr>
          <w:tab/>
        </w:r>
        <w:r w:rsidR="00F65B0A">
          <w:rPr>
            <w:webHidden/>
          </w:rPr>
          <w:fldChar w:fldCharType="begin"/>
        </w:r>
        <w:r w:rsidR="00F65B0A">
          <w:rPr>
            <w:webHidden/>
          </w:rPr>
          <w:instrText xml:space="preserve"> PAGEREF _Toc24544733 \h </w:instrText>
        </w:r>
        <w:r w:rsidR="00F65B0A">
          <w:rPr>
            <w:webHidden/>
          </w:rPr>
        </w:r>
        <w:r w:rsidR="00F65B0A">
          <w:rPr>
            <w:webHidden/>
          </w:rPr>
          <w:fldChar w:fldCharType="separate"/>
        </w:r>
        <w:r w:rsidR="00F040A5">
          <w:rPr>
            <w:webHidden/>
          </w:rPr>
          <w:t>76</w:t>
        </w:r>
        <w:r w:rsidR="00F65B0A">
          <w:rPr>
            <w:webHidden/>
          </w:rPr>
          <w:fldChar w:fldCharType="end"/>
        </w:r>
      </w:hyperlink>
    </w:p>
    <w:p w14:paraId="21002AB3" w14:textId="47453517" w:rsidR="00F65B0A" w:rsidRDefault="002F1598">
      <w:pPr>
        <w:pStyle w:val="TOC2"/>
        <w:tabs>
          <w:tab w:val="left" w:pos="851"/>
          <w:tab w:val="right" w:leader="dot" w:pos="8302"/>
        </w:tabs>
        <w:rPr>
          <w:rFonts w:eastAsiaTheme="minorEastAsia" w:cstheme="minorBidi"/>
          <w:lang w:val="en-US" w:eastAsia="en-US"/>
        </w:rPr>
      </w:pPr>
      <w:hyperlink w:anchor="_Toc24544734" w:history="1">
        <w:r w:rsidR="00F65B0A" w:rsidRPr="006D1B7F">
          <w:rPr>
            <w:rStyle w:val="Hyperlink"/>
          </w:rPr>
          <w:t>9.5</w:t>
        </w:r>
        <w:r w:rsidR="00F65B0A">
          <w:rPr>
            <w:rFonts w:eastAsiaTheme="minorEastAsia" w:cstheme="minorBidi"/>
            <w:lang w:val="en-US" w:eastAsia="en-US"/>
          </w:rPr>
          <w:tab/>
        </w:r>
        <w:r w:rsidR="00F65B0A" w:rsidRPr="006D1B7F">
          <w:rPr>
            <w:rStyle w:val="Hyperlink"/>
          </w:rPr>
          <w:t>Recommendation 18 –Use of My Health Record for case conferences and complex plans</w:t>
        </w:r>
        <w:r w:rsidR="00F65B0A">
          <w:rPr>
            <w:webHidden/>
          </w:rPr>
          <w:tab/>
        </w:r>
        <w:r w:rsidR="00F65B0A">
          <w:rPr>
            <w:webHidden/>
          </w:rPr>
          <w:fldChar w:fldCharType="begin"/>
        </w:r>
        <w:r w:rsidR="00F65B0A">
          <w:rPr>
            <w:webHidden/>
          </w:rPr>
          <w:instrText xml:space="preserve"> PAGEREF _Toc24544734 \h </w:instrText>
        </w:r>
        <w:r w:rsidR="00F65B0A">
          <w:rPr>
            <w:webHidden/>
          </w:rPr>
        </w:r>
        <w:r w:rsidR="00F65B0A">
          <w:rPr>
            <w:webHidden/>
          </w:rPr>
          <w:fldChar w:fldCharType="separate"/>
        </w:r>
        <w:r w:rsidR="00F040A5">
          <w:rPr>
            <w:webHidden/>
          </w:rPr>
          <w:t>76</w:t>
        </w:r>
        <w:r w:rsidR="00F65B0A">
          <w:rPr>
            <w:webHidden/>
          </w:rPr>
          <w:fldChar w:fldCharType="end"/>
        </w:r>
      </w:hyperlink>
    </w:p>
    <w:p w14:paraId="1E72DBC3" w14:textId="71781A17" w:rsidR="00F65B0A" w:rsidRDefault="002F1598">
      <w:pPr>
        <w:pStyle w:val="TOC2"/>
        <w:tabs>
          <w:tab w:val="left" w:pos="851"/>
          <w:tab w:val="right" w:leader="dot" w:pos="8302"/>
        </w:tabs>
        <w:rPr>
          <w:rFonts w:eastAsiaTheme="minorEastAsia" w:cstheme="minorBidi"/>
          <w:lang w:val="en-US" w:eastAsia="en-US"/>
        </w:rPr>
      </w:pPr>
      <w:hyperlink w:anchor="_Toc24544735" w:history="1">
        <w:r w:rsidR="00F65B0A" w:rsidRPr="006D1B7F">
          <w:rPr>
            <w:rStyle w:val="Hyperlink"/>
          </w:rPr>
          <w:t>9.6</w:t>
        </w:r>
        <w:r w:rsidR="00F65B0A">
          <w:rPr>
            <w:rFonts w:eastAsiaTheme="minorEastAsia" w:cstheme="minorBidi"/>
            <w:lang w:val="en-US" w:eastAsia="en-US"/>
          </w:rPr>
          <w:tab/>
        </w:r>
        <w:r w:rsidR="00F65B0A" w:rsidRPr="006D1B7F">
          <w:rPr>
            <w:rStyle w:val="Hyperlink"/>
          </w:rPr>
          <w:t>Rationale 18</w:t>
        </w:r>
        <w:r w:rsidR="00F65B0A">
          <w:rPr>
            <w:webHidden/>
          </w:rPr>
          <w:tab/>
        </w:r>
        <w:r w:rsidR="00F65B0A">
          <w:rPr>
            <w:webHidden/>
          </w:rPr>
          <w:fldChar w:fldCharType="begin"/>
        </w:r>
        <w:r w:rsidR="00F65B0A">
          <w:rPr>
            <w:webHidden/>
          </w:rPr>
          <w:instrText xml:space="preserve"> PAGEREF _Toc24544735 \h </w:instrText>
        </w:r>
        <w:r w:rsidR="00F65B0A">
          <w:rPr>
            <w:webHidden/>
          </w:rPr>
        </w:r>
        <w:r w:rsidR="00F65B0A">
          <w:rPr>
            <w:webHidden/>
          </w:rPr>
          <w:fldChar w:fldCharType="separate"/>
        </w:r>
        <w:r w:rsidR="00F040A5">
          <w:rPr>
            <w:webHidden/>
          </w:rPr>
          <w:t>76</w:t>
        </w:r>
        <w:r w:rsidR="00F65B0A">
          <w:rPr>
            <w:webHidden/>
          </w:rPr>
          <w:fldChar w:fldCharType="end"/>
        </w:r>
      </w:hyperlink>
    </w:p>
    <w:p w14:paraId="37658D4D" w14:textId="06FC70ED" w:rsidR="00F65B0A" w:rsidRDefault="002F1598">
      <w:pPr>
        <w:pStyle w:val="TOC2"/>
        <w:tabs>
          <w:tab w:val="left" w:pos="851"/>
          <w:tab w:val="right" w:leader="dot" w:pos="8302"/>
        </w:tabs>
        <w:rPr>
          <w:rFonts w:eastAsiaTheme="minorEastAsia" w:cstheme="minorBidi"/>
          <w:lang w:val="en-US" w:eastAsia="en-US"/>
        </w:rPr>
      </w:pPr>
      <w:hyperlink w:anchor="_Toc24544738" w:history="1">
        <w:r w:rsidR="00F65B0A" w:rsidRPr="006D1B7F">
          <w:rPr>
            <w:rStyle w:val="Hyperlink"/>
          </w:rPr>
          <w:t>9.7</w:t>
        </w:r>
        <w:r w:rsidR="00F65B0A">
          <w:rPr>
            <w:rFonts w:eastAsiaTheme="minorEastAsia" w:cstheme="minorBidi"/>
            <w:lang w:val="en-US" w:eastAsia="en-US"/>
          </w:rPr>
          <w:tab/>
        </w:r>
        <w:r w:rsidR="00F65B0A" w:rsidRPr="006D1B7F">
          <w:rPr>
            <w:rStyle w:val="Hyperlink"/>
          </w:rPr>
          <w:t>Recommendation 19 – Encourage adoption of My Health Record</w:t>
        </w:r>
        <w:r w:rsidR="00F65B0A">
          <w:rPr>
            <w:webHidden/>
          </w:rPr>
          <w:tab/>
        </w:r>
        <w:r w:rsidR="00F65B0A">
          <w:rPr>
            <w:webHidden/>
          </w:rPr>
          <w:fldChar w:fldCharType="begin"/>
        </w:r>
        <w:r w:rsidR="00F65B0A">
          <w:rPr>
            <w:webHidden/>
          </w:rPr>
          <w:instrText xml:space="preserve"> PAGEREF _Toc24544738 \h </w:instrText>
        </w:r>
        <w:r w:rsidR="00F65B0A">
          <w:rPr>
            <w:webHidden/>
          </w:rPr>
        </w:r>
        <w:r w:rsidR="00F65B0A">
          <w:rPr>
            <w:webHidden/>
          </w:rPr>
          <w:fldChar w:fldCharType="separate"/>
        </w:r>
        <w:r w:rsidR="00F040A5">
          <w:rPr>
            <w:webHidden/>
          </w:rPr>
          <w:t>77</w:t>
        </w:r>
        <w:r w:rsidR="00F65B0A">
          <w:rPr>
            <w:webHidden/>
          </w:rPr>
          <w:fldChar w:fldCharType="end"/>
        </w:r>
      </w:hyperlink>
    </w:p>
    <w:p w14:paraId="4DEA850F" w14:textId="11470676" w:rsidR="00F65B0A" w:rsidRDefault="002F1598">
      <w:pPr>
        <w:pStyle w:val="TOC2"/>
        <w:tabs>
          <w:tab w:val="left" w:pos="851"/>
          <w:tab w:val="right" w:leader="dot" w:pos="8302"/>
        </w:tabs>
        <w:rPr>
          <w:rFonts w:eastAsiaTheme="minorEastAsia" w:cstheme="minorBidi"/>
          <w:lang w:val="en-US" w:eastAsia="en-US"/>
        </w:rPr>
      </w:pPr>
      <w:hyperlink w:anchor="_Toc24544739" w:history="1">
        <w:r w:rsidR="00F65B0A" w:rsidRPr="006D1B7F">
          <w:rPr>
            <w:rStyle w:val="Hyperlink"/>
          </w:rPr>
          <w:t>9.8</w:t>
        </w:r>
        <w:r w:rsidR="00F65B0A">
          <w:rPr>
            <w:rFonts w:eastAsiaTheme="minorEastAsia" w:cstheme="minorBidi"/>
            <w:lang w:val="en-US" w:eastAsia="en-US"/>
          </w:rPr>
          <w:tab/>
        </w:r>
        <w:r w:rsidR="00F65B0A" w:rsidRPr="006D1B7F">
          <w:rPr>
            <w:rStyle w:val="Hyperlink"/>
          </w:rPr>
          <w:t>Rationale 19</w:t>
        </w:r>
        <w:r w:rsidR="00F65B0A">
          <w:rPr>
            <w:webHidden/>
          </w:rPr>
          <w:tab/>
        </w:r>
        <w:r w:rsidR="00F65B0A">
          <w:rPr>
            <w:webHidden/>
          </w:rPr>
          <w:fldChar w:fldCharType="begin"/>
        </w:r>
        <w:r w:rsidR="00F65B0A">
          <w:rPr>
            <w:webHidden/>
          </w:rPr>
          <w:instrText xml:space="preserve"> PAGEREF _Toc24544739 \h </w:instrText>
        </w:r>
        <w:r w:rsidR="00F65B0A">
          <w:rPr>
            <w:webHidden/>
          </w:rPr>
        </w:r>
        <w:r w:rsidR="00F65B0A">
          <w:rPr>
            <w:webHidden/>
          </w:rPr>
          <w:fldChar w:fldCharType="separate"/>
        </w:r>
        <w:r w:rsidR="00F040A5">
          <w:rPr>
            <w:webHidden/>
          </w:rPr>
          <w:t>77</w:t>
        </w:r>
        <w:r w:rsidR="00F65B0A">
          <w:rPr>
            <w:webHidden/>
          </w:rPr>
          <w:fldChar w:fldCharType="end"/>
        </w:r>
      </w:hyperlink>
    </w:p>
    <w:p w14:paraId="38FF723B" w14:textId="741D57E7" w:rsidR="00F65B0A" w:rsidRDefault="002F1598">
      <w:pPr>
        <w:pStyle w:val="TOC1"/>
        <w:rPr>
          <w:rFonts w:eastAsiaTheme="minorEastAsia" w:cstheme="minorBidi"/>
          <w:lang w:val="en-US" w:eastAsia="en-US"/>
        </w:rPr>
      </w:pPr>
      <w:hyperlink w:anchor="_Toc24544740" w:history="1">
        <w:r w:rsidR="00F65B0A" w:rsidRPr="006D1B7F">
          <w:rPr>
            <w:rStyle w:val="Hyperlink"/>
          </w:rPr>
          <w:t>10</w:t>
        </w:r>
        <w:r w:rsidR="00F65B0A">
          <w:rPr>
            <w:rFonts w:eastAsiaTheme="minorEastAsia" w:cstheme="minorBidi"/>
            <w:lang w:val="en-US" w:eastAsia="en-US"/>
          </w:rPr>
          <w:tab/>
        </w:r>
        <w:r w:rsidR="00F65B0A" w:rsidRPr="006D1B7F">
          <w:rPr>
            <w:rStyle w:val="Hyperlink"/>
          </w:rPr>
          <w:t>Referral practices recommendations</w:t>
        </w:r>
        <w:r w:rsidR="00F65B0A">
          <w:rPr>
            <w:webHidden/>
          </w:rPr>
          <w:tab/>
        </w:r>
        <w:r w:rsidR="00F65B0A">
          <w:rPr>
            <w:webHidden/>
          </w:rPr>
          <w:fldChar w:fldCharType="begin"/>
        </w:r>
        <w:r w:rsidR="00F65B0A">
          <w:rPr>
            <w:webHidden/>
          </w:rPr>
          <w:instrText xml:space="preserve"> PAGEREF _Toc24544740 \h </w:instrText>
        </w:r>
        <w:r w:rsidR="00F65B0A">
          <w:rPr>
            <w:webHidden/>
          </w:rPr>
        </w:r>
        <w:r w:rsidR="00F65B0A">
          <w:rPr>
            <w:webHidden/>
          </w:rPr>
          <w:fldChar w:fldCharType="separate"/>
        </w:r>
        <w:r w:rsidR="00F040A5">
          <w:rPr>
            <w:webHidden/>
          </w:rPr>
          <w:t>78</w:t>
        </w:r>
        <w:r w:rsidR="00F65B0A">
          <w:rPr>
            <w:webHidden/>
          </w:rPr>
          <w:fldChar w:fldCharType="end"/>
        </w:r>
      </w:hyperlink>
    </w:p>
    <w:p w14:paraId="3ACE1CD9" w14:textId="47DD059D" w:rsidR="00F65B0A" w:rsidRDefault="002F1598">
      <w:pPr>
        <w:pStyle w:val="TOC2"/>
        <w:tabs>
          <w:tab w:val="left" w:pos="1474"/>
          <w:tab w:val="right" w:leader="dot" w:pos="8302"/>
        </w:tabs>
        <w:rPr>
          <w:rFonts w:eastAsiaTheme="minorEastAsia" w:cstheme="minorBidi"/>
          <w:lang w:val="en-US" w:eastAsia="en-US"/>
        </w:rPr>
      </w:pPr>
      <w:hyperlink w:anchor="_Toc24544741" w:history="1">
        <w:r w:rsidR="00F65B0A" w:rsidRPr="006D1B7F">
          <w:rPr>
            <w:rStyle w:val="Hyperlink"/>
          </w:rPr>
          <w:t>10.1</w:t>
        </w:r>
        <w:r w:rsidR="00F65B0A">
          <w:rPr>
            <w:rFonts w:eastAsiaTheme="minorEastAsia" w:cstheme="minorBidi"/>
            <w:lang w:val="en-US" w:eastAsia="en-US"/>
          </w:rPr>
          <w:tab/>
        </w:r>
        <w:r w:rsidR="00F65B0A" w:rsidRPr="006D1B7F">
          <w:rPr>
            <w:rStyle w:val="Hyperlink"/>
          </w:rPr>
          <w:t>Recommendation 20 – Extend the current specialist to specialist referral validity period</w:t>
        </w:r>
        <w:r w:rsidR="00F65B0A">
          <w:rPr>
            <w:webHidden/>
          </w:rPr>
          <w:tab/>
        </w:r>
        <w:r w:rsidR="00F65B0A">
          <w:rPr>
            <w:webHidden/>
          </w:rPr>
          <w:fldChar w:fldCharType="begin"/>
        </w:r>
        <w:r w:rsidR="00F65B0A">
          <w:rPr>
            <w:webHidden/>
          </w:rPr>
          <w:instrText xml:space="preserve"> PAGEREF _Toc24544741 \h </w:instrText>
        </w:r>
        <w:r w:rsidR="00F65B0A">
          <w:rPr>
            <w:webHidden/>
          </w:rPr>
        </w:r>
        <w:r w:rsidR="00F65B0A">
          <w:rPr>
            <w:webHidden/>
          </w:rPr>
          <w:fldChar w:fldCharType="separate"/>
        </w:r>
        <w:r w:rsidR="00F040A5">
          <w:rPr>
            <w:webHidden/>
          </w:rPr>
          <w:t>78</w:t>
        </w:r>
        <w:r w:rsidR="00F65B0A">
          <w:rPr>
            <w:webHidden/>
          </w:rPr>
          <w:fldChar w:fldCharType="end"/>
        </w:r>
      </w:hyperlink>
    </w:p>
    <w:p w14:paraId="10357B64" w14:textId="3465F2F3" w:rsidR="00F65B0A" w:rsidRDefault="002F1598">
      <w:pPr>
        <w:pStyle w:val="TOC2"/>
        <w:tabs>
          <w:tab w:val="left" w:pos="1474"/>
          <w:tab w:val="right" w:leader="dot" w:pos="8302"/>
        </w:tabs>
        <w:rPr>
          <w:rFonts w:eastAsiaTheme="minorEastAsia" w:cstheme="minorBidi"/>
          <w:lang w:val="en-US" w:eastAsia="en-US"/>
        </w:rPr>
      </w:pPr>
      <w:hyperlink w:anchor="_Toc24544742" w:history="1">
        <w:r w:rsidR="00F65B0A" w:rsidRPr="006D1B7F">
          <w:rPr>
            <w:rStyle w:val="Hyperlink"/>
          </w:rPr>
          <w:t>10.2</w:t>
        </w:r>
        <w:r w:rsidR="00F65B0A">
          <w:rPr>
            <w:rFonts w:eastAsiaTheme="minorEastAsia" w:cstheme="minorBidi"/>
            <w:lang w:val="en-US" w:eastAsia="en-US"/>
          </w:rPr>
          <w:tab/>
        </w:r>
        <w:r w:rsidR="00F65B0A" w:rsidRPr="006D1B7F">
          <w:rPr>
            <w:rStyle w:val="Hyperlink"/>
          </w:rPr>
          <w:t>Rationale 20</w:t>
        </w:r>
        <w:r w:rsidR="00F65B0A">
          <w:rPr>
            <w:webHidden/>
          </w:rPr>
          <w:tab/>
        </w:r>
        <w:r w:rsidR="00F65B0A">
          <w:rPr>
            <w:webHidden/>
          </w:rPr>
          <w:fldChar w:fldCharType="begin"/>
        </w:r>
        <w:r w:rsidR="00F65B0A">
          <w:rPr>
            <w:webHidden/>
          </w:rPr>
          <w:instrText xml:space="preserve"> PAGEREF _Toc24544742 \h </w:instrText>
        </w:r>
        <w:r w:rsidR="00F65B0A">
          <w:rPr>
            <w:webHidden/>
          </w:rPr>
        </w:r>
        <w:r w:rsidR="00F65B0A">
          <w:rPr>
            <w:webHidden/>
          </w:rPr>
          <w:fldChar w:fldCharType="separate"/>
        </w:r>
        <w:r w:rsidR="00F040A5">
          <w:rPr>
            <w:webHidden/>
          </w:rPr>
          <w:t>78</w:t>
        </w:r>
        <w:r w:rsidR="00F65B0A">
          <w:rPr>
            <w:webHidden/>
          </w:rPr>
          <w:fldChar w:fldCharType="end"/>
        </w:r>
      </w:hyperlink>
    </w:p>
    <w:p w14:paraId="6ECB5489" w14:textId="40B8B299" w:rsidR="00F65B0A" w:rsidRDefault="002F1598">
      <w:pPr>
        <w:pStyle w:val="TOC2"/>
        <w:tabs>
          <w:tab w:val="left" w:pos="1474"/>
          <w:tab w:val="right" w:leader="dot" w:pos="8302"/>
        </w:tabs>
        <w:rPr>
          <w:rFonts w:eastAsiaTheme="minorEastAsia" w:cstheme="minorBidi"/>
          <w:lang w:val="en-US" w:eastAsia="en-US"/>
        </w:rPr>
      </w:pPr>
      <w:hyperlink w:anchor="_Toc24544743" w:history="1">
        <w:r w:rsidR="00F65B0A" w:rsidRPr="006D1B7F">
          <w:rPr>
            <w:rStyle w:val="Hyperlink"/>
          </w:rPr>
          <w:t>10.3</w:t>
        </w:r>
        <w:r w:rsidR="00F65B0A">
          <w:rPr>
            <w:rFonts w:eastAsiaTheme="minorEastAsia" w:cstheme="minorBidi"/>
            <w:lang w:val="en-US" w:eastAsia="en-US"/>
          </w:rPr>
          <w:tab/>
        </w:r>
        <w:r w:rsidR="00F65B0A" w:rsidRPr="006D1B7F">
          <w:rPr>
            <w:rStyle w:val="Hyperlink"/>
          </w:rPr>
          <w:t>Recommendation 21 – Introducing a new AHP pathway</w:t>
        </w:r>
        <w:r w:rsidR="00F65B0A">
          <w:rPr>
            <w:webHidden/>
          </w:rPr>
          <w:tab/>
        </w:r>
        <w:r w:rsidR="00F65B0A">
          <w:rPr>
            <w:webHidden/>
          </w:rPr>
          <w:fldChar w:fldCharType="begin"/>
        </w:r>
        <w:r w:rsidR="00F65B0A">
          <w:rPr>
            <w:webHidden/>
          </w:rPr>
          <w:instrText xml:space="preserve"> PAGEREF _Toc24544743 \h </w:instrText>
        </w:r>
        <w:r w:rsidR="00F65B0A">
          <w:rPr>
            <w:webHidden/>
          </w:rPr>
        </w:r>
        <w:r w:rsidR="00F65B0A">
          <w:rPr>
            <w:webHidden/>
          </w:rPr>
          <w:fldChar w:fldCharType="separate"/>
        </w:r>
        <w:r w:rsidR="00F040A5">
          <w:rPr>
            <w:webHidden/>
          </w:rPr>
          <w:t>79</w:t>
        </w:r>
        <w:r w:rsidR="00F65B0A">
          <w:rPr>
            <w:webHidden/>
          </w:rPr>
          <w:fldChar w:fldCharType="end"/>
        </w:r>
      </w:hyperlink>
    </w:p>
    <w:p w14:paraId="0977083B" w14:textId="40F46F54" w:rsidR="00F65B0A" w:rsidRDefault="002F1598">
      <w:pPr>
        <w:pStyle w:val="TOC2"/>
        <w:tabs>
          <w:tab w:val="left" w:pos="1474"/>
          <w:tab w:val="right" w:leader="dot" w:pos="8302"/>
        </w:tabs>
        <w:rPr>
          <w:rFonts w:eastAsiaTheme="minorEastAsia" w:cstheme="minorBidi"/>
          <w:lang w:val="en-US" w:eastAsia="en-US"/>
        </w:rPr>
      </w:pPr>
      <w:hyperlink w:anchor="_Toc24544744" w:history="1">
        <w:r w:rsidR="00F65B0A" w:rsidRPr="006D1B7F">
          <w:rPr>
            <w:rStyle w:val="Hyperlink"/>
          </w:rPr>
          <w:t>10.4</w:t>
        </w:r>
        <w:r w:rsidR="00F65B0A">
          <w:rPr>
            <w:rFonts w:eastAsiaTheme="minorEastAsia" w:cstheme="minorBidi"/>
            <w:lang w:val="en-US" w:eastAsia="en-US"/>
          </w:rPr>
          <w:tab/>
        </w:r>
        <w:r w:rsidR="00F65B0A" w:rsidRPr="006D1B7F">
          <w:rPr>
            <w:rStyle w:val="Hyperlink"/>
          </w:rPr>
          <w:t>Rationale 21</w:t>
        </w:r>
        <w:r w:rsidR="00F65B0A">
          <w:rPr>
            <w:webHidden/>
          </w:rPr>
          <w:tab/>
        </w:r>
        <w:r w:rsidR="00F65B0A">
          <w:rPr>
            <w:webHidden/>
          </w:rPr>
          <w:fldChar w:fldCharType="begin"/>
        </w:r>
        <w:r w:rsidR="00F65B0A">
          <w:rPr>
            <w:webHidden/>
          </w:rPr>
          <w:instrText xml:space="preserve"> PAGEREF _Toc24544744 \h </w:instrText>
        </w:r>
        <w:r w:rsidR="00F65B0A">
          <w:rPr>
            <w:webHidden/>
          </w:rPr>
        </w:r>
        <w:r w:rsidR="00F65B0A">
          <w:rPr>
            <w:webHidden/>
          </w:rPr>
          <w:fldChar w:fldCharType="separate"/>
        </w:r>
        <w:r w:rsidR="00F040A5">
          <w:rPr>
            <w:webHidden/>
          </w:rPr>
          <w:t>79</w:t>
        </w:r>
        <w:r w:rsidR="00F65B0A">
          <w:rPr>
            <w:webHidden/>
          </w:rPr>
          <w:fldChar w:fldCharType="end"/>
        </w:r>
      </w:hyperlink>
    </w:p>
    <w:p w14:paraId="368367AC" w14:textId="01D0607C" w:rsidR="00F65B0A" w:rsidRDefault="002F1598">
      <w:pPr>
        <w:pStyle w:val="TOC1"/>
        <w:rPr>
          <w:rFonts w:eastAsiaTheme="minorEastAsia" w:cstheme="minorBidi"/>
          <w:lang w:val="en-US" w:eastAsia="en-US"/>
        </w:rPr>
      </w:pPr>
      <w:hyperlink w:anchor="_Toc24544745" w:history="1">
        <w:r w:rsidR="00F65B0A" w:rsidRPr="006D1B7F">
          <w:rPr>
            <w:rStyle w:val="Hyperlink"/>
            <w:lang w:val="en-GB"/>
          </w:rPr>
          <w:t>11</w:t>
        </w:r>
        <w:r w:rsidR="00F65B0A">
          <w:rPr>
            <w:rFonts w:eastAsiaTheme="minorEastAsia" w:cstheme="minorBidi"/>
            <w:lang w:val="en-US" w:eastAsia="en-US"/>
          </w:rPr>
          <w:tab/>
        </w:r>
        <w:r w:rsidR="00F65B0A" w:rsidRPr="006D1B7F">
          <w:rPr>
            <w:rStyle w:val="Hyperlink"/>
            <w:lang w:val="en-GB"/>
          </w:rPr>
          <w:t>Impact statement</w:t>
        </w:r>
        <w:r w:rsidR="00F65B0A">
          <w:rPr>
            <w:webHidden/>
          </w:rPr>
          <w:tab/>
        </w:r>
        <w:r w:rsidR="00F65B0A">
          <w:rPr>
            <w:webHidden/>
          </w:rPr>
          <w:fldChar w:fldCharType="begin"/>
        </w:r>
        <w:r w:rsidR="00F65B0A">
          <w:rPr>
            <w:webHidden/>
          </w:rPr>
          <w:instrText xml:space="preserve"> PAGEREF _Toc24544745 \h </w:instrText>
        </w:r>
        <w:r w:rsidR="00F65B0A">
          <w:rPr>
            <w:webHidden/>
          </w:rPr>
        </w:r>
        <w:r w:rsidR="00F65B0A">
          <w:rPr>
            <w:webHidden/>
          </w:rPr>
          <w:fldChar w:fldCharType="separate"/>
        </w:r>
        <w:r w:rsidR="00F040A5">
          <w:rPr>
            <w:webHidden/>
          </w:rPr>
          <w:t>80</w:t>
        </w:r>
        <w:r w:rsidR="00F65B0A">
          <w:rPr>
            <w:webHidden/>
          </w:rPr>
          <w:fldChar w:fldCharType="end"/>
        </w:r>
      </w:hyperlink>
    </w:p>
    <w:p w14:paraId="6A2CF9B7" w14:textId="7B9E45E3" w:rsidR="00F65B0A" w:rsidRDefault="002F1598">
      <w:pPr>
        <w:pStyle w:val="TOC2"/>
        <w:tabs>
          <w:tab w:val="left" w:pos="1474"/>
          <w:tab w:val="right" w:leader="dot" w:pos="8302"/>
        </w:tabs>
        <w:rPr>
          <w:rFonts w:eastAsiaTheme="minorEastAsia" w:cstheme="minorBidi"/>
          <w:lang w:val="en-US" w:eastAsia="en-US"/>
        </w:rPr>
      </w:pPr>
      <w:hyperlink w:anchor="_Toc24544746" w:history="1">
        <w:r w:rsidR="00F65B0A" w:rsidRPr="006D1B7F">
          <w:rPr>
            <w:rStyle w:val="Hyperlink"/>
          </w:rPr>
          <w:t>11.1</w:t>
        </w:r>
        <w:r w:rsidR="00F65B0A">
          <w:rPr>
            <w:rFonts w:eastAsiaTheme="minorEastAsia" w:cstheme="minorBidi"/>
            <w:lang w:val="en-US" w:eastAsia="en-US"/>
          </w:rPr>
          <w:tab/>
        </w:r>
        <w:r w:rsidR="00F65B0A" w:rsidRPr="006D1B7F">
          <w:rPr>
            <w:rStyle w:val="Hyperlink"/>
          </w:rPr>
          <w:t>Introductory notes</w:t>
        </w:r>
        <w:r w:rsidR="00F65B0A">
          <w:rPr>
            <w:webHidden/>
          </w:rPr>
          <w:tab/>
        </w:r>
        <w:r w:rsidR="00F65B0A">
          <w:rPr>
            <w:webHidden/>
          </w:rPr>
          <w:fldChar w:fldCharType="begin"/>
        </w:r>
        <w:r w:rsidR="00F65B0A">
          <w:rPr>
            <w:webHidden/>
          </w:rPr>
          <w:instrText xml:space="preserve"> PAGEREF _Toc24544746 \h </w:instrText>
        </w:r>
        <w:r w:rsidR="00F65B0A">
          <w:rPr>
            <w:webHidden/>
          </w:rPr>
        </w:r>
        <w:r w:rsidR="00F65B0A">
          <w:rPr>
            <w:webHidden/>
          </w:rPr>
          <w:fldChar w:fldCharType="separate"/>
        </w:r>
        <w:r w:rsidR="00F040A5">
          <w:rPr>
            <w:webHidden/>
          </w:rPr>
          <w:t>80</w:t>
        </w:r>
        <w:r w:rsidR="00F65B0A">
          <w:rPr>
            <w:webHidden/>
          </w:rPr>
          <w:fldChar w:fldCharType="end"/>
        </w:r>
      </w:hyperlink>
    </w:p>
    <w:p w14:paraId="5A74BF37" w14:textId="59D429C2" w:rsidR="00F65B0A" w:rsidRDefault="002F1598">
      <w:pPr>
        <w:pStyle w:val="TOC2"/>
        <w:tabs>
          <w:tab w:val="left" w:pos="1474"/>
          <w:tab w:val="right" w:leader="dot" w:pos="8302"/>
        </w:tabs>
        <w:rPr>
          <w:rFonts w:eastAsiaTheme="minorEastAsia" w:cstheme="minorBidi"/>
          <w:lang w:val="en-US" w:eastAsia="en-US"/>
        </w:rPr>
      </w:pPr>
      <w:hyperlink w:anchor="_Toc24544747" w:history="1">
        <w:r w:rsidR="00F65B0A" w:rsidRPr="006D1B7F">
          <w:rPr>
            <w:rStyle w:val="Hyperlink"/>
          </w:rPr>
          <w:t>11.2</w:t>
        </w:r>
        <w:r w:rsidR="00F65B0A">
          <w:rPr>
            <w:rFonts w:eastAsiaTheme="minorEastAsia" w:cstheme="minorBidi"/>
            <w:lang w:val="en-US" w:eastAsia="en-US"/>
          </w:rPr>
          <w:tab/>
        </w:r>
        <w:r w:rsidR="00F65B0A" w:rsidRPr="006D1B7F">
          <w:rPr>
            <w:rStyle w:val="Hyperlink"/>
          </w:rPr>
          <w:t>Standard attendance recommendations</w:t>
        </w:r>
        <w:r w:rsidR="00F65B0A">
          <w:rPr>
            <w:webHidden/>
          </w:rPr>
          <w:tab/>
        </w:r>
        <w:r w:rsidR="00F65B0A">
          <w:rPr>
            <w:webHidden/>
          </w:rPr>
          <w:fldChar w:fldCharType="begin"/>
        </w:r>
        <w:r w:rsidR="00F65B0A">
          <w:rPr>
            <w:webHidden/>
          </w:rPr>
          <w:instrText xml:space="preserve"> PAGEREF _Toc24544747 \h </w:instrText>
        </w:r>
        <w:r w:rsidR="00F65B0A">
          <w:rPr>
            <w:webHidden/>
          </w:rPr>
        </w:r>
        <w:r w:rsidR="00F65B0A">
          <w:rPr>
            <w:webHidden/>
          </w:rPr>
          <w:fldChar w:fldCharType="separate"/>
        </w:r>
        <w:r w:rsidR="00F040A5">
          <w:rPr>
            <w:webHidden/>
          </w:rPr>
          <w:t>80</w:t>
        </w:r>
        <w:r w:rsidR="00F65B0A">
          <w:rPr>
            <w:webHidden/>
          </w:rPr>
          <w:fldChar w:fldCharType="end"/>
        </w:r>
      </w:hyperlink>
    </w:p>
    <w:p w14:paraId="4BD883BC" w14:textId="775F691E" w:rsidR="00F65B0A" w:rsidRDefault="002F1598">
      <w:pPr>
        <w:pStyle w:val="TOC2"/>
        <w:tabs>
          <w:tab w:val="left" w:pos="1474"/>
          <w:tab w:val="right" w:leader="dot" w:pos="8302"/>
        </w:tabs>
        <w:rPr>
          <w:rFonts w:eastAsiaTheme="minorEastAsia" w:cstheme="minorBidi"/>
          <w:lang w:val="en-US" w:eastAsia="en-US"/>
        </w:rPr>
      </w:pPr>
      <w:hyperlink w:anchor="_Toc24544748" w:history="1">
        <w:r w:rsidR="00F65B0A" w:rsidRPr="006D1B7F">
          <w:rPr>
            <w:rStyle w:val="Hyperlink"/>
          </w:rPr>
          <w:t>11.3</w:t>
        </w:r>
        <w:r w:rsidR="00F65B0A">
          <w:rPr>
            <w:rFonts w:eastAsiaTheme="minorEastAsia" w:cstheme="minorBidi"/>
            <w:lang w:val="en-US" w:eastAsia="en-US"/>
          </w:rPr>
          <w:tab/>
        </w:r>
        <w:r w:rsidR="00F65B0A" w:rsidRPr="006D1B7F">
          <w:rPr>
            <w:rStyle w:val="Hyperlink"/>
          </w:rPr>
          <w:t>Complex plan recommendations:</w:t>
        </w:r>
        <w:r w:rsidR="00F65B0A">
          <w:rPr>
            <w:webHidden/>
          </w:rPr>
          <w:tab/>
        </w:r>
        <w:r w:rsidR="00F65B0A">
          <w:rPr>
            <w:webHidden/>
          </w:rPr>
          <w:fldChar w:fldCharType="begin"/>
        </w:r>
        <w:r w:rsidR="00F65B0A">
          <w:rPr>
            <w:webHidden/>
          </w:rPr>
          <w:instrText xml:space="preserve"> PAGEREF _Toc24544748 \h </w:instrText>
        </w:r>
        <w:r w:rsidR="00F65B0A">
          <w:rPr>
            <w:webHidden/>
          </w:rPr>
        </w:r>
        <w:r w:rsidR="00F65B0A">
          <w:rPr>
            <w:webHidden/>
          </w:rPr>
          <w:fldChar w:fldCharType="separate"/>
        </w:r>
        <w:r w:rsidR="00F040A5">
          <w:rPr>
            <w:webHidden/>
          </w:rPr>
          <w:t>81</w:t>
        </w:r>
        <w:r w:rsidR="00F65B0A">
          <w:rPr>
            <w:webHidden/>
          </w:rPr>
          <w:fldChar w:fldCharType="end"/>
        </w:r>
      </w:hyperlink>
    </w:p>
    <w:p w14:paraId="4C42AC92" w14:textId="0A1ED1EC" w:rsidR="00F65B0A" w:rsidRDefault="002F1598">
      <w:pPr>
        <w:pStyle w:val="TOC2"/>
        <w:tabs>
          <w:tab w:val="left" w:pos="1474"/>
          <w:tab w:val="right" w:leader="dot" w:pos="8302"/>
        </w:tabs>
        <w:rPr>
          <w:rFonts w:eastAsiaTheme="minorEastAsia" w:cstheme="minorBidi"/>
          <w:lang w:val="en-US" w:eastAsia="en-US"/>
        </w:rPr>
      </w:pPr>
      <w:hyperlink w:anchor="_Toc24544749" w:history="1">
        <w:r w:rsidR="00F65B0A" w:rsidRPr="006D1B7F">
          <w:rPr>
            <w:rStyle w:val="Hyperlink"/>
          </w:rPr>
          <w:t>11.4</w:t>
        </w:r>
        <w:r w:rsidR="00F65B0A">
          <w:rPr>
            <w:rFonts w:eastAsiaTheme="minorEastAsia" w:cstheme="minorBidi"/>
            <w:lang w:val="en-US" w:eastAsia="en-US"/>
          </w:rPr>
          <w:tab/>
        </w:r>
        <w:r w:rsidR="00F65B0A" w:rsidRPr="006D1B7F">
          <w:rPr>
            <w:rStyle w:val="Hyperlink"/>
          </w:rPr>
          <w:t>Telehealth recommendations</w:t>
        </w:r>
        <w:r w:rsidR="00F65B0A">
          <w:rPr>
            <w:webHidden/>
          </w:rPr>
          <w:tab/>
        </w:r>
        <w:r w:rsidR="00F65B0A">
          <w:rPr>
            <w:webHidden/>
          </w:rPr>
          <w:fldChar w:fldCharType="begin"/>
        </w:r>
        <w:r w:rsidR="00F65B0A">
          <w:rPr>
            <w:webHidden/>
          </w:rPr>
          <w:instrText xml:space="preserve"> PAGEREF _Toc24544749 \h </w:instrText>
        </w:r>
        <w:r w:rsidR="00F65B0A">
          <w:rPr>
            <w:webHidden/>
          </w:rPr>
        </w:r>
        <w:r w:rsidR="00F65B0A">
          <w:rPr>
            <w:webHidden/>
          </w:rPr>
          <w:fldChar w:fldCharType="separate"/>
        </w:r>
        <w:r w:rsidR="00F040A5">
          <w:rPr>
            <w:webHidden/>
          </w:rPr>
          <w:t>81</w:t>
        </w:r>
        <w:r w:rsidR="00F65B0A">
          <w:rPr>
            <w:webHidden/>
          </w:rPr>
          <w:fldChar w:fldCharType="end"/>
        </w:r>
      </w:hyperlink>
    </w:p>
    <w:p w14:paraId="34E33EBF" w14:textId="3E28DF75" w:rsidR="00F65B0A" w:rsidRDefault="002F1598">
      <w:pPr>
        <w:pStyle w:val="TOC2"/>
        <w:tabs>
          <w:tab w:val="left" w:pos="1474"/>
          <w:tab w:val="right" w:leader="dot" w:pos="8302"/>
        </w:tabs>
        <w:rPr>
          <w:rFonts w:eastAsiaTheme="minorEastAsia" w:cstheme="minorBidi"/>
          <w:lang w:val="en-US" w:eastAsia="en-US"/>
        </w:rPr>
      </w:pPr>
      <w:hyperlink w:anchor="_Toc24544750" w:history="1">
        <w:r w:rsidR="00F65B0A" w:rsidRPr="006D1B7F">
          <w:rPr>
            <w:rStyle w:val="Hyperlink"/>
          </w:rPr>
          <w:t>11.5</w:t>
        </w:r>
        <w:r w:rsidR="00F65B0A">
          <w:rPr>
            <w:rFonts w:eastAsiaTheme="minorEastAsia" w:cstheme="minorBidi"/>
            <w:lang w:val="en-US" w:eastAsia="en-US"/>
          </w:rPr>
          <w:tab/>
        </w:r>
        <w:r w:rsidR="00F65B0A" w:rsidRPr="006D1B7F">
          <w:rPr>
            <w:rStyle w:val="Hyperlink"/>
          </w:rPr>
          <w:t>Case conference recommendations</w:t>
        </w:r>
        <w:r w:rsidR="00F65B0A">
          <w:rPr>
            <w:webHidden/>
          </w:rPr>
          <w:tab/>
        </w:r>
        <w:r w:rsidR="00F65B0A">
          <w:rPr>
            <w:webHidden/>
          </w:rPr>
          <w:fldChar w:fldCharType="begin"/>
        </w:r>
        <w:r w:rsidR="00F65B0A">
          <w:rPr>
            <w:webHidden/>
          </w:rPr>
          <w:instrText xml:space="preserve"> PAGEREF _Toc24544750 \h </w:instrText>
        </w:r>
        <w:r w:rsidR="00F65B0A">
          <w:rPr>
            <w:webHidden/>
          </w:rPr>
        </w:r>
        <w:r w:rsidR="00F65B0A">
          <w:rPr>
            <w:webHidden/>
          </w:rPr>
          <w:fldChar w:fldCharType="separate"/>
        </w:r>
        <w:r w:rsidR="00F040A5">
          <w:rPr>
            <w:webHidden/>
          </w:rPr>
          <w:t>82</w:t>
        </w:r>
        <w:r w:rsidR="00F65B0A">
          <w:rPr>
            <w:webHidden/>
          </w:rPr>
          <w:fldChar w:fldCharType="end"/>
        </w:r>
      </w:hyperlink>
    </w:p>
    <w:p w14:paraId="0CEAF9D6" w14:textId="500E394F" w:rsidR="00F65B0A" w:rsidRDefault="002F1598">
      <w:pPr>
        <w:pStyle w:val="TOC2"/>
        <w:tabs>
          <w:tab w:val="left" w:pos="1474"/>
          <w:tab w:val="right" w:leader="dot" w:pos="8302"/>
        </w:tabs>
        <w:rPr>
          <w:rFonts w:eastAsiaTheme="minorEastAsia" w:cstheme="minorBidi"/>
          <w:lang w:val="en-US" w:eastAsia="en-US"/>
        </w:rPr>
      </w:pPr>
      <w:hyperlink w:anchor="_Toc24544751" w:history="1">
        <w:r w:rsidR="00F65B0A" w:rsidRPr="006D1B7F">
          <w:rPr>
            <w:rStyle w:val="Hyperlink"/>
          </w:rPr>
          <w:t>11.6</w:t>
        </w:r>
        <w:r w:rsidR="00F65B0A">
          <w:rPr>
            <w:rFonts w:eastAsiaTheme="minorEastAsia" w:cstheme="minorBidi"/>
            <w:lang w:val="en-US" w:eastAsia="en-US"/>
          </w:rPr>
          <w:tab/>
        </w:r>
        <w:r w:rsidR="00F65B0A" w:rsidRPr="006D1B7F">
          <w:rPr>
            <w:rStyle w:val="Hyperlink"/>
          </w:rPr>
          <w:t>Use of data to inform quality care and informed patient choice and consent</w:t>
        </w:r>
        <w:r w:rsidR="00F65B0A">
          <w:rPr>
            <w:webHidden/>
          </w:rPr>
          <w:tab/>
        </w:r>
        <w:r w:rsidR="00F65B0A">
          <w:rPr>
            <w:webHidden/>
          </w:rPr>
          <w:fldChar w:fldCharType="begin"/>
        </w:r>
        <w:r w:rsidR="00F65B0A">
          <w:rPr>
            <w:webHidden/>
          </w:rPr>
          <w:instrText xml:space="preserve"> PAGEREF _Toc24544751 \h </w:instrText>
        </w:r>
        <w:r w:rsidR="00F65B0A">
          <w:rPr>
            <w:webHidden/>
          </w:rPr>
        </w:r>
        <w:r w:rsidR="00F65B0A">
          <w:rPr>
            <w:webHidden/>
          </w:rPr>
          <w:fldChar w:fldCharType="separate"/>
        </w:r>
        <w:r w:rsidR="00F040A5">
          <w:rPr>
            <w:webHidden/>
          </w:rPr>
          <w:t>83</w:t>
        </w:r>
        <w:r w:rsidR="00F65B0A">
          <w:rPr>
            <w:webHidden/>
          </w:rPr>
          <w:fldChar w:fldCharType="end"/>
        </w:r>
      </w:hyperlink>
    </w:p>
    <w:p w14:paraId="2D7F2F0E" w14:textId="001749B2" w:rsidR="00F65B0A" w:rsidRDefault="002F1598">
      <w:pPr>
        <w:pStyle w:val="TOC2"/>
        <w:tabs>
          <w:tab w:val="left" w:pos="1474"/>
          <w:tab w:val="right" w:leader="dot" w:pos="8302"/>
        </w:tabs>
        <w:rPr>
          <w:rFonts w:eastAsiaTheme="minorEastAsia" w:cstheme="minorBidi"/>
          <w:lang w:val="en-US" w:eastAsia="en-US"/>
        </w:rPr>
      </w:pPr>
      <w:hyperlink w:anchor="_Toc24544752" w:history="1">
        <w:r w:rsidR="00F65B0A" w:rsidRPr="006D1B7F">
          <w:rPr>
            <w:rStyle w:val="Hyperlink"/>
          </w:rPr>
          <w:t>11.7</w:t>
        </w:r>
        <w:r w:rsidR="00F65B0A">
          <w:rPr>
            <w:rFonts w:eastAsiaTheme="minorEastAsia" w:cstheme="minorBidi"/>
            <w:lang w:val="en-US" w:eastAsia="en-US"/>
          </w:rPr>
          <w:tab/>
        </w:r>
        <w:r w:rsidR="00F65B0A" w:rsidRPr="006D1B7F">
          <w:rPr>
            <w:rStyle w:val="Hyperlink"/>
          </w:rPr>
          <w:t>My Health Record recommendations</w:t>
        </w:r>
        <w:r w:rsidR="00F65B0A">
          <w:rPr>
            <w:webHidden/>
          </w:rPr>
          <w:tab/>
        </w:r>
        <w:r w:rsidR="00F65B0A">
          <w:rPr>
            <w:webHidden/>
          </w:rPr>
          <w:fldChar w:fldCharType="begin"/>
        </w:r>
        <w:r w:rsidR="00F65B0A">
          <w:rPr>
            <w:webHidden/>
          </w:rPr>
          <w:instrText xml:space="preserve"> PAGEREF _Toc24544752 \h </w:instrText>
        </w:r>
        <w:r w:rsidR="00F65B0A">
          <w:rPr>
            <w:webHidden/>
          </w:rPr>
        </w:r>
        <w:r w:rsidR="00F65B0A">
          <w:rPr>
            <w:webHidden/>
          </w:rPr>
          <w:fldChar w:fldCharType="separate"/>
        </w:r>
        <w:r w:rsidR="00F040A5">
          <w:rPr>
            <w:webHidden/>
          </w:rPr>
          <w:t>83</w:t>
        </w:r>
        <w:r w:rsidR="00F65B0A">
          <w:rPr>
            <w:webHidden/>
          </w:rPr>
          <w:fldChar w:fldCharType="end"/>
        </w:r>
      </w:hyperlink>
    </w:p>
    <w:p w14:paraId="033CFB4A" w14:textId="0B434274" w:rsidR="00F65B0A" w:rsidRDefault="002F1598">
      <w:pPr>
        <w:pStyle w:val="TOC1"/>
        <w:rPr>
          <w:rFonts w:eastAsiaTheme="minorEastAsia" w:cstheme="minorBidi"/>
          <w:lang w:val="en-US" w:eastAsia="en-US"/>
        </w:rPr>
      </w:pPr>
      <w:hyperlink w:anchor="_Toc24544753" w:history="1">
        <w:r w:rsidR="00F65B0A" w:rsidRPr="006D1B7F">
          <w:rPr>
            <w:rStyle w:val="Hyperlink"/>
          </w:rPr>
          <w:t>12</w:t>
        </w:r>
        <w:r w:rsidR="00F65B0A">
          <w:rPr>
            <w:rFonts w:eastAsiaTheme="minorEastAsia" w:cstheme="minorBidi"/>
            <w:lang w:val="en-US" w:eastAsia="en-US"/>
          </w:rPr>
          <w:tab/>
        </w:r>
        <w:r w:rsidR="00F65B0A" w:rsidRPr="006D1B7F">
          <w:rPr>
            <w:rStyle w:val="Hyperlink"/>
          </w:rPr>
          <w:t xml:space="preserve"> References</w:t>
        </w:r>
        <w:r w:rsidR="00F65B0A">
          <w:rPr>
            <w:webHidden/>
          </w:rPr>
          <w:tab/>
        </w:r>
        <w:r w:rsidR="00F65B0A">
          <w:rPr>
            <w:webHidden/>
          </w:rPr>
          <w:fldChar w:fldCharType="begin"/>
        </w:r>
        <w:r w:rsidR="00F65B0A">
          <w:rPr>
            <w:webHidden/>
          </w:rPr>
          <w:instrText xml:space="preserve"> PAGEREF _Toc24544753 \h </w:instrText>
        </w:r>
        <w:r w:rsidR="00F65B0A">
          <w:rPr>
            <w:webHidden/>
          </w:rPr>
        </w:r>
        <w:r w:rsidR="00F65B0A">
          <w:rPr>
            <w:webHidden/>
          </w:rPr>
          <w:fldChar w:fldCharType="separate"/>
        </w:r>
        <w:r w:rsidR="00F040A5">
          <w:rPr>
            <w:webHidden/>
          </w:rPr>
          <w:t>84</w:t>
        </w:r>
        <w:r w:rsidR="00F65B0A">
          <w:rPr>
            <w:webHidden/>
          </w:rPr>
          <w:fldChar w:fldCharType="end"/>
        </w:r>
      </w:hyperlink>
    </w:p>
    <w:p w14:paraId="5580F922" w14:textId="29608E0C" w:rsidR="00F65B0A" w:rsidRDefault="002F1598">
      <w:pPr>
        <w:pStyle w:val="TOC1"/>
        <w:rPr>
          <w:rFonts w:eastAsiaTheme="minorEastAsia" w:cstheme="minorBidi"/>
          <w:lang w:val="en-US" w:eastAsia="en-US"/>
        </w:rPr>
      </w:pPr>
      <w:hyperlink w:anchor="_Toc24544754" w:history="1">
        <w:r w:rsidR="00F65B0A" w:rsidRPr="006D1B7F">
          <w:rPr>
            <w:rStyle w:val="Hyperlink"/>
            <w:lang w:val="en-GB"/>
          </w:rPr>
          <w:t>13</w:t>
        </w:r>
        <w:r w:rsidR="00F65B0A">
          <w:rPr>
            <w:rFonts w:eastAsiaTheme="minorEastAsia" w:cstheme="minorBidi"/>
            <w:lang w:val="en-US" w:eastAsia="en-US"/>
          </w:rPr>
          <w:tab/>
        </w:r>
        <w:r w:rsidR="00F65B0A" w:rsidRPr="006D1B7F">
          <w:rPr>
            <w:rStyle w:val="Hyperlink"/>
            <w:lang w:val="en-GB"/>
          </w:rPr>
          <w:t>Glossary</w:t>
        </w:r>
        <w:r w:rsidR="00F65B0A">
          <w:rPr>
            <w:webHidden/>
          </w:rPr>
          <w:tab/>
        </w:r>
        <w:r w:rsidR="00F65B0A">
          <w:rPr>
            <w:webHidden/>
          </w:rPr>
          <w:fldChar w:fldCharType="begin"/>
        </w:r>
        <w:r w:rsidR="00F65B0A">
          <w:rPr>
            <w:webHidden/>
          </w:rPr>
          <w:instrText xml:space="preserve"> PAGEREF _Toc24544754 \h </w:instrText>
        </w:r>
        <w:r w:rsidR="00F65B0A">
          <w:rPr>
            <w:webHidden/>
          </w:rPr>
        </w:r>
        <w:r w:rsidR="00F65B0A">
          <w:rPr>
            <w:webHidden/>
          </w:rPr>
          <w:fldChar w:fldCharType="separate"/>
        </w:r>
        <w:r w:rsidR="00F040A5">
          <w:rPr>
            <w:webHidden/>
          </w:rPr>
          <w:t>86</w:t>
        </w:r>
        <w:r w:rsidR="00F65B0A">
          <w:rPr>
            <w:webHidden/>
          </w:rPr>
          <w:fldChar w:fldCharType="end"/>
        </w:r>
      </w:hyperlink>
    </w:p>
    <w:p w14:paraId="4FE2707C" w14:textId="53EC9F7C" w:rsidR="00F65B0A" w:rsidRDefault="002F1598">
      <w:pPr>
        <w:pStyle w:val="TOC1"/>
        <w:tabs>
          <w:tab w:val="left" w:pos="1474"/>
        </w:tabs>
        <w:rPr>
          <w:rFonts w:eastAsiaTheme="minorEastAsia" w:cstheme="minorBidi"/>
          <w:lang w:val="en-US" w:eastAsia="en-US"/>
        </w:rPr>
      </w:pPr>
      <w:hyperlink w:anchor="_Toc24544755" w:history="1">
        <w:r w:rsidR="00F65B0A" w:rsidRPr="006D1B7F">
          <w:rPr>
            <w:rStyle w:val="Hyperlink"/>
            <w:lang w:val="en-GB"/>
            <w14:scene3d>
              <w14:camera w14:prst="orthographicFront"/>
              <w14:lightRig w14:rig="threePt" w14:dir="t">
                <w14:rot w14:lat="0" w14:lon="0" w14:rev="0"/>
              </w14:lightRig>
            </w14:scene3d>
          </w:rPr>
          <w:t>Appendix A</w:t>
        </w:r>
        <w:r w:rsidR="00F65B0A">
          <w:rPr>
            <w:rFonts w:eastAsiaTheme="minorEastAsia" w:cstheme="minorBidi"/>
            <w:lang w:val="en-US" w:eastAsia="en-US"/>
          </w:rPr>
          <w:tab/>
        </w:r>
        <w:r w:rsidR="00F65B0A" w:rsidRPr="006D1B7F">
          <w:rPr>
            <w:rStyle w:val="Hyperlink"/>
            <w:lang w:val="en-GB"/>
          </w:rPr>
          <w:t>Index of items</w:t>
        </w:r>
        <w:r w:rsidR="00F65B0A">
          <w:rPr>
            <w:webHidden/>
          </w:rPr>
          <w:tab/>
        </w:r>
        <w:r w:rsidR="00F65B0A">
          <w:rPr>
            <w:webHidden/>
          </w:rPr>
          <w:fldChar w:fldCharType="begin"/>
        </w:r>
        <w:r w:rsidR="00F65B0A">
          <w:rPr>
            <w:webHidden/>
          </w:rPr>
          <w:instrText xml:space="preserve"> PAGEREF _Toc24544755 \h </w:instrText>
        </w:r>
        <w:r w:rsidR="00F65B0A">
          <w:rPr>
            <w:webHidden/>
          </w:rPr>
        </w:r>
        <w:r w:rsidR="00F65B0A">
          <w:rPr>
            <w:webHidden/>
          </w:rPr>
          <w:fldChar w:fldCharType="separate"/>
        </w:r>
        <w:r w:rsidR="00F040A5">
          <w:rPr>
            <w:webHidden/>
          </w:rPr>
          <w:t>89</w:t>
        </w:r>
        <w:r w:rsidR="00F65B0A">
          <w:rPr>
            <w:webHidden/>
          </w:rPr>
          <w:fldChar w:fldCharType="end"/>
        </w:r>
      </w:hyperlink>
    </w:p>
    <w:p w14:paraId="3D021B71" w14:textId="5592B4B9" w:rsidR="00F65B0A" w:rsidRDefault="002F1598">
      <w:pPr>
        <w:pStyle w:val="TOC2"/>
        <w:tabs>
          <w:tab w:val="right" w:leader="dot" w:pos="8302"/>
        </w:tabs>
        <w:rPr>
          <w:rFonts w:eastAsiaTheme="minorEastAsia" w:cstheme="minorBidi"/>
          <w:lang w:val="en-US" w:eastAsia="en-US"/>
        </w:rPr>
      </w:pPr>
      <w:hyperlink w:anchor="_Toc24544756" w:history="1">
        <w:r w:rsidR="00F65B0A" w:rsidRPr="006D1B7F">
          <w:rPr>
            <w:rStyle w:val="Hyperlink"/>
            <w:lang w:val="en-GB"/>
          </w:rPr>
          <w:t>A.1. Standard attendance items</w:t>
        </w:r>
        <w:r w:rsidR="00F65B0A">
          <w:rPr>
            <w:webHidden/>
          </w:rPr>
          <w:tab/>
        </w:r>
        <w:r w:rsidR="00F65B0A">
          <w:rPr>
            <w:webHidden/>
          </w:rPr>
          <w:fldChar w:fldCharType="begin"/>
        </w:r>
        <w:r w:rsidR="00F65B0A">
          <w:rPr>
            <w:webHidden/>
          </w:rPr>
          <w:instrText xml:space="preserve"> PAGEREF _Toc24544756 \h </w:instrText>
        </w:r>
        <w:r w:rsidR="00F65B0A">
          <w:rPr>
            <w:webHidden/>
          </w:rPr>
        </w:r>
        <w:r w:rsidR="00F65B0A">
          <w:rPr>
            <w:webHidden/>
          </w:rPr>
          <w:fldChar w:fldCharType="separate"/>
        </w:r>
        <w:r w:rsidR="00F040A5">
          <w:rPr>
            <w:webHidden/>
          </w:rPr>
          <w:t>89</w:t>
        </w:r>
        <w:r w:rsidR="00F65B0A">
          <w:rPr>
            <w:webHidden/>
          </w:rPr>
          <w:fldChar w:fldCharType="end"/>
        </w:r>
      </w:hyperlink>
    </w:p>
    <w:p w14:paraId="14E38217" w14:textId="4D20F175" w:rsidR="00F65B0A" w:rsidRDefault="002F1598">
      <w:pPr>
        <w:pStyle w:val="TOC2"/>
        <w:tabs>
          <w:tab w:val="right" w:leader="dot" w:pos="8302"/>
        </w:tabs>
        <w:rPr>
          <w:rFonts w:eastAsiaTheme="minorEastAsia" w:cstheme="minorBidi"/>
          <w:lang w:val="en-US" w:eastAsia="en-US"/>
        </w:rPr>
      </w:pPr>
      <w:hyperlink w:anchor="_Toc24544757" w:history="1">
        <w:r w:rsidR="00F65B0A" w:rsidRPr="006D1B7F">
          <w:rPr>
            <w:rStyle w:val="Hyperlink"/>
            <w:lang w:val="en-GB"/>
          </w:rPr>
          <w:t>A.2. Complex management plans attendance items</w:t>
        </w:r>
        <w:r w:rsidR="00F65B0A">
          <w:rPr>
            <w:webHidden/>
          </w:rPr>
          <w:tab/>
        </w:r>
        <w:r w:rsidR="00F65B0A">
          <w:rPr>
            <w:webHidden/>
          </w:rPr>
          <w:fldChar w:fldCharType="begin"/>
        </w:r>
        <w:r w:rsidR="00F65B0A">
          <w:rPr>
            <w:webHidden/>
          </w:rPr>
          <w:instrText xml:space="preserve"> PAGEREF _Toc24544757 \h </w:instrText>
        </w:r>
        <w:r w:rsidR="00F65B0A">
          <w:rPr>
            <w:webHidden/>
          </w:rPr>
        </w:r>
        <w:r w:rsidR="00F65B0A">
          <w:rPr>
            <w:webHidden/>
          </w:rPr>
          <w:fldChar w:fldCharType="separate"/>
        </w:r>
        <w:r w:rsidR="00F040A5">
          <w:rPr>
            <w:webHidden/>
          </w:rPr>
          <w:t>98</w:t>
        </w:r>
        <w:r w:rsidR="00F65B0A">
          <w:rPr>
            <w:webHidden/>
          </w:rPr>
          <w:fldChar w:fldCharType="end"/>
        </w:r>
      </w:hyperlink>
    </w:p>
    <w:p w14:paraId="77025D21" w14:textId="28264CE2" w:rsidR="00F65B0A" w:rsidRDefault="002F1598">
      <w:pPr>
        <w:pStyle w:val="TOC2"/>
        <w:tabs>
          <w:tab w:val="right" w:leader="dot" w:pos="8302"/>
        </w:tabs>
        <w:rPr>
          <w:rFonts w:eastAsiaTheme="minorEastAsia" w:cstheme="minorBidi"/>
          <w:lang w:val="en-US" w:eastAsia="en-US"/>
        </w:rPr>
      </w:pPr>
      <w:hyperlink w:anchor="_Toc24544758" w:history="1">
        <w:r w:rsidR="00F65B0A" w:rsidRPr="006D1B7F">
          <w:rPr>
            <w:rStyle w:val="Hyperlink"/>
            <w:lang w:val="en-GB"/>
          </w:rPr>
          <w:t>A.3. Telehealth attendance items</w:t>
        </w:r>
        <w:r w:rsidR="00F65B0A">
          <w:rPr>
            <w:webHidden/>
          </w:rPr>
          <w:tab/>
        </w:r>
        <w:r w:rsidR="00F65B0A">
          <w:rPr>
            <w:webHidden/>
          </w:rPr>
          <w:fldChar w:fldCharType="begin"/>
        </w:r>
        <w:r w:rsidR="00F65B0A">
          <w:rPr>
            <w:webHidden/>
          </w:rPr>
          <w:instrText xml:space="preserve"> PAGEREF _Toc24544758 \h </w:instrText>
        </w:r>
        <w:r w:rsidR="00F65B0A">
          <w:rPr>
            <w:webHidden/>
          </w:rPr>
        </w:r>
        <w:r w:rsidR="00F65B0A">
          <w:rPr>
            <w:webHidden/>
          </w:rPr>
          <w:fldChar w:fldCharType="separate"/>
        </w:r>
        <w:r w:rsidR="00F040A5">
          <w:rPr>
            <w:webHidden/>
          </w:rPr>
          <w:t>105</w:t>
        </w:r>
        <w:r w:rsidR="00F65B0A">
          <w:rPr>
            <w:webHidden/>
          </w:rPr>
          <w:fldChar w:fldCharType="end"/>
        </w:r>
      </w:hyperlink>
    </w:p>
    <w:p w14:paraId="30BBC4B5" w14:textId="67E0747C" w:rsidR="00F65B0A" w:rsidRDefault="002F1598">
      <w:pPr>
        <w:pStyle w:val="TOC2"/>
        <w:tabs>
          <w:tab w:val="right" w:leader="dot" w:pos="8302"/>
        </w:tabs>
        <w:rPr>
          <w:rFonts w:eastAsiaTheme="minorEastAsia" w:cstheme="minorBidi"/>
          <w:lang w:val="en-US" w:eastAsia="en-US"/>
        </w:rPr>
      </w:pPr>
      <w:hyperlink w:anchor="_Toc24544759" w:history="1">
        <w:r w:rsidR="00F65B0A" w:rsidRPr="006D1B7F">
          <w:rPr>
            <w:rStyle w:val="Hyperlink"/>
            <w:lang w:val="en-GB"/>
          </w:rPr>
          <w:t>A.4. Case conference attendance items</w:t>
        </w:r>
        <w:r w:rsidR="00F65B0A">
          <w:rPr>
            <w:webHidden/>
          </w:rPr>
          <w:tab/>
        </w:r>
        <w:r w:rsidR="00F65B0A">
          <w:rPr>
            <w:webHidden/>
          </w:rPr>
          <w:fldChar w:fldCharType="begin"/>
        </w:r>
        <w:r w:rsidR="00F65B0A">
          <w:rPr>
            <w:webHidden/>
          </w:rPr>
          <w:instrText xml:space="preserve"> PAGEREF _Toc24544759 \h </w:instrText>
        </w:r>
        <w:r w:rsidR="00F65B0A">
          <w:rPr>
            <w:webHidden/>
          </w:rPr>
        </w:r>
        <w:r w:rsidR="00F65B0A">
          <w:rPr>
            <w:webHidden/>
          </w:rPr>
          <w:fldChar w:fldCharType="separate"/>
        </w:r>
        <w:r w:rsidR="00F040A5">
          <w:rPr>
            <w:webHidden/>
          </w:rPr>
          <w:t>111</w:t>
        </w:r>
        <w:r w:rsidR="00F65B0A">
          <w:rPr>
            <w:webHidden/>
          </w:rPr>
          <w:fldChar w:fldCharType="end"/>
        </w:r>
      </w:hyperlink>
    </w:p>
    <w:p w14:paraId="2E762833" w14:textId="7184D7DB" w:rsidR="00F65B0A" w:rsidRDefault="002F1598">
      <w:pPr>
        <w:pStyle w:val="TOC2"/>
        <w:tabs>
          <w:tab w:val="right" w:leader="dot" w:pos="8302"/>
        </w:tabs>
        <w:rPr>
          <w:rFonts w:eastAsiaTheme="minorEastAsia" w:cstheme="minorBidi"/>
          <w:lang w:val="en-US" w:eastAsia="en-US"/>
        </w:rPr>
      </w:pPr>
      <w:hyperlink w:anchor="_Toc24544760" w:history="1">
        <w:r w:rsidR="00F65B0A" w:rsidRPr="006D1B7F">
          <w:rPr>
            <w:rStyle w:val="Hyperlink"/>
            <w:lang w:val="en-GB"/>
          </w:rPr>
          <w:t>A.5. Group therapy attendance items</w:t>
        </w:r>
        <w:r w:rsidR="00F65B0A">
          <w:rPr>
            <w:webHidden/>
          </w:rPr>
          <w:tab/>
        </w:r>
        <w:r w:rsidR="00F65B0A">
          <w:rPr>
            <w:webHidden/>
          </w:rPr>
          <w:fldChar w:fldCharType="begin"/>
        </w:r>
        <w:r w:rsidR="00F65B0A">
          <w:rPr>
            <w:webHidden/>
          </w:rPr>
          <w:instrText xml:space="preserve"> PAGEREF _Toc24544760 \h </w:instrText>
        </w:r>
        <w:r w:rsidR="00F65B0A">
          <w:rPr>
            <w:webHidden/>
          </w:rPr>
        </w:r>
        <w:r w:rsidR="00F65B0A">
          <w:rPr>
            <w:webHidden/>
          </w:rPr>
          <w:fldChar w:fldCharType="separate"/>
        </w:r>
        <w:r w:rsidR="00F040A5">
          <w:rPr>
            <w:webHidden/>
          </w:rPr>
          <w:t>121</w:t>
        </w:r>
        <w:r w:rsidR="00F65B0A">
          <w:rPr>
            <w:webHidden/>
          </w:rPr>
          <w:fldChar w:fldCharType="end"/>
        </w:r>
      </w:hyperlink>
    </w:p>
    <w:p w14:paraId="05F0FB35" w14:textId="65837F15" w:rsidR="00F65B0A" w:rsidRDefault="002F1598">
      <w:pPr>
        <w:pStyle w:val="TOC1"/>
        <w:tabs>
          <w:tab w:val="left" w:pos="1474"/>
        </w:tabs>
        <w:rPr>
          <w:rFonts w:eastAsiaTheme="minorEastAsia" w:cstheme="minorBidi"/>
          <w:lang w:val="en-US" w:eastAsia="en-US"/>
        </w:rPr>
      </w:pPr>
      <w:hyperlink w:anchor="_Toc24544761" w:history="1">
        <w:r w:rsidR="00F65B0A" w:rsidRPr="006D1B7F">
          <w:rPr>
            <w:rStyle w:val="Hyperlink"/>
            <w:lang w:val="en-GB"/>
            <w14:scene3d>
              <w14:camera w14:prst="orthographicFront"/>
              <w14:lightRig w14:rig="threePt" w14:dir="t">
                <w14:rot w14:lat="0" w14:lon="0" w14:rev="0"/>
              </w14:lightRig>
            </w14:scene3d>
          </w:rPr>
          <w:t>Appendix B</w:t>
        </w:r>
        <w:r w:rsidR="00F65B0A">
          <w:rPr>
            <w:rFonts w:eastAsiaTheme="minorEastAsia" w:cstheme="minorBidi"/>
            <w:lang w:val="en-US" w:eastAsia="en-US"/>
          </w:rPr>
          <w:tab/>
        </w:r>
        <w:r w:rsidR="00F65B0A" w:rsidRPr="006D1B7F">
          <w:rPr>
            <w:rStyle w:val="Hyperlink"/>
            <w:lang w:val="en-GB"/>
          </w:rPr>
          <w:t>List of Recommendations</w:t>
        </w:r>
        <w:r w:rsidR="00F65B0A">
          <w:rPr>
            <w:webHidden/>
          </w:rPr>
          <w:tab/>
        </w:r>
        <w:r w:rsidR="00F65B0A">
          <w:rPr>
            <w:webHidden/>
          </w:rPr>
          <w:fldChar w:fldCharType="begin"/>
        </w:r>
        <w:r w:rsidR="00F65B0A">
          <w:rPr>
            <w:webHidden/>
          </w:rPr>
          <w:instrText xml:space="preserve"> PAGEREF _Toc24544761 \h </w:instrText>
        </w:r>
        <w:r w:rsidR="00F65B0A">
          <w:rPr>
            <w:webHidden/>
          </w:rPr>
        </w:r>
        <w:r w:rsidR="00F65B0A">
          <w:rPr>
            <w:webHidden/>
          </w:rPr>
          <w:fldChar w:fldCharType="separate"/>
        </w:r>
        <w:r w:rsidR="00F040A5">
          <w:rPr>
            <w:webHidden/>
          </w:rPr>
          <w:t>122</w:t>
        </w:r>
        <w:r w:rsidR="00F65B0A">
          <w:rPr>
            <w:webHidden/>
          </w:rPr>
          <w:fldChar w:fldCharType="end"/>
        </w:r>
      </w:hyperlink>
    </w:p>
    <w:p w14:paraId="08E1C918" w14:textId="5F30C90F" w:rsidR="00F65B0A" w:rsidRDefault="002F1598">
      <w:pPr>
        <w:pStyle w:val="TOC1"/>
        <w:tabs>
          <w:tab w:val="left" w:pos="1474"/>
        </w:tabs>
        <w:rPr>
          <w:rFonts w:eastAsiaTheme="minorEastAsia" w:cstheme="minorBidi"/>
          <w:lang w:val="en-US" w:eastAsia="en-US"/>
        </w:rPr>
      </w:pPr>
      <w:hyperlink w:anchor="_Toc24544762" w:history="1">
        <w:r w:rsidR="00F65B0A" w:rsidRPr="006D1B7F">
          <w:rPr>
            <w:rStyle w:val="Hyperlink"/>
            <w:lang w:val="en-GB"/>
            <w14:scene3d>
              <w14:camera w14:prst="orthographicFront"/>
              <w14:lightRig w14:rig="threePt" w14:dir="t">
                <w14:rot w14:lat="0" w14:lon="0" w14:rev="0"/>
              </w14:lightRig>
            </w14:scene3d>
          </w:rPr>
          <w:t>Appendix C</w:t>
        </w:r>
        <w:r w:rsidR="00F65B0A">
          <w:rPr>
            <w:rFonts w:eastAsiaTheme="minorEastAsia" w:cstheme="minorBidi"/>
            <w:lang w:val="en-US" w:eastAsia="en-US"/>
          </w:rPr>
          <w:tab/>
        </w:r>
        <w:r w:rsidR="00F65B0A" w:rsidRPr="006D1B7F">
          <w:rPr>
            <w:rStyle w:val="Hyperlink"/>
            <w:lang w:val="en-GB"/>
          </w:rPr>
          <w:t>Working group membership</w:t>
        </w:r>
        <w:r w:rsidR="00F65B0A">
          <w:rPr>
            <w:webHidden/>
          </w:rPr>
          <w:tab/>
        </w:r>
        <w:r w:rsidR="00F65B0A">
          <w:rPr>
            <w:webHidden/>
          </w:rPr>
          <w:fldChar w:fldCharType="begin"/>
        </w:r>
        <w:r w:rsidR="00F65B0A">
          <w:rPr>
            <w:webHidden/>
          </w:rPr>
          <w:instrText xml:space="preserve"> PAGEREF _Toc24544762 \h </w:instrText>
        </w:r>
        <w:r w:rsidR="00F65B0A">
          <w:rPr>
            <w:webHidden/>
          </w:rPr>
        </w:r>
        <w:r w:rsidR="00F65B0A">
          <w:rPr>
            <w:webHidden/>
          </w:rPr>
          <w:fldChar w:fldCharType="separate"/>
        </w:r>
        <w:r w:rsidR="00F040A5">
          <w:rPr>
            <w:webHidden/>
          </w:rPr>
          <w:t>144</w:t>
        </w:r>
        <w:r w:rsidR="00F65B0A">
          <w:rPr>
            <w:webHidden/>
          </w:rPr>
          <w:fldChar w:fldCharType="end"/>
        </w:r>
      </w:hyperlink>
    </w:p>
    <w:p w14:paraId="58EC50F8" w14:textId="67D164F0" w:rsidR="00F65B0A" w:rsidRDefault="002F1598">
      <w:pPr>
        <w:pStyle w:val="TOC2"/>
        <w:tabs>
          <w:tab w:val="right" w:leader="dot" w:pos="8302"/>
        </w:tabs>
        <w:rPr>
          <w:rFonts w:eastAsiaTheme="minorEastAsia" w:cstheme="minorBidi"/>
          <w:lang w:val="en-US" w:eastAsia="en-US"/>
        </w:rPr>
      </w:pPr>
      <w:hyperlink w:anchor="_Toc24544763" w:history="1">
        <w:r w:rsidR="00F65B0A" w:rsidRPr="006D1B7F">
          <w:rPr>
            <w:rStyle w:val="Hyperlink"/>
            <w:lang w:val="en-GB"/>
          </w:rPr>
          <w:t>Table C.1: Time-tiered attendances</w:t>
        </w:r>
        <w:r w:rsidR="00F65B0A">
          <w:rPr>
            <w:webHidden/>
          </w:rPr>
          <w:tab/>
        </w:r>
        <w:r w:rsidR="00F65B0A">
          <w:rPr>
            <w:webHidden/>
          </w:rPr>
          <w:fldChar w:fldCharType="begin"/>
        </w:r>
        <w:r w:rsidR="00F65B0A">
          <w:rPr>
            <w:webHidden/>
          </w:rPr>
          <w:instrText xml:space="preserve"> PAGEREF _Toc24544763 \h </w:instrText>
        </w:r>
        <w:r w:rsidR="00F65B0A">
          <w:rPr>
            <w:webHidden/>
          </w:rPr>
        </w:r>
        <w:r w:rsidR="00F65B0A">
          <w:rPr>
            <w:webHidden/>
          </w:rPr>
          <w:fldChar w:fldCharType="separate"/>
        </w:r>
        <w:r w:rsidR="00F040A5">
          <w:rPr>
            <w:webHidden/>
          </w:rPr>
          <w:t>144</w:t>
        </w:r>
        <w:r w:rsidR="00F65B0A">
          <w:rPr>
            <w:webHidden/>
          </w:rPr>
          <w:fldChar w:fldCharType="end"/>
        </w:r>
      </w:hyperlink>
    </w:p>
    <w:p w14:paraId="7CEB1D38" w14:textId="729DBD1B" w:rsidR="00F65B0A" w:rsidRDefault="002F1598">
      <w:pPr>
        <w:pStyle w:val="TOC2"/>
        <w:tabs>
          <w:tab w:val="right" w:leader="dot" w:pos="8302"/>
        </w:tabs>
        <w:rPr>
          <w:rFonts w:eastAsiaTheme="minorEastAsia" w:cstheme="minorBidi"/>
          <w:lang w:val="en-US" w:eastAsia="en-US"/>
        </w:rPr>
      </w:pPr>
      <w:hyperlink w:anchor="_Toc24544764" w:history="1">
        <w:r w:rsidR="00F65B0A" w:rsidRPr="006D1B7F">
          <w:rPr>
            <w:rStyle w:val="Hyperlink"/>
            <w:lang w:val="en-GB"/>
          </w:rPr>
          <w:t>Table C.2: Telehealth</w:t>
        </w:r>
        <w:r w:rsidR="00F65B0A">
          <w:rPr>
            <w:webHidden/>
          </w:rPr>
          <w:tab/>
        </w:r>
        <w:r w:rsidR="00F65B0A">
          <w:rPr>
            <w:webHidden/>
          </w:rPr>
          <w:fldChar w:fldCharType="begin"/>
        </w:r>
        <w:r w:rsidR="00F65B0A">
          <w:rPr>
            <w:webHidden/>
          </w:rPr>
          <w:instrText xml:space="preserve"> PAGEREF _Toc24544764 \h </w:instrText>
        </w:r>
        <w:r w:rsidR="00F65B0A">
          <w:rPr>
            <w:webHidden/>
          </w:rPr>
        </w:r>
        <w:r w:rsidR="00F65B0A">
          <w:rPr>
            <w:webHidden/>
          </w:rPr>
          <w:fldChar w:fldCharType="separate"/>
        </w:r>
        <w:r w:rsidR="00F040A5">
          <w:rPr>
            <w:webHidden/>
          </w:rPr>
          <w:t>144</w:t>
        </w:r>
        <w:r w:rsidR="00F65B0A">
          <w:rPr>
            <w:webHidden/>
          </w:rPr>
          <w:fldChar w:fldCharType="end"/>
        </w:r>
      </w:hyperlink>
    </w:p>
    <w:p w14:paraId="62CCF975" w14:textId="6D1E4932" w:rsidR="00F65B0A" w:rsidRDefault="002F1598">
      <w:pPr>
        <w:pStyle w:val="TOC2"/>
        <w:tabs>
          <w:tab w:val="right" w:leader="dot" w:pos="8302"/>
        </w:tabs>
        <w:rPr>
          <w:rFonts w:eastAsiaTheme="minorEastAsia" w:cstheme="minorBidi"/>
          <w:lang w:val="en-US" w:eastAsia="en-US"/>
        </w:rPr>
      </w:pPr>
      <w:hyperlink w:anchor="_Toc24544765" w:history="1">
        <w:r w:rsidR="00F65B0A" w:rsidRPr="006D1B7F">
          <w:rPr>
            <w:rStyle w:val="Hyperlink"/>
            <w:lang w:val="en-GB"/>
          </w:rPr>
          <w:t>Table C.3: Contemporary roles of medical practitioners</w:t>
        </w:r>
        <w:r w:rsidR="00F65B0A">
          <w:rPr>
            <w:webHidden/>
          </w:rPr>
          <w:tab/>
        </w:r>
        <w:r w:rsidR="00F65B0A">
          <w:rPr>
            <w:webHidden/>
          </w:rPr>
          <w:fldChar w:fldCharType="begin"/>
        </w:r>
        <w:r w:rsidR="00F65B0A">
          <w:rPr>
            <w:webHidden/>
          </w:rPr>
          <w:instrText xml:space="preserve"> PAGEREF _Toc24544765 \h </w:instrText>
        </w:r>
        <w:r w:rsidR="00F65B0A">
          <w:rPr>
            <w:webHidden/>
          </w:rPr>
        </w:r>
        <w:r w:rsidR="00F65B0A">
          <w:rPr>
            <w:webHidden/>
          </w:rPr>
          <w:fldChar w:fldCharType="separate"/>
        </w:r>
        <w:r w:rsidR="00F040A5">
          <w:rPr>
            <w:webHidden/>
          </w:rPr>
          <w:t>145</w:t>
        </w:r>
        <w:r w:rsidR="00F65B0A">
          <w:rPr>
            <w:webHidden/>
          </w:rPr>
          <w:fldChar w:fldCharType="end"/>
        </w:r>
      </w:hyperlink>
    </w:p>
    <w:p w14:paraId="6C8AF11E" w14:textId="7BB66146" w:rsidR="00F65B0A" w:rsidRDefault="002F1598">
      <w:pPr>
        <w:pStyle w:val="TOC2"/>
        <w:tabs>
          <w:tab w:val="right" w:leader="dot" w:pos="8302"/>
        </w:tabs>
        <w:rPr>
          <w:rFonts w:eastAsiaTheme="minorEastAsia" w:cstheme="minorBidi"/>
          <w:lang w:val="en-US" w:eastAsia="en-US"/>
        </w:rPr>
      </w:pPr>
      <w:hyperlink w:anchor="_Toc24544766" w:history="1">
        <w:r w:rsidR="00F65B0A" w:rsidRPr="006D1B7F">
          <w:rPr>
            <w:rStyle w:val="Hyperlink"/>
            <w:lang w:val="en-GB"/>
          </w:rPr>
          <w:t>Table C.4: Use of data to inform quality care and patient choice</w:t>
        </w:r>
        <w:r w:rsidR="00F65B0A">
          <w:rPr>
            <w:webHidden/>
          </w:rPr>
          <w:tab/>
        </w:r>
        <w:r w:rsidR="00F65B0A">
          <w:rPr>
            <w:webHidden/>
          </w:rPr>
          <w:fldChar w:fldCharType="begin"/>
        </w:r>
        <w:r w:rsidR="00F65B0A">
          <w:rPr>
            <w:webHidden/>
          </w:rPr>
          <w:instrText xml:space="preserve"> PAGEREF _Toc24544766 \h </w:instrText>
        </w:r>
        <w:r w:rsidR="00F65B0A">
          <w:rPr>
            <w:webHidden/>
          </w:rPr>
        </w:r>
        <w:r w:rsidR="00F65B0A">
          <w:rPr>
            <w:webHidden/>
          </w:rPr>
          <w:fldChar w:fldCharType="separate"/>
        </w:r>
        <w:r w:rsidR="00F040A5">
          <w:rPr>
            <w:webHidden/>
          </w:rPr>
          <w:t>145</w:t>
        </w:r>
        <w:r w:rsidR="00F65B0A">
          <w:rPr>
            <w:webHidden/>
          </w:rPr>
          <w:fldChar w:fldCharType="end"/>
        </w:r>
      </w:hyperlink>
    </w:p>
    <w:p w14:paraId="2950F027" w14:textId="1635C8BC" w:rsidR="00F65B0A" w:rsidRDefault="002F1598">
      <w:pPr>
        <w:pStyle w:val="TOC2"/>
        <w:tabs>
          <w:tab w:val="right" w:leader="dot" w:pos="8302"/>
        </w:tabs>
        <w:rPr>
          <w:rFonts w:eastAsiaTheme="minorEastAsia" w:cstheme="minorBidi"/>
          <w:lang w:val="en-US" w:eastAsia="en-US"/>
        </w:rPr>
      </w:pPr>
      <w:hyperlink w:anchor="_Toc24544767" w:history="1">
        <w:r w:rsidR="00F65B0A" w:rsidRPr="006D1B7F">
          <w:rPr>
            <w:rStyle w:val="Hyperlink"/>
            <w:lang w:val="en-GB"/>
          </w:rPr>
          <w:t>Table C.5: Encouraging use of case conference items</w:t>
        </w:r>
        <w:r w:rsidR="00F65B0A">
          <w:rPr>
            <w:webHidden/>
          </w:rPr>
          <w:tab/>
        </w:r>
        <w:r w:rsidR="00F65B0A">
          <w:rPr>
            <w:webHidden/>
          </w:rPr>
          <w:fldChar w:fldCharType="begin"/>
        </w:r>
        <w:r w:rsidR="00F65B0A">
          <w:rPr>
            <w:webHidden/>
          </w:rPr>
          <w:instrText xml:space="preserve"> PAGEREF _Toc24544767 \h </w:instrText>
        </w:r>
        <w:r w:rsidR="00F65B0A">
          <w:rPr>
            <w:webHidden/>
          </w:rPr>
        </w:r>
        <w:r w:rsidR="00F65B0A">
          <w:rPr>
            <w:webHidden/>
          </w:rPr>
          <w:fldChar w:fldCharType="separate"/>
        </w:r>
        <w:r w:rsidR="00F040A5">
          <w:rPr>
            <w:webHidden/>
          </w:rPr>
          <w:t>146</w:t>
        </w:r>
        <w:r w:rsidR="00F65B0A">
          <w:rPr>
            <w:webHidden/>
          </w:rPr>
          <w:fldChar w:fldCharType="end"/>
        </w:r>
      </w:hyperlink>
    </w:p>
    <w:p w14:paraId="2119E382" w14:textId="6B40F796" w:rsidR="00F65B0A" w:rsidRDefault="002F1598">
      <w:pPr>
        <w:pStyle w:val="TOC2"/>
        <w:tabs>
          <w:tab w:val="right" w:leader="dot" w:pos="8302"/>
        </w:tabs>
        <w:rPr>
          <w:rFonts w:eastAsiaTheme="minorEastAsia" w:cstheme="minorBidi"/>
          <w:lang w:val="en-US" w:eastAsia="en-US"/>
        </w:rPr>
      </w:pPr>
      <w:hyperlink w:anchor="_Toc24544768" w:history="1">
        <w:r w:rsidR="00F65B0A" w:rsidRPr="006D1B7F">
          <w:rPr>
            <w:rStyle w:val="Hyperlink"/>
            <w:lang w:val="en-GB"/>
          </w:rPr>
          <w:t>Table C.6: Acute attendances</w:t>
        </w:r>
        <w:r w:rsidR="00F65B0A">
          <w:rPr>
            <w:webHidden/>
          </w:rPr>
          <w:tab/>
        </w:r>
        <w:r w:rsidR="00F65B0A">
          <w:rPr>
            <w:webHidden/>
          </w:rPr>
          <w:fldChar w:fldCharType="begin"/>
        </w:r>
        <w:r w:rsidR="00F65B0A">
          <w:rPr>
            <w:webHidden/>
          </w:rPr>
          <w:instrText xml:space="preserve"> PAGEREF _Toc24544768 \h </w:instrText>
        </w:r>
        <w:r w:rsidR="00F65B0A">
          <w:rPr>
            <w:webHidden/>
          </w:rPr>
        </w:r>
        <w:r w:rsidR="00F65B0A">
          <w:rPr>
            <w:webHidden/>
          </w:rPr>
          <w:fldChar w:fldCharType="separate"/>
        </w:r>
        <w:r w:rsidR="00F040A5">
          <w:rPr>
            <w:webHidden/>
          </w:rPr>
          <w:t>146</w:t>
        </w:r>
        <w:r w:rsidR="00F65B0A">
          <w:rPr>
            <w:webHidden/>
          </w:rPr>
          <w:fldChar w:fldCharType="end"/>
        </w:r>
      </w:hyperlink>
    </w:p>
    <w:p w14:paraId="7939B5CF" w14:textId="2C594F51" w:rsidR="00F65B0A" w:rsidRDefault="002F1598">
      <w:pPr>
        <w:pStyle w:val="TOC2"/>
        <w:tabs>
          <w:tab w:val="right" w:leader="dot" w:pos="8302"/>
        </w:tabs>
        <w:rPr>
          <w:rFonts w:eastAsiaTheme="minorEastAsia" w:cstheme="minorBidi"/>
          <w:lang w:val="en-US" w:eastAsia="en-US"/>
        </w:rPr>
      </w:pPr>
      <w:hyperlink w:anchor="_Toc24544769" w:history="1">
        <w:r w:rsidR="00F65B0A" w:rsidRPr="006D1B7F">
          <w:rPr>
            <w:rStyle w:val="Hyperlink"/>
            <w:lang w:val="en-GB"/>
          </w:rPr>
          <w:t>Table C.7: Case conference cost-shifting</w:t>
        </w:r>
        <w:r w:rsidR="00F65B0A">
          <w:rPr>
            <w:webHidden/>
          </w:rPr>
          <w:tab/>
        </w:r>
        <w:r w:rsidR="00F65B0A">
          <w:rPr>
            <w:webHidden/>
          </w:rPr>
          <w:fldChar w:fldCharType="begin"/>
        </w:r>
        <w:r w:rsidR="00F65B0A">
          <w:rPr>
            <w:webHidden/>
          </w:rPr>
          <w:instrText xml:space="preserve"> PAGEREF _Toc24544769 \h </w:instrText>
        </w:r>
        <w:r w:rsidR="00F65B0A">
          <w:rPr>
            <w:webHidden/>
          </w:rPr>
        </w:r>
        <w:r w:rsidR="00F65B0A">
          <w:rPr>
            <w:webHidden/>
          </w:rPr>
          <w:fldChar w:fldCharType="separate"/>
        </w:r>
        <w:r w:rsidR="00F040A5">
          <w:rPr>
            <w:webHidden/>
          </w:rPr>
          <w:t>146</w:t>
        </w:r>
        <w:r w:rsidR="00F65B0A">
          <w:rPr>
            <w:webHidden/>
          </w:rPr>
          <w:fldChar w:fldCharType="end"/>
        </w:r>
      </w:hyperlink>
    </w:p>
    <w:p w14:paraId="3600C042" w14:textId="5A421CD9" w:rsidR="00F65B0A" w:rsidRDefault="002F1598">
      <w:pPr>
        <w:pStyle w:val="TOC2"/>
        <w:tabs>
          <w:tab w:val="right" w:leader="dot" w:pos="8302"/>
        </w:tabs>
        <w:rPr>
          <w:rFonts w:eastAsiaTheme="minorEastAsia" w:cstheme="minorBidi"/>
          <w:lang w:val="en-US" w:eastAsia="en-US"/>
        </w:rPr>
      </w:pPr>
      <w:hyperlink w:anchor="_Toc24544770" w:history="1">
        <w:r w:rsidR="00F65B0A" w:rsidRPr="006D1B7F">
          <w:rPr>
            <w:rStyle w:val="Hyperlink"/>
            <w:lang w:val="en-GB"/>
          </w:rPr>
          <w:t>Table C.8: Fetal alcohol spectrum disorder and other complex neurodevelopmental disorders</w:t>
        </w:r>
        <w:r w:rsidR="00F65B0A">
          <w:rPr>
            <w:webHidden/>
          </w:rPr>
          <w:tab/>
        </w:r>
        <w:r w:rsidR="00F65B0A">
          <w:rPr>
            <w:webHidden/>
          </w:rPr>
          <w:fldChar w:fldCharType="begin"/>
        </w:r>
        <w:r w:rsidR="00F65B0A">
          <w:rPr>
            <w:webHidden/>
          </w:rPr>
          <w:instrText xml:space="preserve"> PAGEREF _Toc24544770 \h </w:instrText>
        </w:r>
        <w:r w:rsidR="00F65B0A">
          <w:rPr>
            <w:webHidden/>
          </w:rPr>
        </w:r>
        <w:r w:rsidR="00F65B0A">
          <w:rPr>
            <w:webHidden/>
          </w:rPr>
          <w:fldChar w:fldCharType="separate"/>
        </w:r>
        <w:r w:rsidR="00F040A5">
          <w:rPr>
            <w:webHidden/>
          </w:rPr>
          <w:t>147</w:t>
        </w:r>
        <w:r w:rsidR="00F65B0A">
          <w:rPr>
            <w:webHidden/>
          </w:rPr>
          <w:fldChar w:fldCharType="end"/>
        </w:r>
      </w:hyperlink>
    </w:p>
    <w:p w14:paraId="55DC79C5" w14:textId="4B234C60" w:rsidR="00F65B0A" w:rsidRDefault="002F1598">
      <w:pPr>
        <w:pStyle w:val="TOC1"/>
        <w:tabs>
          <w:tab w:val="left" w:pos="1474"/>
        </w:tabs>
        <w:rPr>
          <w:rFonts w:eastAsiaTheme="minorEastAsia" w:cstheme="minorBidi"/>
          <w:lang w:val="en-US" w:eastAsia="en-US"/>
        </w:rPr>
      </w:pPr>
      <w:hyperlink w:anchor="_Toc24544771" w:history="1">
        <w:r w:rsidR="00F65B0A" w:rsidRPr="006D1B7F">
          <w:rPr>
            <w:rStyle w:val="Hyperlink"/>
            <w14:scene3d>
              <w14:camera w14:prst="orthographicFront"/>
              <w14:lightRig w14:rig="threePt" w14:dir="t">
                <w14:rot w14:lat="0" w14:lon="0" w14:rev="0"/>
              </w14:lightRig>
            </w14:scene3d>
          </w:rPr>
          <w:t>Appendix D</w:t>
        </w:r>
        <w:r w:rsidR="00F65B0A">
          <w:rPr>
            <w:rFonts w:eastAsiaTheme="minorEastAsia" w:cstheme="minorBidi"/>
            <w:lang w:val="en-US" w:eastAsia="en-US"/>
          </w:rPr>
          <w:tab/>
        </w:r>
        <w:r w:rsidR="00F65B0A" w:rsidRPr="006D1B7F">
          <w:rPr>
            <w:rStyle w:val="Hyperlink"/>
          </w:rPr>
          <w:t>Summary for consumers</w:t>
        </w:r>
        <w:r w:rsidR="00F65B0A">
          <w:rPr>
            <w:webHidden/>
          </w:rPr>
          <w:tab/>
        </w:r>
        <w:r w:rsidR="00F65B0A">
          <w:rPr>
            <w:webHidden/>
          </w:rPr>
          <w:fldChar w:fldCharType="begin"/>
        </w:r>
        <w:r w:rsidR="00F65B0A">
          <w:rPr>
            <w:webHidden/>
          </w:rPr>
          <w:instrText xml:space="preserve"> PAGEREF _Toc24544771 \h </w:instrText>
        </w:r>
        <w:r w:rsidR="00F65B0A">
          <w:rPr>
            <w:webHidden/>
          </w:rPr>
        </w:r>
        <w:r w:rsidR="00F65B0A">
          <w:rPr>
            <w:webHidden/>
          </w:rPr>
          <w:fldChar w:fldCharType="separate"/>
        </w:r>
        <w:r w:rsidR="00F040A5">
          <w:rPr>
            <w:webHidden/>
          </w:rPr>
          <w:t>148</w:t>
        </w:r>
        <w:r w:rsidR="00F65B0A">
          <w:rPr>
            <w:webHidden/>
          </w:rPr>
          <w:fldChar w:fldCharType="end"/>
        </w:r>
      </w:hyperlink>
    </w:p>
    <w:p w14:paraId="06385396" w14:textId="408E38BD" w:rsidR="00F65B0A" w:rsidRDefault="002F1598">
      <w:pPr>
        <w:pStyle w:val="TOC2"/>
        <w:tabs>
          <w:tab w:val="right" w:leader="dot" w:pos="8302"/>
        </w:tabs>
        <w:rPr>
          <w:rFonts w:eastAsiaTheme="minorEastAsia" w:cstheme="minorBidi"/>
          <w:lang w:val="en-US" w:eastAsia="en-US"/>
        </w:rPr>
      </w:pPr>
      <w:hyperlink w:anchor="_Toc24544772" w:history="1">
        <w:r w:rsidR="00F65B0A" w:rsidRPr="006D1B7F">
          <w:rPr>
            <w:rStyle w:val="Hyperlink"/>
            <w:lang w:val="en-GB"/>
          </w:rPr>
          <w:t>Table D.1. Standard attendance items</w:t>
        </w:r>
        <w:r w:rsidR="00F65B0A">
          <w:rPr>
            <w:webHidden/>
          </w:rPr>
          <w:tab/>
        </w:r>
        <w:r w:rsidR="00F65B0A">
          <w:rPr>
            <w:webHidden/>
          </w:rPr>
          <w:fldChar w:fldCharType="begin"/>
        </w:r>
        <w:r w:rsidR="00F65B0A">
          <w:rPr>
            <w:webHidden/>
          </w:rPr>
          <w:instrText xml:space="preserve"> PAGEREF _Toc24544772 \h </w:instrText>
        </w:r>
        <w:r w:rsidR="00F65B0A">
          <w:rPr>
            <w:webHidden/>
          </w:rPr>
        </w:r>
        <w:r w:rsidR="00F65B0A">
          <w:rPr>
            <w:webHidden/>
          </w:rPr>
          <w:fldChar w:fldCharType="separate"/>
        </w:r>
        <w:r w:rsidR="00F040A5">
          <w:rPr>
            <w:webHidden/>
          </w:rPr>
          <w:t>148</w:t>
        </w:r>
        <w:r w:rsidR="00F65B0A">
          <w:rPr>
            <w:webHidden/>
          </w:rPr>
          <w:fldChar w:fldCharType="end"/>
        </w:r>
      </w:hyperlink>
    </w:p>
    <w:p w14:paraId="39EB4CE0" w14:textId="0D682B1F" w:rsidR="00F65B0A" w:rsidRDefault="002F1598">
      <w:pPr>
        <w:pStyle w:val="TOC2"/>
        <w:tabs>
          <w:tab w:val="right" w:leader="dot" w:pos="8302"/>
        </w:tabs>
        <w:rPr>
          <w:rFonts w:eastAsiaTheme="minorEastAsia" w:cstheme="minorBidi"/>
          <w:lang w:val="en-US" w:eastAsia="en-US"/>
        </w:rPr>
      </w:pPr>
      <w:hyperlink w:anchor="_Toc24544773" w:history="1">
        <w:r w:rsidR="00F65B0A" w:rsidRPr="006D1B7F">
          <w:rPr>
            <w:rStyle w:val="Hyperlink"/>
            <w:lang w:val="en-GB"/>
          </w:rPr>
          <w:t>Table D.2. Complex management plans attendance items</w:t>
        </w:r>
        <w:r w:rsidR="00F65B0A">
          <w:rPr>
            <w:webHidden/>
          </w:rPr>
          <w:tab/>
        </w:r>
        <w:r w:rsidR="00F65B0A">
          <w:rPr>
            <w:webHidden/>
          </w:rPr>
          <w:fldChar w:fldCharType="begin"/>
        </w:r>
        <w:r w:rsidR="00F65B0A">
          <w:rPr>
            <w:webHidden/>
          </w:rPr>
          <w:instrText xml:space="preserve"> PAGEREF _Toc24544773 \h </w:instrText>
        </w:r>
        <w:r w:rsidR="00F65B0A">
          <w:rPr>
            <w:webHidden/>
          </w:rPr>
        </w:r>
        <w:r w:rsidR="00F65B0A">
          <w:rPr>
            <w:webHidden/>
          </w:rPr>
          <w:fldChar w:fldCharType="separate"/>
        </w:r>
        <w:r w:rsidR="00F040A5">
          <w:rPr>
            <w:webHidden/>
          </w:rPr>
          <w:t>158</w:t>
        </w:r>
        <w:r w:rsidR="00F65B0A">
          <w:rPr>
            <w:webHidden/>
          </w:rPr>
          <w:fldChar w:fldCharType="end"/>
        </w:r>
      </w:hyperlink>
    </w:p>
    <w:p w14:paraId="12F10DBC" w14:textId="09C0C04C" w:rsidR="00F65B0A" w:rsidRDefault="002F1598">
      <w:pPr>
        <w:pStyle w:val="TOC2"/>
        <w:tabs>
          <w:tab w:val="right" w:leader="dot" w:pos="8302"/>
        </w:tabs>
        <w:rPr>
          <w:rFonts w:eastAsiaTheme="minorEastAsia" w:cstheme="minorBidi"/>
          <w:lang w:val="en-US" w:eastAsia="en-US"/>
        </w:rPr>
      </w:pPr>
      <w:hyperlink w:anchor="_Toc24544774" w:history="1">
        <w:r w:rsidR="00F65B0A" w:rsidRPr="006D1B7F">
          <w:rPr>
            <w:rStyle w:val="Hyperlink"/>
            <w:lang w:val="en-GB"/>
          </w:rPr>
          <w:t>D.3. Telehealth attendance items</w:t>
        </w:r>
        <w:r w:rsidR="00F65B0A">
          <w:rPr>
            <w:webHidden/>
          </w:rPr>
          <w:tab/>
        </w:r>
        <w:r w:rsidR="00F65B0A">
          <w:rPr>
            <w:webHidden/>
          </w:rPr>
          <w:fldChar w:fldCharType="begin"/>
        </w:r>
        <w:r w:rsidR="00F65B0A">
          <w:rPr>
            <w:webHidden/>
          </w:rPr>
          <w:instrText xml:space="preserve"> PAGEREF _Toc24544774 \h </w:instrText>
        </w:r>
        <w:r w:rsidR="00F65B0A">
          <w:rPr>
            <w:webHidden/>
          </w:rPr>
        </w:r>
        <w:r w:rsidR="00F65B0A">
          <w:rPr>
            <w:webHidden/>
          </w:rPr>
          <w:fldChar w:fldCharType="separate"/>
        </w:r>
        <w:r w:rsidR="00F040A5">
          <w:rPr>
            <w:webHidden/>
          </w:rPr>
          <w:t>166</w:t>
        </w:r>
        <w:r w:rsidR="00F65B0A">
          <w:rPr>
            <w:webHidden/>
          </w:rPr>
          <w:fldChar w:fldCharType="end"/>
        </w:r>
      </w:hyperlink>
    </w:p>
    <w:p w14:paraId="44A8AF67" w14:textId="3D87AAB3" w:rsidR="00F65B0A" w:rsidRDefault="002F1598">
      <w:pPr>
        <w:pStyle w:val="TOC2"/>
        <w:tabs>
          <w:tab w:val="right" w:leader="dot" w:pos="8302"/>
        </w:tabs>
        <w:rPr>
          <w:rFonts w:eastAsiaTheme="minorEastAsia" w:cstheme="minorBidi"/>
          <w:lang w:val="en-US" w:eastAsia="en-US"/>
        </w:rPr>
      </w:pPr>
      <w:hyperlink w:anchor="_Toc24544775" w:history="1">
        <w:r w:rsidR="00F65B0A" w:rsidRPr="006D1B7F">
          <w:rPr>
            <w:rStyle w:val="Hyperlink"/>
            <w:lang w:val="en-GB"/>
          </w:rPr>
          <w:t>Table D.4. Case conference attendance items</w:t>
        </w:r>
        <w:r w:rsidR="00F65B0A">
          <w:rPr>
            <w:webHidden/>
          </w:rPr>
          <w:tab/>
        </w:r>
        <w:r w:rsidR="00F65B0A">
          <w:rPr>
            <w:webHidden/>
          </w:rPr>
          <w:fldChar w:fldCharType="begin"/>
        </w:r>
        <w:r w:rsidR="00F65B0A">
          <w:rPr>
            <w:webHidden/>
          </w:rPr>
          <w:instrText xml:space="preserve"> PAGEREF _Toc24544775 \h </w:instrText>
        </w:r>
        <w:r w:rsidR="00F65B0A">
          <w:rPr>
            <w:webHidden/>
          </w:rPr>
        </w:r>
        <w:r w:rsidR="00F65B0A">
          <w:rPr>
            <w:webHidden/>
          </w:rPr>
          <w:fldChar w:fldCharType="separate"/>
        </w:r>
        <w:r w:rsidR="00F040A5">
          <w:rPr>
            <w:webHidden/>
          </w:rPr>
          <w:t>171</w:t>
        </w:r>
        <w:r w:rsidR="00F65B0A">
          <w:rPr>
            <w:webHidden/>
          </w:rPr>
          <w:fldChar w:fldCharType="end"/>
        </w:r>
      </w:hyperlink>
    </w:p>
    <w:p w14:paraId="165DCE8C" w14:textId="269F74EE" w:rsidR="00F65B0A" w:rsidRDefault="002F1598">
      <w:pPr>
        <w:pStyle w:val="TOC2"/>
        <w:tabs>
          <w:tab w:val="right" w:leader="dot" w:pos="8302"/>
        </w:tabs>
        <w:rPr>
          <w:rFonts w:eastAsiaTheme="minorEastAsia" w:cstheme="minorBidi"/>
          <w:lang w:val="en-US" w:eastAsia="en-US"/>
        </w:rPr>
      </w:pPr>
      <w:hyperlink w:anchor="_Toc24544776" w:history="1">
        <w:r w:rsidR="00F65B0A" w:rsidRPr="006D1B7F">
          <w:rPr>
            <w:rStyle w:val="Hyperlink"/>
            <w:lang w:val="en-GB"/>
          </w:rPr>
          <w:t>Table D.5. Group therapy attendance items</w:t>
        </w:r>
        <w:r w:rsidR="00F65B0A">
          <w:rPr>
            <w:webHidden/>
          </w:rPr>
          <w:tab/>
        </w:r>
        <w:r w:rsidR="00F65B0A">
          <w:rPr>
            <w:webHidden/>
          </w:rPr>
          <w:fldChar w:fldCharType="begin"/>
        </w:r>
        <w:r w:rsidR="00F65B0A">
          <w:rPr>
            <w:webHidden/>
          </w:rPr>
          <w:instrText xml:space="preserve"> PAGEREF _Toc24544776 \h </w:instrText>
        </w:r>
        <w:r w:rsidR="00F65B0A">
          <w:rPr>
            <w:webHidden/>
          </w:rPr>
        </w:r>
        <w:r w:rsidR="00F65B0A">
          <w:rPr>
            <w:webHidden/>
          </w:rPr>
          <w:fldChar w:fldCharType="separate"/>
        </w:r>
        <w:r w:rsidR="00F040A5">
          <w:rPr>
            <w:webHidden/>
          </w:rPr>
          <w:t>196</w:t>
        </w:r>
        <w:r w:rsidR="00F65B0A">
          <w:rPr>
            <w:webHidden/>
          </w:rPr>
          <w:fldChar w:fldCharType="end"/>
        </w:r>
      </w:hyperlink>
    </w:p>
    <w:p w14:paraId="27C99951" w14:textId="45887644" w:rsidR="00F65B0A" w:rsidRDefault="002F1598">
      <w:pPr>
        <w:pStyle w:val="TOC2"/>
        <w:tabs>
          <w:tab w:val="right" w:leader="dot" w:pos="8302"/>
        </w:tabs>
        <w:rPr>
          <w:rFonts w:eastAsiaTheme="minorEastAsia" w:cstheme="minorBidi"/>
          <w:lang w:val="en-US" w:eastAsia="en-US"/>
        </w:rPr>
      </w:pPr>
      <w:hyperlink w:anchor="_Toc24544777" w:history="1">
        <w:r w:rsidR="00F65B0A" w:rsidRPr="006D1B7F">
          <w:rPr>
            <w:rStyle w:val="Hyperlink"/>
            <w:lang w:val="en-GB"/>
          </w:rPr>
          <w:t>Table D.6. Other Recommendations</w:t>
        </w:r>
        <w:r w:rsidR="00F65B0A">
          <w:rPr>
            <w:webHidden/>
          </w:rPr>
          <w:tab/>
        </w:r>
        <w:r w:rsidR="00F65B0A">
          <w:rPr>
            <w:webHidden/>
          </w:rPr>
          <w:fldChar w:fldCharType="begin"/>
        </w:r>
        <w:r w:rsidR="00F65B0A">
          <w:rPr>
            <w:webHidden/>
          </w:rPr>
          <w:instrText xml:space="preserve"> PAGEREF _Toc24544777 \h </w:instrText>
        </w:r>
        <w:r w:rsidR="00F65B0A">
          <w:rPr>
            <w:webHidden/>
          </w:rPr>
        </w:r>
        <w:r w:rsidR="00F65B0A">
          <w:rPr>
            <w:webHidden/>
          </w:rPr>
          <w:fldChar w:fldCharType="separate"/>
        </w:r>
        <w:r w:rsidR="00F040A5">
          <w:rPr>
            <w:webHidden/>
          </w:rPr>
          <w:t>196</w:t>
        </w:r>
        <w:r w:rsidR="00F65B0A">
          <w:rPr>
            <w:webHidden/>
          </w:rPr>
          <w:fldChar w:fldCharType="end"/>
        </w:r>
      </w:hyperlink>
    </w:p>
    <w:p w14:paraId="7C0B84B3" w14:textId="77777777" w:rsidR="003B6233" w:rsidRDefault="00A0282E" w:rsidP="00887DB8">
      <w:pPr>
        <w:pStyle w:val="TableofFigures"/>
        <w:tabs>
          <w:tab w:val="left" w:pos="1100"/>
          <w:tab w:val="right" w:leader="dot" w:pos="9016"/>
        </w:tabs>
        <w:ind w:left="0" w:hanging="14"/>
        <w:rPr>
          <w:lang w:val="en-GB"/>
        </w:rPr>
      </w:pPr>
      <w:r w:rsidRPr="00C33C0B">
        <w:rPr>
          <w:sz w:val="22"/>
          <w:szCs w:val="22"/>
          <w:lang w:val="en-GB"/>
        </w:rPr>
        <w:fldChar w:fldCharType="end"/>
      </w:r>
    </w:p>
    <w:p w14:paraId="60EEC3C8" w14:textId="77777777" w:rsidR="003B6233" w:rsidRDefault="003B6233" w:rsidP="00887DB8">
      <w:pPr>
        <w:pStyle w:val="TableofFigures"/>
        <w:tabs>
          <w:tab w:val="left" w:pos="1100"/>
          <w:tab w:val="right" w:leader="dot" w:pos="9016"/>
        </w:tabs>
        <w:ind w:left="0" w:hanging="14"/>
        <w:rPr>
          <w:lang w:val="en-GB"/>
        </w:rPr>
      </w:pPr>
    </w:p>
    <w:p w14:paraId="42D9BA21" w14:textId="77777777" w:rsidR="00B50BED" w:rsidRDefault="00681471" w:rsidP="00887DB8">
      <w:pPr>
        <w:pStyle w:val="TableofFigures"/>
        <w:tabs>
          <w:tab w:val="left" w:pos="1100"/>
          <w:tab w:val="right" w:leader="dot" w:pos="9016"/>
        </w:tabs>
        <w:ind w:left="0" w:hanging="14"/>
        <w:rPr>
          <w:noProof/>
        </w:rPr>
      </w:pPr>
      <w:r w:rsidRPr="003B6233">
        <w:rPr>
          <w:lang w:val="en-GB"/>
        </w:rPr>
        <w:br w:type="page"/>
      </w:r>
      <w:r w:rsidR="0011166D" w:rsidRPr="00C33C0B">
        <w:rPr>
          <w:b/>
          <w:bCs/>
          <w:color w:val="01653F"/>
          <w:sz w:val="32"/>
          <w:szCs w:val="32"/>
          <w:lang w:val="en-GB"/>
        </w:rPr>
        <w:t xml:space="preserve">List of </w:t>
      </w:r>
      <w:r w:rsidR="00875B90" w:rsidRPr="00C33C0B">
        <w:rPr>
          <w:b/>
          <w:bCs/>
          <w:color w:val="01653F"/>
          <w:sz w:val="32"/>
          <w:szCs w:val="32"/>
          <w:lang w:val="en-GB"/>
        </w:rPr>
        <w:t>t</w:t>
      </w:r>
      <w:r w:rsidR="0011166D" w:rsidRPr="00C33C0B">
        <w:rPr>
          <w:b/>
          <w:bCs/>
          <w:color w:val="01653F"/>
          <w:sz w:val="32"/>
          <w:szCs w:val="32"/>
          <w:lang w:val="en-GB"/>
        </w:rPr>
        <w:t>ables</w:t>
      </w:r>
      <w:r w:rsidR="00240E05" w:rsidRPr="00C33C0B">
        <w:rPr>
          <w:lang w:val="en-GB"/>
        </w:rPr>
        <w:fldChar w:fldCharType="begin"/>
      </w:r>
      <w:r w:rsidR="0011166D" w:rsidRPr="00C33C0B">
        <w:rPr>
          <w:lang w:val="en-GB"/>
        </w:rPr>
        <w:instrText xml:space="preserve"> TOC \h \z \c "Table" </w:instrText>
      </w:r>
      <w:r w:rsidR="00240E05" w:rsidRPr="00C33C0B">
        <w:rPr>
          <w:lang w:val="en-GB"/>
        </w:rPr>
        <w:fldChar w:fldCharType="separate"/>
      </w:r>
    </w:p>
    <w:p w14:paraId="35C66219" w14:textId="789579CB" w:rsidR="00440AC0" w:rsidRDefault="002F1598" w:rsidP="00440AC0">
      <w:pPr>
        <w:pStyle w:val="TableofFigures"/>
        <w:tabs>
          <w:tab w:val="right" w:leader="dot" w:pos="8302"/>
        </w:tabs>
        <w:rPr>
          <w:noProof/>
          <w:sz w:val="22"/>
        </w:rPr>
      </w:pPr>
      <w:hyperlink w:anchor="_Toc529028295" w:history="1">
        <w:r w:rsidR="00B50BED" w:rsidRPr="005D32C7">
          <w:rPr>
            <w:rStyle w:val="Hyperlink"/>
            <w:noProof/>
            <w:sz w:val="22"/>
            <w:lang w:val="en-GB"/>
          </w:rPr>
          <w:t>Table 1: Specialist and Consultant Physician Consultation Clinical Committee members</w:t>
        </w:r>
        <w:r w:rsidR="00B50BED" w:rsidRPr="005D32C7">
          <w:rPr>
            <w:noProof/>
            <w:webHidden/>
            <w:sz w:val="22"/>
          </w:rPr>
          <w:tab/>
        </w:r>
        <w:r w:rsidR="00B50BED" w:rsidRPr="005D32C7">
          <w:rPr>
            <w:noProof/>
            <w:webHidden/>
            <w:sz w:val="22"/>
          </w:rPr>
          <w:fldChar w:fldCharType="begin"/>
        </w:r>
        <w:r w:rsidR="00B50BED" w:rsidRPr="005D32C7">
          <w:rPr>
            <w:noProof/>
            <w:webHidden/>
            <w:sz w:val="22"/>
          </w:rPr>
          <w:instrText xml:space="preserve"> PAGEREF _Toc529028295 \h </w:instrText>
        </w:r>
        <w:r w:rsidR="00B50BED" w:rsidRPr="005D32C7">
          <w:rPr>
            <w:noProof/>
            <w:webHidden/>
            <w:sz w:val="22"/>
          </w:rPr>
        </w:r>
        <w:r w:rsidR="00B50BED" w:rsidRPr="005D32C7">
          <w:rPr>
            <w:noProof/>
            <w:webHidden/>
            <w:sz w:val="22"/>
          </w:rPr>
          <w:fldChar w:fldCharType="separate"/>
        </w:r>
        <w:r w:rsidR="00F040A5">
          <w:rPr>
            <w:noProof/>
            <w:webHidden/>
            <w:sz w:val="22"/>
          </w:rPr>
          <w:t>18</w:t>
        </w:r>
        <w:r w:rsidR="00B50BED" w:rsidRPr="005D32C7">
          <w:rPr>
            <w:noProof/>
            <w:webHidden/>
            <w:sz w:val="22"/>
          </w:rPr>
          <w:fldChar w:fldCharType="end"/>
        </w:r>
      </w:hyperlink>
    </w:p>
    <w:p w14:paraId="16AE3852" w14:textId="3BC08E0F" w:rsidR="00440AC0" w:rsidRDefault="002F1598" w:rsidP="00440AC0">
      <w:pPr>
        <w:pStyle w:val="TableofFigures"/>
        <w:tabs>
          <w:tab w:val="right" w:leader="dot" w:pos="8302"/>
        </w:tabs>
        <w:rPr>
          <w:noProof/>
          <w:sz w:val="22"/>
        </w:rPr>
      </w:pPr>
      <w:hyperlink w:anchor="_Toc529028435" w:history="1">
        <w:r w:rsidR="00440AC0">
          <w:rPr>
            <w:rStyle w:val="Hyperlink"/>
            <w:rFonts w:cstheme="minorHAnsi"/>
            <w:noProof/>
            <w:sz w:val="22"/>
            <w:lang w:val="en-GB"/>
          </w:rPr>
          <w:t>Table 2</w:t>
        </w:r>
        <w:r w:rsidR="00440AC0" w:rsidRPr="00440AC0">
          <w:rPr>
            <w:rStyle w:val="Hyperlink"/>
            <w:rFonts w:cstheme="minorHAnsi"/>
            <w:noProof/>
            <w:sz w:val="22"/>
            <w:lang w:val="en-GB"/>
          </w:rPr>
          <w:t>: Priority issues to address in the committee’s review</w:t>
        </w:r>
        <w:r w:rsidR="00440AC0" w:rsidRPr="00440AC0">
          <w:rPr>
            <w:noProof/>
            <w:webHidden/>
            <w:sz w:val="22"/>
          </w:rPr>
          <w:tab/>
        </w:r>
        <w:r w:rsidR="00440AC0" w:rsidRPr="00440AC0">
          <w:rPr>
            <w:noProof/>
            <w:webHidden/>
            <w:sz w:val="22"/>
          </w:rPr>
          <w:fldChar w:fldCharType="begin"/>
        </w:r>
        <w:r w:rsidR="00440AC0" w:rsidRPr="00440AC0">
          <w:rPr>
            <w:noProof/>
            <w:webHidden/>
            <w:sz w:val="22"/>
          </w:rPr>
          <w:instrText xml:space="preserve"> PAGEREF _Toc529028435 \h </w:instrText>
        </w:r>
        <w:r w:rsidR="00440AC0" w:rsidRPr="00440AC0">
          <w:rPr>
            <w:noProof/>
            <w:webHidden/>
            <w:sz w:val="22"/>
          </w:rPr>
        </w:r>
        <w:r w:rsidR="00440AC0" w:rsidRPr="00440AC0">
          <w:rPr>
            <w:noProof/>
            <w:webHidden/>
            <w:sz w:val="22"/>
          </w:rPr>
          <w:fldChar w:fldCharType="separate"/>
        </w:r>
        <w:r w:rsidR="00F040A5">
          <w:rPr>
            <w:noProof/>
            <w:webHidden/>
            <w:sz w:val="22"/>
          </w:rPr>
          <w:t>22</w:t>
        </w:r>
        <w:r w:rsidR="00440AC0" w:rsidRPr="00440AC0">
          <w:rPr>
            <w:noProof/>
            <w:webHidden/>
            <w:sz w:val="22"/>
          </w:rPr>
          <w:fldChar w:fldCharType="end"/>
        </w:r>
      </w:hyperlink>
    </w:p>
    <w:p w14:paraId="34B35019" w14:textId="2FD43823" w:rsidR="00440AC0" w:rsidRPr="00440AC0" w:rsidRDefault="002F1598" w:rsidP="00440AC0">
      <w:pPr>
        <w:pStyle w:val="TableofFigures"/>
        <w:tabs>
          <w:tab w:val="right" w:leader="dot" w:pos="8302"/>
        </w:tabs>
        <w:rPr>
          <w:noProof/>
          <w:sz w:val="24"/>
        </w:rPr>
      </w:pPr>
      <w:hyperlink w:anchor="_Toc529028436" w:history="1">
        <w:r w:rsidR="00440AC0">
          <w:rPr>
            <w:rStyle w:val="Hyperlink"/>
            <w:rFonts w:cstheme="minorHAnsi"/>
            <w:noProof/>
            <w:sz w:val="22"/>
            <w:lang w:val="en-GB"/>
          </w:rPr>
          <w:t>Table 3</w:t>
        </w:r>
        <w:r w:rsidR="00440AC0" w:rsidRPr="00440AC0">
          <w:rPr>
            <w:rStyle w:val="Hyperlink"/>
            <w:rFonts w:cstheme="minorHAnsi"/>
            <w:noProof/>
            <w:sz w:val="22"/>
            <w:lang w:val="en-GB"/>
          </w:rPr>
          <w:t>: Current specialist and consultant physician access to attendance items</w:t>
        </w:r>
        <w:r w:rsidR="00440AC0" w:rsidRPr="00440AC0">
          <w:rPr>
            <w:noProof/>
            <w:webHidden/>
            <w:sz w:val="22"/>
          </w:rPr>
          <w:tab/>
        </w:r>
        <w:r w:rsidR="00440AC0" w:rsidRPr="00440AC0">
          <w:rPr>
            <w:noProof/>
            <w:webHidden/>
            <w:sz w:val="22"/>
          </w:rPr>
          <w:fldChar w:fldCharType="begin"/>
        </w:r>
        <w:r w:rsidR="00440AC0" w:rsidRPr="00440AC0">
          <w:rPr>
            <w:noProof/>
            <w:webHidden/>
            <w:sz w:val="22"/>
          </w:rPr>
          <w:instrText xml:space="preserve"> PAGEREF _Toc529028436 \h </w:instrText>
        </w:r>
        <w:r w:rsidR="00440AC0" w:rsidRPr="00440AC0">
          <w:rPr>
            <w:noProof/>
            <w:webHidden/>
            <w:sz w:val="22"/>
          </w:rPr>
        </w:r>
        <w:r w:rsidR="00440AC0" w:rsidRPr="00440AC0">
          <w:rPr>
            <w:noProof/>
            <w:webHidden/>
            <w:sz w:val="22"/>
          </w:rPr>
          <w:fldChar w:fldCharType="separate"/>
        </w:r>
        <w:r w:rsidR="00F040A5">
          <w:rPr>
            <w:noProof/>
            <w:webHidden/>
            <w:sz w:val="22"/>
          </w:rPr>
          <w:t>27</w:t>
        </w:r>
        <w:r w:rsidR="00440AC0" w:rsidRPr="00440AC0">
          <w:rPr>
            <w:noProof/>
            <w:webHidden/>
            <w:sz w:val="22"/>
          </w:rPr>
          <w:fldChar w:fldCharType="end"/>
        </w:r>
      </w:hyperlink>
    </w:p>
    <w:p w14:paraId="5E148C4C" w14:textId="21AD3B3C" w:rsidR="00B50BED" w:rsidRPr="005D32C7" w:rsidRDefault="002F1598">
      <w:pPr>
        <w:pStyle w:val="TableofFigures"/>
        <w:tabs>
          <w:tab w:val="right" w:leader="dot" w:pos="8302"/>
        </w:tabs>
        <w:rPr>
          <w:rFonts w:eastAsiaTheme="minorEastAsia" w:cstheme="minorBidi"/>
          <w:noProof/>
          <w:sz w:val="24"/>
          <w:szCs w:val="22"/>
        </w:rPr>
      </w:pPr>
      <w:hyperlink w:anchor="_Toc529028296" w:history="1">
        <w:r w:rsidR="00440AC0">
          <w:rPr>
            <w:rStyle w:val="Hyperlink"/>
            <w:noProof/>
            <w:sz w:val="22"/>
            <w:lang w:val="en-GB"/>
          </w:rPr>
          <w:t>Table 4</w:t>
        </w:r>
        <w:r w:rsidR="00B50BED" w:rsidRPr="005D32C7">
          <w:rPr>
            <w:rStyle w:val="Hyperlink"/>
            <w:noProof/>
            <w:sz w:val="22"/>
            <w:lang w:val="en-GB"/>
          </w:rPr>
          <w:t>: Recommended item descriptors for time-tiered attendance items</w:t>
        </w:r>
        <w:r w:rsidR="00B50BED" w:rsidRPr="005D32C7">
          <w:rPr>
            <w:noProof/>
            <w:webHidden/>
            <w:sz w:val="22"/>
          </w:rPr>
          <w:tab/>
        </w:r>
        <w:r w:rsidR="00B50BED" w:rsidRPr="005D32C7">
          <w:rPr>
            <w:noProof/>
            <w:webHidden/>
            <w:sz w:val="22"/>
          </w:rPr>
          <w:fldChar w:fldCharType="begin"/>
        </w:r>
        <w:r w:rsidR="00B50BED" w:rsidRPr="005D32C7">
          <w:rPr>
            <w:noProof/>
            <w:webHidden/>
            <w:sz w:val="22"/>
          </w:rPr>
          <w:instrText xml:space="preserve"> PAGEREF _Toc529028296 \h </w:instrText>
        </w:r>
        <w:r w:rsidR="00B50BED" w:rsidRPr="005D32C7">
          <w:rPr>
            <w:noProof/>
            <w:webHidden/>
            <w:sz w:val="22"/>
          </w:rPr>
        </w:r>
        <w:r w:rsidR="00B50BED" w:rsidRPr="005D32C7">
          <w:rPr>
            <w:noProof/>
            <w:webHidden/>
            <w:sz w:val="22"/>
          </w:rPr>
          <w:fldChar w:fldCharType="separate"/>
        </w:r>
        <w:r w:rsidR="00F040A5">
          <w:rPr>
            <w:noProof/>
            <w:webHidden/>
            <w:sz w:val="22"/>
          </w:rPr>
          <w:t>34</w:t>
        </w:r>
        <w:r w:rsidR="00B50BED" w:rsidRPr="005D32C7">
          <w:rPr>
            <w:noProof/>
            <w:webHidden/>
            <w:sz w:val="22"/>
          </w:rPr>
          <w:fldChar w:fldCharType="end"/>
        </w:r>
      </w:hyperlink>
    </w:p>
    <w:p w14:paraId="555728CF" w14:textId="0A1DB210" w:rsidR="00B50BED" w:rsidRPr="005D32C7" w:rsidRDefault="002F1598">
      <w:pPr>
        <w:pStyle w:val="TableofFigures"/>
        <w:tabs>
          <w:tab w:val="right" w:leader="dot" w:pos="8302"/>
        </w:tabs>
        <w:rPr>
          <w:rFonts w:eastAsiaTheme="minorEastAsia" w:cstheme="minorBidi"/>
          <w:noProof/>
          <w:sz w:val="24"/>
          <w:szCs w:val="22"/>
        </w:rPr>
      </w:pPr>
      <w:hyperlink w:anchor="_Toc529028297" w:history="1">
        <w:r w:rsidR="00440AC0">
          <w:rPr>
            <w:rStyle w:val="Hyperlink"/>
            <w:noProof/>
            <w:sz w:val="22"/>
          </w:rPr>
          <w:t>Table 5</w:t>
        </w:r>
        <w:r w:rsidR="00B50BED" w:rsidRPr="005D32C7">
          <w:rPr>
            <w:rStyle w:val="Hyperlink"/>
            <w:noProof/>
            <w:sz w:val="22"/>
          </w:rPr>
          <w:t>: Acute attendance item descriptors</w:t>
        </w:r>
        <w:r w:rsidR="00B50BED" w:rsidRPr="005D32C7">
          <w:rPr>
            <w:noProof/>
            <w:webHidden/>
            <w:sz w:val="22"/>
          </w:rPr>
          <w:tab/>
        </w:r>
        <w:r w:rsidR="00B50BED" w:rsidRPr="005D32C7">
          <w:rPr>
            <w:noProof/>
            <w:webHidden/>
            <w:sz w:val="22"/>
          </w:rPr>
          <w:fldChar w:fldCharType="begin"/>
        </w:r>
        <w:r w:rsidR="00B50BED" w:rsidRPr="005D32C7">
          <w:rPr>
            <w:noProof/>
            <w:webHidden/>
            <w:sz w:val="22"/>
          </w:rPr>
          <w:instrText xml:space="preserve"> PAGEREF _Toc529028297 \h </w:instrText>
        </w:r>
        <w:r w:rsidR="00B50BED" w:rsidRPr="005D32C7">
          <w:rPr>
            <w:noProof/>
            <w:webHidden/>
            <w:sz w:val="22"/>
          </w:rPr>
        </w:r>
        <w:r w:rsidR="00B50BED" w:rsidRPr="005D32C7">
          <w:rPr>
            <w:noProof/>
            <w:webHidden/>
            <w:sz w:val="22"/>
          </w:rPr>
          <w:fldChar w:fldCharType="separate"/>
        </w:r>
        <w:r w:rsidR="00F040A5">
          <w:rPr>
            <w:noProof/>
            <w:webHidden/>
            <w:sz w:val="22"/>
          </w:rPr>
          <w:t>40</w:t>
        </w:r>
        <w:r w:rsidR="00B50BED" w:rsidRPr="005D32C7">
          <w:rPr>
            <w:noProof/>
            <w:webHidden/>
            <w:sz w:val="22"/>
          </w:rPr>
          <w:fldChar w:fldCharType="end"/>
        </w:r>
      </w:hyperlink>
    </w:p>
    <w:p w14:paraId="0BC567F1" w14:textId="5AA86CAC" w:rsidR="00B50BED" w:rsidRPr="005D32C7" w:rsidRDefault="002F1598">
      <w:pPr>
        <w:pStyle w:val="TableofFigures"/>
        <w:tabs>
          <w:tab w:val="right" w:leader="dot" w:pos="8302"/>
        </w:tabs>
        <w:rPr>
          <w:rFonts w:eastAsiaTheme="minorEastAsia" w:cstheme="minorBidi"/>
          <w:noProof/>
          <w:sz w:val="24"/>
          <w:szCs w:val="22"/>
        </w:rPr>
      </w:pPr>
      <w:hyperlink w:anchor="_Toc529028298" w:history="1">
        <w:r w:rsidR="00440AC0">
          <w:rPr>
            <w:rStyle w:val="Hyperlink"/>
            <w:noProof/>
            <w:sz w:val="22"/>
          </w:rPr>
          <w:t>Table 6</w:t>
        </w:r>
        <w:r w:rsidR="00B50BED" w:rsidRPr="005D32C7">
          <w:rPr>
            <w:rStyle w:val="Hyperlink"/>
            <w:noProof/>
            <w:sz w:val="22"/>
          </w:rPr>
          <w:t xml:space="preserve">: Telehealth </w:t>
        </w:r>
        <w:r w:rsidR="00B50BED" w:rsidRPr="005D32C7">
          <w:rPr>
            <w:rStyle w:val="Hyperlink"/>
            <w:noProof/>
            <w:sz w:val="24"/>
          </w:rPr>
          <w:t>attendance</w:t>
        </w:r>
        <w:r w:rsidR="00B50BED" w:rsidRPr="005D32C7">
          <w:rPr>
            <w:rStyle w:val="Hyperlink"/>
            <w:noProof/>
            <w:sz w:val="22"/>
          </w:rPr>
          <w:t xml:space="preserve"> item descriptors</w:t>
        </w:r>
        <w:r w:rsidR="00B50BED" w:rsidRPr="005D32C7">
          <w:rPr>
            <w:noProof/>
            <w:webHidden/>
            <w:sz w:val="22"/>
          </w:rPr>
          <w:tab/>
        </w:r>
        <w:r w:rsidR="00B50BED" w:rsidRPr="005D32C7">
          <w:rPr>
            <w:noProof/>
            <w:webHidden/>
            <w:sz w:val="22"/>
          </w:rPr>
          <w:fldChar w:fldCharType="begin"/>
        </w:r>
        <w:r w:rsidR="00B50BED" w:rsidRPr="005D32C7">
          <w:rPr>
            <w:noProof/>
            <w:webHidden/>
            <w:sz w:val="22"/>
          </w:rPr>
          <w:instrText xml:space="preserve"> PAGEREF _Toc529028298 \h </w:instrText>
        </w:r>
        <w:r w:rsidR="00B50BED" w:rsidRPr="005D32C7">
          <w:rPr>
            <w:noProof/>
            <w:webHidden/>
            <w:sz w:val="22"/>
          </w:rPr>
        </w:r>
        <w:r w:rsidR="00B50BED" w:rsidRPr="005D32C7">
          <w:rPr>
            <w:noProof/>
            <w:webHidden/>
            <w:sz w:val="22"/>
          </w:rPr>
          <w:fldChar w:fldCharType="separate"/>
        </w:r>
        <w:r w:rsidR="00F040A5">
          <w:rPr>
            <w:noProof/>
            <w:webHidden/>
            <w:sz w:val="22"/>
          </w:rPr>
          <w:t>53</w:t>
        </w:r>
        <w:r w:rsidR="00B50BED" w:rsidRPr="005D32C7">
          <w:rPr>
            <w:noProof/>
            <w:webHidden/>
            <w:sz w:val="22"/>
          </w:rPr>
          <w:fldChar w:fldCharType="end"/>
        </w:r>
      </w:hyperlink>
    </w:p>
    <w:p w14:paraId="2F313AC1" w14:textId="4F9A99A6" w:rsidR="00B50BED" w:rsidRPr="005D32C7" w:rsidRDefault="002F1598">
      <w:pPr>
        <w:pStyle w:val="TableofFigures"/>
        <w:tabs>
          <w:tab w:val="right" w:leader="dot" w:pos="8302"/>
        </w:tabs>
        <w:rPr>
          <w:rFonts w:eastAsiaTheme="minorEastAsia" w:cstheme="minorBidi"/>
          <w:noProof/>
          <w:sz w:val="24"/>
          <w:szCs w:val="22"/>
        </w:rPr>
      </w:pPr>
      <w:hyperlink w:anchor="_Toc529028299" w:history="1">
        <w:r w:rsidR="00440AC0">
          <w:rPr>
            <w:rStyle w:val="Hyperlink"/>
            <w:noProof/>
            <w:sz w:val="22"/>
          </w:rPr>
          <w:t>Table 7</w:t>
        </w:r>
        <w:r w:rsidR="00B50BED" w:rsidRPr="005D32C7">
          <w:rPr>
            <w:rStyle w:val="Hyperlink"/>
            <w:noProof/>
            <w:sz w:val="22"/>
          </w:rPr>
          <w:t xml:space="preserve">: </w:t>
        </w:r>
        <w:r w:rsidR="00B50BED" w:rsidRPr="005D32C7">
          <w:rPr>
            <w:rStyle w:val="Hyperlink"/>
            <w:noProof/>
            <w:sz w:val="22"/>
            <w:lang w:val="en-GB"/>
          </w:rPr>
          <w:t>Case conference item descriptors</w:t>
        </w:r>
        <w:r w:rsidR="00B50BED" w:rsidRPr="005D32C7">
          <w:rPr>
            <w:noProof/>
            <w:webHidden/>
            <w:sz w:val="22"/>
          </w:rPr>
          <w:tab/>
        </w:r>
        <w:r w:rsidR="00B50BED" w:rsidRPr="005D32C7">
          <w:rPr>
            <w:noProof/>
            <w:webHidden/>
            <w:sz w:val="22"/>
          </w:rPr>
          <w:fldChar w:fldCharType="begin"/>
        </w:r>
        <w:r w:rsidR="00B50BED" w:rsidRPr="005D32C7">
          <w:rPr>
            <w:noProof/>
            <w:webHidden/>
            <w:sz w:val="22"/>
          </w:rPr>
          <w:instrText xml:space="preserve"> PAGEREF _Toc529028299 \h </w:instrText>
        </w:r>
        <w:r w:rsidR="00B50BED" w:rsidRPr="005D32C7">
          <w:rPr>
            <w:noProof/>
            <w:webHidden/>
            <w:sz w:val="22"/>
          </w:rPr>
        </w:r>
        <w:r w:rsidR="00B50BED" w:rsidRPr="005D32C7">
          <w:rPr>
            <w:noProof/>
            <w:webHidden/>
            <w:sz w:val="22"/>
          </w:rPr>
          <w:fldChar w:fldCharType="separate"/>
        </w:r>
        <w:r w:rsidR="00F040A5">
          <w:rPr>
            <w:noProof/>
            <w:webHidden/>
            <w:sz w:val="22"/>
          </w:rPr>
          <w:t>63</w:t>
        </w:r>
        <w:r w:rsidR="00B50BED" w:rsidRPr="005D32C7">
          <w:rPr>
            <w:noProof/>
            <w:webHidden/>
            <w:sz w:val="22"/>
          </w:rPr>
          <w:fldChar w:fldCharType="end"/>
        </w:r>
      </w:hyperlink>
    </w:p>
    <w:p w14:paraId="0EA7CC6B" w14:textId="77777777" w:rsidR="00BC53AC" w:rsidRPr="00C33C0B" w:rsidRDefault="00240E05" w:rsidP="000D63FB">
      <w:pPr>
        <w:pStyle w:val="TableofFigures"/>
        <w:tabs>
          <w:tab w:val="left" w:pos="1100"/>
          <w:tab w:val="right" w:leader="dot" w:pos="9016"/>
        </w:tabs>
        <w:ind w:left="0" w:firstLine="0"/>
        <w:rPr>
          <w:lang w:val="en-GB"/>
        </w:rPr>
      </w:pPr>
      <w:r w:rsidRPr="00C33C0B">
        <w:rPr>
          <w:lang w:val="en-GB"/>
        </w:rPr>
        <w:fldChar w:fldCharType="end"/>
      </w:r>
    </w:p>
    <w:p w14:paraId="5659D13A" w14:textId="77777777" w:rsidR="00BC53AC" w:rsidRPr="00C33C0B" w:rsidRDefault="00BC53AC" w:rsidP="000D63FB">
      <w:pPr>
        <w:pStyle w:val="TableofFigures"/>
        <w:tabs>
          <w:tab w:val="left" w:pos="1100"/>
          <w:tab w:val="right" w:leader="dot" w:pos="9016"/>
        </w:tabs>
        <w:ind w:left="0" w:firstLine="0"/>
        <w:rPr>
          <w:lang w:val="en-GB"/>
        </w:rPr>
      </w:pPr>
    </w:p>
    <w:p w14:paraId="4EBC8C4A" w14:textId="77777777" w:rsidR="00BC53AC" w:rsidRPr="00C33C0B" w:rsidRDefault="00BC53AC" w:rsidP="000D63FB">
      <w:pPr>
        <w:pStyle w:val="TableofFigures"/>
        <w:tabs>
          <w:tab w:val="left" w:pos="1100"/>
          <w:tab w:val="right" w:leader="dot" w:pos="9016"/>
        </w:tabs>
        <w:ind w:left="0" w:firstLine="0"/>
        <w:rPr>
          <w:lang w:val="en-GB"/>
        </w:rPr>
      </w:pPr>
    </w:p>
    <w:p w14:paraId="325ED424" w14:textId="77777777" w:rsidR="00BC53AC" w:rsidRPr="00C33C0B" w:rsidRDefault="00BC53AC" w:rsidP="000D63FB">
      <w:pPr>
        <w:pStyle w:val="TableofFigures"/>
        <w:tabs>
          <w:tab w:val="left" w:pos="1100"/>
          <w:tab w:val="right" w:leader="dot" w:pos="9016"/>
        </w:tabs>
        <w:ind w:left="0" w:firstLine="0"/>
        <w:rPr>
          <w:lang w:val="en-GB"/>
        </w:rPr>
      </w:pPr>
    </w:p>
    <w:p w14:paraId="7AFD3A13" w14:textId="77777777" w:rsidR="00BC53AC" w:rsidRPr="00C33C0B" w:rsidRDefault="00BC53AC" w:rsidP="000D63FB">
      <w:pPr>
        <w:pStyle w:val="TableofFigures"/>
        <w:tabs>
          <w:tab w:val="left" w:pos="1100"/>
          <w:tab w:val="right" w:leader="dot" w:pos="9016"/>
        </w:tabs>
        <w:ind w:left="0" w:firstLine="0"/>
        <w:rPr>
          <w:lang w:val="en-GB"/>
        </w:rPr>
      </w:pPr>
    </w:p>
    <w:p w14:paraId="5FA9D24D" w14:textId="77777777" w:rsidR="000F73A5" w:rsidRDefault="000F73A5" w:rsidP="000D63FB">
      <w:pPr>
        <w:pStyle w:val="TableofFigures"/>
        <w:tabs>
          <w:tab w:val="left" w:pos="1100"/>
          <w:tab w:val="right" w:leader="dot" w:pos="9016"/>
        </w:tabs>
        <w:ind w:left="0" w:firstLine="0"/>
        <w:rPr>
          <w:lang w:val="en-GB"/>
        </w:rPr>
        <w:sectPr w:rsidR="000F73A5" w:rsidSect="00DF09CD">
          <w:headerReference w:type="default" r:id="rId15"/>
          <w:endnotePr>
            <w:numFmt w:val="decimal"/>
          </w:endnotePr>
          <w:pgSz w:w="11906" w:h="16838" w:code="9"/>
          <w:pgMar w:top="1440" w:right="1797" w:bottom="1440" w:left="1797" w:header="720" w:footer="720" w:gutter="0"/>
          <w:cols w:space="720"/>
          <w:docGrid w:linePitch="326"/>
        </w:sectPr>
      </w:pPr>
    </w:p>
    <w:p w14:paraId="10F5C74A" w14:textId="77777777" w:rsidR="00BC53AC" w:rsidRPr="00C33C0B" w:rsidRDefault="00BC53AC" w:rsidP="000D63FB">
      <w:pPr>
        <w:pStyle w:val="TableofFigures"/>
        <w:tabs>
          <w:tab w:val="left" w:pos="1100"/>
          <w:tab w:val="right" w:leader="dot" w:pos="9016"/>
        </w:tabs>
        <w:ind w:left="0" w:firstLine="0"/>
        <w:rPr>
          <w:lang w:val="en-GB"/>
        </w:rPr>
      </w:pPr>
    </w:p>
    <w:p w14:paraId="3FEB2A44" w14:textId="77777777" w:rsidR="00BC53AC" w:rsidRPr="00C33C0B" w:rsidRDefault="00BC53AC" w:rsidP="000D63FB">
      <w:pPr>
        <w:pStyle w:val="TableofFigures"/>
        <w:tabs>
          <w:tab w:val="left" w:pos="1100"/>
          <w:tab w:val="right" w:leader="dot" w:pos="9016"/>
        </w:tabs>
        <w:ind w:left="0" w:firstLine="0"/>
        <w:rPr>
          <w:lang w:val="en-GB"/>
        </w:rPr>
      </w:pPr>
      <w:r w:rsidRPr="00C33C0B">
        <w:rPr>
          <w:b/>
          <w:bCs/>
          <w:color w:val="01653F"/>
          <w:sz w:val="32"/>
          <w:szCs w:val="32"/>
          <w:lang w:val="en-GB"/>
        </w:rPr>
        <w:t xml:space="preserve">List of </w:t>
      </w:r>
      <w:r w:rsidR="00240B1E">
        <w:rPr>
          <w:b/>
          <w:bCs/>
          <w:color w:val="01653F"/>
          <w:sz w:val="32"/>
          <w:szCs w:val="32"/>
          <w:lang w:val="en-GB"/>
        </w:rPr>
        <w:t>figures</w:t>
      </w:r>
    </w:p>
    <w:p w14:paraId="3BC13803" w14:textId="607DD105" w:rsidR="00B50BED" w:rsidRPr="00440AC0" w:rsidRDefault="00BC53AC" w:rsidP="00B57D33">
      <w:pPr>
        <w:pStyle w:val="TOC1"/>
        <w:rPr>
          <w:rFonts w:eastAsiaTheme="minorEastAsia" w:cstheme="minorBidi"/>
        </w:rPr>
      </w:pPr>
      <w:r w:rsidRPr="00440AC0">
        <w:rPr>
          <w:noProof w:val="0"/>
          <w:lang w:val="en-GB"/>
        </w:rPr>
        <w:fldChar w:fldCharType="begin"/>
      </w:r>
      <w:r w:rsidRPr="00440AC0">
        <w:rPr>
          <w:noProof w:val="0"/>
          <w:lang w:val="en-GB"/>
        </w:rPr>
        <w:instrText xml:space="preserve"> TOC \h \z \t "60 exh normal,1" </w:instrText>
      </w:r>
      <w:r w:rsidRPr="00440AC0">
        <w:rPr>
          <w:noProof w:val="0"/>
          <w:lang w:val="en-GB"/>
        </w:rPr>
        <w:fldChar w:fldCharType="separate"/>
      </w:r>
      <w:hyperlink w:anchor="_Toc529028433" w:history="1">
        <w:r w:rsidR="00B50BED" w:rsidRPr="00440AC0">
          <w:rPr>
            <w:rStyle w:val="Hyperlink"/>
            <w:rFonts w:cstheme="minorHAnsi"/>
            <w:lang w:val="en-GB"/>
          </w:rPr>
          <w:t>Figure 1: Prioritisation matrix</w:t>
        </w:r>
        <w:r w:rsidR="00B50BED" w:rsidRPr="00440AC0">
          <w:rPr>
            <w:webHidden/>
          </w:rPr>
          <w:tab/>
        </w:r>
        <w:r w:rsidR="00B50BED" w:rsidRPr="00440AC0">
          <w:rPr>
            <w:webHidden/>
          </w:rPr>
          <w:fldChar w:fldCharType="begin"/>
        </w:r>
        <w:r w:rsidR="00B50BED" w:rsidRPr="00440AC0">
          <w:rPr>
            <w:webHidden/>
          </w:rPr>
          <w:instrText xml:space="preserve"> PAGEREF _Toc529028433 \h </w:instrText>
        </w:r>
        <w:r w:rsidR="00B50BED" w:rsidRPr="00440AC0">
          <w:rPr>
            <w:webHidden/>
          </w:rPr>
        </w:r>
        <w:r w:rsidR="00B50BED" w:rsidRPr="00440AC0">
          <w:rPr>
            <w:webHidden/>
          </w:rPr>
          <w:fldChar w:fldCharType="separate"/>
        </w:r>
        <w:r w:rsidR="00F040A5">
          <w:rPr>
            <w:webHidden/>
          </w:rPr>
          <w:t>17</w:t>
        </w:r>
        <w:r w:rsidR="00B50BED" w:rsidRPr="00440AC0">
          <w:rPr>
            <w:webHidden/>
          </w:rPr>
          <w:fldChar w:fldCharType="end"/>
        </w:r>
      </w:hyperlink>
    </w:p>
    <w:p w14:paraId="7E8EA59A" w14:textId="0DC51473" w:rsidR="00B50BED" w:rsidRPr="00440AC0" w:rsidRDefault="002F1598" w:rsidP="00B57D33">
      <w:pPr>
        <w:pStyle w:val="TOC1"/>
        <w:rPr>
          <w:rFonts w:eastAsiaTheme="minorEastAsia" w:cstheme="minorBidi"/>
        </w:rPr>
      </w:pPr>
      <w:hyperlink w:anchor="_Toc529028434" w:history="1">
        <w:r w:rsidR="00B50BED" w:rsidRPr="00440AC0">
          <w:rPr>
            <w:rStyle w:val="Hyperlink"/>
            <w:rFonts w:cstheme="minorHAnsi"/>
            <w:lang w:val="en-GB"/>
          </w:rPr>
          <w:t>Figure 2: Drivers of benefit growth - 2011/12 to 2016/17</w:t>
        </w:r>
        <w:r w:rsidR="00B50BED" w:rsidRPr="00440AC0">
          <w:rPr>
            <w:webHidden/>
          </w:rPr>
          <w:tab/>
        </w:r>
        <w:r w:rsidR="00B50BED" w:rsidRPr="00440AC0">
          <w:rPr>
            <w:webHidden/>
          </w:rPr>
          <w:fldChar w:fldCharType="begin"/>
        </w:r>
        <w:r w:rsidR="00B50BED" w:rsidRPr="00440AC0">
          <w:rPr>
            <w:webHidden/>
          </w:rPr>
          <w:instrText xml:space="preserve"> PAGEREF _Toc529028434 \h </w:instrText>
        </w:r>
        <w:r w:rsidR="00B50BED" w:rsidRPr="00440AC0">
          <w:rPr>
            <w:webHidden/>
          </w:rPr>
        </w:r>
        <w:r w:rsidR="00B50BED" w:rsidRPr="00440AC0">
          <w:rPr>
            <w:webHidden/>
          </w:rPr>
          <w:fldChar w:fldCharType="separate"/>
        </w:r>
        <w:r w:rsidR="00F040A5">
          <w:rPr>
            <w:webHidden/>
          </w:rPr>
          <w:t>21</w:t>
        </w:r>
        <w:r w:rsidR="00B50BED" w:rsidRPr="00440AC0">
          <w:rPr>
            <w:webHidden/>
          </w:rPr>
          <w:fldChar w:fldCharType="end"/>
        </w:r>
      </w:hyperlink>
    </w:p>
    <w:p w14:paraId="4173EEF8" w14:textId="236F6516" w:rsidR="00B50BED" w:rsidRPr="00440AC0" w:rsidRDefault="002F1598" w:rsidP="00B57D33">
      <w:pPr>
        <w:pStyle w:val="TOC1"/>
        <w:rPr>
          <w:rFonts w:eastAsiaTheme="minorEastAsia" w:cstheme="minorBidi"/>
        </w:rPr>
      </w:pPr>
      <w:hyperlink w:anchor="_Toc529028437" w:history="1">
        <w:r w:rsidR="00B57D33">
          <w:rPr>
            <w:rStyle w:val="Hyperlink"/>
            <w:rFonts w:cstheme="minorHAnsi"/>
            <w:lang w:val="en-GB"/>
          </w:rPr>
          <w:t>Figure 3</w:t>
        </w:r>
        <w:r w:rsidR="00B50BED" w:rsidRPr="00440AC0">
          <w:rPr>
            <w:rStyle w:val="Hyperlink"/>
            <w:rFonts w:cstheme="minorHAnsi"/>
            <w:lang w:val="en-GB"/>
          </w:rPr>
          <w:t xml:space="preserve">: Percentage MBS income from standard attendance items, consultant physicians </w:t>
        </w:r>
        <w:r w:rsidR="00B57D33">
          <w:rPr>
            <w:rStyle w:val="Hyperlink"/>
            <w:rFonts w:cstheme="minorHAnsi"/>
            <w:lang w:val="en-GB"/>
          </w:rPr>
          <w:t xml:space="preserve">   </w:t>
        </w:r>
        <w:r w:rsidR="00B50BED" w:rsidRPr="00440AC0">
          <w:rPr>
            <w:rStyle w:val="Hyperlink"/>
            <w:rFonts w:cstheme="minorHAnsi"/>
            <w:lang w:val="en-GB"/>
          </w:rPr>
          <w:t>versus specialists (%)</w:t>
        </w:r>
        <w:r w:rsidR="00B50BED" w:rsidRPr="00440AC0">
          <w:rPr>
            <w:webHidden/>
          </w:rPr>
          <w:tab/>
        </w:r>
        <w:r w:rsidR="00B50BED" w:rsidRPr="00440AC0">
          <w:rPr>
            <w:webHidden/>
          </w:rPr>
          <w:fldChar w:fldCharType="begin"/>
        </w:r>
        <w:r w:rsidR="00B50BED" w:rsidRPr="00440AC0">
          <w:rPr>
            <w:webHidden/>
          </w:rPr>
          <w:instrText xml:space="preserve"> PAGEREF _Toc529028437 \h </w:instrText>
        </w:r>
        <w:r w:rsidR="00B50BED" w:rsidRPr="00440AC0">
          <w:rPr>
            <w:webHidden/>
          </w:rPr>
        </w:r>
        <w:r w:rsidR="00B50BED" w:rsidRPr="00440AC0">
          <w:rPr>
            <w:webHidden/>
          </w:rPr>
          <w:fldChar w:fldCharType="separate"/>
        </w:r>
        <w:r w:rsidR="00F040A5">
          <w:rPr>
            <w:webHidden/>
          </w:rPr>
          <w:t>31</w:t>
        </w:r>
        <w:r w:rsidR="00B50BED" w:rsidRPr="00440AC0">
          <w:rPr>
            <w:webHidden/>
          </w:rPr>
          <w:fldChar w:fldCharType="end"/>
        </w:r>
      </w:hyperlink>
    </w:p>
    <w:p w14:paraId="17A37AD6" w14:textId="3ED7AED7" w:rsidR="00B50BED" w:rsidRPr="00440AC0" w:rsidRDefault="002F1598" w:rsidP="00B57D33">
      <w:pPr>
        <w:pStyle w:val="TOC1"/>
        <w:rPr>
          <w:rFonts w:eastAsiaTheme="minorEastAsia" w:cstheme="minorBidi"/>
        </w:rPr>
      </w:pPr>
      <w:hyperlink w:anchor="_Toc529028438" w:history="1">
        <w:r w:rsidR="00B57D33">
          <w:rPr>
            <w:rStyle w:val="Hyperlink"/>
            <w:rFonts w:cstheme="minorHAnsi"/>
          </w:rPr>
          <w:t>Figure 4</w:t>
        </w:r>
        <w:r w:rsidR="00B50BED" w:rsidRPr="00440AC0">
          <w:rPr>
            <w:rStyle w:val="Hyperlink"/>
            <w:rFonts w:cstheme="minorHAnsi"/>
          </w:rPr>
          <w:t>: Average patient out-of-pocket cost for an initial attendance, consultant physicians versus specialists ($)</w:t>
        </w:r>
        <w:r w:rsidR="00B50BED" w:rsidRPr="00440AC0">
          <w:rPr>
            <w:webHidden/>
          </w:rPr>
          <w:tab/>
        </w:r>
        <w:r w:rsidR="00B50BED" w:rsidRPr="00440AC0">
          <w:rPr>
            <w:webHidden/>
          </w:rPr>
          <w:fldChar w:fldCharType="begin"/>
        </w:r>
        <w:r w:rsidR="00B50BED" w:rsidRPr="00440AC0">
          <w:rPr>
            <w:webHidden/>
          </w:rPr>
          <w:instrText xml:space="preserve"> PAGEREF _Toc529028438 \h </w:instrText>
        </w:r>
        <w:r w:rsidR="00B50BED" w:rsidRPr="00440AC0">
          <w:rPr>
            <w:webHidden/>
          </w:rPr>
        </w:r>
        <w:r w:rsidR="00B50BED" w:rsidRPr="00440AC0">
          <w:rPr>
            <w:webHidden/>
          </w:rPr>
          <w:fldChar w:fldCharType="separate"/>
        </w:r>
        <w:r w:rsidR="00F040A5">
          <w:rPr>
            <w:webHidden/>
          </w:rPr>
          <w:t>32</w:t>
        </w:r>
        <w:r w:rsidR="00B50BED" w:rsidRPr="00440AC0">
          <w:rPr>
            <w:webHidden/>
          </w:rPr>
          <w:fldChar w:fldCharType="end"/>
        </w:r>
      </w:hyperlink>
    </w:p>
    <w:p w14:paraId="75AC15F1" w14:textId="0C93E6BE" w:rsidR="00B50BED" w:rsidRPr="00440AC0" w:rsidRDefault="002F1598" w:rsidP="00B57D33">
      <w:pPr>
        <w:pStyle w:val="TOC1"/>
        <w:rPr>
          <w:rFonts w:eastAsiaTheme="minorEastAsia" w:cstheme="minorBidi"/>
        </w:rPr>
      </w:pPr>
      <w:hyperlink w:anchor="_Toc529028439" w:history="1">
        <w:r w:rsidR="00B57D33">
          <w:rPr>
            <w:rStyle w:val="Hyperlink"/>
            <w:rFonts w:cstheme="minorHAnsi"/>
            <w:lang w:val="en-GB"/>
          </w:rPr>
          <w:t>Figure 5</w:t>
        </w:r>
        <w:r w:rsidR="00B50BED" w:rsidRPr="00440AC0">
          <w:rPr>
            <w:rStyle w:val="Hyperlink"/>
            <w:rFonts w:cstheme="minorHAnsi"/>
            <w:lang w:val="en-GB"/>
          </w:rPr>
          <w:t>: How are telehealth attendances reimbursed in other geographies?</w:t>
        </w:r>
        <w:r w:rsidR="00B50BED" w:rsidRPr="00440AC0">
          <w:rPr>
            <w:webHidden/>
          </w:rPr>
          <w:tab/>
        </w:r>
        <w:r w:rsidR="00B50BED" w:rsidRPr="00440AC0">
          <w:rPr>
            <w:webHidden/>
          </w:rPr>
          <w:fldChar w:fldCharType="begin"/>
        </w:r>
        <w:r w:rsidR="00B50BED" w:rsidRPr="00440AC0">
          <w:rPr>
            <w:webHidden/>
          </w:rPr>
          <w:instrText xml:space="preserve"> PAGEREF _Toc529028439 \h </w:instrText>
        </w:r>
        <w:r w:rsidR="00B50BED" w:rsidRPr="00440AC0">
          <w:rPr>
            <w:webHidden/>
          </w:rPr>
        </w:r>
        <w:r w:rsidR="00B50BED" w:rsidRPr="00440AC0">
          <w:rPr>
            <w:webHidden/>
          </w:rPr>
          <w:fldChar w:fldCharType="separate"/>
        </w:r>
        <w:r w:rsidR="00F040A5">
          <w:rPr>
            <w:webHidden/>
          </w:rPr>
          <w:t>57</w:t>
        </w:r>
        <w:r w:rsidR="00B50BED" w:rsidRPr="00440AC0">
          <w:rPr>
            <w:webHidden/>
          </w:rPr>
          <w:fldChar w:fldCharType="end"/>
        </w:r>
      </w:hyperlink>
    </w:p>
    <w:p w14:paraId="65D2B336" w14:textId="77777777" w:rsidR="00BC53AC" w:rsidRPr="00C33C0B" w:rsidRDefault="00BC53AC" w:rsidP="00D51AE7">
      <w:pPr>
        <w:pStyle w:val="TableofFigures"/>
        <w:tabs>
          <w:tab w:val="left" w:pos="1100"/>
          <w:tab w:val="right" w:leader="dot" w:pos="9016"/>
        </w:tabs>
        <w:spacing w:line="240" w:lineRule="auto"/>
        <w:ind w:left="0" w:firstLine="0"/>
        <w:rPr>
          <w:lang w:val="en-GB"/>
        </w:rPr>
      </w:pPr>
      <w:r w:rsidRPr="00440AC0">
        <w:rPr>
          <w:lang w:val="en-GB"/>
        </w:rPr>
        <w:fldChar w:fldCharType="end"/>
      </w:r>
    </w:p>
    <w:p w14:paraId="5F3217C6" w14:textId="77777777" w:rsidR="00262127" w:rsidRPr="00C33C0B" w:rsidRDefault="00262127" w:rsidP="000D63FB">
      <w:pPr>
        <w:pStyle w:val="TableofFigures"/>
        <w:tabs>
          <w:tab w:val="left" w:pos="1100"/>
          <w:tab w:val="right" w:leader="dot" w:pos="9016"/>
        </w:tabs>
        <w:ind w:left="0" w:firstLine="0"/>
        <w:rPr>
          <w:lang w:val="en-GB"/>
        </w:rPr>
      </w:pPr>
      <w:r w:rsidRPr="00C33C0B">
        <w:rPr>
          <w:rFonts w:cs="Arial"/>
          <w:lang w:val="en-GB"/>
        </w:rPr>
        <w:br w:type="page"/>
      </w:r>
    </w:p>
    <w:p w14:paraId="1FC6FC1F" w14:textId="77777777" w:rsidR="00DF09CD" w:rsidRPr="00C33C0B" w:rsidRDefault="00DF09CD" w:rsidP="00DF09CD">
      <w:pPr>
        <w:pStyle w:val="Heading1"/>
        <w:rPr>
          <w:lang w:val="en-GB"/>
        </w:rPr>
      </w:pPr>
      <w:bookmarkStart w:id="3" w:name="_Toc24544658"/>
      <w:bookmarkStart w:id="4" w:name="_Toc485295724"/>
      <w:bookmarkStart w:id="5" w:name="_Toc456045432"/>
      <w:bookmarkEnd w:id="1"/>
      <w:r w:rsidRPr="00C33C0B">
        <w:rPr>
          <w:lang w:val="en-GB"/>
        </w:rPr>
        <w:t>Executive summary</w:t>
      </w:r>
      <w:bookmarkEnd w:id="3"/>
    </w:p>
    <w:p w14:paraId="2FC2E809" w14:textId="77777777" w:rsidR="00DF09CD" w:rsidRPr="00C33C0B" w:rsidRDefault="00DF09CD" w:rsidP="00DF09CD">
      <w:pPr>
        <w:rPr>
          <w:lang w:val="en-GB"/>
        </w:rPr>
      </w:pPr>
      <w:r w:rsidRPr="00C33C0B">
        <w:rPr>
          <w:lang w:val="en-GB"/>
        </w:rPr>
        <w:t>The Medicare Benefits Schedule (MBS) Review Taskforce (the Taskforce) is undertaking a program of work that considers how more than 5,700 items on the MBS can be aligned with contemporary cl</w:t>
      </w:r>
      <w:r w:rsidR="00580CCE" w:rsidRPr="00C33C0B">
        <w:rPr>
          <w:lang w:val="en-GB"/>
        </w:rPr>
        <w:t xml:space="preserve">inical evidence and practice </w:t>
      </w:r>
      <w:r w:rsidRPr="00C33C0B">
        <w:rPr>
          <w:lang w:val="en-GB"/>
        </w:rPr>
        <w:t xml:space="preserve">to improve health outcomes for patients. The Taskforce </w:t>
      </w:r>
      <w:r w:rsidR="00150566">
        <w:rPr>
          <w:lang w:val="en-GB"/>
        </w:rPr>
        <w:t xml:space="preserve">will </w:t>
      </w:r>
      <w:r w:rsidRPr="00C33C0B">
        <w:rPr>
          <w:lang w:val="en-GB"/>
        </w:rPr>
        <w:t>also seek to identify any services that may be unnecessary, outdated</w:t>
      </w:r>
      <w:r w:rsidR="00637A1B" w:rsidRPr="00C33C0B">
        <w:rPr>
          <w:lang w:val="en-GB"/>
        </w:rPr>
        <w:t>,</w:t>
      </w:r>
      <w:r w:rsidRPr="00C33C0B">
        <w:rPr>
          <w:lang w:val="en-GB"/>
        </w:rPr>
        <w:t xml:space="preserve"> or potentially unsafe. </w:t>
      </w:r>
    </w:p>
    <w:p w14:paraId="634C72A4" w14:textId="77777777" w:rsidR="00DF09CD" w:rsidRPr="00C33C0B" w:rsidRDefault="00DF09CD" w:rsidP="00DF09CD">
      <w:pPr>
        <w:rPr>
          <w:lang w:val="en-GB"/>
        </w:rPr>
      </w:pPr>
      <w:r w:rsidRPr="00C33C0B">
        <w:rPr>
          <w:lang w:val="en-GB"/>
        </w:rPr>
        <w:t>The Taskforce is committed to providing recommendations to the Minister for Health</w:t>
      </w:r>
      <w:r w:rsidR="009E13D5">
        <w:rPr>
          <w:lang w:val="en-GB"/>
        </w:rPr>
        <w:t xml:space="preserve"> (the Minister)</w:t>
      </w:r>
      <w:r w:rsidRPr="00C33C0B">
        <w:rPr>
          <w:lang w:val="en-GB"/>
        </w:rPr>
        <w:t xml:space="preserve"> that will allow the MBS to deliver on </w:t>
      </w:r>
      <w:r w:rsidR="009E13D5">
        <w:rPr>
          <w:lang w:val="en-GB"/>
        </w:rPr>
        <w:t>each of these four</w:t>
      </w:r>
      <w:r w:rsidRPr="00C33C0B">
        <w:rPr>
          <w:lang w:val="en-GB"/>
        </w:rPr>
        <w:t xml:space="preserve"> key goals:</w:t>
      </w:r>
    </w:p>
    <w:p w14:paraId="06D6E176" w14:textId="77777777" w:rsidR="00DF09CD" w:rsidRPr="00C33C0B" w:rsidRDefault="00353987" w:rsidP="00DF09CD">
      <w:pPr>
        <w:pStyle w:val="Bullet-green"/>
        <w:rPr>
          <w:lang w:val="en-GB"/>
        </w:rPr>
      </w:pPr>
      <w:r w:rsidRPr="00C33C0B">
        <w:rPr>
          <w:lang w:val="en-GB"/>
        </w:rPr>
        <w:t>Affordable and universal access</w:t>
      </w:r>
      <w:r w:rsidR="00AC10E8">
        <w:rPr>
          <w:lang w:val="en-GB"/>
        </w:rPr>
        <w:t>.</w:t>
      </w:r>
    </w:p>
    <w:p w14:paraId="7C942436" w14:textId="77777777" w:rsidR="00DF09CD" w:rsidRPr="00C33C0B" w:rsidRDefault="00353987" w:rsidP="00DF09CD">
      <w:pPr>
        <w:pStyle w:val="Bullet-green"/>
        <w:rPr>
          <w:lang w:val="en-GB"/>
        </w:rPr>
      </w:pPr>
      <w:r w:rsidRPr="00C33C0B">
        <w:rPr>
          <w:lang w:val="en-GB"/>
        </w:rPr>
        <w:t>Best-practice health services</w:t>
      </w:r>
      <w:r w:rsidR="00AC10E8">
        <w:rPr>
          <w:lang w:val="en-GB"/>
        </w:rPr>
        <w:t>.</w:t>
      </w:r>
    </w:p>
    <w:p w14:paraId="5A3E1C3C" w14:textId="77777777" w:rsidR="00DF09CD" w:rsidRPr="00C33C0B" w:rsidRDefault="00DF09CD" w:rsidP="00DF09CD">
      <w:pPr>
        <w:pStyle w:val="Bullet-green"/>
        <w:rPr>
          <w:lang w:val="en-GB"/>
        </w:rPr>
      </w:pPr>
      <w:r w:rsidRPr="00C33C0B">
        <w:rPr>
          <w:lang w:val="en-GB"/>
        </w:rPr>
        <w:t>V</w:t>
      </w:r>
      <w:r w:rsidR="00353987" w:rsidRPr="00C33C0B">
        <w:rPr>
          <w:lang w:val="en-GB"/>
        </w:rPr>
        <w:t>alue for the individual patient</w:t>
      </w:r>
      <w:r w:rsidR="00AC10E8">
        <w:rPr>
          <w:lang w:val="en-GB"/>
        </w:rPr>
        <w:t>.</w:t>
      </w:r>
    </w:p>
    <w:p w14:paraId="1BCE03F0" w14:textId="77777777" w:rsidR="00DF09CD" w:rsidRPr="00C33C0B" w:rsidRDefault="00353987" w:rsidP="00DF09CD">
      <w:pPr>
        <w:pStyle w:val="Bullet-green"/>
        <w:rPr>
          <w:lang w:val="en-GB"/>
        </w:rPr>
      </w:pPr>
      <w:r w:rsidRPr="00C33C0B">
        <w:rPr>
          <w:lang w:val="en-GB"/>
        </w:rPr>
        <w:t>Value for the health system</w:t>
      </w:r>
      <w:r w:rsidR="00AC10E8">
        <w:rPr>
          <w:lang w:val="en-GB"/>
        </w:rPr>
        <w:t>.</w:t>
      </w:r>
    </w:p>
    <w:p w14:paraId="4979D55E" w14:textId="77777777" w:rsidR="00DF09CD" w:rsidRPr="00C33C0B" w:rsidRDefault="00DF09CD" w:rsidP="00916F9F">
      <w:pPr>
        <w:rPr>
          <w:lang w:val="en-GB"/>
        </w:rPr>
      </w:pPr>
      <w:r w:rsidRPr="00C33C0B">
        <w:rPr>
          <w:lang w:val="en-GB"/>
        </w:rPr>
        <w:t xml:space="preserve">The Taskforce has endorsed a methodology whereby the necessary clinical review of MBS items is undertaken by </w:t>
      </w:r>
      <w:r w:rsidR="00AC10E8">
        <w:rPr>
          <w:lang w:val="en-GB"/>
        </w:rPr>
        <w:t>c</w:t>
      </w:r>
      <w:r w:rsidRPr="00C33C0B">
        <w:rPr>
          <w:lang w:val="en-GB"/>
        </w:rPr>
        <w:t xml:space="preserve">linical </w:t>
      </w:r>
      <w:r w:rsidR="00AC10E8">
        <w:rPr>
          <w:lang w:val="en-GB"/>
        </w:rPr>
        <w:t>c</w:t>
      </w:r>
      <w:r w:rsidRPr="00C33C0B">
        <w:rPr>
          <w:lang w:val="en-GB"/>
        </w:rPr>
        <w:t xml:space="preserve">ommittees and </w:t>
      </w:r>
      <w:r w:rsidR="00B73CC3">
        <w:rPr>
          <w:lang w:val="en-GB"/>
        </w:rPr>
        <w:t>working</w:t>
      </w:r>
      <w:r w:rsidRPr="00C33C0B">
        <w:rPr>
          <w:lang w:val="en-GB"/>
        </w:rPr>
        <w:t xml:space="preserve"> </w:t>
      </w:r>
      <w:r w:rsidR="00AC10E8">
        <w:rPr>
          <w:lang w:val="en-GB"/>
        </w:rPr>
        <w:t>g</w:t>
      </w:r>
      <w:r w:rsidRPr="00C33C0B">
        <w:rPr>
          <w:lang w:val="en-GB"/>
        </w:rPr>
        <w:t xml:space="preserve">roups. </w:t>
      </w:r>
    </w:p>
    <w:p w14:paraId="61FB666A" w14:textId="77777777" w:rsidR="00DF09CD" w:rsidRDefault="00DF09CD" w:rsidP="00DF09CD">
      <w:pPr>
        <w:rPr>
          <w:lang w:val="en-GB"/>
        </w:rPr>
      </w:pPr>
      <w:r w:rsidRPr="00C33C0B">
        <w:rPr>
          <w:lang w:val="en-GB"/>
        </w:rPr>
        <w:t xml:space="preserve">The Specialist and Consultant Physician Consultation Clinical Committee (the Committee) </w:t>
      </w:r>
      <w:bookmarkStart w:id="6" w:name="_Hlk522625010"/>
      <w:r w:rsidRPr="00C33C0B">
        <w:rPr>
          <w:lang w:val="en-GB"/>
        </w:rPr>
        <w:t xml:space="preserve">was established in May 2018 to make recommendations to the Taskforce </w:t>
      </w:r>
      <w:r w:rsidR="00094628">
        <w:rPr>
          <w:lang w:val="en-GB"/>
        </w:rPr>
        <w:t>on</w:t>
      </w:r>
      <w:r w:rsidR="00094628" w:rsidRPr="00C33C0B">
        <w:rPr>
          <w:lang w:val="en-GB"/>
        </w:rPr>
        <w:t xml:space="preserve"> </w:t>
      </w:r>
      <w:r w:rsidRPr="00C33C0B">
        <w:rPr>
          <w:lang w:val="en-GB"/>
        </w:rPr>
        <w:t xml:space="preserve">MBS items </w:t>
      </w:r>
      <w:bookmarkEnd w:id="6"/>
      <w:r w:rsidRPr="00C33C0B">
        <w:rPr>
          <w:lang w:val="en-GB"/>
        </w:rPr>
        <w:t xml:space="preserve">in </w:t>
      </w:r>
      <w:r w:rsidR="00460DBC">
        <w:rPr>
          <w:lang w:val="en-GB"/>
        </w:rPr>
        <w:t>its</w:t>
      </w:r>
      <w:r w:rsidRPr="00C33C0B">
        <w:rPr>
          <w:lang w:val="en-GB"/>
        </w:rPr>
        <w:t xml:space="preserve"> area of responsibility, based on rapid evidence review</w:t>
      </w:r>
      <w:r w:rsidR="004A13A9">
        <w:rPr>
          <w:lang w:val="en-GB"/>
        </w:rPr>
        <w:t xml:space="preserve"> and clinical expertise</w:t>
      </w:r>
      <w:r w:rsidRPr="00C33C0B">
        <w:rPr>
          <w:lang w:val="en-GB"/>
        </w:rPr>
        <w:t xml:space="preserve">. The Taskforce asked the Committee to review </w:t>
      </w:r>
      <w:r w:rsidR="001D2000" w:rsidRPr="00C33C0B">
        <w:rPr>
          <w:lang w:val="en-GB"/>
        </w:rPr>
        <w:t>143</w:t>
      </w:r>
      <w:r w:rsidRPr="00C33C0B">
        <w:rPr>
          <w:lang w:val="en-GB"/>
        </w:rPr>
        <w:t xml:space="preserve"> items related to attendanc</w:t>
      </w:r>
      <w:r w:rsidR="00BD25D6" w:rsidRPr="00C33C0B">
        <w:rPr>
          <w:lang w:val="en-GB"/>
        </w:rPr>
        <w:t>es</w:t>
      </w:r>
      <w:r w:rsidR="006673A0">
        <w:rPr>
          <w:lang w:val="en-GB"/>
        </w:rPr>
        <w:t xml:space="preserve">, along with </w:t>
      </w:r>
      <w:r w:rsidR="00241F9A">
        <w:rPr>
          <w:lang w:val="en-GB"/>
        </w:rPr>
        <w:t>seven priority issues that are largely structural in nature</w:t>
      </w:r>
      <w:r w:rsidR="00BD25D6" w:rsidRPr="00C33C0B">
        <w:rPr>
          <w:lang w:val="en-GB"/>
        </w:rPr>
        <w:t>.</w:t>
      </w:r>
      <w:r w:rsidR="00241F9A">
        <w:rPr>
          <w:lang w:val="en-GB"/>
        </w:rPr>
        <w:t xml:space="preserve"> The Taskforce referred two further issues to the Committee, as requested by the Minister</w:t>
      </w:r>
      <w:r w:rsidR="00CB1AB6">
        <w:rPr>
          <w:lang w:val="en-GB"/>
        </w:rPr>
        <w:t>-</w:t>
      </w:r>
      <w:r w:rsidR="00241F9A">
        <w:rPr>
          <w:lang w:val="en-GB"/>
        </w:rPr>
        <w:t xml:space="preserve"> referral practices</w:t>
      </w:r>
      <w:r w:rsidR="00CB1AB6">
        <w:rPr>
          <w:lang w:val="en-GB"/>
        </w:rPr>
        <w:t>,</w:t>
      </w:r>
      <w:r w:rsidR="00241F9A">
        <w:rPr>
          <w:lang w:val="en-GB"/>
        </w:rPr>
        <w:t xml:space="preserve"> and</w:t>
      </w:r>
      <w:r w:rsidR="00CB1AB6">
        <w:rPr>
          <w:lang w:val="en-GB"/>
        </w:rPr>
        <w:t xml:space="preserve"> incentivising the</w:t>
      </w:r>
      <w:r w:rsidR="00241F9A">
        <w:rPr>
          <w:lang w:val="en-GB"/>
        </w:rPr>
        <w:t xml:space="preserve"> uptake of My Health Record</w:t>
      </w:r>
      <w:r w:rsidR="00CB1AB6">
        <w:rPr>
          <w:lang w:val="en-GB"/>
        </w:rPr>
        <w:t xml:space="preserve"> by clinicians and consumers</w:t>
      </w:r>
      <w:r w:rsidR="00241F9A">
        <w:rPr>
          <w:lang w:val="en-GB"/>
        </w:rPr>
        <w:t>.</w:t>
      </w:r>
      <w:r w:rsidR="00BD25D6" w:rsidRPr="00C33C0B">
        <w:rPr>
          <w:lang w:val="en-GB"/>
        </w:rPr>
        <w:t xml:space="preserve"> </w:t>
      </w:r>
    </w:p>
    <w:p w14:paraId="0494E699" w14:textId="77777777" w:rsidR="00DF09CD" w:rsidRPr="00C33C0B" w:rsidRDefault="007835DF" w:rsidP="00DF5455">
      <w:pPr>
        <w:pStyle w:val="Heading2"/>
        <w:ind w:left="426" w:hanging="426"/>
        <w:rPr>
          <w:lang w:val="en-GB"/>
        </w:rPr>
      </w:pPr>
      <w:bookmarkStart w:id="7" w:name="_Toc24544659"/>
      <w:r>
        <w:rPr>
          <w:lang w:val="en-GB"/>
        </w:rPr>
        <w:t>Key</w:t>
      </w:r>
      <w:r w:rsidR="00FD6FA8" w:rsidRPr="00C33C0B">
        <w:rPr>
          <w:lang w:val="en-GB"/>
        </w:rPr>
        <w:t xml:space="preserve"> </w:t>
      </w:r>
      <w:r w:rsidR="00DF09CD" w:rsidRPr="00C33C0B">
        <w:rPr>
          <w:lang w:val="en-GB"/>
        </w:rPr>
        <w:t>recommendations</w:t>
      </w:r>
      <w:bookmarkEnd w:id="7"/>
    </w:p>
    <w:p w14:paraId="5F5F393F" w14:textId="77777777" w:rsidR="007835DF" w:rsidRPr="00C33C0B" w:rsidRDefault="007835DF" w:rsidP="007835DF">
      <w:pPr>
        <w:rPr>
          <w:lang w:val="en-GB"/>
        </w:rPr>
      </w:pPr>
      <w:r w:rsidRPr="00C33C0B">
        <w:rPr>
          <w:lang w:val="en-GB"/>
        </w:rPr>
        <w:t>Detailed recommendations and rationales can be found in Section</w:t>
      </w:r>
      <w:r>
        <w:rPr>
          <w:lang w:val="en-GB"/>
        </w:rPr>
        <w:t>s</w:t>
      </w:r>
      <w:r w:rsidRPr="00C33C0B">
        <w:rPr>
          <w:lang w:val="en-GB"/>
        </w:rPr>
        <w:t xml:space="preserve"> 4</w:t>
      </w:r>
      <w:r>
        <w:rPr>
          <w:lang w:val="en-GB"/>
        </w:rPr>
        <w:t xml:space="preserve"> to 11</w:t>
      </w:r>
      <w:r w:rsidRPr="00C33C0B">
        <w:rPr>
          <w:lang w:val="en-GB"/>
        </w:rPr>
        <w:t xml:space="preserve">, </w:t>
      </w:r>
      <w:r>
        <w:rPr>
          <w:lang w:val="en-GB"/>
        </w:rPr>
        <w:t>and</w:t>
      </w:r>
      <w:r w:rsidRPr="00C33C0B">
        <w:rPr>
          <w:lang w:val="en-GB"/>
        </w:rPr>
        <w:t xml:space="preserve"> a complete list of in-scope items and recommendations </w:t>
      </w:r>
      <w:r>
        <w:rPr>
          <w:lang w:val="en-GB"/>
        </w:rPr>
        <w:t xml:space="preserve">is </w:t>
      </w:r>
      <w:r w:rsidRPr="00C33C0B">
        <w:rPr>
          <w:lang w:val="en-GB"/>
        </w:rPr>
        <w:t>provided in Appendix A. The</w:t>
      </w:r>
      <w:r>
        <w:rPr>
          <w:lang w:val="en-GB"/>
        </w:rPr>
        <w:t xml:space="preserve"> Committee’s</w:t>
      </w:r>
      <w:r w:rsidRPr="00C33C0B">
        <w:rPr>
          <w:lang w:val="en-GB"/>
        </w:rPr>
        <w:t xml:space="preserve"> recommendations are provisional and may be revised based on feedback received during stakeholder consultation.</w:t>
      </w:r>
      <w:r>
        <w:rPr>
          <w:lang w:val="en-GB"/>
        </w:rPr>
        <w:t xml:space="preserve"> A summary of the report’s key recommendations is provided below.</w:t>
      </w:r>
    </w:p>
    <w:p w14:paraId="63241288" w14:textId="77777777" w:rsidR="007835DF" w:rsidRPr="007835DF" w:rsidRDefault="007835DF" w:rsidP="000831A1">
      <w:pPr>
        <w:numPr>
          <w:ilvl w:val="2"/>
          <w:numId w:val="15"/>
        </w:numPr>
        <w:rPr>
          <w:b/>
          <w:bCs/>
          <w:lang w:val="en-US"/>
        </w:rPr>
      </w:pPr>
      <w:r w:rsidRPr="007835DF">
        <w:rPr>
          <w:b/>
          <w:bCs/>
          <w:lang w:val="en-US"/>
        </w:rPr>
        <w:t>Standard attendance recommendations</w:t>
      </w:r>
    </w:p>
    <w:p w14:paraId="79E7D3C7" w14:textId="77777777" w:rsidR="007835DF" w:rsidRPr="003A1F27" w:rsidRDefault="00A15EEE" w:rsidP="00607BDA">
      <w:pPr>
        <w:pStyle w:val="Bullet-green"/>
        <w:numPr>
          <w:ilvl w:val="0"/>
          <w:numId w:val="0"/>
        </w:numPr>
        <w:rPr>
          <w:lang w:val="en-GB"/>
        </w:rPr>
      </w:pPr>
      <w:r w:rsidRPr="00C33C0B">
        <w:rPr>
          <w:lang w:val="en-GB"/>
        </w:rPr>
        <w:t xml:space="preserve">Many of the items for </w:t>
      </w:r>
      <w:r w:rsidR="003A1F27">
        <w:rPr>
          <w:lang w:val="en-GB"/>
        </w:rPr>
        <w:t>consultant specialist</w:t>
      </w:r>
      <w:r w:rsidRPr="00C33C0B">
        <w:rPr>
          <w:lang w:val="en-GB"/>
        </w:rPr>
        <w:t xml:space="preserve"> attendances have not been reviewed since their introduction in the 1970s and are based on </w:t>
      </w:r>
      <w:r w:rsidR="00B4577D" w:rsidRPr="00C33C0B">
        <w:rPr>
          <w:lang w:val="en-GB"/>
        </w:rPr>
        <w:t>a rationale that is increasingly disso</w:t>
      </w:r>
      <w:r w:rsidR="00B07987" w:rsidRPr="00C33C0B">
        <w:rPr>
          <w:lang w:val="en-GB"/>
        </w:rPr>
        <w:t xml:space="preserve">ciated from </w:t>
      </w:r>
      <w:r w:rsidR="00CB1AB6">
        <w:rPr>
          <w:lang w:val="en-GB"/>
        </w:rPr>
        <w:t xml:space="preserve">standard </w:t>
      </w:r>
      <w:r w:rsidR="00B07987" w:rsidRPr="00C33C0B">
        <w:rPr>
          <w:lang w:val="en-GB"/>
        </w:rPr>
        <w:t xml:space="preserve">clinical practice. During the course of </w:t>
      </w:r>
      <w:r w:rsidR="005B774B">
        <w:rPr>
          <w:lang w:val="en-GB"/>
        </w:rPr>
        <w:t xml:space="preserve">its </w:t>
      </w:r>
      <w:r w:rsidR="00B07987" w:rsidRPr="00C33C0B">
        <w:rPr>
          <w:lang w:val="en-GB"/>
        </w:rPr>
        <w:t xml:space="preserve">discussions, </w:t>
      </w:r>
      <w:r w:rsidR="005B774B">
        <w:rPr>
          <w:lang w:val="en-GB"/>
        </w:rPr>
        <w:t xml:space="preserve">the Committee </w:t>
      </w:r>
      <w:r w:rsidR="00BF3F60">
        <w:rPr>
          <w:lang w:val="en-GB"/>
        </w:rPr>
        <w:t xml:space="preserve">agreed </w:t>
      </w:r>
      <w:r w:rsidR="00B07987" w:rsidRPr="00C33C0B">
        <w:rPr>
          <w:lang w:val="en-GB"/>
        </w:rPr>
        <w:t xml:space="preserve">that </w:t>
      </w:r>
      <w:r w:rsidR="00194FB3" w:rsidRPr="00C33C0B">
        <w:rPr>
          <w:lang w:val="en-GB"/>
        </w:rPr>
        <w:t xml:space="preserve">the </w:t>
      </w:r>
      <w:r w:rsidR="003E1611" w:rsidRPr="00C33C0B">
        <w:rPr>
          <w:lang w:val="en-GB"/>
        </w:rPr>
        <w:t xml:space="preserve">current </w:t>
      </w:r>
      <w:r w:rsidR="00194FB3" w:rsidRPr="00C33C0B">
        <w:rPr>
          <w:lang w:val="en-GB"/>
        </w:rPr>
        <w:t>structure of attendance items</w:t>
      </w:r>
      <w:r w:rsidR="007835DF">
        <w:rPr>
          <w:lang w:val="en-GB"/>
        </w:rPr>
        <w:t xml:space="preserve"> d</w:t>
      </w:r>
      <w:r w:rsidR="0004725A" w:rsidRPr="00C33C0B">
        <w:rPr>
          <w:lang w:val="en-GB"/>
        </w:rPr>
        <w:t>oes not a</w:t>
      </w:r>
      <w:r w:rsidR="00194FB3" w:rsidRPr="00C33C0B">
        <w:rPr>
          <w:lang w:val="en-GB"/>
        </w:rPr>
        <w:t>ccurately reflect</w:t>
      </w:r>
      <w:r w:rsidR="00D52248">
        <w:rPr>
          <w:lang w:val="en-GB"/>
        </w:rPr>
        <w:t xml:space="preserve"> the</w:t>
      </w:r>
      <w:r w:rsidR="00194FB3" w:rsidRPr="00C33C0B">
        <w:rPr>
          <w:lang w:val="en-GB"/>
        </w:rPr>
        <w:t xml:space="preserve"> contemporary roles of </w:t>
      </w:r>
      <w:r w:rsidR="00CF064A">
        <w:rPr>
          <w:lang w:val="en-GB"/>
        </w:rPr>
        <w:t>specialist</w:t>
      </w:r>
      <w:r w:rsidR="00974498" w:rsidRPr="00C33C0B">
        <w:rPr>
          <w:lang w:val="en-GB"/>
        </w:rPr>
        <w:t xml:space="preserve">s and </w:t>
      </w:r>
      <w:r w:rsidR="00CF064A">
        <w:rPr>
          <w:lang w:val="en-GB"/>
        </w:rPr>
        <w:t>consultant physician</w:t>
      </w:r>
      <w:r w:rsidR="00974498" w:rsidRPr="00C33C0B">
        <w:rPr>
          <w:lang w:val="en-GB"/>
        </w:rPr>
        <w:t>s and the balance of consultative and procedural work</w:t>
      </w:r>
      <w:r w:rsidR="00E80C90" w:rsidRPr="00C33C0B">
        <w:rPr>
          <w:lang w:val="en-GB"/>
        </w:rPr>
        <w:t xml:space="preserve"> </w:t>
      </w:r>
      <w:r w:rsidR="00DF3C16" w:rsidRPr="00C33C0B">
        <w:rPr>
          <w:lang w:val="en-GB"/>
        </w:rPr>
        <w:t>across specialties</w:t>
      </w:r>
      <w:r w:rsidR="007835DF">
        <w:rPr>
          <w:lang w:val="en-GB"/>
        </w:rPr>
        <w:t>, d</w:t>
      </w:r>
      <w:r w:rsidR="007835DF" w:rsidRPr="00C33C0B">
        <w:rPr>
          <w:lang w:val="en-GB"/>
        </w:rPr>
        <w:t>oes not sufficiently support clinicians to invest in consultative care over procedural work</w:t>
      </w:r>
      <w:r w:rsidR="007835DF">
        <w:rPr>
          <w:lang w:val="en-GB"/>
        </w:rPr>
        <w:t>; and does not provide consumers with transparency on the cost or the quality of their chosen institution or consultant specialist.</w:t>
      </w:r>
    </w:p>
    <w:p w14:paraId="4DB47A78" w14:textId="77777777" w:rsidR="00B003F1" w:rsidRPr="00C33C0B" w:rsidRDefault="0004725A" w:rsidP="00B003F1">
      <w:pPr>
        <w:rPr>
          <w:lang w:val="en-GB"/>
        </w:rPr>
      </w:pPr>
      <w:r w:rsidRPr="00C33C0B">
        <w:rPr>
          <w:lang w:val="en-GB"/>
        </w:rPr>
        <w:t xml:space="preserve">The </w:t>
      </w:r>
      <w:r w:rsidR="003E1611" w:rsidRPr="00C33C0B">
        <w:rPr>
          <w:lang w:val="en-GB"/>
        </w:rPr>
        <w:t xml:space="preserve">Committee </w:t>
      </w:r>
      <w:r w:rsidR="00040E88" w:rsidRPr="00C33C0B">
        <w:rPr>
          <w:lang w:val="en-GB"/>
        </w:rPr>
        <w:t>recommends</w:t>
      </w:r>
      <w:r w:rsidR="003E1611" w:rsidRPr="00C33C0B">
        <w:rPr>
          <w:lang w:val="en-GB"/>
        </w:rPr>
        <w:t xml:space="preserve"> </w:t>
      </w:r>
      <w:r w:rsidR="00E537B6" w:rsidRPr="00C33C0B">
        <w:rPr>
          <w:lang w:val="en-GB"/>
        </w:rPr>
        <w:t>a new model for attendance items that is</w:t>
      </w:r>
      <w:r w:rsidR="00564473">
        <w:rPr>
          <w:lang w:val="en-GB"/>
        </w:rPr>
        <w:t xml:space="preserve"> greatly</w:t>
      </w:r>
      <w:r w:rsidR="00422385">
        <w:rPr>
          <w:lang w:val="en-GB"/>
        </w:rPr>
        <w:t xml:space="preserve"> </w:t>
      </w:r>
      <w:r w:rsidR="00564473">
        <w:rPr>
          <w:lang w:val="en-GB"/>
        </w:rPr>
        <w:t>simplified</w:t>
      </w:r>
      <w:r w:rsidR="003056CB">
        <w:rPr>
          <w:lang w:val="en-GB"/>
        </w:rPr>
        <w:t xml:space="preserve"> </w:t>
      </w:r>
      <w:r w:rsidR="00564473">
        <w:rPr>
          <w:lang w:val="en-GB"/>
        </w:rPr>
        <w:t>(</w:t>
      </w:r>
      <w:r w:rsidR="004075A4">
        <w:rPr>
          <w:lang w:val="en-GB"/>
        </w:rPr>
        <w:t>removing over 60 per cent of items</w:t>
      </w:r>
      <w:r w:rsidR="00564473">
        <w:rPr>
          <w:lang w:val="en-GB"/>
        </w:rPr>
        <w:t xml:space="preserve">), </w:t>
      </w:r>
      <w:r w:rsidR="00CB1AB6">
        <w:rPr>
          <w:lang w:val="en-GB"/>
        </w:rPr>
        <w:t xml:space="preserve">is </w:t>
      </w:r>
      <w:r w:rsidR="003056CB">
        <w:rPr>
          <w:lang w:val="en-GB"/>
        </w:rPr>
        <w:t>more equitable, and enables consistent patient rebates for similar services</w:t>
      </w:r>
      <w:r w:rsidR="0013698A">
        <w:rPr>
          <w:lang w:val="en-GB"/>
        </w:rPr>
        <w:t>.</w:t>
      </w:r>
      <w:r w:rsidR="00CB2933" w:rsidRPr="00C33C0B">
        <w:rPr>
          <w:lang w:val="en-GB"/>
        </w:rPr>
        <w:t xml:space="preserve"> </w:t>
      </w:r>
      <w:r w:rsidR="00743B01" w:rsidRPr="00C33C0B">
        <w:rPr>
          <w:lang w:val="en-GB"/>
        </w:rPr>
        <w:t>At the core of the</w:t>
      </w:r>
      <w:r w:rsidR="00CB2933" w:rsidRPr="00C33C0B">
        <w:rPr>
          <w:lang w:val="en-GB"/>
        </w:rPr>
        <w:t xml:space="preserve"> new model is </w:t>
      </w:r>
      <w:r w:rsidR="00040E88" w:rsidRPr="00C33C0B">
        <w:rPr>
          <w:lang w:val="en-GB"/>
        </w:rPr>
        <w:t xml:space="preserve">a </w:t>
      </w:r>
      <w:r w:rsidR="00CB2933" w:rsidRPr="00C33C0B">
        <w:rPr>
          <w:lang w:val="en-GB"/>
        </w:rPr>
        <w:t xml:space="preserve">recommendation to </w:t>
      </w:r>
      <w:r w:rsidR="00072904">
        <w:rPr>
          <w:lang w:val="en-GB"/>
        </w:rPr>
        <w:t>set</w:t>
      </w:r>
      <w:r w:rsidR="00B003F1" w:rsidRPr="00C33C0B">
        <w:rPr>
          <w:lang w:val="en-GB"/>
        </w:rPr>
        <w:t xml:space="preserve"> </w:t>
      </w:r>
      <w:r w:rsidR="0013698A">
        <w:rPr>
          <w:lang w:val="en-GB"/>
        </w:rPr>
        <w:t xml:space="preserve">standard </w:t>
      </w:r>
      <w:r w:rsidR="00B003F1" w:rsidRPr="00C33C0B">
        <w:rPr>
          <w:lang w:val="en-GB"/>
        </w:rPr>
        <w:t xml:space="preserve">attendance </w:t>
      </w:r>
      <w:r w:rsidR="00180343">
        <w:rPr>
          <w:lang w:val="en-GB"/>
        </w:rPr>
        <w:t>schedule fees</w:t>
      </w:r>
      <w:r w:rsidR="00072904">
        <w:rPr>
          <w:lang w:val="en-GB"/>
        </w:rPr>
        <w:t xml:space="preserve"> based on time</w:t>
      </w:r>
      <w:r w:rsidR="00B003F1" w:rsidRPr="00C33C0B">
        <w:rPr>
          <w:lang w:val="en-GB"/>
        </w:rPr>
        <w:t xml:space="preserve">. There is consensus within the Committee that using time as a basis for </w:t>
      </w:r>
      <w:r w:rsidR="001A4DC2">
        <w:rPr>
          <w:lang w:val="en-GB"/>
        </w:rPr>
        <w:t>setting schedule fees</w:t>
      </w:r>
      <w:r w:rsidR="00B003F1" w:rsidRPr="00C33C0B">
        <w:rPr>
          <w:lang w:val="en-GB"/>
        </w:rPr>
        <w:t xml:space="preserve"> is applicable within </w:t>
      </w:r>
      <w:r w:rsidR="00BC4BC9">
        <w:rPr>
          <w:lang w:val="en-GB"/>
        </w:rPr>
        <w:t>standard</w:t>
      </w:r>
      <w:r w:rsidR="00BC4BC9" w:rsidRPr="00C33C0B">
        <w:rPr>
          <w:lang w:val="en-GB"/>
        </w:rPr>
        <w:t xml:space="preserve"> </w:t>
      </w:r>
      <w:r w:rsidR="00B003F1" w:rsidRPr="00C33C0B">
        <w:rPr>
          <w:lang w:val="en-GB"/>
        </w:rPr>
        <w:t>clinical practice across all specialties</w:t>
      </w:r>
      <w:r w:rsidR="007835DF">
        <w:rPr>
          <w:lang w:val="en-GB"/>
        </w:rPr>
        <w:t>;</w:t>
      </w:r>
      <w:r w:rsidR="00B003F1" w:rsidRPr="00C33C0B">
        <w:rPr>
          <w:lang w:val="en-GB"/>
        </w:rPr>
        <w:t xml:space="preserve"> and </w:t>
      </w:r>
      <w:r w:rsidR="001661F9" w:rsidRPr="00C33C0B">
        <w:rPr>
          <w:lang w:val="en-GB"/>
        </w:rPr>
        <w:t>can account for</w:t>
      </w:r>
      <w:r w:rsidR="00B003F1" w:rsidRPr="00C33C0B">
        <w:rPr>
          <w:lang w:val="en-GB"/>
        </w:rPr>
        <w:t xml:space="preserve"> distinct activities of varying complexity.</w:t>
      </w:r>
      <w:r w:rsidR="00313126">
        <w:rPr>
          <w:lang w:val="en-GB"/>
        </w:rPr>
        <w:t xml:space="preserve"> A time-based model also </w:t>
      </w:r>
      <w:r w:rsidR="00CB1AB6">
        <w:rPr>
          <w:lang w:val="en-GB"/>
        </w:rPr>
        <w:t xml:space="preserve">strengthens the capacity of </w:t>
      </w:r>
      <w:r w:rsidR="00313126">
        <w:rPr>
          <w:lang w:val="en-GB"/>
        </w:rPr>
        <w:t>consumers to give informed financial consent.</w:t>
      </w:r>
      <w:r w:rsidR="003D361C">
        <w:rPr>
          <w:lang w:val="en-GB"/>
        </w:rPr>
        <w:t xml:space="preserve"> The Committee has recommended reviewing the potential impact of time</w:t>
      </w:r>
      <w:r w:rsidR="003D361C">
        <w:rPr>
          <w:lang w:val="en-GB"/>
        </w:rPr>
        <w:noBreakHyphen/>
        <w:t>tiering on distant outreach services.</w:t>
      </w:r>
    </w:p>
    <w:p w14:paraId="1FCB2D21" w14:textId="77777777" w:rsidR="00280517" w:rsidRPr="00C33C0B" w:rsidRDefault="00280517" w:rsidP="00B003F1">
      <w:pPr>
        <w:rPr>
          <w:lang w:val="en-GB"/>
        </w:rPr>
      </w:pPr>
      <w:r w:rsidRPr="00C33C0B">
        <w:rPr>
          <w:lang w:val="en-GB"/>
        </w:rPr>
        <w:t>The Committee has</w:t>
      </w:r>
      <w:r w:rsidR="00EE7385" w:rsidRPr="00C33C0B">
        <w:rPr>
          <w:lang w:val="en-GB"/>
        </w:rPr>
        <w:t xml:space="preserve"> also</w:t>
      </w:r>
      <w:r w:rsidRPr="00C33C0B">
        <w:rPr>
          <w:lang w:val="en-GB"/>
        </w:rPr>
        <w:t xml:space="preserve"> made recommendations </w:t>
      </w:r>
      <w:r w:rsidR="00356CF7" w:rsidRPr="00C33C0B">
        <w:rPr>
          <w:lang w:val="en-GB"/>
        </w:rPr>
        <w:t xml:space="preserve">on </w:t>
      </w:r>
      <w:r w:rsidR="00CB1AB6">
        <w:rPr>
          <w:lang w:val="en-GB"/>
        </w:rPr>
        <w:t>related</w:t>
      </w:r>
      <w:r w:rsidR="00356CF7" w:rsidRPr="00C33C0B">
        <w:rPr>
          <w:lang w:val="en-GB"/>
        </w:rPr>
        <w:t xml:space="preserve"> attendance items</w:t>
      </w:r>
      <w:r w:rsidR="00EE7385" w:rsidRPr="00C33C0B">
        <w:rPr>
          <w:lang w:val="en-GB"/>
        </w:rPr>
        <w:t xml:space="preserve"> such </w:t>
      </w:r>
      <w:r w:rsidR="001B20EE" w:rsidRPr="00C33C0B">
        <w:rPr>
          <w:lang w:val="en-GB"/>
        </w:rPr>
        <w:t xml:space="preserve">as </w:t>
      </w:r>
      <w:r w:rsidR="003056CB">
        <w:rPr>
          <w:lang w:val="en-GB"/>
        </w:rPr>
        <w:t>telehealth</w:t>
      </w:r>
      <w:r w:rsidR="00CB1AB6">
        <w:rPr>
          <w:lang w:val="en-GB"/>
        </w:rPr>
        <w:t xml:space="preserve"> and</w:t>
      </w:r>
      <w:r w:rsidR="003056CB">
        <w:rPr>
          <w:lang w:val="en-GB"/>
        </w:rPr>
        <w:t xml:space="preserve"> case conferencing, and the use of da</w:t>
      </w:r>
      <w:r w:rsidR="00267FA1">
        <w:rPr>
          <w:lang w:val="en-GB"/>
        </w:rPr>
        <w:t>ta to inform quality care and p</w:t>
      </w:r>
      <w:r w:rsidR="003056CB">
        <w:rPr>
          <w:lang w:val="en-GB"/>
        </w:rPr>
        <w:t>atient choice</w:t>
      </w:r>
      <w:r w:rsidR="001661F9" w:rsidRPr="00C33C0B">
        <w:rPr>
          <w:lang w:val="en-GB"/>
        </w:rPr>
        <w:t>. T</w:t>
      </w:r>
      <w:r w:rsidR="001B20EE" w:rsidRPr="00C33C0B">
        <w:rPr>
          <w:lang w:val="en-GB"/>
        </w:rPr>
        <w:t xml:space="preserve">he </w:t>
      </w:r>
      <w:r w:rsidR="00F57DF1" w:rsidRPr="00C33C0B">
        <w:rPr>
          <w:lang w:val="en-GB"/>
        </w:rPr>
        <w:t xml:space="preserve">intention </w:t>
      </w:r>
      <w:r w:rsidR="001661F9" w:rsidRPr="00C33C0B">
        <w:rPr>
          <w:lang w:val="en-GB"/>
        </w:rPr>
        <w:t xml:space="preserve">is to increase </w:t>
      </w:r>
      <w:r w:rsidR="00F57DF1" w:rsidRPr="00C33C0B">
        <w:rPr>
          <w:lang w:val="en-GB"/>
        </w:rPr>
        <w:t>patient access to these</w:t>
      </w:r>
      <w:r w:rsidR="00C22EB7">
        <w:rPr>
          <w:lang w:val="en-GB"/>
        </w:rPr>
        <w:t xml:space="preserve"> items</w:t>
      </w:r>
      <w:r w:rsidR="00F57DF1" w:rsidRPr="00C33C0B">
        <w:rPr>
          <w:lang w:val="en-GB"/>
        </w:rPr>
        <w:t xml:space="preserve">, </w:t>
      </w:r>
      <w:r w:rsidR="001661F9" w:rsidRPr="00C33C0B">
        <w:rPr>
          <w:lang w:val="en-GB"/>
        </w:rPr>
        <w:t xml:space="preserve">and to encourage </w:t>
      </w:r>
      <w:r w:rsidR="00F57DF1" w:rsidRPr="00C33C0B">
        <w:rPr>
          <w:lang w:val="en-GB"/>
        </w:rPr>
        <w:t>integrated care</w:t>
      </w:r>
      <w:r w:rsidR="001B20EE" w:rsidRPr="00C33C0B">
        <w:rPr>
          <w:lang w:val="en-GB"/>
        </w:rPr>
        <w:t xml:space="preserve"> </w:t>
      </w:r>
      <w:r w:rsidR="00F57DF1" w:rsidRPr="00C33C0B">
        <w:rPr>
          <w:lang w:val="en-GB"/>
        </w:rPr>
        <w:t>and shared decision</w:t>
      </w:r>
      <w:r w:rsidR="001969DA">
        <w:rPr>
          <w:lang w:val="en-GB"/>
        </w:rPr>
        <w:t>-</w:t>
      </w:r>
      <w:r w:rsidR="00F57DF1" w:rsidRPr="00C33C0B">
        <w:rPr>
          <w:lang w:val="en-GB"/>
        </w:rPr>
        <w:t xml:space="preserve">making. </w:t>
      </w:r>
    </w:p>
    <w:p w14:paraId="508F152B" w14:textId="77777777" w:rsidR="00CF7235" w:rsidRPr="00C33C0B" w:rsidRDefault="005D5559" w:rsidP="004F4047">
      <w:pPr>
        <w:pStyle w:val="Bullet-green"/>
        <w:numPr>
          <w:ilvl w:val="0"/>
          <w:numId w:val="0"/>
        </w:numPr>
        <w:rPr>
          <w:lang w:val="en-GB"/>
        </w:rPr>
      </w:pPr>
      <w:r w:rsidRPr="00C33C0B">
        <w:rPr>
          <w:lang w:val="en-GB"/>
        </w:rPr>
        <w:t xml:space="preserve">The Committee recommends introducing </w:t>
      </w:r>
      <w:r w:rsidR="00DF09CD" w:rsidRPr="00C33C0B">
        <w:rPr>
          <w:lang w:val="en-GB"/>
        </w:rPr>
        <w:t xml:space="preserve">time-tiered attendance items with </w:t>
      </w:r>
      <w:r w:rsidR="002153C5" w:rsidRPr="00C33C0B">
        <w:rPr>
          <w:lang w:val="en-GB"/>
        </w:rPr>
        <w:t xml:space="preserve">descriptors </w:t>
      </w:r>
      <w:r w:rsidR="00CB1AB6">
        <w:rPr>
          <w:lang w:val="en-GB"/>
        </w:rPr>
        <w:t xml:space="preserve">including </w:t>
      </w:r>
      <w:r w:rsidR="002153C5" w:rsidRPr="00C33C0B">
        <w:rPr>
          <w:lang w:val="en-GB"/>
        </w:rPr>
        <w:t>activities to be performed in each time</w:t>
      </w:r>
      <w:r w:rsidR="0065684D">
        <w:rPr>
          <w:lang w:val="en-GB"/>
        </w:rPr>
        <w:t xml:space="preserve"> </w:t>
      </w:r>
      <w:r w:rsidR="002153C5" w:rsidRPr="00C33C0B">
        <w:rPr>
          <w:lang w:val="en-GB"/>
        </w:rPr>
        <w:t>tier</w:t>
      </w:r>
      <w:r w:rsidR="0092294A" w:rsidRPr="00C33C0B">
        <w:rPr>
          <w:lang w:val="en-GB"/>
        </w:rPr>
        <w:t xml:space="preserve">. </w:t>
      </w:r>
      <w:r w:rsidR="00CF7235" w:rsidRPr="00C33C0B">
        <w:rPr>
          <w:lang w:val="en-GB"/>
        </w:rPr>
        <w:t xml:space="preserve">These items replace existing </w:t>
      </w:r>
      <w:r w:rsidR="00FB0E53" w:rsidRPr="00C33C0B">
        <w:rPr>
          <w:lang w:val="en-GB"/>
        </w:rPr>
        <w:t xml:space="preserve">standard attendance items and </w:t>
      </w:r>
      <w:r w:rsidR="00E069A3">
        <w:rPr>
          <w:lang w:val="en-GB"/>
        </w:rPr>
        <w:t xml:space="preserve">will </w:t>
      </w:r>
      <w:r w:rsidR="00FB0E53" w:rsidRPr="00C33C0B">
        <w:rPr>
          <w:lang w:val="en-GB"/>
        </w:rPr>
        <w:t xml:space="preserve">be accessed by all </w:t>
      </w:r>
      <w:r w:rsidR="008C78CE">
        <w:rPr>
          <w:lang w:val="en-GB"/>
        </w:rPr>
        <w:t>consultant specialists</w:t>
      </w:r>
      <w:r w:rsidR="00C93095" w:rsidRPr="00C33C0B">
        <w:rPr>
          <w:lang w:val="en-GB"/>
        </w:rPr>
        <w:t>.</w:t>
      </w:r>
    </w:p>
    <w:p w14:paraId="1C2BE5B8" w14:textId="77777777" w:rsidR="0073152D" w:rsidRPr="00C33C0B" w:rsidRDefault="0073152D" w:rsidP="0073152D">
      <w:pPr>
        <w:rPr>
          <w:lang w:val="en-GB"/>
        </w:rPr>
      </w:pPr>
      <w:r w:rsidRPr="00C33C0B">
        <w:rPr>
          <w:lang w:val="en-GB"/>
        </w:rPr>
        <w:t xml:space="preserve">The Committee also recommends </w:t>
      </w:r>
      <w:r w:rsidR="00062DCA">
        <w:rPr>
          <w:lang w:val="en-GB"/>
        </w:rPr>
        <w:t>introducing</w:t>
      </w:r>
      <w:r w:rsidRPr="00C33C0B">
        <w:rPr>
          <w:lang w:val="en-GB"/>
        </w:rPr>
        <w:t xml:space="preserve"> </w:t>
      </w:r>
      <w:r w:rsidR="00CB1AB6">
        <w:rPr>
          <w:lang w:val="en-GB"/>
        </w:rPr>
        <w:t xml:space="preserve">a parallel structure </w:t>
      </w:r>
      <w:r w:rsidR="00764C09">
        <w:rPr>
          <w:lang w:val="en-GB"/>
        </w:rPr>
        <w:t>of attendance</w:t>
      </w:r>
      <w:r w:rsidRPr="00C33C0B">
        <w:rPr>
          <w:lang w:val="en-GB"/>
        </w:rPr>
        <w:t xml:space="preserve"> </w:t>
      </w:r>
      <w:r w:rsidR="00E069A3">
        <w:rPr>
          <w:lang w:val="en-GB"/>
        </w:rPr>
        <w:t xml:space="preserve">items </w:t>
      </w:r>
      <w:r w:rsidR="00CB1AB6">
        <w:rPr>
          <w:lang w:val="en-GB"/>
        </w:rPr>
        <w:t>that cover</w:t>
      </w:r>
      <w:r w:rsidR="00A80A78">
        <w:rPr>
          <w:lang w:val="en-GB"/>
        </w:rPr>
        <w:t xml:space="preserve"> </w:t>
      </w:r>
      <w:r w:rsidR="00E069A3">
        <w:rPr>
          <w:lang w:val="en-GB"/>
        </w:rPr>
        <w:t xml:space="preserve">acute, </w:t>
      </w:r>
      <w:r w:rsidRPr="00C33C0B">
        <w:rPr>
          <w:lang w:val="en-GB"/>
        </w:rPr>
        <w:t>urgent</w:t>
      </w:r>
      <w:r w:rsidR="00E069A3">
        <w:rPr>
          <w:lang w:val="en-GB"/>
        </w:rPr>
        <w:t xml:space="preserve">, and unplanned </w:t>
      </w:r>
      <w:r w:rsidRPr="00C33C0B">
        <w:rPr>
          <w:lang w:val="en-GB"/>
        </w:rPr>
        <w:t xml:space="preserve">attendances occurring outside </w:t>
      </w:r>
      <w:r w:rsidR="005C40C7">
        <w:rPr>
          <w:lang w:val="en-GB"/>
        </w:rPr>
        <w:t>a</w:t>
      </w:r>
      <w:r w:rsidRPr="00C33C0B">
        <w:rPr>
          <w:lang w:val="en-GB"/>
        </w:rPr>
        <w:t xml:space="preserve"> </w:t>
      </w:r>
      <w:r w:rsidR="00AA329D">
        <w:rPr>
          <w:lang w:val="en-GB" w:eastAsia="en-US"/>
        </w:rPr>
        <w:t>consultant specialist</w:t>
      </w:r>
      <w:r w:rsidRPr="00C33C0B">
        <w:rPr>
          <w:lang w:val="en-GB" w:eastAsia="en-US"/>
        </w:rPr>
        <w:t xml:space="preserve">’s </w:t>
      </w:r>
      <w:r w:rsidRPr="00C33C0B">
        <w:rPr>
          <w:lang w:val="en-GB"/>
        </w:rPr>
        <w:t>consulting rooms.</w:t>
      </w:r>
      <w:r w:rsidR="00E069A3">
        <w:rPr>
          <w:lang w:val="en-GB"/>
        </w:rPr>
        <w:t xml:space="preserve"> </w:t>
      </w:r>
      <w:r w:rsidR="00182826">
        <w:rPr>
          <w:lang w:val="en-GB"/>
        </w:rPr>
        <w:t>The Committee recommends</w:t>
      </w:r>
      <w:r w:rsidRPr="00C33C0B">
        <w:rPr>
          <w:lang w:val="en-GB"/>
        </w:rPr>
        <w:t xml:space="preserve"> a </w:t>
      </w:r>
      <w:r w:rsidR="00E069A3">
        <w:rPr>
          <w:lang w:val="en-GB"/>
        </w:rPr>
        <w:t xml:space="preserve">higher schedule fee for these items compared to </w:t>
      </w:r>
      <w:r w:rsidR="00182826">
        <w:rPr>
          <w:lang w:val="en-GB"/>
        </w:rPr>
        <w:t xml:space="preserve">its </w:t>
      </w:r>
      <w:r w:rsidR="00E069A3">
        <w:rPr>
          <w:lang w:val="en-GB"/>
        </w:rPr>
        <w:t xml:space="preserve">equivalent standard </w:t>
      </w:r>
      <w:r w:rsidR="00182826">
        <w:rPr>
          <w:lang w:val="en-GB"/>
        </w:rPr>
        <w:t>time</w:t>
      </w:r>
      <w:r w:rsidR="00ED4B15">
        <w:rPr>
          <w:lang w:val="en-GB"/>
        </w:rPr>
        <w:t>-</w:t>
      </w:r>
      <w:r w:rsidR="00182826">
        <w:rPr>
          <w:lang w:val="en-GB"/>
        </w:rPr>
        <w:t xml:space="preserve">tiered </w:t>
      </w:r>
      <w:r w:rsidR="00E069A3">
        <w:rPr>
          <w:lang w:val="en-GB"/>
        </w:rPr>
        <w:t>attendance item</w:t>
      </w:r>
      <w:r w:rsidR="00CB1AB6">
        <w:rPr>
          <w:lang w:val="en-GB"/>
        </w:rPr>
        <w:t>, reflective of the disruption and consequently higher inputs of these attendances</w:t>
      </w:r>
      <w:r w:rsidR="00E52391">
        <w:rPr>
          <w:lang w:val="en-GB"/>
        </w:rPr>
        <w:t>.</w:t>
      </w:r>
      <w:r w:rsidR="00E069A3">
        <w:rPr>
          <w:lang w:val="en-GB"/>
        </w:rPr>
        <w:t xml:space="preserve"> </w:t>
      </w:r>
    </w:p>
    <w:p w14:paraId="5B18882D" w14:textId="77777777" w:rsidR="0063055E" w:rsidRPr="00C33C0B" w:rsidRDefault="0063055E" w:rsidP="0063055E">
      <w:pPr>
        <w:pStyle w:val="Heading3"/>
      </w:pPr>
      <w:bookmarkStart w:id="8" w:name="_Toc24544660"/>
      <w:r w:rsidRPr="00C33C0B">
        <w:t xml:space="preserve">Complex plan </w:t>
      </w:r>
      <w:r>
        <w:t>recommendations</w:t>
      </w:r>
      <w:bookmarkEnd w:id="8"/>
    </w:p>
    <w:p w14:paraId="572D195D" w14:textId="77777777" w:rsidR="003D41BC" w:rsidRDefault="00182826" w:rsidP="00182826">
      <w:pPr>
        <w:pStyle w:val="Bullet-green"/>
        <w:numPr>
          <w:ilvl w:val="0"/>
          <w:numId w:val="0"/>
        </w:numPr>
        <w:rPr>
          <w:lang w:val="en-GB"/>
        </w:rPr>
      </w:pPr>
      <w:r>
        <w:rPr>
          <w:lang w:val="en-GB"/>
        </w:rPr>
        <w:t>The Committee recommends removing complex plan items</w:t>
      </w:r>
      <w:r w:rsidR="003D41BC">
        <w:rPr>
          <w:lang w:val="en-GB"/>
        </w:rPr>
        <w:t xml:space="preserve"> from the MBS</w:t>
      </w:r>
      <w:r>
        <w:rPr>
          <w:lang w:val="en-GB"/>
        </w:rPr>
        <w:t xml:space="preserve"> for </w:t>
      </w:r>
      <w:r w:rsidRPr="00182826">
        <w:rPr>
          <w:lang w:val="en-GB"/>
        </w:rPr>
        <w:t>consultant physician</w:t>
      </w:r>
      <w:r>
        <w:rPr>
          <w:lang w:val="en-GB"/>
        </w:rPr>
        <w:t>s (</w:t>
      </w:r>
      <w:r w:rsidR="007835DF">
        <w:rPr>
          <w:lang w:val="en-GB"/>
        </w:rPr>
        <w:t xml:space="preserve">items </w:t>
      </w:r>
      <w:r>
        <w:rPr>
          <w:lang w:val="en-GB"/>
        </w:rPr>
        <w:t>132 and 133)</w:t>
      </w:r>
      <w:r w:rsidRPr="00182826">
        <w:rPr>
          <w:lang w:val="en-GB"/>
        </w:rPr>
        <w:t>, addiction medicine</w:t>
      </w:r>
      <w:r>
        <w:rPr>
          <w:lang w:val="en-GB"/>
        </w:rPr>
        <w:t xml:space="preserve"> specialists (</w:t>
      </w:r>
      <w:r w:rsidR="007835DF">
        <w:rPr>
          <w:lang w:val="en-GB"/>
        </w:rPr>
        <w:t xml:space="preserve">items </w:t>
      </w:r>
      <w:r>
        <w:rPr>
          <w:lang w:val="en-GB"/>
        </w:rPr>
        <w:t>6023 and 6024)</w:t>
      </w:r>
      <w:r w:rsidRPr="00182826">
        <w:rPr>
          <w:lang w:val="en-GB"/>
        </w:rPr>
        <w:t xml:space="preserve">, and sexual health medicine </w:t>
      </w:r>
      <w:r>
        <w:rPr>
          <w:lang w:val="en-GB"/>
        </w:rPr>
        <w:t>specialists (</w:t>
      </w:r>
      <w:r w:rsidR="007835DF">
        <w:rPr>
          <w:lang w:val="en-GB"/>
        </w:rPr>
        <w:t xml:space="preserve">items </w:t>
      </w:r>
      <w:r>
        <w:rPr>
          <w:lang w:val="en-GB"/>
        </w:rPr>
        <w:t>6057 and 6058)</w:t>
      </w:r>
      <w:r w:rsidR="003D41BC">
        <w:rPr>
          <w:lang w:val="en-GB"/>
        </w:rPr>
        <w:t>.</w:t>
      </w:r>
      <w:r w:rsidR="00FF2271">
        <w:rPr>
          <w:lang w:val="en-GB"/>
        </w:rPr>
        <w:t xml:space="preserve"> These complex plan services</w:t>
      </w:r>
      <w:r w:rsidR="00D01B22">
        <w:rPr>
          <w:lang w:val="en-GB"/>
        </w:rPr>
        <w:t xml:space="preserve"> should instead be </w:t>
      </w:r>
      <w:r w:rsidR="009417F6">
        <w:rPr>
          <w:lang w:val="en-GB"/>
        </w:rPr>
        <w:t xml:space="preserve">itemised </w:t>
      </w:r>
      <w:r w:rsidR="00D01B22">
        <w:rPr>
          <w:lang w:val="en-GB"/>
        </w:rPr>
        <w:t>using the new standard time</w:t>
      </w:r>
      <w:r w:rsidR="00ED4B15">
        <w:rPr>
          <w:lang w:val="en-GB"/>
        </w:rPr>
        <w:t>-</w:t>
      </w:r>
      <w:r w:rsidR="00D01B22">
        <w:rPr>
          <w:lang w:val="en-GB"/>
        </w:rPr>
        <w:t>tiered attendance items.</w:t>
      </w:r>
    </w:p>
    <w:p w14:paraId="7832D7A7" w14:textId="77777777" w:rsidR="003D41BC" w:rsidRDefault="00D01B22" w:rsidP="00607BDA">
      <w:pPr>
        <w:pStyle w:val="Bullet-green"/>
        <w:numPr>
          <w:ilvl w:val="0"/>
          <w:numId w:val="0"/>
        </w:numPr>
        <w:rPr>
          <w:lang w:val="en-GB"/>
        </w:rPr>
      </w:pPr>
      <w:r w:rsidRPr="00191C66">
        <w:t>Complex</w:t>
      </w:r>
      <w:r>
        <w:rPr>
          <w:lang w:val="en-GB"/>
        </w:rPr>
        <w:t xml:space="preserve"> plan items were </w:t>
      </w:r>
      <w:r w:rsidR="00E52391">
        <w:rPr>
          <w:lang w:val="en-GB"/>
        </w:rPr>
        <w:t xml:space="preserve">initially </w:t>
      </w:r>
      <w:r>
        <w:rPr>
          <w:lang w:val="en-GB"/>
        </w:rPr>
        <w:t xml:space="preserve">created to support the referring practitioner (usually the GP) </w:t>
      </w:r>
      <w:r w:rsidR="00E52391">
        <w:rPr>
          <w:lang w:val="en-GB"/>
        </w:rPr>
        <w:t xml:space="preserve">in </w:t>
      </w:r>
      <w:r>
        <w:rPr>
          <w:lang w:val="en-GB"/>
        </w:rPr>
        <w:t>manag</w:t>
      </w:r>
      <w:r w:rsidR="00E52391">
        <w:rPr>
          <w:lang w:val="en-GB"/>
        </w:rPr>
        <w:t>ing</w:t>
      </w:r>
      <w:r>
        <w:rPr>
          <w:lang w:val="en-GB"/>
        </w:rPr>
        <w:t xml:space="preserve"> complex patient</w:t>
      </w:r>
      <w:r w:rsidR="00191C66">
        <w:rPr>
          <w:lang w:val="en-GB"/>
        </w:rPr>
        <w:t>s</w:t>
      </w:r>
      <w:r>
        <w:rPr>
          <w:lang w:val="en-GB"/>
        </w:rPr>
        <w:t>. However, e</w:t>
      </w:r>
      <w:r w:rsidR="003D41BC" w:rsidRPr="00C33C0B">
        <w:rPr>
          <w:lang w:val="en-GB"/>
        </w:rPr>
        <w:t xml:space="preserve">vidence suggests that </w:t>
      </w:r>
      <w:r w:rsidR="00191C66">
        <w:rPr>
          <w:lang w:val="en-GB"/>
        </w:rPr>
        <w:t xml:space="preserve">these items are </w:t>
      </w:r>
      <w:r>
        <w:rPr>
          <w:lang w:val="en-GB"/>
        </w:rPr>
        <w:t xml:space="preserve">instead being use </w:t>
      </w:r>
      <w:r w:rsidR="00191C66">
        <w:rPr>
          <w:lang w:val="en-GB"/>
        </w:rPr>
        <w:t xml:space="preserve">as a proxy for a long consultation. For example, 41 per cent of patients </w:t>
      </w:r>
      <w:r w:rsidR="003D41BC">
        <w:rPr>
          <w:lang w:val="en-GB"/>
        </w:rPr>
        <w:t xml:space="preserve">receiving </w:t>
      </w:r>
      <w:r w:rsidR="00191C66">
        <w:rPr>
          <w:lang w:val="en-GB"/>
        </w:rPr>
        <w:t>a complex plan from a consultant physician (item 132) do not see their referring practitioner in the following 6 months.</w:t>
      </w:r>
    </w:p>
    <w:p w14:paraId="51881DD3" w14:textId="77777777" w:rsidR="003856AA" w:rsidRDefault="00191C66" w:rsidP="00607BDA">
      <w:pPr>
        <w:pStyle w:val="Bullet-green"/>
        <w:numPr>
          <w:ilvl w:val="0"/>
          <w:numId w:val="0"/>
        </w:numPr>
        <w:rPr>
          <w:lang w:val="en-GB"/>
        </w:rPr>
      </w:pPr>
      <w:r>
        <w:rPr>
          <w:lang w:val="en-GB"/>
        </w:rPr>
        <w:t>The Committee recommends keeping paediatric complex plan item</w:t>
      </w:r>
      <w:r w:rsidR="00541141">
        <w:rPr>
          <w:lang w:val="en-GB"/>
        </w:rPr>
        <w:t>s</w:t>
      </w:r>
      <w:r>
        <w:rPr>
          <w:lang w:val="en-GB"/>
        </w:rPr>
        <w:t xml:space="preserve"> 135 and 137 in the MBS as these items pertain to specific patient population groups (</w:t>
      </w:r>
      <w:r w:rsidR="005743D3">
        <w:rPr>
          <w:lang w:val="en-GB"/>
        </w:rPr>
        <w:t>e.g., children with autism spectrum disorder) a</w:t>
      </w:r>
      <w:r w:rsidR="00731B5C">
        <w:rPr>
          <w:lang w:val="en-GB"/>
        </w:rPr>
        <w:t xml:space="preserve">nd are linked to </w:t>
      </w:r>
      <w:r w:rsidR="00B547A4">
        <w:rPr>
          <w:lang w:val="en-GB"/>
        </w:rPr>
        <w:t>an</w:t>
      </w:r>
      <w:r w:rsidR="00731B5C">
        <w:rPr>
          <w:lang w:val="en-GB"/>
        </w:rPr>
        <w:t xml:space="preserve"> </w:t>
      </w:r>
      <w:r w:rsidR="0004538D">
        <w:rPr>
          <w:lang w:val="en-GB"/>
        </w:rPr>
        <w:t>allied health professional (AHP)</w:t>
      </w:r>
      <w:r w:rsidR="00731B5C">
        <w:rPr>
          <w:lang w:val="en-GB"/>
        </w:rPr>
        <w:t xml:space="preserve"> pathway.</w:t>
      </w:r>
      <w:r w:rsidR="00541141">
        <w:rPr>
          <w:lang w:val="en-GB"/>
        </w:rPr>
        <w:t xml:space="preserve"> The Committee recommends the </w:t>
      </w:r>
      <w:r w:rsidR="007835DF">
        <w:rPr>
          <w:lang w:val="en-GB"/>
        </w:rPr>
        <w:t>changes</w:t>
      </w:r>
      <w:r w:rsidR="00541141">
        <w:rPr>
          <w:lang w:val="en-GB"/>
        </w:rPr>
        <w:t xml:space="preserve"> to these items</w:t>
      </w:r>
      <w:r w:rsidR="007835DF">
        <w:rPr>
          <w:lang w:val="en-GB"/>
        </w:rPr>
        <w:t xml:space="preserve"> to ensure they align with best practice and effective treatment. </w:t>
      </w:r>
      <w:r w:rsidR="003856AA" w:rsidRPr="00607BDA">
        <w:rPr>
          <w:lang w:val="en-GB"/>
        </w:rPr>
        <w:t>Due to very high complexity and severity of the conditions being assessed and the multidisciplinary domains considered, the schedule fee should be set at equal to or greater than level E.</w:t>
      </w:r>
    </w:p>
    <w:p w14:paraId="6DED00BD" w14:textId="77777777" w:rsidR="0081111E" w:rsidRPr="00607BDA" w:rsidRDefault="0081111E" w:rsidP="00607BDA">
      <w:pPr>
        <w:pStyle w:val="Bullet-green"/>
        <w:numPr>
          <w:ilvl w:val="0"/>
          <w:numId w:val="0"/>
        </w:numPr>
        <w:rPr>
          <w:lang w:val="en-GB"/>
        </w:rPr>
      </w:pPr>
      <w:r>
        <w:rPr>
          <w:lang w:val="en-GB"/>
        </w:rPr>
        <w:t>The Committee also recommends retaining comprehensive geriatric assessment and management plan items 141, 143, 145 and 147</w:t>
      </w:r>
      <w:r w:rsidR="00C035DF">
        <w:rPr>
          <w:lang w:val="en-GB"/>
        </w:rPr>
        <w:t xml:space="preserve"> </w:t>
      </w:r>
      <w:r w:rsidR="00C035DF" w:rsidRPr="005A5C4E">
        <w:rPr>
          <w:lang w:val="en-GB"/>
        </w:rPr>
        <w:t>given there are a number of unique, specific requirements.</w:t>
      </w:r>
    </w:p>
    <w:p w14:paraId="384251BD" w14:textId="77777777" w:rsidR="00DF09CD" w:rsidRPr="00C33C0B" w:rsidRDefault="00BD5C7A" w:rsidP="00E16B9E">
      <w:pPr>
        <w:pStyle w:val="Heading3"/>
      </w:pPr>
      <w:bookmarkStart w:id="9" w:name="_Toc24544661"/>
      <w:r w:rsidRPr="00C33C0B">
        <w:t xml:space="preserve">Telehealth </w:t>
      </w:r>
      <w:r w:rsidR="0000476B">
        <w:t>recommendations</w:t>
      </w:r>
      <w:bookmarkEnd w:id="9"/>
    </w:p>
    <w:p w14:paraId="63469BE5" w14:textId="77777777" w:rsidR="00971319" w:rsidRDefault="00971319" w:rsidP="00607BDA">
      <w:pPr>
        <w:pStyle w:val="Bullet-green"/>
        <w:numPr>
          <w:ilvl w:val="0"/>
          <w:numId w:val="0"/>
        </w:numPr>
        <w:rPr>
          <w:lang w:val="en-GB"/>
        </w:rPr>
      </w:pPr>
      <w:r>
        <w:rPr>
          <w:lang w:val="en-GB"/>
        </w:rPr>
        <w:t xml:space="preserve">The Committee has </w:t>
      </w:r>
      <w:r w:rsidR="004123A0">
        <w:rPr>
          <w:lang w:val="en-GB"/>
        </w:rPr>
        <w:t xml:space="preserve">made </w:t>
      </w:r>
      <w:r>
        <w:rPr>
          <w:lang w:val="en-GB"/>
        </w:rPr>
        <w:t>recommendations</w:t>
      </w:r>
      <w:r w:rsidR="004123A0">
        <w:rPr>
          <w:lang w:val="en-GB"/>
        </w:rPr>
        <w:t xml:space="preserve"> on MBS telehealth items </w:t>
      </w:r>
      <w:r w:rsidR="007835DF">
        <w:rPr>
          <w:lang w:val="en-GB"/>
        </w:rPr>
        <w:t>to phase out the incentive loading</w:t>
      </w:r>
      <w:r w:rsidR="00EA0868">
        <w:rPr>
          <w:lang w:val="en-GB"/>
        </w:rPr>
        <w:t xml:space="preserve"> by</w:t>
      </w:r>
      <w:r w:rsidR="007835DF">
        <w:rPr>
          <w:lang w:val="en-GB"/>
        </w:rPr>
        <w:t xml:space="preserve"> </w:t>
      </w:r>
      <w:r w:rsidR="00F16A7E">
        <w:rPr>
          <w:lang w:val="en-GB"/>
        </w:rPr>
        <w:t>i</w:t>
      </w:r>
      <w:r w:rsidR="007835DF" w:rsidRPr="00971319">
        <w:rPr>
          <w:lang w:val="en-GB"/>
        </w:rPr>
        <w:t>ncrementally reduc</w:t>
      </w:r>
      <w:r w:rsidR="005D32C7">
        <w:rPr>
          <w:lang w:val="en-GB"/>
        </w:rPr>
        <w:t>ing the derived fee</w:t>
      </w:r>
      <w:r w:rsidR="007835DF">
        <w:rPr>
          <w:lang w:val="en-GB"/>
        </w:rPr>
        <w:t xml:space="preserve"> </w:t>
      </w:r>
      <w:r w:rsidR="007835DF" w:rsidRPr="00971319">
        <w:rPr>
          <w:lang w:val="en-GB"/>
        </w:rPr>
        <w:t>for th</w:t>
      </w:r>
      <w:r w:rsidR="007835DF">
        <w:rPr>
          <w:lang w:val="en-GB"/>
        </w:rPr>
        <w:t>e nine telehealth loading items</w:t>
      </w:r>
      <w:r w:rsidR="007835DF" w:rsidRPr="00971319">
        <w:rPr>
          <w:lang w:val="en-GB"/>
        </w:rPr>
        <w:t xml:space="preserve"> to zero</w:t>
      </w:r>
      <w:r w:rsidR="005D32C7">
        <w:rPr>
          <w:lang w:val="en-GB"/>
        </w:rPr>
        <w:t xml:space="preserve">, </w:t>
      </w:r>
      <w:r w:rsidR="007835DF" w:rsidRPr="00971319">
        <w:rPr>
          <w:lang w:val="en-GB"/>
        </w:rPr>
        <w:t xml:space="preserve">with annual analysis of its effects </w:t>
      </w:r>
      <w:r w:rsidR="007835DF">
        <w:rPr>
          <w:lang w:val="en-GB"/>
        </w:rPr>
        <w:t>to identify</w:t>
      </w:r>
      <w:r w:rsidR="007835DF" w:rsidRPr="00971319">
        <w:rPr>
          <w:lang w:val="en-GB"/>
        </w:rPr>
        <w:t xml:space="preserve"> potential unintended consequences</w:t>
      </w:r>
      <w:r w:rsidR="007835DF">
        <w:rPr>
          <w:lang w:val="en-GB"/>
        </w:rPr>
        <w:t>. This is a recognition that the loading was envisaged to</w:t>
      </w:r>
      <w:r w:rsidR="00F16A7E">
        <w:rPr>
          <w:lang w:val="en-GB"/>
        </w:rPr>
        <w:t xml:space="preserve"> be</w:t>
      </w:r>
      <w:r w:rsidR="007835DF">
        <w:rPr>
          <w:lang w:val="en-GB"/>
        </w:rPr>
        <w:t xml:space="preserve"> time limited and its success to date in encouraging telehealth usage.</w:t>
      </w:r>
    </w:p>
    <w:p w14:paraId="26D79109" w14:textId="77777777" w:rsidR="00971319" w:rsidRDefault="007835DF" w:rsidP="00607BDA">
      <w:pPr>
        <w:pStyle w:val="Bullet-green"/>
        <w:numPr>
          <w:ilvl w:val="0"/>
          <w:numId w:val="0"/>
        </w:numPr>
        <w:rPr>
          <w:lang w:val="en-GB"/>
        </w:rPr>
      </w:pPr>
      <w:r>
        <w:rPr>
          <w:lang w:val="en-GB"/>
        </w:rPr>
        <w:t xml:space="preserve">Further the Committee has recommended </w:t>
      </w:r>
      <w:r w:rsidR="00971319" w:rsidRPr="00971319">
        <w:rPr>
          <w:lang w:val="en-GB"/>
        </w:rPr>
        <w:t xml:space="preserve">new telehealth-specific attendance items (after the nine loading items have been removed) </w:t>
      </w:r>
      <w:r w:rsidR="000F7F35">
        <w:rPr>
          <w:lang w:val="en-GB"/>
        </w:rPr>
        <w:t>that mirror the</w:t>
      </w:r>
      <w:r w:rsidR="00971319" w:rsidRPr="00971319">
        <w:rPr>
          <w:lang w:val="en-GB"/>
        </w:rPr>
        <w:t xml:space="preserve"> standard time</w:t>
      </w:r>
      <w:r w:rsidR="000F7F35">
        <w:rPr>
          <w:lang w:val="en-GB"/>
        </w:rPr>
        <w:t>-</w:t>
      </w:r>
      <w:r w:rsidR="00971319" w:rsidRPr="00971319">
        <w:rPr>
          <w:lang w:val="en-GB"/>
        </w:rPr>
        <w:t>tiered attendance items</w:t>
      </w:r>
      <w:r w:rsidR="000F7F35">
        <w:rPr>
          <w:lang w:val="en-GB"/>
        </w:rPr>
        <w:t>, with the same fees,</w:t>
      </w:r>
      <w:r w:rsidR="00971319" w:rsidRPr="00971319">
        <w:rPr>
          <w:lang w:val="en-GB"/>
        </w:rPr>
        <w:t xml:space="preserve"> and with item descriptors that describe activities to be performed in each tier.</w:t>
      </w:r>
    </w:p>
    <w:p w14:paraId="36E3CEE0" w14:textId="77777777" w:rsidR="0004538D" w:rsidRDefault="00971319" w:rsidP="004123A0">
      <w:pPr>
        <w:pStyle w:val="Bullet-green"/>
        <w:numPr>
          <w:ilvl w:val="0"/>
          <w:numId w:val="0"/>
        </w:numPr>
        <w:rPr>
          <w:lang w:val="en-GB"/>
        </w:rPr>
      </w:pPr>
      <w:r>
        <w:rPr>
          <w:lang w:val="en-GB"/>
        </w:rPr>
        <w:t xml:space="preserve">The Committee recommends </w:t>
      </w:r>
      <w:r w:rsidR="004123A0">
        <w:t xml:space="preserve">all </w:t>
      </w:r>
      <w:r w:rsidRPr="00C33C0B">
        <w:t xml:space="preserve">savings from </w:t>
      </w:r>
      <w:r>
        <w:t>removin</w:t>
      </w:r>
      <w:r w:rsidR="004123A0">
        <w:t xml:space="preserve">g the telehealth loading be reinvested </w:t>
      </w:r>
      <w:r w:rsidR="007F500B" w:rsidRPr="00C33C0B">
        <w:rPr>
          <w:lang w:val="en-GB"/>
        </w:rPr>
        <w:t>to</w:t>
      </w:r>
      <w:r w:rsidR="00125AAD" w:rsidRPr="00C33C0B">
        <w:rPr>
          <w:lang w:val="en-GB"/>
        </w:rPr>
        <w:t xml:space="preserve"> </w:t>
      </w:r>
      <w:r w:rsidR="00957037" w:rsidRPr="00C33C0B">
        <w:rPr>
          <w:lang w:val="en-GB"/>
        </w:rPr>
        <w:t>increase</w:t>
      </w:r>
      <w:r w:rsidR="0004538D">
        <w:rPr>
          <w:lang w:val="en-GB"/>
        </w:rPr>
        <w:t>:</w:t>
      </w:r>
    </w:p>
    <w:p w14:paraId="5C844196" w14:textId="77777777" w:rsidR="00C776A8" w:rsidRDefault="0004538D" w:rsidP="0004538D">
      <w:pPr>
        <w:pStyle w:val="Bullet-green"/>
      </w:pPr>
      <w:r>
        <w:t xml:space="preserve">Consumer </w:t>
      </w:r>
      <w:r w:rsidR="000F7F35">
        <w:t>utilisation of</w:t>
      </w:r>
      <w:r w:rsidR="00C776A8">
        <w:t xml:space="preserve"> </w:t>
      </w:r>
      <w:r>
        <w:t xml:space="preserve">and access to </w:t>
      </w:r>
      <w:r w:rsidR="007F500B" w:rsidRPr="00C33C0B">
        <w:t>telehealth services</w:t>
      </w:r>
      <w:r w:rsidR="00482B19">
        <w:t>;</w:t>
      </w:r>
      <w:r w:rsidR="0081111E">
        <w:t xml:space="preserve"> and</w:t>
      </w:r>
    </w:p>
    <w:p w14:paraId="58D50C01" w14:textId="77777777" w:rsidR="00FC0EF4" w:rsidRDefault="00C776A8" w:rsidP="0004538D">
      <w:pPr>
        <w:pStyle w:val="Bullet-green"/>
      </w:pPr>
      <w:r>
        <w:t xml:space="preserve">Specialist </w:t>
      </w:r>
      <w:r w:rsidR="00013E9E" w:rsidRPr="00C33C0B">
        <w:t xml:space="preserve">supply </w:t>
      </w:r>
      <w:r>
        <w:t>of telehealth services.</w:t>
      </w:r>
    </w:p>
    <w:p w14:paraId="003A6D84" w14:textId="77777777" w:rsidR="00D00F98" w:rsidRPr="00C33C0B" w:rsidRDefault="007835DF" w:rsidP="00607BDA">
      <w:pPr>
        <w:pStyle w:val="Bullet-green"/>
        <w:numPr>
          <w:ilvl w:val="0"/>
          <w:numId w:val="0"/>
        </w:numPr>
        <w:rPr>
          <w:lang w:val="en-GB"/>
        </w:rPr>
      </w:pPr>
      <w:r w:rsidRPr="00607BDA">
        <w:rPr>
          <w:lang w:val="en-GB"/>
        </w:rPr>
        <w:t>The Committee recommend</w:t>
      </w:r>
      <w:r w:rsidR="00AA4173">
        <w:rPr>
          <w:lang w:val="en-GB"/>
        </w:rPr>
        <w:t xml:space="preserve">s consideration of both MBS and non-MBS mechanisms to </w:t>
      </w:r>
      <w:r w:rsidRPr="00607BDA">
        <w:rPr>
          <w:lang w:val="en-GB"/>
        </w:rPr>
        <w:t>achiev</w:t>
      </w:r>
      <w:r w:rsidR="00AA4173">
        <w:rPr>
          <w:lang w:val="en-GB"/>
        </w:rPr>
        <w:t>e</w:t>
      </w:r>
      <w:r w:rsidRPr="00607BDA">
        <w:rPr>
          <w:lang w:val="en-GB"/>
        </w:rPr>
        <w:t xml:space="preserve"> greater use of telehealth as a recognised and effective </w:t>
      </w:r>
      <w:r w:rsidR="00D00F98" w:rsidRPr="00607BDA">
        <w:rPr>
          <w:lang w:val="en-GB"/>
        </w:rPr>
        <w:t>tool. Th</w:t>
      </w:r>
      <w:r w:rsidR="00AA4173">
        <w:rPr>
          <w:lang w:val="en-GB"/>
        </w:rPr>
        <w:t>is</w:t>
      </w:r>
      <w:r w:rsidR="00D00F98" w:rsidRPr="00607BDA">
        <w:rPr>
          <w:lang w:val="en-GB"/>
        </w:rPr>
        <w:t xml:space="preserve"> </w:t>
      </w:r>
      <w:r w:rsidR="00AA4173">
        <w:rPr>
          <w:lang w:val="en-GB"/>
        </w:rPr>
        <w:t xml:space="preserve">could </w:t>
      </w:r>
      <w:r w:rsidR="00D00F98" w:rsidRPr="00607BDA">
        <w:rPr>
          <w:lang w:val="en-GB"/>
        </w:rPr>
        <w:t xml:space="preserve">include </w:t>
      </w:r>
      <w:r w:rsidR="00D00F98">
        <w:rPr>
          <w:lang w:val="en-GB"/>
        </w:rPr>
        <w:t>d</w:t>
      </w:r>
      <w:r w:rsidR="00013E9E" w:rsidRPr="00C33C0B">
        <w:rPr>
          <w:lang w:val="en-GB"/>
        </w:rPr>
        <w:t xml:space="preserve">eveloping and sharing the value proposition of telehealth </w:t>
      </w:r>
      <w:r w:rsidR="00975723">
        <w:rPr>
          <w:lang w:val="en-GB"/>
        </w:rPr>
        <w:t>with</w:t>
      </w:r>
      <w:r w:rsidR="00013E9E" w:rsidRPr="00C33C0B">
        <w:rPr>
          <w:lang w:val="en-GB"/>
        </w:rPr>
        <w:t xml:space="preserve"> consumers, including</w:t>
      </w:r>
      <w:r w:rsidR="00E663B7">
        <w:rPr>
          <w:lang w:val="en-GB"/>
        </w:rPr>
        <w:t xml:space="preserve"> when, where and how to use these services</w:t>
      </w:r>
      <w:r w:rsidR="000F7F35">
        <w:rPr>
          <w:lang w:val="en-GB"/>
        </w:rPr>
        <w:t>,</w:t>
      </w:r>
      <w:r w:rsidR="00E663B7">
        <w:rPr>
          <w:lang w:val="en-GB"/>
        </w:rPr>
        <w:t xml:space="preserve"> and their associated health and economic benefit</w:t>
      </w:r>
      <w:r w:rsidR="000F7F35">
        <w:rPr>
          <w:lang w:val="en-GB"/>
        </w:rPr>
        <w:t>s</w:t>
      </w:r>
      <w:r w:rsidR="00D00F98">
        <w:rPr>
          <w:lang w:val="en-GB"/>
        </w:rPr>
        <w:t>, and e</w:t>
      </w:r>
      <w:r w:rsidR="00D00F98" w:rsidRPr="00C33C0B">
        <w:rPr>
          <w:lang w:val="en-GB"/>
        </w:rPr>
        <w:t>ducating GPs</w:t>
      </w:r>
      <w:r w:rsidR="00D00F98">
        <w:rPr>
          <w:lang w:val="en-GB"/>
        </w:rPr>
        <w:t xml:space="preserve">, </w:t>
      </w:r>
      <w:r w:rsidR="00D00F98" w:rsidRPr="00C33C0B">
        <w:rPr>
          <w:lang w:val="en-GB"/>
        </w:rPr>
        <w:t>PHNs</w:t>
      </w:r>
      <w:r w:rsidR="00D00F98">
        <w:rPr>
          <w:lang w:val="en-GB"/>
        </w:rPr>
        <w:t xml:space="preserve"> and consultant specialists</w:t>
      </w:r>
      <w:r w:rsidR="00D00F98" w:rsidRPr="00C33C0B">
        <w:rPr>
          <w:lang w:val="en-GB"/>
        </w:rPr>
        <w:t xml:space="preserve"> to identify patient population groups that would most benefit from </w:t>
      </w:r>
      <w:r w:rsidR="00D00F98">
        <w:rPr>
          <w:lang w:val="en-GB"/>
        </w:rPr>
        <w:t>telehealth and facilitate access to these services.</w:t>
      </w:r>
    </w:p>
    <w:p w14:paraId="5C880AB0" w14:textId="77777777" w:rsidR="00DF09CD" w:rsidRPr="00C33C0B" w:rsidRDefault="00DF09CD">
      <w:pPr>
        <w:pStyle w:val="Heading3"/>
      </w:pPr>
      <w:bookmarkStart w:id="10" w:name="_Toc528950707"/>
      <w:bookmarkStart w:id="11" w:name="_Toc529027985"/>
      <w:bookmarkStart w:id="12" w:name="_Toc530121826"/>
      <w:bookmarkStart w:id="13" w:name="_Toc530122003"/>
      <w:bookmarkStart w:id="14" w:name="_Toc528950710"/>
      <w:bookmarkStart w:id="15" w:name="_Toc529027988"/>
      <w:bookmarkStart w:id="16" w:name="_Toc530121829"/>
      <w:bookmarkStart w:id="17" w:name="_Toc530122006"/>
      <w:bookmarkStart w:id="18" w:name="_Toc528950711"/>
      <w:bookmarkStart w:id="19" w:name="_Toc529027989"/>
      <w:bookmarkStart w:id="20" w:name="_Toc530121830"/>
      <w:bookmarkStart w:id="21" w:name="_Toc530122007"/>
      <w:bookmarkStart w:id="22" w:name="_Toc24544662"/>
      <w:bookmarkEnd w:id="10"/>
      <w:bookmarkEnd w:id="11"/>
      <w:bookmarkEnd w:id="12"/>
      <w:bookmarkEnd w:id="13"/>
      <w:bookmarkEnd w:id="14"/>
      <w:bookmarkEnd w:id="15"/>
      <w:bookmarkEnd w:id="16"/>
      <w:bookmarkEnd w:id="17"/>
      <w:bookmarkEnd w:id="18"/>
      <w:bookmarkEnd w:id="19"/>
      <w:bookmarkEnd w:id="20"/>
      <w:bookmarkEnd w:id="21"/>
      <w:r w:rsidRPr="00C33C0B">
        <w:t xml:space="preserve">Case conference </w:t>
      </w:r>
      <w:r w:rsidR="00D6783D">
        <w:t>recommendations</w:t>
      </w:r>
      <w:bookmarkEnd w:id="22"/>
      <w:r w:rsidR="00D6783D" w:rsidRPr="00C33C0B">
        <w:t xml:space="preserve"> </w:t>
      </w:r>
    </w:p>
    <w:p w14:paraId="6A0EE272" w14:textId="77777777" w:rsidR="00CF3CDF" w:rsidRPr="00C33C0B" w:rsidRDefault="004B0B34" w:rsidP="00CF3CDF">
      <w:pPr>
        <w:rPr>
          <w:lang w:val="en-GB"/>
        </w:rPr>
      </w:pPr>
      <w:r>
        <w:rPr>
          <w:lang w:val="en-GB"/>
        </w:rPr>
        <w:t>The Committee recommends</w:t>
      </w:r>
      <w:r w:rsidRPr="00C33C0B">
        <w:rPr>
          <w:lang w:val="en-GB"/>
        </w:rPr>
        <w:t xml:space="preserve"> </w:t>
      </w:r>
      <w:r w:rsidR="00CF3CDF" w:rsidRPr="00C33C0B">
        <w:rPr>
          <w:lang w:val="en-GB"/>
        </w:rPr>
        <w:t xml:space="preserve">a new framework for case conference items consisting of three </w:t>
      </w:r>
      <w:r w:rsidR="000F7F35" w:rsidRPr="00C33C0B">
        <w:rPr>
          <w:lang w:val="en-GB"/>
        </w:rPr>
        <w:t>simpl</w:t>
      </w:r>
      <w:r w:rsidR="000F7F35">
        <w:rPr>
          <w:lang w:val="en-GB"/>
        </w:rPr>
        <w:t>ified</w:t>
      </w:r>
      <w:r w:rsidR="000F7F35" w:rsidRPr="00C33C0B">
        <w:rPr>
          <w:lang w:val="en-GB"/>
        </w:rPr>
        <w:t xml:space="preserve"> </w:t>
      </w:r>
      <w:r w:rsidR="00CF3CDF" w:rsidRPr="00C33C0B">
        <w:rPr>
          <w:lang w:val="en-GB"/>
        </w:rPr>
        <w:t>categories:</w:t>
      </w:r>
    </w:p>
    <w:p w14:paraId="581215D7" w14:textId="77777777" w:rsidR="00CF3CDF" w:rsidRPr="00482B19" w:rsidRDefault="00CF3CDF" w:rsidP="00482B19">
      <w:pPr>
        <w:pStyle w:val="Bullet-green"/>
        <w:rPr>
          <w:lang w:val="en-GB"/>
        </w:rPr>
      </w:pPr>
      <w:r w:rsidRPr="00C33C0B">
        <w:rPr>
          <w:lang w:val="en-GB"/>
        </w:rPr>
        <w:t>Discharge planning case conferences</w:t>
      </w:r>
      <w:r w:rsidR="000F7F35">
        <w:rPr>
          <w:lang w:val="en-GB"/>
        </w:rPr>
        <w:t xml:space="preserve">- a case </w:t>
      </w:r>
      <w:r w:rsidR="00482B19">
        <w:rPr>
          <w:lang w:val="en-GB"/>
        </w:rPr>
        <w:t>conference to facilitate better</w:t>
      </w:r>
      <w:r w:rsidR="00482B19">
        <w:rPr>
          <w:lang w:val="en-GB"/>
        </w:rPr>
        <w:br/>
      </w:r>
      <w:r w:rsidR="000F7F35" w:rsidRPr="00482B19">
        <w:rPr>
          <w:lang w:val="en-GB"/>
        </w:rPr>
        <w:t>post-discharge care and communication</w:t>
      </w:r>
      <w:r w:rsidR="00C72F36" w:rsidRPr="00482B19">
        <w:rPr>
          <w:lang w:val="en-GB"/>
        </w:rPr>
        <w:t>.</w:t>
      </w:r>
    </w:p>
    <w:p w14:paraId="48DCBE8F" w14:textId="77777777" w:rsidR="00CF3CDF" w:rsidRPr="00C33C0B" w:rsidRDefault="00CF3CDF" w:rsidP="00BE6F84">
      <w:pPr>
        <w:pStyle w:val="Bullet-green"/>
        <w:rPr>
          <w:lang w:val="en-GB"/>
        </w:rPr>
      </w:pPr>
      <w:r w:rsidRPr="00C33C0B">
        <w:rPr>
          <w:lang w:val="en-GB"/>
        </w:rPr>
        <w:t>Community case conferences</w:t>
      </w:r>
      <w:r w:rsidR="000F7F35">
        <w:rPr>
          <w:lang w:val="en-GB"/>
        </w:rPr>
        <w:t>- a case conference held to facilitate the provision of better multidisciplinary</w:t>
      </w:r>
      <w:r w:rsidR="00475F44">
        <w:rPr>
          <w:lang w:val="en-GB"/>
        </w:rPr>
        <w:t xml:space="preserve"> </w:t>
      </w:r>
      <w:r w:rsidR="000F7F35">
        <w:rPr>
          <w:lang w:val="en-GB"/>
        </w:rPr>
        <w:t>care</w:t>
      </w:r>
      <w:r w:rsidR="00C72F36">
        <w:rPr>
          <w:lang w:val="en-GB"/>
        </w:rPr>
        <w:t>.</w:t>
      </w:r>
    </w:p>
    <w:p w14:paraId="57874B8A" w14:textId="77777777" w:rsidR="000B60E6" w:rsidRPr="00C33C0B" w:rsidRDefault="00CF3CDF" w:rsidP="00BE6F84">
      <w:pPr>
        <w:pStyle w:val="Bullet-green"/>
        <w:rPr>
          <w:lang w:val="en-GB"/>
        </w:rPr>
      </w:pPr>
      <w:r w:rsidRPr="00C33C0B">
        <w:rPr>
          <w:lang w:val="en-GB"/>
        </w:rPr>
        <w:t>Treatment planning case conferences (new)</w:t>
      </w:r>
      <w:r w:rsidR="00DA4927">
        <w:rPr>
          <w:lang w:val="en-GB"/>
        </w:rPr>
        <w:t xml:space="preserve"> </w:t>
      </w:r>
      <w:r w:rsidR="000F7F35">
        <w:rPr>
          <w:lang w:val="en-GB"/>
        </w:rPr>
        <w:t>- a case conference that explores and analyses potential treatment options and their respective benefits</w:t>
      </w:r>
      <w:r w:rsidR="00C72F36">
        <w:rPr>
          <w:lang w:val="en-GB"/>
        </w:rPr>
        <w:t>.</w:t>
      </w:r>
    </w:p>
    <w:p w14:paraId="7C69D3EE" w14:textId="77777777" w:rsidR="00A54FAA" w:rsidRPr="00C33C0B" w:rsidRDefault="00A54FAA" w:rsidP="00607BDA">
      <w:pPr>
        <w:rPr>
          <w:lang w:val="en-GB"/>
        </w:rPr>
      </w:pPr>
      <w:r>
        <w:rPr>
          <w:lang w:val="en-GB"/>
        </w:rPr>
        <w:t xml:space="preserve">The Committee </w:t>
      </w:r>
      <w:r w:rsidR="00D00F98">
        <w:rPr>
          <w:lang w:val="en-GB"/>
        </w:rPr>
        <w:t xml:space="preserve">has also </w:t>
      </w:r>
      <w:r>
        <w:rPr>
          <w:lang w:val="en-GB"/>
        </w:rPr>
        <w:t>recommend</w:t>
      </w:r>
      <w:r w:rsidR="00D00F98">
        <w:rPr>
          <w:lang w:val="en-GB"/>
        </w:rPr>
        <w:t>ed</w:t>
      </w:r>
      <w:r>
        <w:rPr>
          <w:lang w:val="en-GB"/>
        </w:rPr>
        <w:t xml:space="preserve"> </w:t>
      </w:r>
      <w:r w:rsidR="00D00F98">
        <w:rPr>
          <w:lang w:val="en-GB"/>
        </w:rPr>
        <w:t>a series of enhancements to ensure case conferences are effective, covering issues such as who should participate and the need for review of outcomes</w:t>
      </w:r>
      <w:r w:rsidR="001A0339">
        <w:rPr>
          <w:lang w:val="en-GB"/>
        </w:rPr>
        <w:t>.</w:t>
      </w:r>
    </w:p>
    <w:p w14:paraId="02F459C2" w14:textId="77777777" w:rsidR="00DF09CD" w:rsidRPr="00C33C0B" w:rsidRDefault="00D157E8" w:rsidP="00D010E4">
      <w:pPr>
        <w:pStyle w:val="Heading3"/>
      </w:pPr>
      <w:bookmarkStart w:id="23" w:name="_Toc528950713"/>
      <w:bookmarkStart w:id="24" w:name="_Toc529027991"/>
      <w:bookmarkStart w:id="25" w:name="_Toc530121832"/>
      <w:bookmarkStart w:id="26" w:name="_Toc530122009"/>
      <w:bookmarkStart w:id="27" w:name="_Toc528950715"/>
      <w:bookmarkStart w:id="28" w:name="_Toc529027993"/>
      <w:bookmarkStart w:id="29" w:name="_Toc530121834"/>
      <w:bookmarkStart w:id="30" w:name="_Toc530122011"/>
      <w:bookmarkStart w:id="31" w:name="_Toc528950718"/>
      <w:bookmarkStart w:id="32" w:name="_Toc529027996"/>
      <w:bookmarkStart w:id="33" w:name="_Toc530121837"/>
      <w:bookmarkStart w:id="34" w:name="_Toc530122014"/>
      <w:bookmarkStart w:id="35" w:name="_Toc528950723"/>
      <w:bookmarkStart w:id="36" w:name="_Toc529028001"/>
      <w:bookmarkStart w:id="37" w:name="_Toc530121842"/>
      <w:bookmarkStart w:id="38" w:name="_Toc530122019"/>
      <w:bookmarkStart w:id="39" w:name="_Toc528950724"/>
      <w:bookmarkStart w:id="40" w:name="_Toc529028002"/>
      <w:bookmarkStart w:id="41" w:name="_Toc530121843"/>
      <w:bookmarkStart w:id="42" w:name="_Toc530122020"/>
      <w:bookmarkStart w:id="43" w:name="_Toc528950725"/>
      <w:bookmarkStart w:id="44" w:name="_Toc529028003"/>
      <w:bookmarkStart w:id="45" w:name="_Toc530121844"/>
      <w:bookmarkStart w:id="46" w:name="_Toc530122021"/>
      <w:bookmarkStart w:id="47" w:name="_Toc24544663"/>
      <w:bookmarkStart w:id="48" w:name="_Hlk52485475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t xml:space="preserve">Use of data to </w:t>
      </w:r>
      <w:r w:rsidR="001F6CB0">
        <w:t>inform</w:t>
      </w:r>
      <w:r>
        <w:t xml:space="preserve"> q</w:t>
      </w:r>
      <w:r w:rsidR="00993C3A">
        <w:t xml:space="preserve">uality care and patient-informed </w:t>
      </w:r>
      <w:r w:rsidR="00DF09CD" w:rsidRPr="00C33C0B">
        <w:t>choice</w:t>
      </w:r>
      <w:r w:rsidR="0091727C">
        <w:t xml:space="preserve"> </w:t>
      </w:r>
      <w:r w:rsidR="00993C3A">
        <w:t xml:space="preserve">and consent </w:t>
      </w:r>
      <w:r w:rsidR="0091727C">
        <w:t>recommendations</w:t>
      </w:r>
      <w:bookmarkEnd w:id="47"/>
    </w:p>
    <w:bookmarkEnd w:id="48"/>
    <w:p w14:paraId="73242A89" w14:textId="77777777" w:rsidR="00994DCB" w:rsidRPr="00C33C0B" w:rsidRDefault="00F45372" w:rsidP="00DF09CD">
      <w:pPr>
        <w:rPr>
          <w:lang w:val="en-GB"/>
        </w:rPr>
      </w:pPr>
      <w:r>
        <w:rPr>
          <w:lang w:val="en-GB"/>
        </w:rPr>
        <w:t>The Committee</w:t>
      </w:r>
      <w:r w:rsidR="00994DCB" w:rsidRPr="00C33C0B">
        <w:rPr>
          <w:lang w:val="en-GB"/>
        </w:rPr>
        <w:t xml:space="preserve"> </w:t>
      </w:r>
      <w:r w:rsidR="00152940" w:rsidRPr="00C33C0B">
        <w:rPr>
          <w:lang w:val="en-GB"/>
        </w:rPr>
        <w:t xml:space="preserve">recommends both MBS and </w:t>
      </w:r>
      <w:r w:rsidR="00994DCB" w:rsidRPr="00C33C0B">
        <w:rPr>
          <w:lang w:val="en-GB"/>
        </w:rPr>
        <w:t>non-MBS mechanisms</w:t>
      </w:r>
      <w:r w:rsidR="00A553DD">
        <w:rPr>
          <w:lang w:val="en-GB"/>
        </w:rPr>
        <w:t xml:space="preserve"> to </w:t>
      </w:r>
      <w:r w:rsidR="00161F3A">
        <w:rPr>
          <w:lang w:val="en-GB"/>
        </w:rPr>
        <w:t xml:space="preserve">encourage </w:t>
      </w:r>
      <w:r w:rsidR="00A553DD">
        <w:rPr>
          <w:lang w:val="en-GB"/>
        </w:rPr>
        <w:t>quality care and patient</w:t>
      </w:r>
      <w:r w:rsidR="001638DC">
        <w:rPr>
          <w:lang w:val="en-GB"/>
        </w:rPr>
        <w:t>-informed choice and consent</w:t>
      </w:r>
      <w:r w:rsidR="00A553DD">
        <w:rPr>
          <w:lang w:val="en-GB"/>
        </w:rPr>
        <w:t>, including</w:t>
      </w:r>
      <w:r w:rsidR="00152940" w:rsidRPr="00C33C0B">
        <w:rPr>
          <w:lang w:val="en-GB"/>
        </w:rPr>
        <w:t>:</w:t>
      </w:r>
    </w:p>
    <w:p w14:paraId="4D80B96A" w14:textId="77777777" w:rsidR="00345CDC" w:rsidRDefault="00F45372" w:rsidP="00F45372">
      <w:pPr>
        <w:pStyle w:val="Bullet-green"/>
        <w:rPr>
          <w:lang w:val="en-GB"/>
        </w:rPr>
      </w:pPr>
      <w:r w:rsidRPr="00F45372">
        <w:rPr>
          <w:lang w:val="en-GB"/>
        </w:rPr>
        <w:t>Establish</w:t>
      </w:r>
      <w:r w:rsidR="00544BB8">
        <w:rPr>
          <w:lang w:val="en-GB"/>
        </w:rPr>
        <w:t>ing</w:t>
      </w:r>
      <w:r w:rsidRPr="00F45372">
        <w:rPr>
          <w:lang w:val="en-GB"/>
        </w:rPr>
        <w:t xml:space="preserve"> a </w:t>
      </w:r>
      <w:r w:rsidR="005D32C7">
        <w:rPr>
          <w:lang w:val="en-GB"/>
        </w:rPr>
        <w:t xml:space="preserve">national </w:t>
      </w:r>
      <w:r w:rsidRPr="00F45372">
        <w:rPr>
          <w:lang w:val="en-GB"/>
        </w:rPr>
        <w:t>minimum data set to inform evidence-based clinical pra</w:t>
      </w:r>
      <w:r w:rsidR="00482B19">
        <w:rPr>
          <w:lang w:val="en-GB"/>
        </w:rPr>
        <w:t>ctice and inform patient choice;</w:t>
      </w:r>
    </w:p>
    <w:p w14:paraId="5E55FAC9" w14:textId="77777777" w:rsidR="00F45372" w:rsidRDefault="00F45372" w:rsidP="00F45372">
      <w:pPr>
        <w:pStyle w:val="Bullet-green"/>
        <w:rPr>
          <w:lang w:val="en-GB"/>
        </w:rPr>
      </w:pPr>
      <w:r w:rsidRPr="00F45372">
        <w:rPr>
          <w:lang w:val="en-GB"/>
        </w:rPr>
        <w:t>Provid</w:t>
      </w:r>
      <w:r w:rsidR="00544BB8">
        <w:rPr>
          <w:lang w:val="en-GB"/>
        </w:rPr>
        <w:t>ing</w:t>
      </w:r>
      <w:r w:rsidRPr="00F45372">
        <w:rPr>
          <w:lang w:val="en-GB"/>
        </w:rPr>
        <w:t xml:space="preserve"> patients with transparency on the cost and </w:t>
      </w:r>
      <w:r w:rsidR="001638DC">
        <w:rPr>
          <w:lang w:val="en-GB"/>
        </w:rPr>
        <w:t>outcomes</w:t>
      </w:r>
      <w:r w:rsidRPr="00F45372">
        <w:rPr>
          <w:lang w:val="en-GB"/>
        </w:rPr>
        <w:t xml:space="preserve"> of </w:t>
      </w:r>
      <w:r>
        <w:rPr>
          <w:lang w:val="en-GB"/>
        </w:rPr>
        <w:t>consultant specialists</w:t>
      </w:r>
      <w:r w:rsidR="00161F3A">
        <w:rPr>
          <w:lang w:val="en-GB"/>
        </w:rPr>
        <w:t>’</w:t>
      </w:r>
      <w:r>
        <w:rPr>
          <w:lang w:val="en-GB"/>
        </w:rPr>
        <w:t xml:space="preserve"> </w:t>
      </w:r>
      <w:r w:rsidRPr="00F45372">
        <w:rPr>
          <w:lang w:val="en-GB"/>
        </w:rPr>
        <w:t>services</w:t>
      </w:r>
      <w:r w:rsidR="00A553DD">
        <w:rPr>
          <w:lang w:val="en-GB"/>
        </w:rPr>
        <w:t xml:space="preserve">, </w:t>
      </w:r>
      <w:r w:rsidR="00AA4173">
        <w:rPr>
          <w:lang w:val="en-GB"/>
        </w:rPr>
        <w:t xml:space="preserve">made publicly available and </w:t>
      </w:r>
      <w:r w:rsidR="00A553DD">
        <w:rPr>
          <w:lang w:val="en-GB"/>
        </w:rPr>
        <w:t>shared</w:t>
      </w:r>
      <w:r>
        <w:rPr>
          <w:lang w:val="en-GB"/>
        </w:rPr>
        <w:t xml:space="preserve"> through their GP at the time of referral</w:t>
      </w:r>
      <w:r w:rsidR="00482B19">
        <w:rPr>
          <w:lang w:val="en-GB"/>
        </w:rPr>
        <w:t>;</w:t>
      </w:r>
      <w:r w:rsidR="00544BB8">
        <w:rPr>
          <w:lang w:val="en-GB"/>
        </w:rPr>
        <w:t xml:space="preserve"> and</w:t>
      </w:r>
    </w:p>
    <w:p w14:paraId="2382E4B6" w14:textId="77777777" w:rsidR="00544BB8" w:rsidRPr="00F45372" w:rsidRDefault="00544BB8" w:rsidP="00F45372">
      <w:pPr>
        <w:pStyle w:val="Bullet-green"/>
        <w:rPr>
          <w:lang w:val="en-GB"/>
        </w:rPr>
      </w:pPr>
      <w:r w:rsidRPr="00544BB8">
        <w:rPr>
          <w:lang w:val="en-GB"/>
        </w:rPr>
        <w:t>Improve patient consent and shared decision-making by specifying in attendance item descriptors what should be discussed when multiple treatment options are available.</w:t>
      </w:r>
    </w:p>
    <w:p w14:paraId="6F8CDEF9" w14:textId="77777777" w:rsidR="002E65D3" w:rsidRPr="00607BDA" w:rsidRDefault="002E65D3" w:rsidP="00607BDA">
      <w:pPr>
        <w:rPr>
          <w:lang w:val="en-GB"/>
        </w:rPr>
      </w:pPr>
      <w:r w:rsidRPr="00607BDA">
        <w:rPr>
          <w:lang w:val="en-GB"/>
        </w:rPr>
        <w:t xml:space="preserve">The Committee recognises that the integrity </w:t>
      </w:r>
      <w:r w:rsidR="00C0314A" w:rsidRPr="00607BDA">
        <w:rPr>
          <w:lang w:val="en-GB"/>
        </w:rPr>
        <w:t xml:space="preserve">and relevance </w:t>
      </w:r>
      <w:r w:rsidRPr="00607BDA">
        <w:rPr>
          <w:lang w:val="en-GB"/>
        </w:rPr>
        <w:t xml:space="preserve">of </w:t>
      </w:r>
      <w:r w:rsidR="00AA4DAF" w:rsidRPr="00607BDA">
        <w:rPr>
          <w:lang w:val="en-GB"/>
        </w:rPr>
        <w:t>the</w:t>
      </w:r>
      <w:r w:rsidRPr="00607BDA">
        <w:rPr>
          <w:lang w:val="en-GB"/>
        </w:rPr>
        <w:t xml:space="preserve"> data is crucial to this recommendation’s success</w:t>
      </w:r>
      <w:r w:rsidR="00161F3A" w:rsidRPr="00607BDA">
        <w:rPr>
          <w:lang w:val="en-GB"/>
        </w:rPr>
        <w:t>, and its acceptance by the profession, individual clinicians, and consumers</w:t>
      </w:r>
      <w:r w:rsidR="009C2477" w:rsidRPr="00607BDA">
        <w:rPr>
          <w:lang w:val="en-GB"/>
        </w:rPr>
        <w:t>.</w:t>
      </w:r>
      <w:r w:rsidR="00544BB8">
        <w:rPr>
          <w:lang w:val="en-GB"/>
        </w:rPr>
        <w:t xml:space="preserve"> </w:t>
      </w:r>
      <w:r w:rsidR="00C0314A" w:rsidRPr="00607BDA">
        <w:rPr>
          <w:lang w:val="en-GB"/>
        </w:rPr>
        <w:t>The Committee also recommends that clinic</w:t>
      </w:r>
      <w:r w:rsidR="00EA05E0" w:rsidRPr="00607BDA">
        <w:rPr>
          <w:lang w:val="en-GB"/>
        </w:rPr>
        <w:t>i</w:t>
      </w:r>
      <w:r w:rsidR="00C0314A" w:rsidRPr="00607BDA">
        <w:rPr>
          <w:lang w:val="en-GB"/>
        </w:rPr>
        <w:t xml:space="preserve">ans </w:t>
      </w:r>
      <w:r w:rsidR="009C2477" w:rsidRPr="00607BDA">
        <w:rPr>
          <w:lang w:val="en-GB"/>
        </w:rPr>
        <w:t xml:space="preserve">and consumers </w:t>
      </w:r>
      <w:r w:rsidR="00C0314A" w:rsidRPr="00607BDA">
        <w:rPr>
          <w:lang w:val="en-GB"/>
        </w:rPr>
        <w:t xml:space="preserve">be proactively engaged to identify </w:t>
      </w:r>
      <w:r w:rsidR="00EA05E0" w:rsidRPr="00607BDA">
        <w:rPr>
          <w:lang w:val="en-GB"/>
        </w:rPr>
        <w:t xml:space="preserve">and address potential </w:t>
      </w:r>
      <w:r w:rsidR="00161F3A" w:rsidRPr="00607BDA">
        <w:rPr>
          <w:lang w:val="en-GB"/>
        </w:rPr>
        <w:t>risks in</w:t>
      </w:r>
      <w:r w:rsidRPr="00607BDA">
        <w:rPr>
          <w:lang w:val="en-GB"/>
        </w:rPr>
        <w:t xml:space="preserve"> sharing </w:t>
      </w:r>
      <w:r w:rsidR="00EA05E0" w:rsidRPr="00607BDA">
        <w:rPr>
          <w:lang w:val="en-GB"/>
        </w:rPr>
        <w:t>patient outcome data</w:t>
      </w:r>
      <w:r w:rsidR="009C2477" w:rsidRPr="00607BDA">
        <w:rPr>
          <w:lang w:val="en-GB"/>
        </w:rPr>
        <w:t>.</w:t>
      </w:r>
    </w:p>
    <w:p w14:paraId="0A52F3E4" w14:textId="77777777" w:rsidR="00AF6F9B" w:rsidRPr="00C33C0B" w:rsidRDefault="00AF6F9B">
      <w:pPr>
        <w:pStyle w:val="Heading3"/>
      </w:pPr>
      <w:bookmarkStart w:id="49" w:name="_Toc528950727"/>
      <w:bookmarkStart w:id="50" w:name="_Toc529028005"/>
      <w:bookmarkStart w:id="51" w:name="_Toc530121846"/>
      <w:bookmarkStart w:id="52" w:name="_Toc530122023"/>
      <w:bookmarkStart w:id="53" w:name="_Toc24544664"/>
      <w:bookmarkEnd w:id="49"/>
      <w:bookmarkEnd w:id="50"/>
      <w:bookmarkEnd w:id="51"/>
      <w:bookmarkEnd w:id="52"/>
      <w:r w:rsidRPr="00C33C0B">
        <w:t>My Health Record</w:t>
      </w:r>
      <w:r w:rsidR="00FA18E2">
        <w:t xml:space="preserve"> recommendation</w:t>
      </w:r>
      <w:r w:rsidR="003A528F">
        <w:t>s</w:t>
      </w:r>
      <w:bookmarkEnd w:id="53"/>
    </w:p>
    <w:p w14:paraId="2B632801" w14:textId="77777777" w:rsidR="00DF09CD" w:rsidRPr="00C33C0B" w:rsidRDefault="009C2477" w:rsidP="00317AC1">
      <w:pPr>
        <w:rPr>
          <w:b/>
          <w:lang w:val="en-GB"/>
        </w:rPr>
      </w:pPr>
      <w:r w:rsidRPr="00C33C0B">
        <w:rPr>
          <w:lang w:val="en-GB"/>
        </w:rPr>
        <w:t xml:space="preserve">The Committee supports the principle that </w:t>
      </w:r>
      <w:r>
        <w:rPr>
          <w:lang w:val="en-GB"/>
        </w:rPr>
        <w:t>e</w:t>
      </w:r>
      <w:r w:rsidRPr="00C33C0B">
        <w:rPr>
          <w:lang w:val="en-GB"/>
        </w:rPr>
        <w:t xml:space="preserve">lectronic </w:t>
      </w:r>
      <w:r>
        <w:rPr>
          <w:lang w:val="en-GB"/>
        </w:rPr>
        <w:t>h</w:t>
      </w:r>
      <w:r w:rsidRPr="00C33C0B">
        <w:rPr>
          <w:lang w:val="en-GB"/>
        </w:rPr>
        <w:t xml:space="preserve">ealth </w:t>
      </w:r>
      <w:r>
        <w:rPr>
          <w:lang w:val="en-GB"/>
        </w:rPr>
        <w:t>r</w:t>
      </w:r>
      <w:r w:rsidRPr="00C33C0B">
        <w:rPr>
          <w:lang w:val="en-GB"/>
        </w:rPr>
        <w:t xml:space="preserve">ecords can </w:t>
      </w:r>
      <w:r>
        <w:rPr>
          <w:lang w:val="en-GB"/>
        </w:rPr>
        <w:t>e</w:t>
      </w:r>
      <w:r w:rsidRPr="00C33C0B">
        <w:rPr>
          <w:lang w:val="en-GB"/>
        </w:rPr>
        <w:t>nhance information sharing between patients and providers</w:t>
      </w:r>
      <w:r>
        <w:rPr>
          <w:lang w:val="en-GB"/>
        </w:rPr>
        <w:t xml:space="preserve"> and thereby promote safe practice, support self-management and </w:t>
      </w:r>
      <w:r w:rsidRPr="00C33C0B">
        <w:rPr>
          <w:lang w:val="en-GB"/>
        </w:rPr>
        <w:t>improve patient care</w:t>
      </w:r>
      <w:r>
        <w:rPr>
          <w:lang w:val="en-GB"/>
        </w:rPr>
        <w:t xml:space="preserve">. </w:t>
      </w:r>
      <w:r w:rsidR="00DF09CD" w:rsidRPr="00C33C0B">
        <w:rPr>
          <w:lang w:val="en-GB"/>
        </w:rPr>
        <w:t xml:space="preserve">The </w:t>
      </w:r>
      <w:r w:rsidR="000E5F6D" w:rsidRPr="00C33C0B">
        <w:rPr>
          <w:lang w:val="en-GB"/>
        </w:rPr>
        <w:t>Committee recommend</w:t>
      </w:r>
      <w:r w:rsidR="00DF09CD" w:rsidRPr="00C33C0B">
        <w:rPr>
          <w:lang w:val="en-GB"/>
        </w:rPr>
        <w:t xml:space="preserve">s </w:t>
      </w:r>
      <w:r w:rsidR="00C20676" w:rsidRPr="00C33C0B">
        <w:rPr>
          <w:lang w:val="en-GB"/>
        </w:rPr>
        <w:t xml:space="preserve">the use of </w:t>
      </w:r>
      <w:r w:rsidR="00317AC1" w:rsidRPr="00C33C0B">
        <w:rPr>
          <w:lang w:val="en-GB"/>
        </w:rPr>
        <w:t>both</w:t>
      </w:r>
      <w:r w:rsidR="00DF09CD" w:rsidRPr="00C33C0B">
        <w:rPr>
          <w:lang w:val="en-GB"/>
        </w:rPr>
        <w:t xml:space="preserve"> MBS </w:t>
      </w:r>
      <w:r w:rsidR="00317AC1" w:rsidRPr="00C33C0B">
        <w:rPr>
          <w:lang w:val="en-GB"/>
        </w:rPr>
        <w:t xml:space="preserve">and non-MBS mechanisms </w:t>
      </w:r>
      <w:r w:rsidR="00DF09CD" w:rsidRPr="00C33C0B">
        <w:rPr>
          <w:lang w:val="en-GB"/>
        </w:rPr>
        <w:t xml:space="preserve">to </w:t>
      </w:r>
      <w:r w:rsidR="00317AC1" w:rsidRPr="00C33C0B">
        <w:rPr>
          <w:lang w:val="en-GB"/>
        </w:rPr>
        <w:t xml:space="preserve">support </w:t>
      </w:r>
      <w:r w:rsidR="00F30EB8">
        <w:rPr>
          <w:lang w:val="en-GB"/>
        </w:rPr>
        <w:t xml:space="preserve">the </w:t>
      </w:r>
      <w:r w:rsidR="00DF09CD" w:rsidRPr="00C33C0B">
        <w:rPr>
          <w:lang w:val="en-GB"/>
        </w:rPr>
        <w:t>adoption of digital record systems</w:t>
      </w:r>
      <w:r w:rsidR="00135D88">
        <w:rPr>
          <w:lang w:val="en-GB"/>
        </w:rPr>
        <w:t>,</w:t>
      </w:r>
      <w:r w:rsidR="00DF09CD" w:rsidRPr="00C33C0B">
        <w:rPr>
          <w:lang w:val="en-GB"/>
        </w:rPr>
        <w:t xml:space="preserve"> </w:t>
      </w:r>
      <w:r w:rsidR="00924096">
        <w:rPr>
          <w:lang w:val="en-GB"/>
        </w:rPr>
        <w:t>cognisant of</w:t>
      </w:r>
      <w:r w:rsidR="00924096" w:rsidRPr="00C33C0B">
        <w:rPr>
          <w:lang w:val="en-GB"/>
        </w:rPr>
        <w:t xml:space="preserve"> </w:t>
      </w:r>
      <w:r w:rsidR="00317AC1" w:rsidRPr="00C33C0B">
        <w:rPr>
          <w:lang w:val="en-GB"/>
        </w:rPr>
        <w:t>the</w:t>
      </w:r>
      <w:r w:rsidR="003C2A00" w:rsidRPr="00C33C0B">
        <w:rPr>
          <w:lang w:val="en-GB"/>
        </w:rPr>
        <w:t xml:space="preserve"> </w:t>
      </w:r>
      <w:r w:rsidR="00317AC1" w:rsidRPr="00C33C0B">
        <w:rPr>
          <w:lang w:val="en-GB"/>
        </w:rPr>
        <w:t xml:space="preserve">current limitations of digital readiness among </w:t>
      </w:r>
      <w:r w:rsidR="00AA329D">
        <w:rPr>
          <w:lang w:val="en-GB"/>
        </w:rPr>
        <w:t>consultant specialist</w:t>
      </w:r>
      <w:r w:rsidR="00317AC1" w:rsidRPr="00C33C0B">
        <w:rPr>
          <w:lang w:val="en-GB"/>
        </w:rPr>
        <w:t>s</w:t>
      </w:r>
      <w:r w:rsidR="008E3960">
        <w:rPr>
          <w:lang w:val="en-GB"/>
        </w:rPr>
        <w:t>.</w:t>
      </w:r>
      <w:r w:rsidR="00317AC1" w:rsidRPr="00C33C0B">
        <w:rPr>
          <w:lang w:val="en-GB"/>
        </w:rPr>
        <w:t xml:space="preserve"> </w:t>
      </w:r>
    </w:p>
    <w:p w14:paraId="16026E5B" w14:textId="77777777" w:rsidR="00772B65" w:rsidRDefault="00772B65" w:rsidP="00607BDA">
      <w:pPr>
        <w:pStyle w:val="Bullet-green"/>
        <w:numPr>
          <w:ilvl w:val="0"/>
          <w:numId w:val="0"/>
        </w:numPr>
      </w:pPr>
      <w:r w:rsidRPr="00772B65">
        <w:rPr>
          <w:lang w:val="en-GB"/>
        </w:rPr>
        <w:t xml:space="preserve">The Committee </w:t>
      </w:r>
      <w:r>
        <w:rPr>
          <w:lang w:val="en-GB"/>
        </w:rPr>
        <w:t>recommends</w:t>
      </w:r>
      <w:r w:rsidRPr="00772B65">
        <w:rPr>
          <w:lang w:val="en-GB"/>
        </w:rPr>
        <w:t xml:space="preserve"> </w:t>
      </w:r>
      <w:r w:rsidRPr="00772B65">
        <w:t xml:space="preserve">outcomes of case conferences </w:t>
      </w:r>
      <w:r>
        <w:t>be uploaded to My Health Record</w:t>
      </w:r>
      <w:r w:rsidR="00544BB8">
        <w:t xml:space="preserve">. Additionally, the Committee also </w:t>
      </w:r>
      <w:r w:rsidR="00544BB8">
        <w:rPr>
          <w:lang w:val="en-GB"/>
        </w:rPr>
        <w:t xml:space="preserve">recommends </w:t>
      </w:r>
      <w:r w:rsidR="00544BB8">
        <w:t>i</w:t>
      </w:r>
      <w:r w:rsidRPr="00772B65">
        <w:t>ntroduc</w:t>
      </w:r>
      <w:r w:rsidR="00544BB8">
        <w:t>ing</w:t>
      </w:r>
      <w:r w:rsidRPr="00772B65">
        <w:t xml:space="preserve"> a single incentive payment to consultant specialists upon the</w:t>
      </w:r>
      <w:r>
        <w:t>ir adoption of My Health Record</w:t>
      </w:r>
      <w:r w:rsidRPr="00772B65">
        <w:rPr>
          <w:lang w:val="en-GB"/>
        </w:rPr>
        <w:t>, triggered by achieving a volume of uploads that is proportional to the number of attendances that the provider performs</w:t>
      </w:r>
      <w:r w:rsidR="00544BB8">
        <w:rPr>
          <w:lang w:val="en-GB"/>
        </w:rPr>
        <w:t xml:space="preserve">. Other recommendation cover </w:t>
      </w:r>
      <w:r w:rsidR="00544BB8" w:rsidRPr="00772B65">
        <w:t>impro</w:t>
      </w:r>
      <w:r w:rsidR="00544BB8">
        <w:t>ving</w:t>
      </w:r>
      <w:r w:rsidRPr="00772B65">
        <w:t xml:space="preserve"> the functionality of My Health Record and educat</w:t>
      </w:r>
      <w:r w:rsidR="00544BB8">
        <w:t>ing</w:t>
      </w:r>
      <w:r w:rsidRPr="00772B65">
        <w:t xml:space="preserve"> consultant specialists on the benefits of its use.</w:t>
      </w:r>
    </w:p>
    <w:p w14:paraId="7650512D" w14:textId="77777777" w:rsidR="00DF09CD" w:rsidRPr="00C33C0B" w:rsidRDefault="00DF09CD" w:rsidP="00DF5455">
      <w:pPr>
        <w:pStyle w:val="Heading2"/>
        <w:rPr>
          <w:lang w:val="en-GB"/>
        </w:rPr>
      </w:pPr>
      <w:bookmarkStart w:id="54" w:name="_Toc24544665"/>
      <w:r w:rsidRPr="00C33C0B">
        <w:rPr>
          <w:lang w:val="en-GB"/>
        </w:rPr>
        <w:t>Consumer engagement</w:t>
      </w:r>
      <w:bookmarkEnd w:id="54"/>
    </w:p>
    <w:p w14:paraId="02472D6D" w14:textId="77777777" w:rsidR="006722EB" w:rsidRPr="00C33C0B" w:rsidRDefault="006722EB" w:rsidP="006722EB">
      <w:pPr>
        <w:rPr>
          <w:lang w:val="en-GB"/>
        </w:rPr>
      </w:pPr>
      <w:r w:rsidRPr="00C33C0B">
        <w:rPr>
          <w:lang w:val="en-GB"/>
        </w:rPr>
        <w:t xml:space="preserve">The Committee includes two </w:t>
      </w:r>
      <w:r w:rsidR="00213F7E" w:rsidRPr="00C33C0B">
        <w:rPr>
          <w:lang w:val="en-GB"/>
        </w:rPr>
        <w:t>consumer members</w:t>
      </w:r>
      <w:r w:rsidRPr="00C33C0B">
        <w:rPr>
          <w:lang w:val="en-GB"/>
        </w:rPr>
        <w:t xml:space="preserve"> </w:t>
      </w:r>
      <w:r w:rsidR="006A066F" w:rsidRPr="00C33C0B">
        <w:rPr>
          <w:lang w:val="en-GB"/>
        </w:rPr>
        <w:t xml:space="preserve">who have </w:t>
      </w:r>
      <w:r w:rsidRPr="00C33C0B">
        <w:rPr>
          <w:lang w:val="en-GB"/>
        </w:rPr>
        <w:t xml:space="preserve">provided </w:t>
      </w:r>
      <w:r w:rsidR="00AA35F2">
        <w:rPr>
          <w:lang w:val="en-GB"/>
        </w:rPr>
        <w:t xml:space="preserve">a consumer perspective </w:t>
      </w:r>
      <w:r w:rsidR="006F62FC" w:rsidRPr="00C33C0B">
        <w:rPr>
          <w:lang w:val="en-GB"/>
        </w:rPr>
        <w:t>on the recommendations</w:t>
      </w:r>
      <w:r w:rsidR="00D2637A">
        <w:rPr>
          <w:lang w:val="en-GB"/>
        </w:rPr>
        <w:t xml:space="preserve"> in this report</w:t>
      </w:r>
      <w:r w:rsidR="00DF09CD" w:rsidRPr="00C33C0B">
        <w:rPr>
          <w:lang w:val="en-GB"/>
        </w:rPr>
        <w:t>.</w:t>
      </w:r>
      <w:r w:rsidRPr="00C33C0B">
        <w:rPr>
          <w:lang w:val="en-GB"/>
        </w:rPr>
        <w:t xml:space="preserve"> </w:t>
      </w:r>
      <w:r w:rsidR="00491573" w:rsidRPr="00C33C0B">
        <w:rPr>
          <w:lang w:val="en-GB"/>
        </w:rPr>
        <w:t>The Committee</w:t>
      </w:r>
      <w:r w:rsidR="00C035DF">
        <w:rPr>
          <w:lang w:val="en-GB"/>
        </w:rPr>
        <w:t xml:space="preserve"> received over 100 submissions from a variety of stakeholders, including consumer groups.</w:t>
      </w:r>
    </w:p>
    <w:p w14:paraId="7FA66EA8" w14:textId="77777777" w:rsidR="005A3395" w:rsidRDefault="005A3395" w:rsidP="00DF5455">
      <w:pPr>
        <w:pStyle w:val="Heading2"/>
        <w:rPr>
          <w:lang w:val="en-GB"/>
        </w:rPr>
      </w:pPr>
      <w:bookmarkStart w:id="55" w:name="_Toc24544666"/>
      <w:bookmarkEnd w:id="4"/>
      <w:bookmarkEnd w:id="5"/>
      <w:r w:rsidRPr="00C33C0B">
        <w:rPr>
          <w:lang w:val="en-GB"/>
        </w:rPr>
        <w:t>Consumer impact summary</w:t>
      </w:r>
      <w:bookmarkEnd w:id="55"/>
    </w:p>
    <w:p w14:paraId="2EF02EDA" w14:textId="77777777" w:rsidR="002356E1" w:rsidRPr="0019507E" w:rsidRDefault="00B6680C" w:rsidP="00607BDA">
      <w:pPr>
        <w:rPr>
          <w:lang w:val="en-GB"/>
        </w:rPr>
      </w:pPr>
      <w:r w:rsidRPr="00C33C0B">
        <w:rPr>
          <w:lang w:val="en-GB"/>
        </w:rPr>
        <w:t xml:space="preserve">Both patients and providers are expected to benefit from these recommendations as they address concerns regarding patient access and quality of care, and they take steps to simplify the MBS and make it easier to use and understand. The Committee also considered each recommendation’s impact on provider groups to ensure that any changes were reasonable and fair. </w:t>
      </w:r>
      <w:r w:rsidR="00C035DF">
        <w:rPr>
          <w:lang w:val="en-GB"/>
        </w:rPr>
        <w:t>Where</w:t>
      </w:r>
      <w:r w:rsidRPr="00C33C0B">
        <w:rPr>
          <w:lang w:val="en-GB"/>
        </w:rPr>
        <w:t xml:space="preserve"> the Committee identified evidence of potential item misuse or safety concerns, recommendations were made to encourage best practice, in line with the overarching purpose of the MBS Review.</w:t>
      </w:r>
    </w:p>
    <w:p w14:paraId="4F422980" w14:textId="77777777" w:rsidR="00AA35F2" w:rsidRDefault="00AA35F2" w:rsidP="00AA35F2">
      <w:pPr>
        <w:spacing w:before="0" w:after="0" w:line="240" w:lineRule="auto"/>
        <w:rPr>
          <w:i/>
        </w:rPr>
      </w:pPr>
      <w:bookmarkStart w:id="56" w:name="_Toc517690409"/>
      <w:bookmarkStart w:id="57" w:name="_Toc521442190"/>
      <w:r>
        <w:rPr>
          <w:i/>
        </w:rPr>
        <w:br w:type="page"/>
      </w:r>
    </w:p>
    <w:p w14:paraId="383EF834" w14:textId="77777777" w:rsidR="00A921C1" w:rsidRPr="00C33C0B" w:rsidRDefault="00A921C1" w:rsidP="00A921C1">
      <w:pPr>
        <w:pStyle w:val="Heading1"/>
        <w:rPr>
          <w:lang w:val="en-GB"/>
        </w:rPr>
      </w:pPr>
      <w:bookmarkStart w:id="58" w:name="_Toc24544667"/>
      <w:r w:rsidRPr="00C33C0B">
        <w:rPr>
          <w:lang w:val="en-GB"/>
        </w:rPr>
        <w:t>About the Medicare Benefits Schedule (MBS) Review</w:t>
      </w:r>
      <w:bookmarkStart w:id="59" w:name="_Toc456045425"/>
      <w:bookmarkStart w:id="60" w:name="_Toc457463614"/>
      <w:bookmarkStart w:id="61" w:name="_Toc459996805"/>
      <w:bookmarkStart w:id="62" w:name="_Toc458166993"/>
      <w:bookmarkStart w:id="63" w:name="_Toc468831579"/>
      <w:bookmarkStart w:id="64" w:name="_Toc456045427"/>
      <w:bookmarkEnd w:id="56"/>
      <w:bookmarkEnd w:id="57"/>
      <w:bookmarkEnd w:id="58"/>
    </w:p>
    <w:p w14:paraId="62C4C186" w14:textId="77777777" w:rsidR="00C7339A" w:rsidRPr="00630AFF" w:rsidRDefault="00C7339A" w:rsidP="000831A1">
      <w:pPr>
        <w:pStyle w:val="Heading2"/>
        <w:numPr>
          <w:ilvl w:val="1"/>
          <w:numId w:val="39"/>
        </w:numPr>
        <w:ind w:left="-284" w:firstLine="275"/>
        <w:rPr>
          <w:i/>
        </w:rPr>
      </w:pPr>
      <w:bookmarkStart w:id="65" w:name="_Toc485295715"/>
      <w:bookmarkStart w:id="66" w:name="_Toc528843890"/>
      <w:bookmarkStart w:id="67" w:name="_Toc24544668"/>
      <w:bookmarkStart w:id="68" w:name="_Toc521442194"/>
      <w:bookmarkEnd w:id="59"/>
      <w:bookmarkEnd w:id="60"/>
      <w:bookmarkEnd w:id="61"/>
      <w:bookmarkEnd w:id="62"/>
      <w:bookmarkEnd w:id="63"/>
      <w:bookmarkEnd w:id="64"/>
      <w:r w:rsidRPr="00630AFF">
        <w:t>Medicare and the MBS</w:t>
      </w:r>
      <w:bookmarkEnd w:id="65"/>
      <w:bookmarkEnd w:id="66"/>
      <w:bookmarkEnd w:id="67"/>
    </w:p>
    <w:p w14:paraId="31411B54" w14:textId="77777777" w:rsidR="00C7339A" w:rsidRPr="00560120" w:rsidRDefault="00C7339A" w:rsidP="000831A1">
      <w:pPr>
        <w:pStyle w:val="Heading3Numbered"/>
        <w:numPr>
          <w:ilvl w:val="2"/>
          <w:numId w:val="39"/>
        </w:numPr>
        <w:rPr>
          <w:lang w:val="en-AU"/>
        </w:rPr>
      </w:pPr>
      <w:bookmarkStart w:id="69" w:name="_Toc528843891"/>
      <w:bookmarkStart w:id="70" w:name="_Toc24544669"/>
      <w:r w:rsidRPr="00560120">
        <w:rPr>
          <w:lang w:val="en-AU"/>
        </w:rPr>
        <w:t>What is Medicare?</w:t>
      </w:r>
      <w:bookmarkEnd w:id="69"/>
      <w:bookmarkEnd w:id="70"/>
    </w:p>
    <w:p w14:paraId="29C243B4" w14:textId="77777777" w:rsidR="00C7339A" w:rsidRPr="00560120" w:rsidRDefault="00C7339A" w:rsidP="00C7339A">
      <w:pPr>
        <w:spacing w:before="120" w:after="120"/>
        <w:ind w:right="-330"/>
        <w:rPr>
          <w:rFonts w:cs="Arial"/>
          <w:lang w:eastAsia="en-US"/>
        </w:rPr>
      </w:pPr>
      <w:r w:rsidRPr="00560120">
        <w:rPr>
          <w:rFonts w:cs="Arial"/>
          <w:lang w:eastAsia="en-US"/>
        </w:rPr>
        <w:t xml:space="preserve">Medicare is Australia’s universal health scheme that enables all Australian residents (and some overseas visitors) to have access to a wide range of health services and medicines at little or no cost. </w:t>
      </w:r>
    </w:p>
    <w:p w14:paraId="1CAC103B" w14:textId="77777777" w:rsidR="00C7339A" w:rsidRPr="00560120" w:rsidRDefault="00C7339A" w:rsidP="00C7339A">
      <w:pPr>
        <w:spacing w:before="120"/>
        <w:ind w:right="-329"/>
        <w:rPr>
          <w:rFonts w:cs="Arial"/>
        </w:rPr>
      </w:pPr>
      <w:r w:rsidRPr="00560120">
        <w:rPr>
          <w:rFonts w:cs="Arial"/>
        </w:rPr>
        <w:t xml:space="preserve">Introduced in 1984, Medicare has three components: </w:t>
      </w:r>
    </w:p>
    <w:p w14:paraId="0FF777FC" w14:textId="77777777" w:rsidR="00C7339A" w:rsidRPr="00560120" w:rsidRDefault="00C7339A" w:rsidP="00C7339A">
      <w:pPr>
        <w:pStyle w:val="Bullet-green"/>
      </w:pPr>
      <w:r w:rsidRPr="00560120">
        <w:t>free public hospital services for public patients</w:t>
      </w:r>
      <w:r w:rsidR="00482B19">
        <w:t>;</w:t>
      </w:r>
    </w:p>
    <w:p w14:paraId="23C2BC24" w14:textId="77777777" w:rsidR="00C7339A" w:rsidRPr="00560120" w:rsidRDefault="00C7339A" w:rsidP="00C7339A">
      <w:pPr>
        <w:pStyle w:val="Bullet-green"/>
      </w:pPr>
      <w:r w:rsidRPr="00560120">
        <w:t>subsidised drugs covered by the Pharmaceutical Benefits Scheme (PBS)</w:t>
      </w:r>
      <w:r w:rsidR="00482B19">
        <w:t>;</w:t>
      </w:r>
      <w:r>
        <w:t xml:space="preserve"> and</w:t>
      </w:r>
    </w:p>
    <w:p w14:paraId="00B87066" w14:textId="77777777" w:rsidR="00C7339A" w:rsidRPr="00560120" w:rsidRDefault="00C7339A" w:rsidP="00C7339A">
      <w:pPr>
        <w:pStyle w:val="Bullet-green"/>
      </w:pPr>
      <w:r w:rsidRPr="00560120">
        <w:t>subsidised health professional services listed on the MBS.</w:t>
      </w:r>
    </w:p>
    <w:p w14:paraId="3EBC98D3" w14:textId="77777777" w:rsidR="00C7339A" w:rsidRPr="00630AFF" w:rsidRDefault="00C7339A" w:rsidP="000831A1">
      <w:pPr>
        <w:pStyle w:val="Heading2"/>
        <w:numPr>
          <w:ilvl w:val="1"/>
          <w:numId w:val="39"/>
        </w:numPr>
        <w:ind w:left="-284" w:firstLine="275"/>
        <w:rPr>
          <w:i/>
        </w:rPr>
      </w:pPr>
      <w:bookmarkStart w:id="71" w:name="_Toc528843892"/>
      <w:bookmarkStart w:id="72" w:name="_Toc24544670"/>
      <w:r w:rsidRPr="00630AFF">
        <w:t>What is the MBS?</w:t>
      </w:r>
      <w:bookmarkEnd w:id="71"/>
      <w:bookmarkEnd w:id="72"/>
    </w:p>
    <w:p w14:paraId="643FB117" w14:textId="77777777" w:rsidR="00C7339A" w:rsidRPr="00560120" w:rsidRDefault="00C7339A" w:rsidP="00C7339A">
      <w:pPr>
        <w:rPr>
          <w:lang w:eastAsia="en-US"/>
        </w:rPr>
      </w:pPr>
      <w:r w:rsidRPr="00560120">
        <w:rPr>
          <w:lang w:eastAsia="en-US"/>
        </w:rPr>
        <w:t xml:space="preserve">The MBS is a listing of the health professional services subsidised by the Australian Government. There are more than 5,700 MBS items that provide benefits to patients for a comprehensive range of services, including consultations, diagnostic tests and operations. </w:t>
      </w:r>
    </w:p>
    <w:p w14:paraId="7A79ADDF" w14:textId="77777777" w:rsidR="00C7339A" w:rsidRPr="00630AFF" w:rsidRDefault="00C7339A" w:rsidP="000831A1">
      <w:pPr>
        <w:pStyle w:val="Heading2"/>
        <w:numPr>
          <w:ilvl w:val="1"/>
          <w:numId w:val="39"/>
        </w:numPr>
        <w:ind w:left="-284" w:firstLine="275"/>
        <w:rPr>
          <w:i/>
        </w:rPr>
      </w:pPr>
      <w:bookmarkStart w:id="73" w:name="_Toc485295716"/>
      <w:bookmarkStart w:id="74" w:name="_Toc528843893"/>
      <w:bookmarkStart w:id="75" w:name="_Toc24544671"/>
      <w:r w:rsidRPr="00630AFF">
        <w:t>What is the MBS Review Taskforce?</w:t>
      </w:r>
      <w:bookmarkEnd w:id="73"/>
      <w:bookmarkEnd w:id="74"/>
      <w:bookmarkEnd w:id="75"/>
    </w:p>
    <w:p w14:paraId="29104125" w14:textId="77777777" w:rsidR="00C7339A" w:rsidRPr="00560120" w:rsidRDefault="00C7339A" w:rsidP="00C7339A">
      <w:r w:rsidRPr="00560120">
        <w:t xml:space="preserve">The Government established the </w:t>
      </w:r>
      <w:r>
        <w:t xml:space="preserve">MBS Review </w:t>
      </w:r>
      <w:r w:rsidRPr="00560120">
        <w:t xml:space="preserve">Taskforce </w:t>
      </w:r>
      <w:r>
        <w:t xml:space="preserve">(the Taskforce) </w:t>
      </w:r>
      <w:r w:rsidRPr="00560120">
        <w:t xml:space="preserve">as an advisory body to review all of the 5,700 MBS items to ensure they are aligned with contemporary clinical evidence and practice and improve health outcomes for patients. The Taskforce will also modernise the MBS by identifying any services that may be unnecessary, outdated or potentially unsafe. The </w:t>
      </w:r>
      <w:r>
        <w:t xml:space="preserve">MBS </w:t>
      </w:r>
      <w:r w:rsidRPr="00560120">
        <w:t xml:space="preserve">Review </w:t>
      </w:r>
      <w:r>
        <w:t xml:space="preserve">(the Review) </w:t>
      </w:r>
      <w:r w:rsidRPr="00560120">
        <w:t xml:space="preserve">is clinician-led, and there are no targets for savings attached to the Review. </w:t>
      </w:r>
    </w:p>
    <w:p w14:paraId="6F9FE91A" w14:textId="77777777" w:rsidR="00C7339A" w:rsidRPr="00560120" w:rsidRDefault="00C7339A" w:rsidP="000831A1">
      <w:pPr>
        <w:pStyle w:val="Heading3Numbered"/>
        <w:numPr>
          <w:ilvl w:val="2"/>
          <w:numId w:val="39"/>
        </w:numPr>
        <w:rPr>
          <w:lang w:val="en-AU"/>
        </w:rPr>
      </w:pPr>
      <w:bookmarkStart w:id="76" w:name="_Toc528843894"/>
      <w:bookmarkStart w:id="77" w:name="_Toc24544672"/>
      <w:r w:rsidRPr="00560120">
        <w:rPr>
          <w:lang w:val="en-AU"/>
        </w:rPr>
        <w:t>What are the goals of the Taskforce?</w:t>
      </w:r>
      <w:bookmarkEnd w:id="76"/>
      <w:bookmarkEnd w:id="77"/>
    </w:p>
    <w:p w14:paraId="64BE8148" w14:textId="77777777" w:rsidR="00C7339A" w:rsidRPr="00560120" w:rsidRDefault="00C7339A" w:rsidP="00C7339A">
      <w:pPr>
        <w:spacing w:before="120" w:after="120"/>
        <w:rPr>
          <w:rFonts w:cs="Arial"/>
        </w:rPr>
      </w:pPr>
      <w:r w:rsidRPr="00560120">
        <w:rPr>
          <w:rFonts w:cs="Arial"/>
        </w:rPr>
        <w:t>The Taskforce is committed to providing recommendations to the Minister that will allow the MBS to deliver on each of four key goals:</w:t>
      </w:r>
    </w:p>
    <w:p w14:paraId="7B72844A" w14:textId="77777777" w:rsidR="00C7339A" w:rsidRPr="00560120" w:rsidRDefault="00C7339A" w:rsidP="00C7339A">
      <w:pPr>
        <w:pStyle w:val="Bullet-green"/>
      </w:pPr>
      <w:r w:rsidRPr="00560120">
        <w:rPr>
          <w:rStyle w:val="Boldbullet-greenChar"/>
          <w:rFonts w:eastAsiaTheme="majorEastAsia"/>
        </w:rPr>
        <w:t>Affordable and universal access</w:t>
      </w:r>
      <w:r w:rsidRPr="00560120">
        <w:t>—the evidence demonstrates that the MBS supports very good access to primary care services for most Australians, particularly in urban Australia. However, despite increases in the specialist workforce over the last decade, access to many specialist services remains problematic, with some rural patients being under-serviced.</w:t>
      </w:r>
    </w:p>
    <w:p w14:paraId="734A029E" w14:textId="77777777" w:rsidR="00C7339A" w:rsidRPr="00560120" w:rsidRDefault="00C7339A" w:rsidP="00C7339A">
      <w:pPr>
        <w:pStyle w:val="Bullet-green"/>
      </w:pPr>
      <w:r w:rsidRPr="00560120">
        <w:rPr>
          <w:rStyle w:val="Boldbullet-greenChar"/>
          <w:rFonts w:eastAsiaTheme="majorEastAsia"/>
        </w:rPr>
        <w:t>Best practice health services</w:t>
      </w:r>
      <w:r w:rsidRPr="00560120">
        <w:t>—one of the core objectives of the Review is to modernise the MBS, ensuring that individual items and their descriptors are consistent with contemporary best practice and the evidence base when possible. Although the Medical Services Advisory Committee (MSAC) plays a crucial role in thoroughly evaluating new services, the vast majority of existing MBS items pre-date this process and have never been reviewed.</w:t>
      </w:r>
    </w:p>
    <w:p w14:paraId="79534B6D" w14:textId="77777777" w:rsidR="00C7339A" w:rsidRPr="00560120" w:rsidRDefault="00C7339A" w:rsidP="00C7339A">
      <w:pPr>
        <w:pStyle w:val="Bullet-green"/>
      </w:pPr>
      <w:r w:rsidRPr="00560120">
        <w:rPr>
          <w:rStyle w:val="Boldbullet-greenChar"/>
          <w:rFonts w:eastAsiaTheme="majorEastAsia"/>
        </w:rPr>
        <w:t>Value for the individual patient</w:t>
      </w:r>
      <w:r w:rsidRPr="00560120">
        <w:t xml:space="preserve">—another core objective of the Review is to have an MBS that supports the delivery of services that are appropriate to the patient’s needs, provide real clinical </w:t>
      </w:r>
      <w:r w:rsidR="005A5C4E">
        <w:t xml:space="preserve">value </w:t>
      </w:r>
      <w:r w:rsidRPr="00560120">
        <w:t>and do not expose the patient to unnecessary risk or expense.</w:t>
      </w:r>
    </w:p>
    <w:p w14:paraId="0B818152" w14:textId="77777777" w:rsidR="00C7339A" w:rsidRPr="00560120" w:rsidRDefault="00C7339A" w:rsidP="00C7339A">
      <w:pPr>
        <w:pStyle w:val="Bullet-green"/>
      </w:pPr>
      <w:r w:rsidRPr="00560120">
        <w:rPr>
          <w:rStyle w:val="Boldbullet-greenChar"/>
          <w:rFonts w:eastAsiaTheme="majorEastAsia"/>
        </w:rPr>
        <w:t>Value for the health system</w:t>
      </w:r>
      <w:r w:rsidRPr="00560120">
        <w:t>—achieving the above elements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024AEFD9" w14:textId="77777777" w:rsidR="00C7339A" w:rsidRPr="00630AFF" w:rsidRDefault="00C7339A" w:rsidP="000831A1">
      <w:pPr>
        <w:pStyle w:val="Heading2"/>
        <w:numPr>
          <w:ilvl w:val="1"/>
          <w:numId w:val="39"/>
        </w:numPr>
        <w:ind w:left="-284" w:firstLine="275"/>
        <w:rPr>
          <w:i/>
        </w:rPr>
      </w:pPr>
      <w:bookmarkStart w:id="78" w:name="_Toc485295717"/>
      <w:bookmarkStart w:id="79" w:name="_Toc528843895"/>
      <w:bookmarkStart w:id="80" w:name="_Toc24544673"/>
      <w:r w:rsidRPr="00630AFF">
        <w:t>The Taskforce’s approach</w:t>
      </w:r>
      <w:bookmarkEnd w:id="78"/>
      <w:bookmarkEnd w:id="79"/>
      <w:bookmarkEnd w:id="80"/>
    </w:p>
    <w:p w14:paraId="0FE00F22" w14:textId="77777777" w:rsidR="00C7339A" w:rsidRPr="00560120" w:rsidRDefault="00C7339A" w:rsidP="00C7339A">
      <w:r w:rsidRPr="00560120">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21B140C8" w14:textId="77777777" w:rsidR="00C7339A" w:rsidRPr="00560120" w:rsidRDefault="00C7339A" w:rsidP="00C7339A">
      <w:r w:rsidRPr="00560120">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280EF054" w14:textId="77777777" w:rsidR="00C7339A" w:rsidRPr="00560120" w:rsidRDefault="00C7339A" w:rsidP="00C7339A">
      <w:r w:rsidRPr="00560120">
        <w:t xml:space="preserve">As the Review is clinician-led, the Taskforce decided that clinical committees should conduct the detailed review of MBS items. The committees are broad-based in their membership, and members have been appointed in an individual capacity, rather than as representatives of any organisation. </w:t>
      </w:r>
    </w:p>
    <w:p w14:paraId="60269EC8" w14:textId="77777777" w:rsidR="00C7339A" w:rsidRPr="00560120" w:rsidRDefault="00C7339A" w:rsidP="00C7339A">
      <w:r w:rsidRPr="00560120">
        <w:t xml:space="preserve">The Taskforce asked the committees to review MBS items using a framework based on Professor Adam Elshaug’s appropriate use criteria </w:t>
      </w:r>
      <w:sdt>
        <w:sdtPr>
          <w:id w:val="-1438513296"/>
          <w:citation/>
        </w:sdtPr>
        <w:sdtEndPr/>
        <w:sdtContent>
          <w:r w:rsidR="000E7A4F">
            <w:fldChar w:fldCharType="begin"/>
          </w:r>
          <w:r w:rsidR="000E7A4F">
            <w:instrText xml:space="preserve"> CITATION Els12 \l 3081 </w:instrText>
          </w:r>
          <w:r w:rsidR="000E7A4F">
            <w:fldChar w:fldCharType="separate"/>
          </w:r>
          <w:r w:rsidR="000E7A4F">
            <w:rPr>
              <w:noProof/>
            </w:rPr>
            <w:t>(1)</w:t>
          </w:r>
          <w:r w:rsidR="000E7A4F">
            <w:fldChar w:fldCharType="end"/>
          </w:r>
        </w:sdtContent>
      </w:sdt>
      <w:r w:rsidRPr="00560120">
        <w:t xml:space="preserve"> . The framework consists of seven steps:</w:t>
      </w:r>
    </w:p>
    <w:p w14:paraId="44A63772" w14:textId="77777777" w:rsidR="00C7339A" w:rsidRDefault="00C7339A" w:rsidP="000831A1">
      <w:pPr>
        <w:pStyle w:val="Numbering"/>
        <w:numPr>
          <w:ilvl w:val="0"/>
          <w:numId w:val="25"/>
        </w:numPr>
        <w:rPr>
          <w:lang w:val="en-AU"/>
        </w:rPr>
      </w:pPr>
      <w:r w:rsidRPr="00737A43">
        <w:rPr>
          <w:lang w:val="en-AU"/>
        </w:rPr>
        <w:t xml:space="preserve">Develop an initial fact base for all items under consideration, drawing on the relevant data and literature.  </w:t>
      </w:r>
    </w:p>
    <w:p w14:paraId="37A9F39F" w14:textId="77777777" w:rsidR="00C7339A" w:rsidRPr="00737A43" w:rsidRDefault="00C7339A" w:rsidP="000831A1">
      <w:pPr>
        <w:pStyle w:val="Numbering"/>
        <w:numPr>
          <w:ilvl w:val="0"/>
          <w:numId w:val="25"/>
        </w:numPr>
        <w:rPr>
          <w:lang w:val="en-AU"/>
        </w:rPr>
      </w:pPr>
      <w:r w:rsidRPr="00737A43">
        <w:rPr>
          <w:lang w:val="en-AU"/>
        </w:rPr>
        <w:t>Identify items that are obsolete, are of questionable clinical value</w:t>
      </w:r>
      <w:r w:rsidRPr="00560120">
        <w:rPr>
          <w:rStyle w:val="FootnoteReference"/>
          <w:lang w:val="en-AU"/>
        </w:rPr>
        <w:footnoteReference w:id="1"/>
      </w:r>
      <w:r w:rsidRPr="00737A43">
        <w:rPr>
          <w:lang w:val="en-AU"/>
        </w:rPr>
        <w:t>, are misused</w:t>
      </w:r>
      <w:r w:rsidRPr="00560120">
        <w:rPr>
          <w:rStyle w:val="FootnoteReference"/>
          <w:lang w:val="en-AU"/>
        </w:rPr>
        <w:footnoteReference w:id="2"/>
      </w:r>
      <w:r w:rsidRPr="00737A43">
        <w:rPr>
          <w:lang w:val="en-AU"/>
        </w:rPr>
        <w:t xml:space="preserve"> and/or pose a risk to patient safety. This step includes prioritising items as “priority 1”, “priority 2”, or “priority 3”, using a prioritisation methodology (described in more detail below).</w:t>
      </w:r>
    </w:p>
    <w:p w14:paraId="0DF3E11F" w14:textId="77777777" w:rsidR="00C7339A" w:rsidRPr="00560120" w:rsidRDefault="00C7339A" w:rsidP="00C7339A">
      <w:pPr>
        <w:pStyle w:val="Numbering"/>
        <w:rPr>
          <w:lang w:val="en-AU"/>
        </w:rPr>
      </w:pPr>
      <w:r w:rsidRPr="00560120">
        <w:rPr>
          <w:lang w:val="en-AU"/>
        </w:rPr>
        <w:t>Identify any issues, develop hypotheses for recommendations and create a work plan (including establishing working groups, when required) to arrive at recommendations for each item.</w:t>
      </w:r>
    </w:p>
    <w:p w14:paraId="60102B3E" w14:textId="77777777" w:rsidR="00C7339A" w:rsidRPr="00560120" w:rsidRDefault="00C7339A" w:rsidP="00C7339A">
      <w:pPr>
        <w:pStyle w:val="Numbering"/>
        <w:rPr>
          <w:lang w:val="en-AU"/>
        </w:rPr>
      </w:pPr>
      <w:r w:rsidRPr="00560120">
        <w:rPr>
          <w:lang w:val="en-AU"/>
        </w:rPr>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committee, working groups, and relevant colleagues or </w:t>
      </w:r>
      <w:r>
        <w:rPr>
          <w:lang w:val="en-AU"/>
        </w:rPr>
        <w:t>c</w:t>
      </w:r>
      <w:r w:rsidRPr="00560120">
        <w:rPr>
          <w:lang w:val="en-AU"/>
        </w:rPr>
        <w:t>olleges. For complex cases, full appropriate use criteria were developed for the item’s explanatory notes.</w:t>
      </w:r>
    </w:p>
    <w:p w14:paraId="6757C037" w14:textId="77777777" w:rsidR="00C7339A" w:rsidRPr="00560120" w:rsidRDefault="00C7339A" w:rsidP="00C7339A">
      <w:pPr>
        <w:pStyle w:val="Numbering"/>
        <w:rPr>
          <w:lang w:val="en-AU"/>
        </w:rPr>
      </w:pPr>
      <w:bookmarkStart w:id="81" w:name="_Ref505174405"/>
      <w:r w:rsidRPr="00560120">
        <w:rPr>
          <w:lang w:val="en-AU"/>
        </w:rPr>
        <w:t>Review the provisional recommendations and the accompanying rationales, and gather further evidence as required.</w:t>
      </w:r>
      <w:bookmarkEnd w:id="81"/>
    </w:p>
    <w:p w14:paraId="2C75DDE4" w14:textId="77777777" w:rsidR="00C7339A" w:rsidRPr="00560120" w:rsidRDefault="00C7339A" w:rsidP="00C7339A">
      <w:pPr>
        <w:pStyle w:val="Numbering"/>
        <w:rPr>
          <w:lang w:val="en-AU"/>
        </w:rPr>
      </w:pPr>
      <w:r w:rsidRPr="00560120">
        <w:rPr>
          <w:lang w:val="en-AU"/>
        </w:rPr>
        <w:t>Finalise the recommendations in preparation for broader stakeholder consultation.</w:t>
      </w:r>
    </w:p>
    <w:p w14:paraId="40CE3A7C" w14:textId="77777777" w:rsidR="00C7339A" w:rsidRPr="00560120" w:rsidRDefault="00C7339A" w:rsidP="00C7339A">
      <w:pPr>
        <w:pStyle w:val="Numbering"/>
        <w:rPr>
          <w:lang w:val="en-AU"/>
        </w:rPr>
      </w:pPr>
      <w:r w:rsidRPr="00560120">
        <w:rPr>
          <w:lang w:val="en-AU"/>
        </w:rPr>
        <w:t xml:space="preserve">Incorporate feedback gathered during stakeholder consultation and finalise </w:t>
      </w:r>
      <w:r>
        <w:rPr>
          <w:lang w:val="en-AU"/>
        </w:rPr>
        <w:t>a Clinical</w:t>
      </w:r>
      <w:r w:rsidRPr="00560120">
        <w:rPr>
          <w:lang w:val="en-AU"/>
        </w:rPr>
        <w:t xml:space="preserve"> Review Report, which provides recommendations for the Taskforce. </w:t>
      </w:r>
    </w:p>
    <w:p w14:paraId="42A68BE7" w14:textId="77777777" w:rsidR="00C7339A" w:rsidRPr="00560120" w:rsidRDefault="00C7339A" w:rsidP="00C7339A">
      <w:r w:rsidRPr="00560120">
        <w:t>All MBS items will be reviewed during the course of the Review. However, given the breadth of and timeframe for the Review, each clinical committee has to develop a work plan and assign priorities, keeping in mind the objectives of the Review. Committees use a robust prioritisation methodology to focus their attention and resources on the most important items requiring review. This was determined based on a combination of two standard metrics, derived from the appropriate use criteria:</w:t>
      </w:r>
    </w:p>
    <w:p w14:paraId="0A51E321" w14:textId="77777777" w:rsidR="00C7339A" w:rsidRPr="00560120" w:rsidRDefault="00482B19" w:rsidP="00C7339A">
      <w:pPr>
        <w:pStyle w:val="Bullet-green"/>
      </w:pPr>
      <w:r>
        <w:t>service volume; and</w:t>
      </w:r>
    </w:p>
    <w:p w14:paraId="02832409" w14:textId="77777777" w:rsidR="00C7339A" w:rsidRPr="00560120" w:rsidRDefault="00482B19" w:rsidP="00C7339A">
      <w:pPr>
        <w:pStyle w:val="Bullet-green"/>
      </w:pPr>
      <w:r>
        <w:t>t</w:t>
      </w:r>
      <w:r w:rsidR="00C7339A" w:rsidRPr="00560120">
        <w:t>he likelihood tha</w:t>
      </w:r>
      <w:r>
        <w:t>t the item needed to be revised;</w:t>
      </w:r>
      <w:r w:rsidR="00C7339A" w:rsidRPr="00560120">
        <w:t xml:space="preserve"> determined by indicators such as identified safety concerns, geographic or temporal variation, delivery irregularity, the potential misuse of indications or other concerns raised by the clinical committee (such as inappropriate co-claiming).</w:t>
      </w:r>
    </w:p>
    <w:p w14:paraId="7C0A25D6" w14:textId="11E1C170" w:rsidR="00C7339A" w:rsidRPr="00B50BED" w:rsidRDefault="00C7339A" w:rsidP="00B50BED">
      <w:pPr>
        <w:pStyle w:val="60exhnormal"/>
        <w:rPr>
          <w:rFonts w:asciiTheme="minorHAnsi" w:hAnsiTheme="minorHAnsi" w:cstheme="minorHAnsi"/>
          <w:b/>
          <w:caps w:val="0"/>
          <w:sz w:val="20"/>
          <w:lang w:val="en-GB"/>
        </w:rPr>
      </w:pPr>
      <w:bookmarkStart w:id="82" w:name="_Ref503780508"/>
      <w:bookmarkStart w:id="83" w:name="_Toc503779131"/>
      <w:bookmarkStart w:id="84" w:name="_Toc528844802"/>
      <w:bookmarkStart w:id="85" w:name="_Toc529028433"/>
      <w:r w:rsidRPr="00B50BED">
        <w:rPr>
          <w:rFonts w:asciiTheme="minorHAnsi" w:hAnsiTheme="minorHAnsi" w:cstheme="minorHAnsi"/>
          <w:b/>
          <w:caps w:val="0"/>
          <w:sz w:val="20"/>
          <w:lang w:val="en-GB"/>
        </w:rPr>
        <w:t xml:space="preserve">Figure </w:t>
      </w:r>
      <w:r w:rsidR="00F43999" w:rsidRPr="00B50BED">
        <w:rPr>
          <w:rFonts w:asciiTheme="minorHAnsi" w:hAnsiTheme="minorHAnsi" w:cstheme="minorHAnsi"/>
          <w:b/>
          <w:caps w:val="0"/>
          <w:sz w:val="20"/>
          <w:lang w:val="en-GB"/>
        </w:rPr>
        <w:fldChar w:fldCharType="begin"/>
      </w:r>
      <w:r w:rsidR="00F43999" w:rsidRPr="00B50BED">
        <w:rPr>
          <w:rFonts w:asciiTheme="minorHAnsi" w:hAnsiTheme="minorHAnsi" w:cstheme="minorHAnsi"/>
          <w:b/>
          <w:caps w:val="0"/>
          <w:sz w:val="20"/>
          <w:lang w:val="en-GB"/>
        </w:rPr>
        <w:instrText xml:space="preserve"> SEQ Figure \* ARABIC </w:instrText>
      </w:r>
      <w:r w:rsidR="00F43999" w:rsidRPr="00B50BED">
        <w:rPr>
          <w:rFonts w:asciiTheme="minorHAnsi" w:hAnsiTheme="minorHAnsi" w:cstheme="minorHAnsi"/>
          <w:b/>
          <w:caps w:val="0"/>
          <w:sz w:val="20"/>
          <w:lang w:val="en-GB"/>
        </w:rPr>
        <w:fldChar w:fldCharType="separate"/>
      </w:r>
      <w:r w:rsidR="00F040A5">
        <w:rPr>
          <w:rFonts w:asciiTheme="minorHAnsi" w:hAnsiTheme="minorHAnsi" w:cstheme="minorHAnsi"/>
          <w:b/>
          <w:caps w:val="0"/>
          <w:noProof/>
          <w:sz w:val="20"/>
          <w:lang w:val="en-GB"/>
        </w:rPr>
        <w:t>1</w:t>
      </w:r>
      <w:r w:rsidR="00F43999" w:rsidRPr="00B50BED">
        <w:rPr>
          <w:rFonts w:asciiTheme="minorHAnsi" w:hAnsiTheme="minorHAnsi" w:cstheme="minorHAnsi"/>
          <w:b/>
          <w:caps w:val="0"/>
          <w:sz w:val="20"/>
          <w:lang w:val="en-GB"/>
        </w:rPr>
        <w:fldChar w:fldCharType="end"/>
      </w:r>
      <w:bookmarkEnd w:id="82"/>
      <w:r w:rsidRPr="00B50BED">
        <w:rPr>
          <w:rFonts w:asciiTheme="minorHAnsi" w:hAnsiTheme="minorHAnsi" w:cstheme="minorHAnsi"/>
          <w:b/>
          <w:caps w:val="0"/>
          <w:sz w:val="20"/>
          <w:lang w:val="en-GB"/>
        </w:rPr>
        <w:t>: Prioritisation matrix</w:t>
      </w:r>
      <w:bookmarkEnd w:id="83"/>
      <w:bookmarkEnd w:id="84"/>
      <w:bookmarkEnd w:id="85"/>
    </w:p>
    <w:p w14:paraId="2C5A8845" w14:textId="77777777" w:rsidR="00C7339A" w:rsidRPr="00560120" w:rsidRDefault="00C7339A" w:rsidP="00C7339A">
      <w:pPr>
        <w:jc w:val="center"/>
        <w:rPr>
          <w:lang w:eastAsia="en-US"/>
        </w:rPr>
      </w:pPr>
      <w:r w:rsidRPr="00560120">
        <w:rPr>
          <w:noProof/>
        </w:rPr>
        <w:drawing>
          <wp:inline distT="0" distB="0" distL="0" distR="0" wp14:anchorId="21E488DE" wp14:editId="576380B8">
            <wp:extent cx="4476750" cy="3219450"/>
            <wp:effectExtent l="0" t="0" r="0" b="0"/>
            <wp:docPr id="16" name="Picture 16"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title="Figure 1: Prioritisation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282A7D7C" w14:textId="17024FB3" w:rsidR="00C7339A" w:rsidRPr="00560120" w:rsidRDefault="00C7339A" w:rsidP="00C7339A">
      <w:r w:rsidRPr="00560120">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 (</w:t>
      </w:r>
      <w:r w:rsidRPr="00560120">
        <w:fldChar w:fldCharType="begin"/>
      </w:r>
      <w:r w:rsidRPr="00560120">
        <w:instrText xml:space="preserve"> REF _Ref503780508 \h </w:instrText>
      </w:r>
      <w:r w:rsidRPr="00560120">
        <w:fldChar w:fldCharType="separate"/>
      </w:r>
      <w:r w:rsidR="00F040A5" w:rsidRPr="00B50BED">
        <w:rPr>
          <w:rFonts w:cstheme="minorHAnsi"/>
          <w:b/>
          <w:sz w:val="20"/>
          <w:lang w:val="en-GB"/>
        </w:rPr>
        <w:t xml:space="preserve">Figure </w:t>
      </w:r>
      <w:r w:rsidR="00F040A5">
        <w:rPr>
          <w:rFonts w:cstheme="minorHAnsi"/>
          <w:b/>
          <w:caps/>
          <w:noProof/>
          <w:sz w:val="20"/>
          <w:lang w:val="en-GB"/>
        </w:rPr>
        <w:t>1</w:t>
      </w:r>
      <w:r w:rsidRPr="00560120">
        <w:fldChar w:fldCharType="end"/>
      </w:r>
      <w:r w:rsidRPr="00560120">
        <w:t xml:space="preserve">).  Clinical committees use this priority ranking to organise their review of item numbers and apportion the amount of time spent on each item. </w:t>
      </w:r>
    </w:p>
    <w:p w14:paraId="011CBD4A" w14:textId="77777777" w:rsidR="00A921C1" w:rsidRPr="00C33C0B" w:rsidRDefault="00A921C1" w:rsidP="00CF4FE0">
      <w:pPr>
        <w:pStyle w:val="Heading1"/>
        <w:rPr>
          <w:lang w:val="en-GB"/>
        </w:rPr>
      </w:pPr>
      <w:bookmarkStart w:id="86" w:name="_Toc24544674"/>
      <w:r w:rsidRPr="00C33C0B">
        <w:rPr>
          <w:lang w:val="en-GB"/>
        </w:rPr>
        <w:t>About the Specialist and Consultant Physician Consultation Clinical Committee</w:t>
      </w:r>
      <w:bookmarkEnd w:id="68"/>
      <w:bookmarkEnd w:id="86"/>
    </w:p>
    <w:p w14:paraId="46967F0C" w14:textId="77777777" w:rsidR="0057008A" w:rsidRDefault="0057008A" w:rsidP="00283102">
      <w:pPr>
        <w:rPr>
          <w:lang w:val="en-GB"/>
        </w:rPr>
      </w:pPr>
      <w:bookmarkStart w:id="87" w:name="_Toc468831574"/>
      <w:bookmarkStart w:id="88" w:name="_Toc521442195"/>
      <w:r w:rsidRPr="00C33C0B">
        <w:rPr>
          <w:lang w:val="en-GB"/>
        </w:rPr>
        <w:t xml:space="preserve">The </w:t>
      </w:r>
      <w:r w:rsidR="00D97C56" w:rsidRPr="00C33C0B">
        <w:rPr>
          <w:lang w:val="en-GB"/>
        </w:rPr>
        <w:t xml:space="preserve">Specialist and Consultant Physician Consultation Clinical Committee </w:t>
      </w:r>
      <w:r w:rsidR="00D97C56">
        <w:rPr>
          <w:lang w:val="en-GB"/>
        </w:rPr>
        <w:t xml:space="preserve">(the </w:t>
      </w:r>
      <w:r w:rsidRPr="00C33C0B">
        <w:rPr>
          <w:lang w:val="en-GB"/>
        </w:rPr>
        <w:t>Committee</w:t>
      </w:r>
      <w:r w:rsidR="00D97C56">
        <w:rPr>
          <w:lang w:val="en-GB"/>
        </w:rPr>
        <w:t>)</w:t>
      </w:r>
      <w:r w:rsidRPr="00C33C0B">
        <w:rPr>
          <w:lang w:val="en-GB"/>
        </w:rPr>
        <w:t xml:space="preserve"> is part of the fifth tranche of </w:t>
      </w:r>
      <w:r>
        <w:rPr>
          <w:lang w:val="en-GB"/>
        </w:rPr>
        <w:t>c</w:t>
      </w:r>
      <w:r w:rsidRPr="00C33C0B">
        <w:rPr>
          <w:lang w:val="en-GB"/>
        </w:rPr>
        <w:t xml:space="preserve">linical </w:t>
      </w:r>
      <w:r>
        <w:rPr>
          <w:lang w:val="en-GB"/>
        </w:rPr>
        <w:t>c</w:t>
      </w:r>
      <w:r w:rsidRPr="00C33C0B">
        <w:rPr>
          <w:lang w:val="en-GB"/>
        </w:rPr>
        <w:t xml:space="preserve">ommittees. It was established in May 2018 to make recommendations to the Taskforce on MBS items </w:t>
      </w:r>
      <w:r w:rsidR="00EC3508">
        <w:rPr>
          <w:lang w:val="en-GB"/>
        </w:rPr>
        <w:t>in its area of responsibility</w:t>
      </w:r>
      <w:r w:rsidRPr="00C33C0B">
        <w:rPr>
          <w:lang w:val="en-GB"/>
        </w:rPr>
        <w:t xml:space="preserve">, based on clinical expertise and rapid evidence review. The Taskforce asked the Committee to review MBS items related to professional attendances, </w:t>
      </w:r>
      <w:r>
        <w:rPr>
          <w:lang w:val="en-GB"/>
        </w:rPr>
        <w:t>and to consider</w:t>
      </w:r>
      <w:r w:rsidRPr="00C33C0B">
        <w:rPr>
          <w:lang w:val="en-GB"/>
        </w:rPr>
        <w:t xml:space="preserve"> seven priority issues highlighted by the Taskforce.</w:t>
      </w:r>
    </w:p>
    <w:p w14:paraId="1694CDEC" w14:textId="77777777" w:rsidR="005E791E" w:rsidRDefault="005E791E" w:rsidP="00DF5455">
      <w:pPr>
        <w:pStyle w:val="Heading2"/>
        <w:rPr>
          <w:lang w:val="en-GB"/>
        </w:rPr>
      </w:pPr>
      <w:bookmarkStart w:id="89" w:name="_Toc24544675"/>
      <w:r>
        <w:rPr>
          <w:lang w:val="en-GB"/>
        </w:rPr>
        <w:t xml:space="preserve">Specialist and Consultant Physician </w:t>
      </w:r>
      <w:r w:rsidR="00680A05">
        <w:rPr>
          <w:lang w:val="en-GB"/>
        </w:rPr>
        <w:t xml:space="preserve">Consultation </w:t>
      </w:r>
      <w:r>
        <w:rPr>
          <w:lang w:val="en-GB"/>
        </w:rPr>
        <w:t>Clinical Committee members</w:t>
      </w:r>
      <w:bookmarkEnd w:id="89"/>
    </w:p>
    <w:p w14:paraId="65AC9E84" w14:textId="77777777" w:rsidR="00283102" w:rsidRDefault="00283102" w:rsidP="00283102">
      <w:pPr>
        <w:rPr>
          <w:lang w:val="en-GB"/>
        </w:rPr>
      </w:pPr>
      <w:r w:rsidRPr="00C33C0B">
        <w:rPr>
          <w:lang w:val="en-GB"/>
        </w:rPr>
        <w:t>The Committee consists of 16 members and two ex-officio representatives from the Taskforce. Members’ names, positions/organisations and declared conflicts of in</w:t>
      </w:r>
      <w:r>
        <w:rPr>
          <w:lang w:val="en-GB"/>
        </w:rPr>
        <w:t xml:space="preserve">terest are listed in Table </w:t>
      </w:r>
      <w:r w:rsidR="00B32DAB">
        <w:rPr>
          <w:lang w:val="en-GB"/>
        </w:rPr>
        <w:t>1</w:t>
      </w:r>
      <w:r w:rsidRPr="00C33C0B">
        <w:rPr>
          <w:lang w:val="en-GB"/>
        </w:rPr>
        <w:t>.</w:t>
      </w:r>
    </w:p>
    <w:p w14:paraId="2A4A083E" w14:textId="48D0CD26" w:rsidR="0090213A" w:rsidRDefault="00CA38E2" w:rsidP="00797207">
      <w:pPr>
        <w:pStyle w:val="TableCaption"/>
        <w:rPr>
          <w:lang w:val="en-GB"/>
        </w:rPr>
      </w:pPr>
      <w:bookmarkStart w:id="90" w:name="_Toc529028295"/>
      <w:r w:rsidRPr="00C33C0B">
        <w:rPr>
          <w:lang w:val="en-GB"/>
        </w:rPr>
        <w:t xml:space="preserve">Table </w:t>
      </w:r>
      <w:r w:rsidRPr="00C33C0B">
        <w:rPr>
          <w:lang w:val="en-GB"/>
        </w:rPr>
        <w:fldChar w:fldCharType="begin"/>
      </w:r>
      <w:r w:rsidRPr="00C33C0B">
        <w:rPr>
          <w:lang w:val="en-GB"/>
        </w:rPr>
        <w:instrText xml:space="preserve"> SEQ Table \* ARABIC </w:instrText>
      </w:r>
      <w:r w:rsidRPr="00C33C0B">
        <w:rPr>
          <w:lang w:val="en-GB"/>
        </w:rPr>
        <w:fldChar w:fldCharType="separate"/>
      </w:r>
      <w:r w:rsidR="00F040A5">
        <w:rPr>
          <w:noProof/>
          <w:lang w:val="en-GB"/>
        </w:rPr>
        <w:t>1</w:t>
      </w:r>
      <w:r w:rsidRPr="00C33C0B">
        <w:rPr>
          <w:lang w:val="en-GB"/>
        </w:rPr>
        <w:fldChar w:fldCharType="end"/>
      </w:r>
      <w:r w:rsidRPr="00C33C0B">
        <w:rPr>
          <w:lang w:val="en-GB"/>
        </w:rPr>
        <w:t>: Specialist and Consultant Physician Consultation Clinical Committee members</w:t>
      </w:r>
      <w:bookmarkEnd w:id="90"/>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abel 1: Specialist and Consultant Physician Consultation Clinical Committee members"/>
        <w:tblDescription w:val="This table has three columns, column 1 (name), column 2 (position/organisation) and column 3 (declared conflict of interest)."/>
      </w:tblPr>
      <w:tblGrid>
        <w:gridCol w:w="1633"/>
        <w:gridCol w:w="4032"/>
        <w:gridCol w:w="2637"/>
      </w:tblGrid>
      <w:tr w:rsidR="00862251" w:rsidRPr="00C33C0B" w14:paraId="7E8F4482" w14:textId="77777777" w:rsidTr="00E31CA1">
        <w:trPr>
          <w:tblHeader/>
        </w:trPr>
        <w:tc>
          <w:tcPr>
            <w:tcW w:w="1633" w:type="dxa"/>
            <w:shd w:val="clear" w:color="auto" w:fill="01653F"/>
            <w:vAlign w:val="bottom"/>
          </w:tcPr>
          <w:p w14:paraId="752B07A4" w14:textId="77777777" w:rsidR="00862251" w:rsidRPr="00C33C0B" w:rsidRDefault="00862251" w:rsidP="00E31CA1">
            <w:pPr>
              <w:spacing w:before="20" w:after="0" w:line="240" w:lineRule="auto"/>
              <w:rPr>
                <w:b/>
                <w:color w:val="FFFFFF" w:themeColor="background1"/>
                <w:szCs w:val="22"/>
                <w:lang w:val="en-GB"/>
              </w:rPr>
            </w:pPr>
            <w:r>
              <w:rPr>
                <w:b/>
                <w:color w:val="FFFFFF" w:themeColor="background1"/>
                <w:szCs w:val="22"/>
                <w:lang w:val="en-GB"/>
              </w:rPr>
              <w:t>Name</w:t>
            </w:r>
          </w:p>
        </w:tc>
        <w:tc>
          <w:tcPr>
            <w:tcW w:w="4032" w:type="dxa"/>
            <w:shd w:val="clear" w:color="auto" w:fill="01653F"/>
            <w:vAlign w:val="bottom"/>
          </w:tcPr>
          <w:p w14:paraId="0ED1059C" w14:textId="77777777" w:rsidR="00862251" w:rsidRPr="00C33C0B" w:rsidRDefault="00862251" w:rsidP="00E31CA1">
            <w:pPr>
              <w:spacing w:before="20" w:after="0" w:line="240" w:lineRule="auto"/>
              <w:rPr>
                <w:b/>
                <w:color w:val="FFFFFF" w:themeColor="background1"/>
                <w:szCs w:val="22"/>
                <w:lang w:val="en-GB"/>
              </w:rPr>
            </w:pPr>
            <w:r>
              <w:rPr>
                <w:b/>
                <w:color w:val="FFFFFF" w:themeColor="background1"/>
                <w:szCs w:val="22"/>
                <w:lang w:val="en-GB"/>
              </w:rPr>
              <w:t>Position/organisation</w:t>
            </w:r>
          </w:p>
        </w:tc>
        <w:tc>
          <w:tcPr>
            <w:tcW w:w="2637" w:type="dxa"/>
            <w:shd w:val="clear" w:color="auto" w:fill="01653F"/>
            <w:vAlign w:val="bottom"/>
          </w:tcPr>
          <w:p w14:paraId="03D0DBDC" w14:textId="77777777" w:rsidR="00862251" w:rsidRPr="00C33C0B" w:rsidRDefault="00862251" w:rsidP="00E31CA1">
            <w:pPr>
              <w:spacing w:before="20" w:after="0" w:line="240" w:lineRule="auto"/>
              <w:rPr>
                <w:b/>
                <w:color w:val="FFFFFF" w:themeColor="background1"/>
                <w:szCs w:val="22"/>
                <w:lang w:val="en-GB"/>
              </w:rPr>
            </w:pPr>
            <w:r w:rsidRPr="00C33C0B">
              <w:rPr>
                <w:b/>
                <w:color w:val="FFFFFF" w:themeColor="background1"/>
                <w:szCs w:val="22"/>
                <w:lang w:val="en-GB"/>
              </w:rPr>
              <w:t xml:space="preserve">Declared </w:t>
            </w:r>
            <w:r>
              <w:rPr>
                <w:b/>
                <w:color w:val="FFFFFF" w:themeColor="background1"/>
                <w:szCs w:val="22"/>
                <w:lang w:val="en-GB"/>
              </w:rPr>
              <w:t>conflict</w:t>
            </w:r>
            <w:r w:rsidR="00AF7C91">
              <w:rPr>
                <w:b/>
                <w:color w:val="FFFFFF" w:themeColor="background1"/>
                <w:szCs w:val="22"/>
                <w:lang w:val="en-GB"/>
              </w:rPr>
              <w:t>s</w:t>
            </w:r>
            <w:r>
              <w:rPr>
                <w:b/>
                <w:color w:val="FFFFFF" w:themeColor="background1"/>
                <w:szCs w:val="22"/>
                <w:lang w:val="en-GB"/>
              </w:rPr>
              <w:t xml:space="preserve"> of </w:t>
            </w:r>
            <w:r w:rsidR="00AF7C91">
              <w:rPr>
                <w:b/>
                <w:color w:val="FFFFFF" w:themeColor="background1"/>
                <w:szCs w:val="22"/>
                <w:lang w:val="en-GB"/>
              </w:rPr>
              <w:t>interest</w:t>
            </w:r>
          </w:p>
        </w:tc>
      </w:tr>
      <w:tr w:rsidR="00862251" w:rsidRPr="00C33C0B" w14:paraId="109A02AE" w14:textId="77777777" w:rsidTr="00E31CA1">
        <w:tc>
          <w:tcPr>
            <w:tcW w:w="1633" w:type="dxa"/>
            <w:shd w:val="clear" w:color="auto" w:fill="auto"/>
            <w:tcMar>
              <w:top w:w="6" w:type="dxa"/>
              <w:bottom w:w="6" w:type="dxa"/>
            </w:tcMar>
          </w:tcPr>
          <w:p w14:paraId="59443B44" w14:textId="77777777" w:rsidR="00862251" w:rsidRPr="00AA629C" w:rsidRDefault="00862251" w:rsidP="00E31CA1">
            <w:pPr>
              <w:spacing w:before="20" w:after="0" w:line="240" w:lineRule="auto"/>
              <w:rPr>
                <w:sz w:val="20"/>
                <w:szCs w:val="20"/>
                <w:lang w:val="en-GB"/>
              </w:rPr>
            </w:pPr>
            <w:r w:rsidRPr="00AA629C">
              <w:rPr>
                <w:sz w:val="20"/>
                <w:szCs w:val="20"/>
                <w:lang w:val="en-GB"/>
              </w:rPr>
              <w:t xml:space="preserve">Prof. </w:t>
            </w:r>
            <w:r w:rsidR="009F4508" w:rsidRPr="00AA629C">
              <w:rPr>
                <w:sz w:val="20"/>
                <w:szCs w:val="20"/>
                <w:lang w:val="en-GB"/>
              </w:rPr>
              <w:t>Anthony Lawler (Co-C</w:t>
            </w:r>
            <w:r w:rsidRPr="00AA629C">
              <w:rPr>
                <w:sz w:val="20"/>
                <w:szCs w:val="20"/>
                <w:lang w:val="en-GB"/>
              </w:rPr>
              <w:t>hair)</w:t>
            </w:r>
          </w:p>
        </w:tc>
        <w:tc>
          <w:tcPr>
            <w:tcW w:w="4032" w:type="dxa"/>
            <w:shd w:val="clear" w:color="auto" w:fill="auto"/>
            <w:tcMar>
              <w:top w:w="6" w:type="dxa"/>
              <w:bottom w:w="6" w:type="dxa"/>
            </w:tcMar>
          </w:tcPr>
          <w:p w14:paraId="29A28C47" w14:textId="77777777" w:rsidR="00862251" w:rsidRPr="00AA629C" w:rsidRDefault="00862251" w:rsidP="0053789D">
            <w:pPr>
              <w:pStyle w:val="Bullet-green"/>
              <w:numPr>
                <w:ilvl w:val="0"/>
                <w:numId w:val="0"/>
              </w:numPr>
              <w:spacing w:before="20" w:after="0" w:line="240" w:lineRule="auto"/>
              <w:rPr>
                <w:sz w:val="20"/>
                <w:szCs w:val="20"/>
                <w:lang w:val="en-GB"/>
              </w:rPr>
            </w:pPr>
            <w:r w:rsidRPr="00AA629C">
              <w:rPr>
                <w:sz w:val="20"/>
                <w:szCs w:val="20"/>
                <w:lang w:val="en-GB"/>
              </w:rPr>
              <w:t>Emergency Physician</w:t>
            </w:r>
            <w:r w:rsidR="00884CF0" w:rsidRPr="00AA629C">
              <w:rPr>
                <w:sz w:val="20"/>
                <w:szCs w:val="20"/>
                <w:lang w:val="en-GB"/>
              </w:rPr>
              <w:t>; Past P</w:t>
            </w:r>
            <w:r w:rsidRPr="00AA629C">
              <w:rPr>
                <w:sz w:val="20"/>
                <w:szCs w:val="20"/>
                <w:lang w:val="en-GB"/>
              </w:rPr>
              <w:t>resident of the Australasian College for Emergency Medicine (ACEM)</w:t>
            </w:r>
            <w:r w:rsidR="00884CF0" w:rsidRPr="00AA629C">
              <w:rPr>
                <w:sz w:val="20"/>
                <w:szCs w:val="20"/>
                <w:lang w:val="en-GB"/>
              </w:rPr>
              <w:t xml:space="preserve">; </w:t>
            </w:r>
            <w:r w:rsidRPr="00AA629C">
              <w:rPr>
                <w:sz w:val="20"/>
                <w:szCs w:val="20"/>
                <w:lang w:val="en-GB"/>
              </w:rPr>
              <w:t>Chief Medical Officer in Tasmania</w:t>
            </w:r>
          </w:p>
        </w:tc>
        <w:tc>
          <w:tcPr>
            <w:tcW w:w="2637" w:type="dxa"/>
            <w:shd w:val="clear" w:color="auto" w:fill="auto"/>
            <w:tcMar>
              <w:top w:w="6" w:type="dxa"/>
              <w:bottom w:w="6" w:type="dxa"/>
            </w:tcMar>
          </w:tcPr>
          <w:p w14:paraId="5BEC3AD6" w14:textId="77777777" w:rsidR="00862251" w:rsidRPr="00AA629C" w:rsidRDefault="00862251" w:rsidP="0053789D">
            <w:pPr>
              <w:pStyle w:val="Bullet-green"/>
              <w:numPr>
                <w:ilvl w:val="0"/>
                <w:numId w:val="0"/>
              </w:numPr>
              <w:spacing w:before="20" w:after="0" w:line="240" w:lineRule="auto"/>
              <w:rPr>
                <w:rFonts w:cstheme="minorHAnsi"/>
                <w:sz w:val="20"/>
                <w:szCs w:val="20"/>
                <w:lang w:val="en-GB"/>
              </w:rPr>
            </w:pPr>
            <w:r w:rsidRPr="00AA629C">
              <w:rPr>
                <w:rFonts w:cstheme="minorHAnsi"/>
                <w:sz w:val="20"/>
                <w:szCs w:val="20"/>
                <w:lang w:val="en-GB"/>
              </w:rPr>
              <w:t>Board member of ACEM</w:t>
            </w:r>
            <w:r w:rsidR="0053789D" w:rsidRPr="00AA629C">
              <w:rPr>
                <w:rFonts w:cstheme="minorHAnsi"/>
                <w:sz w:val="20"/>
                <w:szCs w:val="20"/>
                <w:lang w:val="en-GB"/>
              </w:rPr>
              <w:t xml:space="preserve">; </w:t>
            </w:r>
            <w:r w:rsidRPr="00AA629C">
              <w:rPr>
                <w:rFonts w:cstheme="minorHAnsi"/>
                <w:sz w:val="20"/>
                <w:szCs w:val="20"/>
                <w:lang w:val="en-GB"/>
              </w:rPr>
              <w:t>Jurisdictional employee in Tasmania</w:t>
            </w:r>
          </w:p>
        </w:tc>
      </w:tr>
      <w:tr w:rsidR="00862251" w:rsidRPr="00C33C0B" w14:paraId="2BDE3359" w14:textId="77777777" w:rsidTr="00E31CA1">
        <w:tc>
          <w:tcPr>
            <w:tcW w:w="1633" w:type="dxa"/>
            <w:shd w:val="clear" w:color="auto" w:fill="auto"/>
            <w:tcMar>
              <w:top w:w="6" w:type="dxa"/>
              <w:bottom w:w="6" w:type="dxa"/>
            </w:tcMar>
          </w:tcPr>
          <w:p w14:paraId="7F658601" w14:textId="77777777" w:rsidR="00862251" w:rsidRPr="00AA629C" w:rsidRDefault="00DE1B1D" w:rsidP="00E31CA1">
            <w:pPr>
              <w:spacing w:before="20" w:after="0" w:line="240" w:lineRule="auto"/>
              <w:rPr>
                <w:sz w:val="20"/>
                <w:szCs w:val="20"/>
                <w:lang w:val="en-GB"/>
              </w:rPr>
            </w:pPr>
            <w:r w:rsidRPr="00AA629C">
              <w:rPr>
                <w:sz w:val="20"/>
                <w:szCs w:val="20"/>
                <w:lang w:val="en-GB"/>
              </w:rPr>
              <w:t>Dr</w:t>
            </w:r>
            <w:r w:rsidR="008322D0" w:rsidRPr="00AA629C">
              <w:rPr>
                <w:sz w:val="20"/>
                <w:szCs w:val="20"/>
                <w:lang w:val="en-GB"/>
              </w:rPr>
              <w:t xml:space="preserve"> </w:t>
            </w:r>
            <w:r w:rsidR="00885661">
              <w:rPr>
                <w:sz w:val="20"/>
                <w:szCs w:val="20"/>
                <w:lang w:val="en-GB"/>
              </w:rPr>
              <w:t>Philip Truskett AM (</w:t>
            </w:r>
            <w:r w:rsidR="008322D0" w:rsidRPr="00AA629C">
              <w:rPr>
                <w:sz w:val="20"/>
                <w:szCs w:val="20"/>
                <w:lang w:val="en-GB"/>
              </w:rPr>
              <w:t>Co-C</w:t>
            </w:r>
            <w:r w:rsidR="00862251" w:rsidRPr="00AA629C">
              <w:rPr>
                <w:sz w:val="20"/>
                <w:szCs w:val="20"/>
                <w:lang w:val="en-GB"/>
              </w:rPr>
              <w:t>hair)</w:t>
            </w:r>
          </w:p>
        </w:tc>
        <w:tc>
          <w:tcPr>
            <w:tcW w:w="4032" w:type="dxa"/>
            <w:shd w:val="clear" w:color="auto" w:fill="auto"/>
            <w:tcMar>
              <w:top w:w="6" w:type="dxa"/>
              <w:bottom w:w="6" w:type="dxa"/>
            </w:tcMar>
          </w:tcPr>
          <w:p w14:paraId="74D2C86D" w14:textId="77777777" w:rsidR="00862251" w:rsidRDefault="008322D0" w:rsidP="0054602A">
            <w:pPr>
              <w:pStyle w:val="Bullet-green"/>
              <w:numPr>
                <w:ilvl w:val="0"/>
                <w:numId w:val="0"/>
              </w:numPr>
              <w:spacing w:before="20" w:after="0" w:line="240" w:lineRule="auto"/>
              <w:rPr>
                <w:sz w:val="20"/>
                <w:szCs w:val="20"/>
                <w:lang w:val="en-GB"/>
              </w:rPr>
            </w:pPr>
            <w:r w:rsidRPr="00AA629C">
              <w:rPr>
                <w:sz w:val="20"/>
                <w:szCs w:val="20"/>
                <w:lang w:val="en-GB"/>
              </w:rPr>
              <w:t>General S</w:t>
            </w:r>
            <w:r w:rsidR="00862251" w:rsidRPr="00AA629C">
              <w:rPr>
                <w:sz w:val="20"/>
                <w:szCs w:val="20"/>
                <w:lang w:val="en-GB"/>
              </w:rPr>
              <w:t xml:space="preserve">urgeon at </w:t>
            </w:r>
            <w:r w:rsidRPr="00AA629C">
              <w:rPr>
                <w:sz w:val="20"/>
                <w:szCs w:val="20"/>
                <w:lang w:val="en-GB"/>
              </w:rPr>
              <w:t xml:space="preserve">the </w:t>
            </w:r>
            <w:r w:rsidR="00862251" w:rsidRPr="00AA629C">
              <w:rPr>
                <w:sz w:val="20"/>
                <w:szCs w:val="20"/>
                <w:lang w:val="en-GB"/>
              </w:rPr>
              <w:t>Prince of Wales Hospital</w:t>
            </w:r>
            <w:r w:rsidRPr="00AA629C">
              <w:rPr>
                <w:sz w:val="20"/>
                <w:szCs w:val="20"/>
                <w:lang w:val="en-GB"/>
              </w:rPr>
              <w:t>,</w:t>
            </w:r>
            <w:r w:rsidR="00862251" w:rsidRPr="00AA629C">
              <w:rPr>
                <w:sz w:val="20"/>
                <w:szCs w:val="20"/>
                <w:lang w:val="en-GB"/>
              </w:rPr>
              <w:t xml:space="preserve"> Sydney</w:t>
            </w:r>
          </w:p>
          <w:p w14:paraId="555FE55F" w14:textId="77777777" w:rsidR="00C87458" w:rsidRPr="00AA629C" w:rsidRDefault="00C87458" w:rsidP="00C87458">
            <w:pPr>
              <w:pStyle w:val="Bullet-green"/>
              <w:numPr>
                <w:ilvl w:val="0"/>
                <w:numId w:val="0"/>
              </w:numPr>
              <w:spacing w:before="20" w:after="0" w:line="240" w:lineRule="auto"/>
              <w:rPr>
                <w:sz w:val="20"/>
                <w:szCs w:val="20"/>
                <w:lang w:val="en-GB"/>
              </w:rPr>
            </w:pPr>
          </w:p>
        </w:tc>
        <w:tc>
          <w:tcPr>
            <w:tcW w:w="2637" w:type="dxa"/>
            <w:shd w:val="clear" w:color="auto" w:fill="auto"/>
            <w:tcMar>
              <w:top w:w="6" w:type="dxa"/>
              <w:bottom w:w="6" w:type="dxa"/>
            </w:tcMar>
          </w:tcPr>
          <w:p w14:paraId="5AEF5D61" w14:textId="77777777" w:rsidR="00862251" w:rsidRPr="00AA629C" w:rsidRDefault="00C87458" w:rsidP="00C87458">
            <w:pPr>
              <w:pStyle w:val="Bullet-green"/>
              <w:numPr>
                <w:ilvl w:val="0"/>
                <w:numId w:val="0"/>
              </w:numPr>
              <w:spacing w:before="20" w:after="0" w:line="240" w:lineRule="auto"/>
              <w:rPr>
                <w:sz w:val="20"/>
                <w:szCs w:val="20"/>
                <w:lang w:val="en-GB"/>
              </w:rPr>
            </w:pPr>
            <w:r w:rsidRPr="00C87458">
              <w:rPr>
                <w:rFonts w:cstheme="minorHAnsi"/>
                <w:sz w:val="20"/>
                <w:szCs w:val="20"/>
                <w:lang w:val="en-GB"/>
              </w:rPr>
              <w:t>Chair of the Council of Presidents of Medical Colleges</w:t>
            </w:r>
            <w:r w:rsidR="00AA4173">
              <w:rPr>
                <w:rFonts w:cstheme="minorHAnsi"/>
                <w:sz w:val="20"/>
                <w:szCs w:val="20"/>
                <w:lang w:val="en-GB"/>
              </w:rPr>
              <w:t>; Chair of Day Hospitals Australia</w:t>
            </w:r>
          </w:p>
        </w:tc>
      </w:tr>
      <w:tr w:rsidR="00862251" w:rsidRPr="00C33C0B" w14:paraId="1AC0CD73" w14:textId="77777777" w:rsidTr="00E31CA1">
        <w:tc>
          <w:tcPr>
            <w:tcW w:w="1633" w:type="dxa"/>
            <w:shd w:val="clear" w:color="auto" w:fill="auto"/>
            <w:tcMar>
              <w:top w:w="6" w:type="dxa"/>
              <w:bottom w:w="6" w:type="dxa"/>
            </w:tcMar>
          </w:tcPr>
          <w:p w14:paraId="0664A066" w14:textId="77777777" w:rsidR="00862251" w:rsidRPr="00AA629C" w:rsidRDefault="00DE1B1D" w:rsidP="00E31CA1">
            <w:pPr>
              <w:spacing w:before="20" w:after="0" w:line="240" w:lineRule="auto"/>
              <w:rPr>
                <w:sz w:val="20"/>
                <w:szCs w:val="20"/>
                <w:lang w:val="en-GB"/>
              </w:rPr>
            </w:pPr>
            <w:r w:rsidRPr="00AA629C">
              <w:rPr>
                <w:sz w:val="20"/>
                <w:szCs w:val="20"/>
                <w:lang w:val="en-GB"/>
              </w:rPr>
              <w:t>Dr</w:t>
            </w:r>
            <w:r w:rsidR="00862251" w:rsidRPr="00AA629C">
              <w:rPr>
                <w:sz w:val="20"/>
                <w:szCs w:val="20"/>
                <w:lang w:val="en-GB"/>
              </w:rPr>
              <w:t xml:space="preserve"> Paul Blackman </w:t>
            </w:r>
          </w:p>
          <w:p w14:paraId="5D6A0BF8" w14:textId="77777777" w:rsidR="00862251" w:rsidRPr="00AA629C" w:rsidRDefault="00862251" w:rsidP="00E31CA1">
            <w:pPr>
              <w:spacing w:before="20" w:after="0" w:line="240" w:lineRule="auto"/>
              <w:rPr>
                <w:sz w:val="20"/>
                <w:szCs w:val="20"/>
                <w:lang w:val="en-GB"/>
              </w:rPr>
            </w:pPr>
          </w:p>
        </w:tc>
        <w:tc>
          <w:tcPr>
            <w:tcW w:w="4032" w:type="dxa"/>
            <w:shd w:val="clear" w:color="auto" w:fill="auto"/>
            <w:tcMar>
              <w:top w:w="6" w:type="dxa"/>
              <w:bottom w:w="6" w:type="dxa"/>
            </w:tcMar>
          </w:tcPr>
          <w:p w14:paraId="485A1BA9" w14:textId="77777777" w:rsidR="00862251" w:rsidRPr="00AA629C" w:rsidRDefault="0054602A" w:rsidP="0054602A">
            <w:pPr>
              <w:pStyle w:val="Bullet-green"/>
              <w:numPr>
                <w:ilvl w:val="0"/>
                <w:numId w:val="0"/>
              </w:numPr>
              <w:spacing w:before="20" w:after="0" w:line="240" w:lineRule="auto"/>
              <w:rPr>
                <w:sz w:val="20"/>
                <w:szCs w:val="20"/>
                <w:lang w:val="en-GB"/>
              </w:rPr>
            </w:pPr>
            <w:r w:rsidRPr="00AA629C">
              <w:rPr>
                <w:sz w:val="20"/>
                <w:szCs w:val="20"/>
                <w:lang w:val="en-GB"/>
              </w:rPr>
              <w:t>Sport and E</w:t>
            </w:r>
            <w:r w:rsidR="00862251" w:rsidRPr="00AA629C">
              <w:rPr>
                <w:sz w:val="20"/>
                <w:szCs w:val="20"/>
                <w:lang w:val="en-GB"/>
              </w:rPr>
              <w:t>xer</w:t>
            </w:r>
            <w:r w:rsidRPr="00AA629C">
              <w:rPr>
                <w:sz w:val="20"/>
                <w:szCs w:val="20"/>
                <w:lang w:val="en-GB"/>
              </w:rPr>
              <w:t>cise P</w:t>
            </w:r>
            <w:r w:rsidR="00862251" w:rsidRPr="00AA629C">
              <w:rPr>
                <w:sz w:val="20"/>
                <w:szCs w:val="20"/>
                <w:lang w:val="en-GB"/>
              </w:rPr>
              <w:t>hysician</w:t>
            </w:r>
            <w:r w:rsidRPr="00AA629C">
              <w:rPr>
                <w:sz w:val="20"/>
                <w:szCs w:val="20"/>
                <w:lang w:val="en-GB"/>
              </w:rPr>
              <w:t xml:space="preserve">, </w:t>
            </w:r>
            <w:r w:rsidR="00862251" w:rsidRPr="00AA629C">
              <w:rPr>
                <w:sz w:val="20"/>
                <w:szCs w:val="20"/>
                <w:lang w:val="en-GB"/>
              </w:rPr>
              <w:t xml:space="preserve">Olympic Park Sports Centre Medicine </w:t>
            </w:r>
          </w:p>
        </w:tc>
        <w:tc>
          <w:tcPr>
            <w:tcW w:w="2637" w:type="dxa"/>
            <w:shd w:val="clear" w:color="auto" w:fill="auto"/>
            <w:tcMar>
              <w:top w:w="6" w:type="dxa"/>
              <w:bottom w:w="6" w:type="dxa"/>
            </w:tcMar>
          </w:tcPr>
          <w:p w14:paraId="43E3F1D2" w14:textId="77777777" w:rsidR="00862251" w:rsidRPr="00AA629C" w:rsidRDefault="00862251" w:rsidP="0054602A">
            <w:pPr>
              <w:pStyle w:val="Bullet-green"/>
              <w:numPr>
                <w:ilvl w:val="0"/>
                <w:numId w:val="0"/>
              </w:numPr>
              <w:spacing w:before="20" w:after="0" w:line="240" w:lineRule="auto"/>
              <w:rPr>
                <w:sz w:val="20"/>
                <w:szCs w:val="20"/>
                <w:lang w:val="en-GB"/>
              </w:rPr>
            </w:pPr>
            <w:r w:rsidRPr="00AA629C">
              <w:rPr>
                <w:rFonts w:cstheme="minorHAnsi"/>
                <w:sz w:val="20"/>
                <w:szCs w:val="20"/>
                <w:lang w:val="en-GB"/>
              </w:rPr>
              <w:t>Board Member of</w:t>
            </w:r>
            <w:r w:rsidR="0054602A" w:rsidRPr="00AA629C">
              <w:rPr>
                <w:rFonts w:cstheme="minorHAnsi"/>
                <w:sz w:val="20"/>
                <w:szCs w:val="20"/>
                <w:lang w:val="en-GB"/>
              </w:rPr>
              <w:t xml:space="preserve"> the</w:t>
            </w:r>
            <w:r w:rsidRPr="00AA629C">
              <w:rPr>
                <w:rFonts w:cstheme="minorHAnsi"/>
                <w:sz w:val="20"/>
                <w:szCs w:val="20"/>
                <w:lang w:val="en-GB"/>
              </w:rPr>
              <w:t xml:space="preserve"> Australasian College of Sports and Exercise Physicians</w:t>
            </w:r>
          </w:p>
        </w:tc>
      </w:tr>
      <w:tr w:rsidR="00862251" w:rsidRPr="00C33C0B" w14:paraId="01ED146E" w14:textId="77777777" w:rsidTr="00E31CA1">
        <w:tc>
          <w:tcPr>
            <w:tcW w:w="1633" w:type="dxa"/>
            <w:shd w:val="clear" w:color="auto" w:fill="auto"/>
            <w:tcMar>
              <w:top w:w="6" w:type="dxa"/>
              <w:bottom w:w="6" w:type="dxa"/>
            </w:tcMar>
          </w:tcPr>
          <w:p w14:paraId="7196652E" w14:textId="77777777" w:rsidR="00862251" w:rsidRPr="00AA629C" w:rsidRDefault="00862251" w:rsidP="00E31CA1">
            <w:pPr>
              <w:spacing w:before="20" w:after="0" w:line="240" w:lineRule="auto"/>
              <w:rPr>
                <w:sz w:val="20"/>
                <w:szCs w:val="20"/>
                <w:lang w:val="en-GB"/>
              </w:rPr>
            </w:pPr>
            <w:r w:rsidRPr="00AA629C">
              <w:rPr>
                <w:sz w:val="20"/>
                <w:szCs w:val="20"/>
                <w:lang w:val="en-GB"/>
              </w:rPr>
              <w:t>Dr Robert Carroll</w:t>
            </w:r>
          </w:p>
        </w:tc>
        <w:tc>
          <w:tcPr>
            <w:tcW w:w="4032" w:type="dxa"/>
            <w:shd w:val="clear" w:color="auto" w:fill="auto"/>
            <w:tcMar>
              <w:top w:w="6" w:type="dxa"/>
              <w:bottom w:w="6" w:type="dxa"/>
            </w:tcMar>
          </w:tcPr>
          <w:p w14:paraId="31B47C97" w14:textId="77777777" w:rsidR="00862251" w:rsidRPr="00AA629C" w:rsidRDefault="00862251" w:rsidP="007805ED">
            <w:pPr>
              <w:pStyle w:val="Bullet-green"/>
              <w:numPr>
                <w:ilvl w:val="0"/>
                <w:numId w:val="0"/>
              </w:numPr>
              <w:spacing w:before="20" w:after="0" w:line="240" w:lineRule="auto"/>
              <w:ind w:left="357" w:hanging="357"/>
              <w:rPr>
                <w:sz w:val="20"/>
                <w:szCs w:val="20"/>
                <w:lang w:val="en-GB"/>
              </w:rPr>
            </w:pPr>
            <w:r w:rsidRPr="00AA629C">
              <w:rPr>
                <w:sz w:val="20"/>
                <w:szCs w:val="20"/>
                <w:lang w:val="en-GB"/>
              </w:rPr>
              <w:t>Nephrologist, University of Adelaide</w:t>
            </w:r>
          </w:p>
        </w:tc>
        <w:tc>
          <w:tcPr>
            <w:tcW w:w="2637" w:type="dxa"/>
            <w:shd w:val="clear" w:color="auto" w:fill="auto"/>
            <w:tcMar>
              <w:top w:w="6" w:type="dxa"/>
              <w:bottom w:w="6" w:type="dxa"/>
            </w:tcMar>
          </w:tcPr>
          <w:p w14:paraId="741C6F77" w14:textId="77777777" w:rsidR="00862251" w:rsidRPr="00AA629C" w:rsidRDefault="00862251" w:rsidP="007805ED">
            <w:pPr>
              <w:pStyle w:val="Bullet-green"/>
              <w:numPr>
                <w:ilvl w:val="0"/>
                <w:numId w:val="0"/>
              </w:numPr>
              <w:spacing w:before="20" w:after="0" w:line="240" w:lineRule="auto"/>
              <w:ind w:left="357" w:hanging="357"/>
              <w:rPr>
                <w:sz w:val="20"/>
                <w:szCs w:val="20"/>
                <w:lang w:val="en-GB"/>
              </w:rPr>
            </w:pPr>
            <w:r w:rsidRPr="00AA629C">
              <w:rPr>
                <w:sz w:val="20"/>
                <w:szCs w:val="20"/>
                <w:lang w:val="en-GB"/>
              </w:rPr>
              <w:t>None</w:t>
            </w:r>
          </w:p>
        </w:tc>
      </w:tr>
      <w:tr w:rsidR="00862251" w:rsidRPr="00C33C0B" w14:paraId="241D8613" w14:textId="77777777" w:rsidTr="00E31CA1">
        <w:tc>
          <w:tcPr>
            <w:tcW w:w="1633" w:type="dxa"/>
            <w:shd w:val="clear" w:color="auto" w:fill="auto"/>
            <w:tcMar>
              <w:top w:w="6" w:type="dxa"/>
              <w:bottom w:w="6" w:type="dxa"/>
            </w:tcMar>
          </w:tcPr>
          <w:p w14:paraId="7F357E86" w14:textId="77777777" w:rsidR="00862251" w:rsidRPr="00AA629C" w:rsidRDefault="00862251" w:rsidP="00E31CA1">
            <w:pPr>
              <w:spacing w:before="20" w:after="0" w:line="240" w:lineRule="auto"/>
              <w:rPr>
                <w:sz w:val="20"/>
                <w:szCs w:val="20"/>
                <w:lang w:val="en-GB"/>
              </w:rPr>
            </w:pPr>
            <w:r w:rsidRPr="00AA629C">
              <w:rPr>
                <w:sz w:val="20"/>
                <w:szCs w:val="20"/>
                <w:lang w:val="en-GB"/>
              </w:rPr>
              <w:t>Prof. Derek Chew</w:t>
            </w:r>
          </w:p>
          <w:p w14:paraId="4243CE39" w14:textId="77777777" w:rsidR="00862251" w:rsidRPr="00AA629C" w:rsidRDefault="00862251" w:rsidP="00E31CA1">
            <w:pPr>
              <w:spacing w:before="20" w:after="0" w:line="240" w:lineRule="auto"/>
              <w:rPr>
                <w:sz w:val="20"/>
                <w:szCs w:val="20"/>
                <w:lang w:val="en-GB"/>
              </w:rPr>
            </w:pPr>
            <w:r w:rsidRPr="00AA629C">
              <w:rPr>
                <w:sz w:val="20"/>
                <w:szCs w:val="20"/>
                <w:lang w:val="en-GB"/>
              </w:rPr>
              <w:t xml:space="preserve"> </w:t>
            </w:r>
          </w:p>
        </w:tc>
        <w:tc>
          <w:tcPr>
            <w:tcW w:w="4032" w:type="dxa"/>
            <w:shd w:val="clear" w:color="auto" w:fill="auto"/>
            <w:tcMar>
              <w:top w:w="6" w:type="dxa"/>
              <w:bottom w:w="6" w:type="dxa"/>
            </w:tcMar>
          </w:tcPr>
          <w:p w14:paraId="3E4B2EB5" w14:textId="77777777" w:rsidR="00862251" w:rsidRPr="00AA629C" w:rsidRDefault="00862251" w:rsidP="007805ED">
            <w:pPr>
              <w:pStyle w:val="Bullet-green"/>
              <w:numPr>
                <w:ilvl w:val="0"/>
                <w:numId w:val="0"/>
              </w:numPr>
              <w:spacing w:before="20" w:after="0" w:line="240" w:lineRule="auto"/>
              <w:rPr>
                <w:sz w:val="20"/>
                <w:szCs w:val="20"/>
                <w:lang w:val="en-GB"/>
              </w:rPr>
            </w:pPr>
            <w:r w:rsidRPr="00AA629C">
              <w:rPr>
                <w:sz w:val="20"/>
                <w:szCs w:val="20"/>
                <w:lang w:val="en-GB"/>
              </w:rPr>
              <w:t>Director of Cardiology at Flinders Medical Centre an</w:t>
            </w:r>
            <w:r w:rsidR="007805ED" w:rsidRPr="00AA629C">
              <w:rPr>
                <w:sz w:val="20"/>
                <w:szCs w:val="20"/>
                <w:lang w:val="en-GB"/>
              </w:rPr>
              <w:t>d A</w:t>
            </w:r>
            <w:r w:rsidRPr="00AA629C">
              <w:rPr>
                <w:sz w:val="20"/>
                <w:szCs w:val="20"/>
                <w:lang w:val="en-GB"/>
              </w:rPr>
              <w:t>cademic at Flinders University</w:t>
            </w:r>
            <w:r w:rsidR="007805ED" w:rsidRPr="00AA629C">
              <w:rPr>
                <w:sz w:val="20"/>
                <w:szCs w:val="20"/>
                <w:lang w:val="en-GB"/>
              </w:rPr>
              <w:t>; Part of the MBS R</w:t>
            </w:r>
            <w:r w:rsidRPr="00AA629C">
              <w:rPr>
                <w:sz w:val="20"/>
                <w:szCs w:val="20"/>
                <w:lang w:val="en-GB"/>
              </w:rPr>
              <w:t xml:space="preserve">eview for Cardiology </w:t>
            </w:r>
          </w:p>
        </w:tc>
        <w:tc>
          <w:tcPr>
            <w:tcW w:w="2637" w:type="dxa"/>
            <w:shd w:val="clear" w:color="auto" w:fill="auto"/>
            <w:tcMar>
              <w:top w:w="6" w:type="dxa"/>
              <w:bottom w:w="6" w:type="dxa"/>
            </w:tcMar>
          </w:tcPr>
          <w:p w14:paraId="654BB2F6" w14:textId="77777777" w:rsidR="00862251" w:rsidRPr="00AA629C" w:rsidRDefault="00862251" w:rsidP="007805ED">
            <w:pPr>
              <w:pStyle w:val="Bullet-green"/>
              <w:numPr>
                <w:ilvl w:val="0"/>
                <w:numId w:val="0"/>
              </w:numPr>
              <w:spacing w:before="20" w:after="0" w:line="240" w:lineRule="auto"/>
              <w:ind w:left="357" w:hanging="357"/>
              <w:rPr>
                <w:rFonts w:cstheme="minorHAnsi"/>
                <w:sz w:val="20"/>
                <w:szCs w:val="20"/>
                <w:lang w:val="en-GB"/>
              </w:rPr>
            </w:pPr>
            <w:r w:rsidRPr="00AA629C">
              <w:rPr>
                <w:rFonts w:cstheme="minorHAnsi"/>
                <w:sz w:val="20"/>
                <w:szCs w:val="20"/>
                <w:lang w:val="en-GB"/>
              </w:rPr>
              <w:t>None</w:t>
            </w:r>
          </w:p>
        </w:tc>
      </w:tr>
      <w:tr w:rsidR="00862251" w:rsidRPr="00C33C0B" w14:paraId="64AAE783" w14:textId="77777777" w:rsidTr="00E31CA1">
        <w:tc>
          <w:tcPr>
            <w:tcW w:w="1633" w:type="dxa"/>
            <w:shd w:val="clear" w:color="auto" w:fill="auto"/>
            <w:tcMar>
              <w:top w:w="6" w:type="dxa"/>
              <w:bottom w:w="6" w:type="dxa"/>
            </w:tcMar>
          </w:tcPr>
          <w:p w14:paraId="1BAD404D" w14:textId="77777777" w:rsidR="00862251" w:rsidRPr="00AA629C" w:rsidRDefault="00DE1B1D" w:rsidP="00E31CA1">
            <w:pPr>
              <w:spacing w:before="20" w:after="0" w:line="240" w:lineRule="auto"/>
              <w:rPr>
                <w:sz w:val="20"/>
                <w:szCs w:val="20"/>
                <w:lang w:val="en-GB"/>
              </w:rPr>
            </w:pPr>
            <w:r w:rsidRPr="00AA629C">
              <w:rPr>
                <w:sz w:val="20"/>
                <w:szCs w:val="20"/>
                <w:lang w:val="en-GB"/>
              </w:rPr>
              <w:t>Dr</w:t>
            </w:r>
            <w:r w:rsidR="00862251" w:rsidRPr="00AA629C">
              <w:rPr>
                <w:sz w:val="20"/>
                <w:szCs w:val="20"/>
                <w:lang w:val="en-GB"/>
              </w:rPr>
              <w:t xml:space="preserve"> Eleanor Chew (Ex-Officio)</w:t>
            </w:r>
          </w:p>
        </w:tc>
        <w:tc>
          <w:tcPr>
            <w:tcW w:w="4032" w:type="dxa"/>
            <w:shd w:val="clear" w:color="auto" w:fill="auto"/>
            <w:tcMar>
              <w:top w:w="6" w:type="dxa"/>
              <w:bottom w:w="6" w:type="dxa"/>
            </w:tcMar>
          </w:tcPr>
          <w:p w14:paraId="608882B1" w14:textId="77777777" w:rsidR="00862251" w:rsidRPr="00AA629C" w:rsidRDefault="00862251" w:rsidP="008A13E2">
            <w:pPr>
              <w:pStyle w:val="Bullet-green"/>
              <w:numPr>
                <w:ilvl w:val="0"/>
                <w:numId w:val="0"/>
              </w:numPr>
              <w:spacing w:before="20" w:after="0" w:line="240" w:lineRule="auto"/>
              <w:rPr>
                <w:sz w:val="20"/>
                <w:szCs w:val="20"/>
                <w:lang w:val="en-GB"/>
              </w:rPr>
            </w:pPr>
            <w:r w:rsidRPr="00AA629C">
              <w:rPr>
                <w:sz w:val="20"/>
                <w:szCs w:val="20"/>
                <w:lang w:val="en-GB"/>
              </w:rPr>
              <w:t xml:space="preserve">GP </w:t>
            </w:r>
            <w:r w:rsidR="008A13E2" w:rsidRPr="00AA629C">
              <w:rPr>
                <w:sz w:val="20"/>
                <w:szCs w:val="20"/>
                <w:lang w:val="en-GB"/>
              </w:rPr>
              <w:t>practising</w:t>
            </w:r>
            <w:r w:rsidRPr="00AA629C">
              <w:rPr>
                <w:sz w:val="20"/>
                <w:szCs w:val="20"/>
                <w:lang w:val="en-GB"/>
              </w:rPr>
              <w:t xml:space="preserve"> in Brisbane</w:t>
            </w:r>
            <w:r w:rsidR="008A13E2" w:rsidRPr="00AA629C">
              <w:rPr>
                <w:sz w:val="20"/>
                <w:szCs w:val="20"/>
                <w:lang w:val="en-GB"/>
              </w:rPr>
              <w:t xml:space="preserve">; </w:t>
            </w:r>
            <w:r w:rsidR="0086043B" w:rsidRPr="00AA629C">
              <w:rPr>
                <w:sz w:val="20"/>
                <w:szCs w:val="20"/>
                <w:lang w:val="en-GB"/>
              </w:rPr>
              <w:t>Member of the MBS R</w:t>
            </w:r>
            <w:r w:rsidRPr="00AA629C">
              <w:rPr>
                <w:sz w:val="20"/>
                <w:szCs w:val="20"/>
                <w:lang w:val="en-GB"/>
              </w:rPr>
              <w:t>eview Principles and Rules</w:t>
            </w:r>
            <w:r w:rsidR="00A16F34" w:rsidRPr="00AA629C">
              <w:rPr>
                <w:sz w:val="20"/>
                <w:szCs w:val="20"/>
                <w:lang w:val="en-GB"/>
              </w:rPr>
              <w:t xml:space="preserve"> Committee</w:t>
            </w:r>
            <w:r w:rsidRPr="00AA629C">
              <w:rPr>
                <w:sz w:val="20"/>
                <w:szCs w:val="20"/>
                <w:lang w:val="en-GB"/>
              </w:rPr>
              <w:t xml:space="preserve"> (PARC) and GP and Primary Care Clinical Committee</w:t>
            </w:r>
          </w:p>
        </w:tc>
        <w:tc>
          <w:tcPr>
            <w:tcW w:w="2637" w:type="dxa"/>
            <w:shd w:val="clear" w:color="auto" w:fill="auto"/>
            <w:tcMar>
              <w:top w:w="6" w:type="dxa"/>
              <w:bottom w:w="6" w:type="dxa"/>
            </w:tcMar>
          </w:tcPr>
          <w:p w14:paraId="700AAD65" w14:textId="77777777" w:rsidR="00862251" w:rsidRPr="00AA629C" w:rsidRDefault="00862251" w:rsidP="00587AB6">
            <w:pPr>
              <w:pStyle w:val="Bullet-green"/>
              <w:numPr>
                <w:ilvl w:val="0"/>
                <w:numId w:val="0"/>
              </w:numPr>
              <w:spacing w:before="20" w:after="0" w:line="240" w:lineRule="auto"/>
              <w:rPr>
                <w:rFonts w:cstheme="minorHAnsi"/>
                <w:sz w:val="20"/>
                <w:szCs w:val="20"/>
                <w:lang w:val="en-GB"/>
              </w:rPr>
            </w:pPr>
            <w:r w:rsidRPr="00AA629C">
              <w:rPr>
                <w:rFonts w:cstheme="minorHAnsi"/>
                <w:sz w:val="20"/>
                <w:szCs w:val="20"/>
                <w:lang w:val="en-GB"/>
              </w:rPr>
              <w:t>M</w:t>
            </w:r>
            <w:r w:rsidR="00587AB6" w:rsidRPr="00AA629C">
              <w:rPr>
                <w:rFonts w:cstheme="minorHAnsi"/>
                <w:sz w:val="20"/>
                <w:szCs w:val="20"/>
                <w:lang w:val="en-GB"/>
              </w:rPr>
              <w:t>BS T</w:t>
            </w:r>
            <w:r w:rsidRPr="00AA629C">
              <w:rPr>
                <w:rFonts w:cstheme="minorHAnsi"/>
                <w:sz w:val="20"/>
                <w:szCs w:val="20"/>
                <w:lang w:val="en-GB"/>
              </w:rPr>
              <w:t>askforce</w:t>
            </w:r>
            <w:r w:rsidR="00587AB6" w:rsidRPr="00AA629C">
              <w:rPr>
                <w:rFonts w:cstheme="minorHAnsi"/>
                <w:sz w:val="20"/>
                <w:szCs w:val="20"/>
                <w:lang w:val="en-GB"/>
              </w:rPr>
              <w:t>; Board M</w:t>
            </w:r>
            <w:r w:rsidRPr="00AA629C">
              <w:rPr>
                <w:rFonts w:cstheme="minorHAnsi"/>
                <w:sz w:val="20"/>
                <w:szCs w:val="20"/>
                <w:lang w:val="en-GB"/>
              </w:rPr>
              <w:t xml:space="preserve">ember of </w:t>
            </w:r>
            <w:r w:rsidR="00587AB6" w:rsidRPr="00AA629C">
              <w:rPr>
                <w:rFonts w:cstheme="minorHAnsi"/>
                <w:sz w:val="20"/>
                <w:szCs w:val="20"/>
                <w:lang w:val="en-GB"/>
              </w:rPr>
              <w:t xml:space="preserve">the </w:t>
            </w:r>
            <w:r w:rsidRPr="00AA629C">
              <w:rPr>
                <w:rFonts w:cstheme="minorHAnsi"/>
                <w:sz w:val="20"/>
                <w:szCs w:val="20"/>
                <w:lang w:val="en-GB"/>
              </w:rPr>
              <w:t>Austral</w:t>
            </w:r>
            <w:r w:rsidR="00E46AE4">
              <w:rPr>
                <w:rFonts w:cstheme="minorHAnsi"/>
                <w:sz w:val="20"/>
                <w:szCs w:val="20"/>
                <w:lang w:val="en-GB"/>
              </w:rPr>
              <w:t>ian Digital Health Agency</w:t>
            </w:r>
            <w:r w:rsidR="00587AB6" w:rsidRPr="00AA629C">
              <w:rPr>
                <w:rFonts w:cstheme="minorHAnsi"/>
                <w:sz w:val="20"/>
                <w:szCs w:val="20"/>
                <w:lang w:val="en-GB"/>
              </w:rPr>
              <w:t xml:space="preserve">; </w:t>
            </w:r>
            <w:r w:rsidRPr="00AA629C">
              <w:rPr>
                <w:rFonts w:cstheme="minorHAnsi"/>
                <w:sz w:val="20"/>
                <w:szCs w:val="20"/>
                <w:lang w:val="en-GB"/>
              </w:rPr>
              <w:t xml:space="preserve">Member of </w:t>
            </w:r>
            <w:r w:rsidR="00587AB6" w:rsidRPr="00AA629C">
              <w:rPr>
                <w:rFonts w:cstheme="minorHAnsi"/>
                <w:sz w:val="20"/>
                <w:szCs w:val="20"/>
                <w:lang w:val="en-GB"/>
              </w:rPr>
              <w:t xml:space="preserve">the </w:t>
            </w:r>
            <w:r w:rsidRPr="00AA629C">
              <w:rPr>
                <w:rFonts w:cstheme="minorHAnsi"/>
                <w:sz w:val="20"/>
                <w:szCs w:val="20"/>
                <w:lang w:val="en-GB"/>
              </w:rPr>
              <w:t>Professional Services Review Panel</w:t>
            </w:r>
            <w:r w:rsidR="00587AB6" w:rsidRPr="00AA629C">
              <w:rPr>
                <w:rFonts w:cstheme="minorHAnsi"/>
                <w:sz w:val="20"/>
                <w:szCs w:val="20"/>
                <w:lang w:val="en-GB"/>
              </w:rPr>
              <w:t xml:space="preserve">; </w:t>
            </w:r>
            <w:r w:rsidRPr="00AA629C">
              <w:rPr>
                <w:rFonts w:cstheme="minorHAnsi"/>
                <w:sz w:val="20"/>
                <w:szCs w:val="20"/>
                <w:lang w:val="en-GB"/>
              </w:rPr>
              <w:t xml:space="preserve">Member of </w:t>
            </w:r>
            <w:r w:rsidR="00587AB6" w:rsidRPr="00AA629C">
              <w:rPr>
                <w:rFonts w:cstheme="minorHAnsi"/>
                <w:sz w:val="20"/>
                <w:szCs w:val="20"/>
                <w:lang w:val="en-GB"/>
              </w:rPr>
              <w:t xml:space="preserve">the </w:t>
            </w:r>
            <w:r w:rsidRPr="00AA629C">
              <w:rPr>
                <w:rFonts w:cstheme="minorHAnsi"/>
                <w:sz w:val="20"/>
                <w:szCs w:val="20"/>
                <w:lang w:val="en-GB"/>
              </w:rPr>
              <w:t>Australian Health Pr</w:t>
            </w:r>
            <w:r w:rsidR="005C1230">
              <w:rPr>
                <w:rFonts w:cstheme="minorHAnsi"/>
                <w:sz w:val="20"/>
                <w:szCs w:val="20"/>
                <w:lang w:val="en-GB"/>
              </w:rPr>
              <w:t>actitioner Regulation Agency (AH</w:t>
            </w:r>
            <w:r w:rsidRPr="00AA629C">
              <w:rPr>
                <w:rFonts w:cstheme="minorHAnsi"/>
                <w:sz w:val="20"/>
                <w:szCs w:val="20"/>
                <w:lang w:val="en-GB"/>
              </w:rPr>
              <w:t>PRA) panel</w:t>
            </w:r>
          </w:p>
        </w:tc>
      </w:tr>
      <w:tr w:rsidR="00862251" w:rsidRPr="00C33C0B" w14:paraId="7ACC937D" w14:textId="77777777" w:rsidTr="00E31CA1">
        <w:tc>
          <w:tcPr>
            <w:tcW w:w="1633" w:type="dxa"/>
            <w:shd w:val="clear" w:color="auto" w:fill="auto"/>
            <w:tcMar>
              <w:top w:w="6" w:type="dxa"/>
              <w:bottom w:w="6" w:type="dxa"/>
            </w:tcMar>
          </w:tcPr>
          <w:p w14:paraId="0B80751E" w14:textId="77777777" w:rsidR="00862251" w:rsidRPr="00AA629C" w:rsidRDefault="00AC3C6B" w:rsidP="00932B93">
            <w:pPr>
              <w:spacing w:before="20" w:after="0" w:line="240" w:lineRule="auto"/>
              <w:rPr>
                <w:sz w:val="20"/>
                <w:szCs w:val="20"/>
                <w:lang w:val="en-GB"/>
              </w:rPr>
            </w:pPr>
            <w:r w:rsidRPr="00AA629C">
              <w:rPr>
                <w:sz w:val="20"/>
                <w:szCs w:val="20"/>
                <w:lang w:val="en-GB"/>
              </w:rPr>
              <w:t>Dr</w:t>
            </w:r>
            <w:r w:rsidR="00862251" w:rsidRPr="00AA629C">
              <w:rPr>
                <w:sz w:val="20"/>
                <w:szCs w:val="20"/>
                <w:lang w:val="en-GB"/>
              </w:rPr>
              <w:t xml:space="preserve"> Stephen De Graaff</w:t>
            </w:r>
          </w:p>
        </w:tc>
        <w:tc>
          <w:tcPr>
            <w:tcW w:w="4032" w:type="dxa"/>
            <w:shd w:val="clear" w:color="auto" w:fill="auto"/>
            <w:tcMar>
              <w:top w:w="6" w:type="dxa"/>
              <w:bottom w:w="6" w:type="dxa"/>
            </w:tcMar>
          </w:tcPr>
          <w:p w14:paraId="5A19C249" w14:textId="77777777" w:rsidR="00862251" w:rsidRPr="00AA629C" w:rsidRDefault="00862251" w:rsidP="00932B93">
            <w:pPr>
              <w:pStyle w:val="Bullet-green"/>
              <w:numPr>
                <w:ilvl w:val="0"/>
                <w:numId w:val="0"/>
              </w:numPr>
              <w:spacing w:before="20" w:after="0" w:line="240" w:lineRule="auto"/>
              <w:rPr>
                <w:sz w:val="20"/>
                <w:szCs w:val="20"/>
                <w:lang w:val="en-GB"/>
              </w:rPr>
            </w:pPr>
            <w:r w:rsidRPr="00AA629C">
              <w:rPr>
                <w:sz w:val="20"/>
                <w:szCs w:val="20"/>
                <w:lang w:val="en-GB"/>
              </w:rPr>
              <w:t>Senior Rehabilitation Physician and Director of Pain Services, Epworth HealthCare</w:t>
            </w:r>
            <w:r w:rsidR="00932B93" w:rsidRPr="00AA629C">
              <w:rPr>
                <w:sz w:val="20"/>
                <w:szCs w:val="20"/>
                <w:lang w:val="en-GB"/>
              </w:rPr>
              <w:t xml:space="preserve">; </w:t>
            </w:r>
            <w:r w:rsidRPr="00AA629C">
              <w:rPr>
                <w:sz w:val="20"/>
                <w:szCs w:val="20"/>
                <w:lang w:val="en-GB"/>
              </w:rPr>
              <w:t>Past President, Australasian Faculty of Rehabili</w:t>
            </w:r>
            <w:r w:rsidR="00317932">
              <w:rPr>
                <w:sz w:val="20"/>
                <w:szCs w:val="20"/>
                <w:lang w:val="en-GB"/>
              </w:rPr>
              <w:t>tation Medicine, Royal Australian College of Physicians (RACP)</w:t>
            </w:r>
          </w:p>
        </w:tc>
        <w:tc>
          <w:tcPr>
            <w:tcW w:w="2637" w:type="dxa"/>
            <w:shd w:val="clear" w:color="auto" w:fill="auto"/>
            <w:tcMar>
              <w:top w:w="6" w:type="dxa"/>
              <w:bottom w:w="6" w:type="dxa"/>
            </w:tcMar>
          </w:tcPr>
          <w:p w14:paraId="293F41D0" w14:textId="77777777" w:rsidR="00862251" w:rsidRPr="00AA629C" w:rsidRDefault="00932B93" w:rsidP="00932B93">
            <w:pPr>
              <w:pStyle w:val="Bullet-green"/>
              <w:numPr>
                <w:ilvl w:val="0"/>
                <w:numId w:val="0"/>
              </w:numPr>
              <w:spacing w:before="20" w:after="0" w:line="240" w:lineRule="auto"/>
              <w:rPr>
                <w:rFonts w:cstheme="minorHAnsi"/>
                <w:sz w:val="20"/>
                <w:szCs w:val="20"/>
                <w:lang w:val="en-GB"/>
              </w:rPr>
            </w:pPr>
            <w:r w:rsidRPr="00AA629C">
              <w:rPr>
                <w:rFonts w:cstheme="minorHAnsi"/>
                <w:sz w:val="20"/>
                <w:szCs w:val="20"/>
                <w:lang w:val="en-GB"/>
              </w:rPr>
              <w:t>Wife is an allied health p</w:t>
            </w:r>
            <w:r w:rsidR="00862251" w:rsidRPr="00AA629C">
              <w:rPr>
                <w:rFonts w:cstheme="minorHAnsi"/>
                <w:sz w:val="20"/>
                <w:szCs w:val="20"/>
                <w:lang w:val="en-GB"/>
              </w:rPr>
              <w:t>rofessional</w:t>
            </w:r>
          </w:p>
        </w:tc>
      </w:tr>
      <w:tr w:rsidR="00862251" w:rsidRPr="00C33C0B" w14:paraId="18E2402F" w14:textId="77777777" w:rsidTr="00E31CA1">
        <w:tc>
          <w:tcPr>
            <w:tcW w:w="1633" w:type="dxa"/>
            <w:shd w:val="clear" w:color="auto" w:fill="auto"/>
            <w:tcMar>
              <w:top w:w="6" w:type="dxa"/>
              <w:bottom w:w="6" w:type="dxa"/>
            </w:tcMar>
          </w:tcPr>
          <w:p w14:paraId="154314D4" w14:textId="77777777" w:rsidR="00862251" w:rsidRPr="00AA629C" w:rsidRDefault="00AC3C6B" w:rsidP="00E31CA1">
            <w:pPr>
              <w:spacing w:before="20" w:after="0" w:line="240" w:lineRule="auto"/>
              <w:rPr>
                <w:sz w:val="20"/>
                <w:szCs w:val="20"/>
                <w:lang w:val="en-GB"/>
              </w:rPr>
            </w:pPr>
            <w:r w:rsidRPr="00AA629C">
              <w:rPr>
                <w:sz w:val="20"/>
                <w:szCs w:val="20"/>
                <w:lang w:val="en-GB"/>
              </w:rPr>
              <w:t>Dr</w:t>
            </w:r>
            <w:r w:rsidR="00862251" w:rsidRPr="00AA629C">
              <w:rPr>
                <w:sz w:val="20"/>
                <w:szCs w:val="20"/>
                <w:lang w:val="en-GB"/>
              </w:rPr>
              <w:t xml:space="preserve"> Katie Ellard</w:t>
            </w:r>
          </w:p>
          <w:p w14:paraId="4982CA94" w14:textId="77777777" w:rsidR="00862251" w:rsidRPr="00AA629C" w:rsidRDefault="00862251" w:rsidP="00E31CA1">
            <w:pPr>
              <w:spacing w:before="20" w:after="0" w:line="240" w:lineRule="auto"/>
              <w:rPr>
                <w:sz w:val="20"/>
                <w:szCs w:val="20"/>
                <w:lang w:val="en-GB"/>
              </w:rPr>
            </w:pPr>
          </w:p>
        </w:tc>
        <w:tc>
          <w:tcPr>
            <w:tcW w:w="4032" w:type="dxa"/>
            <w:shd w:val="clear" w:color="auto" w:fill="auto"/>
            <w:tcMar>
              <w:top w:w="6" w:type="dxa"/>
              <w:bottom w:w="6" w:type="dxa"/>
            </w:tcMar>
          </w:tcPr>
          <w:p w14:paraId="39A26722" w14:textId="77777777" w:rsidR="00862251" w:rsidRPr="00AA629C" w:rsidRDefault="001A2221" w:rsidP="001A2221">
            <w:pPr>
              <w:pStyle w:val="Bullet-green"/>
              <w:numPr>
                <w:ilvl w:val="0"/>
                <w:numId w:val="0"/>
              </w:numPr>
              <w:spacing w:before="20" w:after="0" w:line="240" w:lineRule="auto"/>
              <w:rPr>
                <w:sz w:val="20"/>
                <w:szCs w:val="20"/>
                <w:lang w:val="en-GB"/>
              </w:rPr>
            </w:pPr>
            <w:r w:rsidRPr="00AA629C">
              <w:rPr>
                <w:sz w:val="20"/>
                <w:szCs w:val="20"/>
                <w:lang w:val="en-GB"/>
              </w:rPr>
              <w:t xml:space="preserve">Gastroenterologist; </w:t>
            </w:r>
            <w:r w:rsidR="00862251" w:rsidRPr="00AA629C">
              <w:rPr>
                <w:sz w:val="20"/>
                <w:szCs w:val="20"/>
                <w:lang w:val="en-GB"/>
              </w:rPr>
              <w:t>Private practice in Sydney</w:t>
            </w:r>
            <w:r w:rsidRPr="00AA629C">
              <w:rPr>
                <w:sz w:val="20"/>
                <w:szCs w:val="20"/>
                <w:lang w:val="en-GB"/>
              </w:rPr>
              <w:t xml:space="preserve">; </w:t>
            </w:r>
            <w:r w:rsidR="009E2C8A" w:rsidRPr="00AA629C">
              <w:rPr>
                <w:sz w:val="20"/>
                <w:szCs w:val="20"/>
                <w:lang w:val="en-GB"/>
              </w:rPr>
              <w:t>Part of the MBS R</w:t>
            </w:r>
            <w:r w:rsidR="00862251" w:rsidRPr="00AA629C">
              <w:rPr>
                <w:sz w:val="20"/>
                <w:szCs w:val="20"/>
                <w:lang w:val="en-GB"/>
              </w:rPr>
              <w:t xml:space="preserve">eview for Gastroenterology </w:t>
            </w:r>
          </w:p>
        </w:tc>
        <w:tc>
          <w:tcPr>
            <w:tcW w:w="2637" w:type="dxa"/>
            <w:shd w:val="clear" w:color="auto" w:fill="auto"/>
            <w:tcMar>
              <w:top w:w="6" w:type="dxa"/>
              <w:bottom w:w="6" w:type="dxa"/>
            </w:tcMar>
          </w:tcPr>
          <w:p w14:paraId="265B5540" w14:textId="77777777" w:rsidR="00862251" w:rsidRPr="00AA629C" w:rsidRDefault="00862251" w:rsidP="003E5CE1">
            <w:pPr>
              <w:pStyle w:val="Bullet-green"/>
              <w:numPr>
                <w:ilvl w:val="0"/>
                <w:numId w:val="0"/>
              </w:numPr>
              <w:spacing w:before="20" w:after="0" w:line="240" w:lineRule="auto"/>
              <w:ind w:left="357" w:hanging="357"/>
              <w:rPr>
                <w:rFonts w:cstheme="minorHAnsi"/>
                <w:sz w:val="20"/>
                <w:szCs w:val="20"/>
                <w:lang w:val="en-GB"/>
              </w:rPr>
            </w:pPr>
            <w:r w:rsidRPr="00AA629C">
              <w:rPr>
                <w:rFonts w:cstheme="minorHAnsi"/>
                <w:sz w:val="20"/>
                <w:szCs w:val="20"/>
                <w:lang w:val="en-GB"/>
              </w:rPr>
              <w:t>None</w:t>
            </w:r>
          </w:p>
        </w:tc>
      </w:tr>
      <w:tr w:rsidR="00862251" w:rsidRPr="00C33C0B" w14:paraId="265461A9" w14:textId="77777777" w:rsidTr="00E31CA1">
        <w:tc>
          <w:tcPr>
            <w:tcW w:w="1633" w:type="dxa"/>
            <w:shd w:val="clear" w:color="auto" w:fill="auto"/>
            <w:tcMar>
              <w:top w:w="6" w:type="dxa"/>
              <w:bottom w:w="6" w:type="dxa"/>
            </w:tcMar>
          </w:tcPr>
          <w:p w14:paraId="3AC50CF0" w14:textId="77777777" w:rsidR="00862251" w:rsidRPr="00AA629C" w:rsidRDefault="00862251" w:rsidP="00E31CA1">
            <w:pPr>
              <w:spacing w:before="20" w:after="0" w:line="240" w:lineRule="auto"/>
              <w:rPr>
                <w:sz w:val="20"/>
                <w:szCs w:val="20"/>
                <w:lang w:val="en-GB"/>
              </w:rPr>
            </w:pPr>
            <w:r w:rsidRPr="00AA629C">
              <w:rPr>
                <w:sz w:val="20"/>
                <w:szCs w:val="20"/>
                <w:lang w:val="en-GB"/>
              </w:rPr>
              <w:t>Prof. Elizabeth Elliott</w:t>
            </w:r>
            <w:r w:rsidR="00BD189B">
              <w:rPr>
                <w:sz w:val="20"/>
                <w:szCs w:val="20"/>
                <w:lang w:val="en-GB"/>
              </w:rPr>
              <w:t xml:space="preserve"> AM</w:t>
            </w:r>
          </w:p>
          <w:p w14:paraId="348E2011" w14:textId="77777777" w:rsidR="00862251" w:rsidRPr="00AA629C" w:rsidRDefault="00862251" w:rsidP="00E31CA1">
            <w:pPr>
              <w:spacing w:before="20" w:after="0" w:line="240" w:lineRule="auto"/>
              <w:rPr>
                <w:sz w:val="20"/>
                <w:szCs w:val="20"/>
                <w:lang w:val="en-GB"/>
              </w:rPr>
            </w:pPr>
          </w:p>
        </w:tc>
        <w:tc>
          <w:tcPr>
            <w:tcW w:w="4032" w:type="dxa"/>
            <w:shd w:val="clear" w:color="auto" w:fill="auto"/>
            <w:tcMar>
              <w:top w:w="6" w:type="dxa"/>
              <w:bottom w:w="6" w:type="dxa"/>
            </w:tcMar>
          </w:tcPr>
          <w:p w14:paraId="4B70ED96" w14:textId="77777777" w:rsidR="00862251" w:rsidRPr="00AA629C" w:rsidRDefault="003E5CE1" w:rsidP="003E5CE1">
            <w:pPr>
              <w:pStyle w:val="Bullet-green"/>
              <w:numPr>
                <w:ilvl w:val="0"/>
                <w:numId w:val="0"/>
              </w:numPr>
              <w:spacing w:before="20" w:after="0" w:line="240" w:lineRule="auto"/>
              <w:rPr>
                <w:sz w:val="20"/>
                <w:szCs w:val="20"/>
                <w:lang w:val="en-GB"/>
              </w:rPr>
            </w:pPr>
            <w:r w:rsidRPr="00AA629C">
              <w:rPr>
                <w:sz w:val="20"/>
                <w:szCs w:val="20"/>
                <w:lang w:val="en-GB"/>
              </w:rPr>
              <w:t>Clinical A</w:t>
            </w:r>
            <w:r w:rsidR="00862251" w:rsidRPr="00AA629C">
              <w:rPr>
                <w:sz w:val="20"/>
                <w:szCs w:val="20"/>
                <w:lang w:val="en-GB"/>
              </w:rPr>
              <w:t>cademic at the University of Sydney</w:t>
            </w:r>
            <w:r w:rsidRPr="00AA629C">
              <w:rPr>
                <w:sz w:val="20"/>
                <w:szCs w:val="20"/>
                <w:lang w:val="en-GB"/>
              </w:rPr>
              <w:t>; Consultant P</w:t>
            </w:r>
            <w:r w:rsidR="007E508F">
              <w:rPr>
                <w:sz w:val="20"/>
                <w:szCs w:val="20"/>
                <w:lang w:val="en-GB"/>
              </w:rPr>
              <w:t>aediatrician Sydney</w:t>
            </w:r>
            <w:r w:rsidR="00862251" w:rsidRPr="00AA629C">
              <w:rPr>
                <w:sz w:val="20"/>
                <w:szCs w:val="20"/>
                <w:lang w:val="en-GB"/>
              </w:rPr>
              <w:t xml:space="preserve"> Children’s Hospital </w:t>
            </w:r>
            <w:r w:rsidR="007E508F">
              <w:rPr>
                <w:sz w:val="20"/>
                <w:szCs w:val="20"/>
                <w:lang w:val="en-GB"/>
              </w:rPr>
              <w:t>Network (</w:t>
            </w:r>
            <w:r w:rsidR="00862251" w:rsidRPr="00AA629C">
              <w:rPr>
                <w:sz w:val="20"/>
                <w:szCs w:val="20"/>
                <w:lang w:val="en-GB"/>
              </w:rPr>
              <w:t>Westmead</w:t>
            </w:r>
            <w:r w:rsidR="007E508F">
              <w:rPr>
                <w:sz w:val="20"/>
                <w:szCs w:val="20"/>
                <w:lang w:val="en-GB"/>
              </w:rPr>
              <w:t>)</w:t>
            </w:r>
            <w:r w:rsidRPr="00AA629C">
              <w:rPr>
                <w:sz w:val="20"/>
                <w:szCs w:val="20"/>
                <w:lang w:val="en-GB"/>
              </w:rPr>
              <w:t>;</w:t>
            </w:r>
            <w:r w:rsidR="00862251" w:rsidRPr="00AA629C">
              <w:rPr>
                <w:sz w:val="20"/>
                <w:szCs w:val="20"/>
                <w:lang w:val="en-GB"/>
              </w:rPr>
              <w:t xml:space="preserve"> </w:t>
            </w:r>
            <w:r w:rsidRPr="00AA629C">
              <w:rPr>
                <w:sz w:val="20"/>
                <w:szCs w:val="20"/>
                <w:lang w:val="en-GB"/>
              </w:rPr>
              <w:t>R</w:t>
            </w:r>
            <w:r w:rsidR="007747F4">
              <w:rPr>
                <w:sz w:val="20"/>
                <w:szCs w:val="20"/>
                <w:lang w:val="en-GB"/>
              </w:rPr>
              <w:t>ecent research focus on f</w:t>
            </w:r>
            <w:r w:rsidR="00862251" w:rsidRPr="00AA629C">
              <w:rPr>
                <w:sz w:val="20"/>
                <w:szCs w:val="20"/>
                <w:lang w:val="en-GB"/>
              </w:rPr>
              <w:t>etal alcohol spectrum disorders</w:t>
            </w:r>
          </w:p>
        </w:tc>
        <w:tc>
          <w:tcPr>
            <w:tcW w:w="2637" w:type="dxa"/>
            <w:shd w:val="clear" w:color="auto" w:fill="auto"/>
            <w:tcMar>
              <w:top w:w="6" w:type="dxa"/>
              <w:bottom w:w="6" w:type="dxa"/>
            </w:tcMar>
          </w:tcPr>
          <w:p w14:paraId="46578349" w14:textId="77777777" w:rsidR="00862251" w:rsidRPr="00AA629C" w:rsidRDefault="00862251" w:rsidP="000C182E">
            <w:pPr>
              <w:pStyle w:val="Bullet-green"/>
              <w:numPr>
                <w:ilvl w:val="0"/>
                <w:numId w:val="0"/>
              </w:numPr>
              <w:spacing w:before="20" w:after="0" w:line="240" w:lineRule="auto"/>
              <w:ind w:left="357" w:hanging="357"/>
              <w:rPr>
                <w:rFonts w:cstheme="minorHAnsi"/>
                <w:sz w:val="20"/>
                <w:szCs w:val="20"/>
                <w:lang w:val="en-GB"/>
              </w:rPr>
            </w:pPr>
            <w:r w:rsidRPr="00AA629C">
              <w:rPr>
                <w:rFonts w:cstheme="minorHAnsi"/>
                <w:sz w:val="20"/>
                <w:szCs w:val="20"/>
                <w:lang w:val="en-GB"/>
              </w:rPr>
              <w:t>None</w:t>
            </w:r>
          </w:p>
        </w:tc>
      </w:tr>
      <w:tr w:rsidR="00862251" w:rsidRPr="00C33C0B" w14:paraId="7B1AB2CD" w14:textId="77777777" w:rsidTr="00E31CA1">
        <w:tc>
          <w:tcPr>
            <w:tcW w:w="1633" w:type="dxa"/>
            <w:shd w:val="clear" w:color="auto" w:fill="auto"/>
            <w:tcMar>
              <w:top w:w="6" w:type="dxa"/>
              <w:bottom w:w="6" w:type="dxa"/>
            </w:tcMar>
          </w:tcPr>
          <w:p w14:paraId="0E335794" w14:textId="77777777" w:rsidR="00862251" w:rsidRPr="00AA629C" w:rsidRDefault="00AC3C6B" w:rsidP="00E31CA1">
            <w:pPr>
              <w:spacing w:before="20" w:after="0" w:line="240" w:lineRule="auto"/>
              <w:rPr>
                <w:sz w:val="20"/>
                <w:szCs w:val="20"/>
                <w:lang w:val="en-GB"/>
              </w:rPr>
            </w:pPr>
            <w:r w:rsidRPr="00AA629C">
              <w:rPr>
                <w:sz w:val="20"/>
                <w:szCs w:val="20"/>
                <w:lang w:val="en-GB"/>
              </w:rPr>
              <w:t>Mr</w:t>
            </w:r>
            <w:r w:rsidR="00862251" w:rsidRPr="00AA629C">
              <w:rPr>
                <w:sz w:val="20"/>
                <w:szCs w:val="20"/>
                <w:lang w:val="en-GB"/>
              </w:rPr>
              <w:t xml:space="preserve"> Adam Friederich</w:t>
            </w:r>
          </w:p>
          <w:p w14:paraId="62B391AB" w14:textId="77777777" w:rsidR="00862251" w:rsidRPr="00AA629C" w:rsidRDefault="00862251" w:rsidP="00E31CA1">
            <w:pPr>
              <w:spacing w:before="20" w:after="0" w:line="240" w:lineRule="auto"/>
              <w:rPr>
                <w:sz w:val="20"/>
                <w:szCs w:val="20"/>
                <w:lang w:val="en-GB"/>
              </w:rPr>
            </w:pPr>
          </w:p>
        </w:tc>
        <w:tc>
          <w:tcPr>
            <w:tcW w:w="4032" w:type="dxa"/>
            <w:shd w:val="clear" w:color="auto" w:fill="auto"/>
            <w:tcMar>
              <w:top w:w="6" w:type="dxa"/>
              <w:bottom w:w="6" w:type="dxa"/>
            </w:tcMar>
          </w:tcPr>
          <w:p w14:paraId="1DE84336" w14:textId="77777777" w:rsidR="00862251" w:rsidRPr="00AA629C" w:rsidRDefault="000C182E" w:rsidP="000C182E">
            <w:pPr>
              <w:pStyle w:val="Bullet-green"/>
              <w:numPr>
                <w:ilvl w:val="0"/>
                <w:numId w:val="0"/>
              </w:numPr>
              <w:spacing w:before="20" w:after="0" w:line="240" w:lineRule="auto"/>
              <w:rPr>
                <w:sz w:val="20"/>
                <w:szCs w:val="20"/>
                <w:lang w:val="en-GB"/>
              </w:rPr>
            </w:pPr>
            <w:r w:rsidRPr="00AA629C">
              <w:rPr>
                <w:sz w:val="20"/>
                <w:szCs w:val="20"/>
                <w:lang w:val="en-GB"/>
              </w:rPr>
              <w:t>Consumer R</w:t>
            </w:r>
            <w:r w:rsidR="00862251" w:rsidRPr="00AA629C">
              <w:rPr>
                <w:sz w:val="20"/>
                <w:szCs w:val="20"/>
                <w:lang w:val="en-GB"/>
              </w:rPr>
              <w:t>epresentative</w:t>
            </w:r>
            <w:r w:rsidRPr="00AA629C">
              <w:rPr>
                <w:sz w:val="20"/>
                <w:szCs w:val="20"/>
                <w:lang w:val="en-GB"/>
              </w:rPr>
              <w:t xml:space="preserve">; </w:t>
            </w:r>
            <w:r w:rsidR="00862251" w:rsidRPr="00AA629C">
              <w:rPr>
                <w:sz w:val="20"/>
                <w:szCs w:val="20"/>
                <w:lang w:val="en-GB"/>
              </w:rPr>
              <w:t>Works in Australian Public Service</w:t>
            </w:r>
            <w:r w:rsidRPr="00AA629C">
              <w:rPr>
                <w:sz w:val="20"/>
                <w:szCs w:val="20"/>
                <w:lang w:val="en-GB"/>
              </w:rPr>
              <w:t xml:space="preserve">; </w:t>
            </w:r>
            <w:r w:rsidR="00862251" w:rsidRPr="00AA629C">
              <w:rPr>
                <w:sz w:val="20"/>
                <w:szCs w:val="20"/>
                <w:lang w:val="en-GB"/>
              </w:rPr>
              <w:t>Strong interest in health consumer issues</w:t>
            </w:r>
            <w:r w:rsidRPr="00AA629C">
              <w:rPr>
                <w:sz w:val="20"/>
                <w:szCs w:val="20"/>
                <w:lang w:val="en-GB"/>
              </w:rPr>
              <w:t xml:space="preserve">; </w:t>
            </w:r>
            <w:r w:rsidR="00862251" w:rsidRPr="00AA629C">
              <w:rPr>
                <w:sz w:val="20"/>
                <w:szCs w:val="20"/>
                <w:lang w:val="en-GB"/>
              </w:rPr>
              <w:t>Served o</w:t>
            </w:r>
            <w:r w:rsidRPr="00AA629C">
              <w:rPr>
                <w:sz w:val="20"/>
                <w:szCs w:val="20"/>
                <w:lang w:val="en-GB"/>
              </w:rPr>
              <w:t>n other committees for the MBS R</w:t>
            </w:r>
            <w:r w:rsidR="00862251" w:rsidRPr="00AA629C">
              <w:rPr>
                <w:sz w:val="20"/>
                <w:szCs w:val="20"/>
                <w:lang w:val="en-GB"/>
              </w:rPr>
              <w:t>eview</w:t>
            </w:r>
          </w:p>
        </w:tc>
        <w:tc>
          <w:tcPr>
            <w:tcW w:w="2637" w:type="dxa"/>
            <w:shd w:val="clear" w:color="auto" w:fill="auto"/>
            <w:tcMar>
              <w:top w:w="6" w:type="dxa"/>
              <w:bottom w:w="6" w:type="dxa"/>
            </w:tcMar>
          </w:tcPr>
          <w:p w14:paraId="72672C48" w14:textId="77777777" w:rsidR="00862251" w:rsidRPr="00AA629C" w:rsidRDefault="00862251" w:rsidP="00A20338">
            <w:pPr>
              <w:pStyle w:val="Bullet-green"/>
              <w:numPr>
                <w:ilvl w:val="0"/>
                <w:numId w:val="0"/>
              </w:numPr>
              <w:spacing w:before="20" w:after="0" w:line="240" w:lineRule="auto"/>
              <w:ind w:left="357" w:hanging="357"/>
              <w:rPr>
                <w:rFonts w:cstheme="minorHAnsi"/>
                <w:sz w:val="20"/>
                <w:szCs w:val="20"/>
                <w:lang w:val="en-GB"/>
              </w:rPr>
            </w:pPr>
            <w:r w:rsidRPr="00AA629C">
              <w:rPr>
                <w:rFonts w:cstheme="minorHAnsi"/>
                <w:sz w:val="20"/>
                <w:szCs w:val="20"/>
                <w:lang w:val="en-GB"/>
              </w:rPr>
              <w:t>None</w:t>
            </w:r>
          </w:p>
        </w:tc>
      </w:tr>
      <w:tr w:rsidR="00862251" w:rsidRPr="00C33C0B" w14:paraId="6DA4F09C" w14:textId="77777777" w:rsidTr="00607BDA">
        <w:trPr>
          <w:trHeight w:val="1182"/>
        </w:trPr>
        <w:tc>
          <w:tcPr>
            <w:tcW w:w="1633" w:type="dxa"/>
            <w:shd w:val="clear" w:color="auto" w:fill="auto"/>
            <w:tcMar>
              <w:top w:w="6" w:type="dxa"/>
              <w:bottom w:w="6" w:type="dxa"/>
            </w:tcMar>
          </w:tcPr>
          <w:p w14:paraId="4A4A4AFF" w14:textId="77777777" w:rsidR="00862251" w:rsidRPr="00AA629C" w:rsidRDefault="00AC3C6B" w:rsidP="00E31CA1">
            <w:pPr>
              <w:spacing w:before="20" w:after="0" w:line="240" w:lineRule="auto"/>
              <w:rPr>
                <w:sz w:val="20"/>
                <w:szCs w:val="20"/>
                <w:lang w:val="en-GB"/>
              </w:rPr>
            </w:pPr>
            <w:r w:rsidRPr="00AA629C">
              <w:rPr>
                <w:sz w:val="20"/>
                <w:szCs w:val="20"/>
                <w:lang w:val="en-GB"/>
              </w:rPr>
              <w:t>Dr</w:t>
            </w:r>
            <w:r w:rsidR="00862251" w:rsidRPr="00AA629C">
              <w:rPr>
                <w:sz w:val="20"/>
                <w:szCs w:val="20"/>
                <w:lang w:val="en-GB"/>
              </w:rPr>
              <w:t xml:space="preserve"> Chris Hayes</w:t>
            </w:r>
          </w:p>
          <w:p w14:paraId="1F2C0177" w14:textId="77777777" w:rsidR="00862251" w:rsidRPr="00AA629C" w:rsidRDefault="00862251" w:rsidP="00E31CA1">
            <w:pPr>
              <w:spacing w:before="20" w:after="0" w:line="240" w:lineRule="auto"/>
              <w:rPr>
                <w:sz w:val="20"/>
                <w:szCs w:val="20"/>
                <w:lang w:val="en-GB"/>
              </w:rPr>
            </w:pPr>
          </w:p>
        </w:tc>
        <w:tc>
          <w:tcPr>
            <w:tcW w:w="4032" w:type="dxa"/>
            <w:shd w:val="clear" w:color="auto" w:fill="auto"/>
            <w:tcMar>
              <w:top w:w="6" w:type="dxa"/>
              <w:bottom w:w="6" w:type="dxa"/>
            </w:tcMar>
          </w:tcPr>
          <w:p w14:paraId="7640EA20" w14:textId="77777777" w:rsidR="00862251" w:rsidRPr="00AA629C" w:rsidRDefault="00862251" w:rsidP="00D93ED1">
            <w:pPr>
              <w:pStyle w:val="Bullet-green"/>
              <w:numPr>
                <w:ilvl w:val="0"/>
                <w:numId w:val="0"/>
              </w:numPr>
              <w:spacing w:before="20" w:after="0" w:line="240" w:lineRule="auto"/>
              <w:rPr>
                <w:sz w:val="20"/>
                <w:szCs w:val="20"/>
                <w:lang w:val="en-GB"/>
              </w:rPr>
            </w:pPr>
            <w:r w:rsidRPr="00AA629C">
              <w:rPr>
                <w:sz w:val="20"/>
                <w:szCs w:val="20"/>
                <w:lang w:val="en-GB"/>
              </w:rPr>
              <w:t>Director of Hunter Integrated Pain Se</w:t>
            </w:r>
            <w:r w:rsidR="00327A7E" w:rsidRPr="00AA629C">
              <w:rPr>
                <w:sz w:val="20"/>
                <w:szCs w:val="20"/>
                <w:lang w:val="en-GB"/>
              </w:rPr>
              <w:t>rvice based at the John Hunter H</w:t>
            </w:r>
            <w:r w:rsidRPr="00AA629C">
              <w:rPr>
                <w:sz w:val="20"/>
                <w:szCs w:val="20"/>
                <w:lang w:val="en-GB"/>
              </w:rPr>
              <w:t>ospital</w:t>
            </w:r>
            <w:r w:rsidR="00D93ED1" w:rsidRPr="00AA629C">
              <w:rPr>
                <w:sz w:val="20"/>
                <w:szCs w:val="20"/>
                <w:lang w:val="en-GB"/>
              </w:rPr>
              <w:t xml:space="preserve">; </w:t>
            </w:r>
            <w:r w:rsidRPr="00AA629C">
              <w:rPr>
                <w:color w:val="000000"/>
                <w:sz w:val="20"/>
                <w:szCs w:val="20"/>
                <w:lang w:val="en-GB"/>
              </w:rPr>
              <w:t>Immediate past Dean, Faculty of Pain Medicine Australian and New Zealand College of Anaesthetists</w:t>
            </w:r>
          </w:p>
        </w:tc>
        <w:tc>
          <w:tcPr>
            <w:tcW w:w="2637" w:type="dxa"/>
            <w:shd w:val="clear" w:color="auto" w:fill="auto"/>
            <w:tcMar>
              <w:top w:w="6" w:type="dxa"/>
              <w:bottom w:w="6" w:type="dxa"/>
            </w:tcMar>
          </w:tcPr>
          <w:p w14:paraId="3362BACC" w14:textId="77777777" w:rsidR="00862251" w:rsidRPr="00AA629C" w:rsidRDefault="00331C02" w:rsidP="00327A7E">
            <w:pPr>
              <w:pStyle w:val="Bullet-green"/>
              <w:numPr>
                <w:ilvl w:val="0"/>
                <w:numId w:val="0"/>
              </w:numPr>
              <w:spacing w:before="20" w:after="0" w:line="240" w:lineRule="auto"/>
              <w:rPr>
                <w:rFonts w:cstheme="minorHAnsi"/>
                <w:sz w:val="20"/>
                <w:szCs w:val="20"/>
                <w:lang w:val="en-GB"/>
              </w:rPr>
            </w:pPr>
            <w:r w:rsidRPr="00AA629C">
              <w:rPr>
                <w:rFonts w:cstheme="minorHAnsi"/>
                <w:sz w:val="20"/>
                <w:szCs w:val="20"/>
                <w:lang w:val="en-GB"/>
              </w:rPr>
              <w:t>Member of</w:t>
            </w:r>
            <w:r w:rsidR="00862251" w:rsidRPr="00AA629C">
              <w:rPr>
                <w:rFonts w:cstheme="minorHAnsi"/>
                <w:sz w:val="20"/>
                <w:szCs w:val="20"/>
                <w:lang w:val="en-GB"/>
              </w:rPr>
              <w:t xml:space="preserve"> the Australian Advisory Council on Medicinal Use of Cannabis (AACMC)</w:t>
            </w:r>
          </w:p>
        </w:tc>
      </w:tr>
      <w:tr w:rsidR="00862251" w:rsidRPr="00C33C0B" w14:paraId="6EEF6783" w14:textId="77777777" w:rsidTr="00E31CA1">
        <w:tc>
          <w:tcPr>
            <w:tcW w:w="1633" w:type="dxa"/>
            <w:shd w:val="clear" w:color="auto" w:fill="auto"/>
            <w:tcMar>
              <w:top w:w="6" w:type="dxa"/>
              <w:bottom w:w="6" w:type="dxa"/>
            </w:tcMar>
          </w:tcPr>
          <w:p w14:paraId="6BAF7BF8" w14:textId="77777777" w:rsidR="00862251" w:rsidRPr="00AA629C" w:rsidRDefault="00862251" w:rsidP="00E31CA1">
            <w:pPr>
              <w:spacing w:before="20" w:after="0" w:line="240" w:lineRule="auto"/>
              <w:rPr>
                <w:sz w:val="20"/>
                <w:szCs w:val="20"/>
                <w:lang w:val="en-GB"/>
              </w:rPr>
            </w:pPr>
            <w:r w:rsidRPr="00AA629C">
              <w:rPr>
                <w:sz w:val="20"/>
                <w:szCs w:val="20"/>
                <w:lang w:val="en-GB"/>
              </w:rPr>
              <w:t xml:space="preserve">Ms Debra Kay </w:t>
            </w:r>
          </w:p>
          <w:p w14:paraId="4633B721" w14:textId="77777777" w:rsidR="00862251" w:rsidRPr="00AA629C" w:rsidRDefault="00862251" w:rsidP="00E31CA1">
            <w:pPr>
              <w:spacing w:before="20" w:after="0" w:line="240" w:lineRule="auto"/>
              <w:rPr>
                <w:sz w:val="20"/>
                <w:szCs w:val="20"/>
                <w:lang w:val="en-GB"/>
              </w:rPr>
            </w:pPr>
          </w:p>
        </w:tc>
        <w:tc>
          <w:tcPr>
            <w:tcW w:w="4032" w:type="dxa"/>
            <w:shd w:val="clear" w:color="auto" w:fill="auto"/>
            <w:tcMar>
              <w:top w:w="6" w:type="dxa"/>
              <w:bottom w:w="6" w:type="dxa"/>
            </w:tcMar>
          </w:tcPr>
          <w:p w14:paraId="49054554" w14:textId="77777777" w:rsidR="00862251" w:rsidRPr="00AA629C" w:rsidRDefault="00F6065B" w:rsidP="00F6065B">
            <w:pPr>
              <w:pStyle w:val="Bullet-green"/>
              <w:numPr>
                <w:ilvl w:val="0"/>
                <w:numId w:val="0"/>
              </w:numPr>
              <w:spacing w:before="20" w:after="0" w:line="240" w:lineRule="auto"/>
              <w:rPr>
                <w:sz w:val="20"/>
                <w:szCs w:val="20"/>
                <w:lang w:val="en-GB"/>
              </w:rPr>
            </w:pPr>
            <w:r w:rsidRPr="00AA629C">
              <w:rPr>
                <w:sz w:val="20"/>
                <w:szCs w:val="20"/>
                <w:lang w:val="en-GB"/>
              </w:rPr>
              <w:t>Consumer M</w:t>
            </w:r>
            <w:r w:rsidR="00862251" w:rsidRPr="00AA629C">
              <w:rPr>
                <w:sz w:val="20"/>
                <w:szCs w:val="20"/>
                <w:lang w:val="en-GB"/>
              </w:rPr>
              <w:t>ember, Medical Services Advisory Committee (MSAC) and Health Technology Assessment Consumer Consultative Committee (CCC)</w:t>
            </w:r>
            <w:r w:rsidRPr="00AA629C">
              <w:rPr>
                <w:sz w:val="20"/>
                <w:szCs w:val="20"/>
                <w:lang w:val="en-GB"/>
              </w:rPr>
              <w:t xml:space="preserve">; </w:t>
            </w:r>
            <w:r w:rsidR="00862251" w:rsidRPr="00AA629C">
              <w:rPr>
                <w:sz w:val="20"/>
                <w:szCs w:val="20"/>
                <w:lang w:val="en-GB"/>
              </w:rPr>
              <w:t>Chair</w:t>
            </w:r>
            <w:r w:rsidRPr="00AA629C">
              <w:rPr>
                <w:sz w:val="20"/>
                <w:szCs w:val="20"/>
                <w:lang w:val="en-GB"/>
              </w:rPr>
              <w:t>,</w:t>
            </w:r>
            <w:r w:rsidR="00862251" w:rsidRPr="00AA629C">
              <w:rPr>
                <w:sz w:val="20"/>
                <w:szCs w:val="20"/>
                <w:lang w:val="en-GB"/>
              </w:rPr>
              <w:t xml:space="preserve"> MBS Review Consumer Panel</w:t>
            </w:r>
            <w:r w:rsidRPr="00AA629C">
              <w:rPr>
                <w:sz w:val="20"/>
                <w:szCs w:val="20"/>
                <w:lang w:val="en-GB"/>
              </w:rPr>
              <w:t>; Member of</w:t>
            </w:r>
            <w:r w:rsidR="00A16D59" w:rsidRPr="00AA629C">
              <w:rPr>
                <w:sz w:val="20"/>
                <w:szCs w:val="20"/>
                <w:lang w:val="en-GB"/>
              </w:rPr>
              <w:t xml:space="preserve"> the </w:t>
            </w:r>
            <w:r w:rsidR="00862251" w:rsidRPr="00AA629C">
              <w:rPr>
                <w:sz w:val="20"/>
                <w:szCs w:val="20"/>
                <w:lang w:val="en-GB"/>
              </w:rPr>
              <w:t>MBS Review Principles and Rules Committee</w:t>
            </w:r>
          </w:p>
        </w:tc>
        <w:tc>
          <w:tcPr>
            <w:tcW w:w="2637" w:type="dxa"/>
            <w:shd w:val="clear" w:color="auto" w:fill="auto"/>
            <w:tcMar>
              <w:top w:w="6" w:type="dxa"/>
              <w:bottom w:w="6" w:type="dxa"/>
            </w:tcMar>
          </w:tcPr>
          <w:p w14:paraId="6A418746" w14:textId="77777777" w:rsidR="00862251" w:rsidRPr="00AA629C" w:rsidRDefault="00862251" w:rsidP="00690FC3">
            <w:pPr>
              <w:pStyle w:val="Bullet-green"/>
              <w:numPr>
                <w:ilvl w:val="0"/>
                <w:numId w:val="0"/>
              </w:numPr>
              <w:spacing w:before="20" w:after="0" w:line="240" w:lineRule="auto"/>
              <w:ind w:left="357" w:hanging="357"/>
              <w:rPr>
                <w:sz w:val="20"/>
                <w:szCs w:val="20"/>
                <w:lang w:val="en-GB"/>
              </w:rPr>
            </w:pPr>
            <w:r w:rsidRPr="00AA629C">
              <w:rPr>
                <w:sz w:val="20"/>
                <w:szCs w:val="20"/>
                <w:lang w:val="en-GB"/>
              </w:rPr>
              <w:t>None</w:t>
            </w:r>
          </w:p>
        </w:tc>
      </w:tr>
      <w:tr w:rsidR="00862251" w:rsidRPr="00C33C0B" w14:paraId="674A3018" w14:textId="77777777" w:rsidTr="00E31CA1">
        <w:tc>
          <w:tcPr>
            <w:tcW w:w="1633" w:type="dxa"/>
            <w:shd w:val="clear" w:color="auto" w:fill="auto"/>
            <w:tcMar>
              <w:top w:w="6" w:type="dxa"/>
              <w:bottom w:w="6" w:type="dxa"/>
            </w:tcMar>
          </w:tcPr>
          <w:p w14:paraId="7162F9AF" w14:textId="77777777" w:rsidR="00862251" w:rsidRPr="00AA629C" w:rsidRDefault="00AC3C6B" w:rsidP="00E31CA1">
            <w:pPr>
              <w:spacing w:before="20" w:after="0" w:line="240" w:lineRule="auto"/>
              <w:rPr>
                <w:sz w:val="20"/>
                <w:szCs w:val="20"/>
                <w:lang w:val="en-GB"/>
              </w:rPr>
            </w:pPr>
            <w:r w:rsidRPr="00AA629C">
              <w:rPr>
                <w:sz w:val="20"/>
                <w:szCs w:val="20"/>
                <w:lang w:val="en-GB"/>
              </w:rPr>
              <w:t>Dr</w:t>
            </w:r>
            <w:r w:rsidR="00862251" w:rsidRPr="00AA629C">
              <w:rPr>
                <w:sz w:val="20"/>
                <w:szCs w:val="20"/>
                <w:lang w:val="en-GB"/>
              </w:rPr>
              <w:t xml:space="preserve"> John North</w:t>
            </w:r>
          </w:p>
        </w:tc>
        <w:tc>
          <w:tcPr>
            <w:tcW w:w="4032" w:type="dxa"/>
            <w:shd w:val="clear" w:color="auto" w:fill="auto"/>
            <w:tcMar>
              <w:top w:w="6" w:type="dxa"/>
              <w:bottom w:w="6" w:type="dxa"/>
            </w:tcMar>
          </w:tcPr>
          <w:p w14:paraId="7D119A65" w14:textId="77777777" w:rsidR="00862251" w:rsidRPr="00AA629C" w:rsidRDefault="00690FC3" w:rsidP="00690FC3">
            <w:pPr>
              <w:pStyle w:val="Bullet-green"/>
              <w:numPr>
                <w:ilvl w:val="0"/>
                <w:numId w:val="0"/>
              </w:numPr>
              <w:spacing w:before="20" w:after="0" w:line="240" w:lineRule="auto"/>
              <w:rPr>
                <w:sz w:val="20"/>
                <w:szCs w:val="20"/>
                <w:lang w:val="en-GB"/>
              </w:rPr>
            </w:pPr>
            <w:r w:rsidRPr="00AA629C">
              <w:rPr>
                <w:sz w:val="20"/>
                <w:szCs w:val="20"/>
                <w:lang w:val="en-GB"/>
              </w:rPr>
              <w:t>Senior Visiting Orthopaedic S</w:t>
            </w:r>
            <w:r w:rsidR="00862251" w:rsidRPr="00AA629C">
              <w:rPr>
                <w:sz w:val="20"/>
                <w:szCs w:val="20"/>
                <w:lang w:val="en-GB"/>
              </w:rPr>
              <w:t>urgeon</w:t>
            </w:r>
            <w:r w:rsidRPr="00AA629C">
              <w:rPr>
                <w:sz w:val="20"/>
                <w:szCs w:val="20"/>
                <w:lang w:val="en-GB"/>
              </w:rPr>
              <w:t>;</w:t>
            </w:r>
            <w:r w:rsidR="00862251" w:rsidRPr="00AA629C">
              <w:rPr>
                <w:sz w:val="20"/>
                <w:szCs w:val="20"/>
                <w:lang w:val="en-GB"/>
              </w:rPr>
              <w:t xml:space="preserve"> Princess Alexandra Hospital</w:t>
            </w:r>
            <w:r w:rsidRPr="00AA629C">
              <w:rPr>
                <w:sz w:val="20"/>
                <w:szCs w:val="20"/>
                <w:lang w:val="en-GB"/>
              </w:rPr>
              <w:t>,</w:t>
            </w:r>
            <w:r w:rsidR="00862251" w:rsidRPr="00AA629C">
              <w:rPr>
                <w:sz w:val="20"/>
                <w:szCs w:val="20"/>
                <w:lang w:val="en-GB"/>
              </w:rPr>
              <w:t xml:space="preserve"> Brisbane</w:t>
            </w:r>
            <w:r w:rsidRPr="00AA629C">
              <w:rPr>
                <w:sz w:val="20"/>
                <w:szCs w:val="20"/>
                <w:lang w:val="en-GB"/>
              </w:rPr>
              <w:t>;</w:t>
            </w:r>
            <w:r w:rsidR="00862251" w:rsidRPr="00AA629C">
              <w:rPr>
                <w:sz w:val="20"/>
                <w:szCs w:val="20"/>
                <w:lang w:val="en-GB"/>
              </w:rPr>
              <w:t xml:space="preserve"> </w:t>
            </w:r>
            <w:r w:rsidRPr="00AA629C">
              <w:rPr>
                <w:sz w:val="20"/>
                <w:szCs w:val="20"/>
                <w:lang w:val="en-GB"/>
              </w:rPr>
              <w:t>Senior Visiting Orthopaedic S</w:t>
            </w:r>
            <w:r w:rsidR="00862251" w:rsidRPr="00AA629C">
              <w:rPr>
                <w:sz w:val="20"/>
                <w:szCs w:val="20"/>
                <w:lang w:val="en-GB"/>
              </w:rPr>
              <w:t>urgeon (Telehealth)</w:t>
            </w:r>
            <w:r w:rsidRPr="00AA629C">
              <w:rPr>
                <w:sz w:val="20"/>
                <w:szCs w:val="20"/>
                <w:lang w:val="en-GB"/>
              </w:rPr>
              <w:t>,</w:t>
            </w:r>
            <w:r w:rsidR="00862251" w:rsidRPr="00AA629C">
              <w:rPr>
                <w:sz w:val="20"/>
                <w:szCs w:val="20"/>
                <w:lang w:val="en-GB"/>
              </w:rPr>
              <w:t xml:space="preserve"> Mt Isa Hospital and NWHHS</w:t>
            </w:r>
            <w:r w:rsidRPr="00AA629C">
              <w:rPr>
                <w:sz w:val="20"/>
                <w:szCs w:val="20"/>
                <w:lang w:val="en-GB"/>
              </w:rPr>
              <w:t xml:space="preserve">; </w:t>
            </w:r>
            <w:r w:rsidR="00862251" w:rsidRPr="00AA629C">
              <w:rPr>
                <w:sz w:val="20"/>
                <w:szCs w:val="20"/>
                <w:lang w:val="en-GB"/>
              </w:rPr>
              <w:t>Chair of the MBS Review Orthopaedic Committee</w:t>
            </w:r>
          </w:p>
        </w:tc>
        <w:tc>
          <w:tcPr>
            <w:tcW w:w="2637" w:type="dxa"/>
            <w:shd w:val="clear" w:color="auto" w:fill="auto"/>
            <w:tcMar>
              <w:top w:w="6" w:type="dxa"/>
              <w:bottom w:w="6" w:type="dxa"/>
            </w:tcMar>
          </w:tcPr>
          <w:p w14:paraId="275CFD38" w14:textId="77777777" w:rsidR="00862251" w:rsidRPr="00AA629C" w:rsidRDefault="00862251" w:rsidP="00930194">
            <w:pPr>
              <w:pStyle w:val="Bullet-green"/>
              <w:numPr>
                <w:ilvl w:val="0"/>
                <w:numId w:val="0"/>
              </w:numPr>
              <w:spacing w:before="20" w:after="0" w:line="240" w:lineRule="auto"/>
              <w:rPr>
                <w:rFonts w:cstheme="minorHAnsi"/>
                <w:sz w:val="20"/>
                <w:szCs w:val="20"/>
                <w:lang w:val="en-GB"/>
              </w:rPr>
            </w:pPr>
            <w:r w:rsidRPr="00AA629C">
              <w:rPr>
                <w:rFonts w:cstheme="minorHAnsi"/>
                <w:sz w:val="20"/>
                <w:szCs w:val="20"/>
                <w:lang w:val="en-GB"/>
              </w:rPr>
              <w:t>Panel member for the Australian Health Practitioner Regulation Agency (AHPRA)</w:t>
            </w:r>
          </w:p>
          <w:p w14:paraId="356B0FCE" w14:textId="77777777" w:rsidR="00862251" w:rsidRPr="00AA629C" w:rsidRDefault="00862251" w:rsidP="00E31CA1">
            <w:pPr>
              <w:pStyle w:val="Bullet-green"/>
              <w:numPr>
                <w:ilvl w:val="0"/>
                <w:numId w:val="0"/>
              </w:numPr>
              <w:spacing w:before="20" w:after="0" w:line="240" w:lineRule="auto"/>
              <w:rPr>
                <w:rFonts w:cstheme="minorHAnsi"/>
                <w:sz w:val="20"/>
                <w:szCs w:val="20"/>
                <w:lang w:val="en-GB"/>
              </w:rPr>
            </w:pPr>
          </w:p>
        </w:tc>
      </w:tr>
      <w:tr w:rsidR="00862251" w:rsidRPr="00C33C0B" w14:paraId="56A634B5" w14:textId="77777777" w:rsidTr="00E31CA1">
        <w:tc>
          <w:tcPr>
            <w:tcW w:w="1633" w:type="dxa"/>
            <w:shd w:val="clear" w:color="auto" w:fill="auto"/>
            <w:tcMar>
              <w:top w:w="6" w:type="dxa"/>
              <w:bottom w:w="6" w:type="dxa"/>
            </w:tcMar>
          </w:tcPr>
          <w:p w14:paraId="2423F5E4" w14:textId="77777777" w:rsidR="00862251" w:rsidRPr="00AA629C" w:rsidRDefault="00862251" w:rsidP="00E31CA1">
            <w:pPr>
              <w:spacing w:before="20" w:after="0" w:line="240" w:lineRule="auto"/>
              <w:rPr>
                <w:sz w:val="20"/>
                <w:szCs w:val="20"/>
                <w:lang w:val="en-GB"/>
              </w:rPr>
            </w:pPr>
            <w:r w:rsidRPr="00AA629C">
              <w:rPr>
                <w:sz w:val="20"/>
                <w:szCs w:val="20"/>
                <w:lang w:val="en-GB"/>
              </w:rPr>
              <w:t xml:space="preserve">Prof. Graeme Samuel </w:t>
            </w:r>
          </w:p>
        </w:tc>
        <w:tc>
          <w:tcPr>
            <w:tcW w:w="4032" w:type="dxa"/>
            <w:shd w:val="clear" w:color="auto" w:fill="auto"/>
            <w:tcMar>
              <w:top w:w="6" w:type="dxa"/>
              <w:bottom w:w="6" w:type="dxa"/>
            </w:tcMar>
          </w:tcPr>
          <w:p w14:paraId="129CF842" w14:textId="77777777" w:rsidR="00862251" w:rsidRPr="00AA629C" w:rsidRDefault="00862251" w:rsidP="00BD7FBD">
            <w:pPr>
              <w:pStyle w:val="Bullet-green"/>
              <w:numPr>
                <w:ilvl w:val="0"/>
                <w:numId w:val="0"/>
              </w:numPr>
              <w:spacing w:before="20" w:after="0" w:line="240" w:lineRule="auto"/>
              <w:rPr>
                <w:sz w:val="20"/>
                <w:szCs w:val="20"/>
                <w:lang w:val="en-GB"/>
              </w:rPr>
            </w:pPr>
            <w:r w:rsidRPr="00AA629C">
              <w:rPr>
                <w:sz w:val="20"/>
                <w:szCs w:val="20"/>
                <w:lang w:val="en-GB"/>
              </w:rPr>
              <w:t>Professional Fellow in Monash University’s Business School and School of Public Health and Preventative Medicine</w:t>
            </w:r>
            <w:r w:rsidR="00BD7FBD" w:rsidRPr="00AA629C">
              <w:rPr>
                <w:sz w:val="20"/>
                <w:szCs w:val="20"/>
                <w:lang w:val="en-GB"/>
              </w:rPr>
              <w:t xml:space="preserve">; </w:t>
            </w:r>
            <w:r w:rsidRPr="00AA629C">
              <w:rPr>
                <w:sz w:val="20"/>
                <w:szCs w:val="20"/>
                <w:lang w:val="en-GB"/>
              </w:rPr>
              <w:t>Non-clinician</w:t>
            </w:r>
          </w:p>
        </w:tc>
        <w:tc>
          <w:tcPr>
            <w:tcW w:w="2637" w:type="dxa"/>
            <w:shd w:val="clear" w:color="auto" w:fill="auto"/>
            <w:tcMar>
              <w:top w:w="6" w:type="dxa"/>
              <w:bottom w:w="6" w:type="dxa"/>
            </w:tcMar>
          </w:tcPr>
          <w:p w14:paraId="2AECB9F2" w14:textId="77777777" w:rsidR="00862251" w:rsidRPr="00AA629C" w:rsidRDefault="00103D46" w:rsidP="00C035DF">
            <w:pPr>
              <w:pStyle w:val="Bullet-green"/>
              <w:numPr>
                <w:ilvl w:val="0"/>
                <w:numId w:val="0"/>
              </w:numPr>
              <w:spacing w:before="20" w:after="0" w:line="240" w:lineRule="auto"/>
              <w:rPr>
                <w:sz w:val="20"/>
                <w:szCs w:val="20"/>
                <w:lang w:val="en-GB"/>
              </w:rPr>
            </w:pPr>
            <w:r>
              <w:rPr>
                <w:sz w:val="20"/>
                <w:szCs w:val="20"/>
                <w:lang w:val="en-GB"/>
              </w:rPr>
              <w:t>Member of the sub-committee on Specialist out-of-pocket fees; Chair of South East Melbourne Primary Health Network; Chair of Dementia Australia; Director and Minority Shareholder of Mupharma Pty Ltd; Chair of Lorica Health Pty Ltd.</w:t>
            </w:r>
          </w:p>
        </w:tc>
      </w:tr>
      <w:tr w:rsidR="00862251" w:rsidRPr="00C33C0B" w14:paraId="38182A5F" w14:textId="77777777" w:rsidTr="00E31CA1">
        <w:tc>
          <w:tcPr>
            <w:tcW w:w="1633" w:type="dxa"/>
            <w:shd w:val="clear" w:color="auto" w:fill="auto"/>
            <w:tcMar>
              <w:top w:w="6" w:type="dxa"/>
              <w:bottom w:w="6" w:type="dxa"/>
            </w:tcMar>
          </w:tcPr>
          <w:p w14:paraId="4140DBA5" w14:textId="77777777" w:rsidR="00862251" w:rsidRPr="00AA629C" w:rsidRDefault="00862251" w:rsidP="00E31CA1">
            <w:pPr>
              <w:spacing w:before="20" w:after="0" w:line="240" w:lineRule="auto"/>
              <w:rPr>
                <w:sz w:val="20"/>
                <w:szCs w:val="20"/>
                <w:lang w:val="en-GB"/>
              </w:rPr>
            </w:pPr>
            <w:r w:rsidRPr="00AA629C">
              <w:rPr>
                <w:sz w:val="20"/>
                <w:szCs w:val="20"/>
                <w:lang w:val="en-GB"/>
              </w:rPr>
              <w:t>Prof. David Story</w:t>
            </w:r>
          </w:p>
        </w:tc>
        <w:tc>
          <w:tcPr>
            <w:tcW w:w="4032" w:type="dxa"/>
            <w:shd w:val="clear" w:color="auto" w:fill="auto"/>
            <w:tcMar>
              <w:top w:w="6" w:type="dxa"/>
              <w:bottom w:w="6" w:type="dxa"/>
            </w:tcMar>
          </w:tcPr>
          <w:p w14:paraId="70372540" w14:textId="77777777" w:rsidR="00862251" w:rsidRPr="00AA629C" w:rsidRDefault="00862251" w:rsidP="007F75DB">
            <w:pPr>
              <w:pStyle w:val="Bullet-green"/>
              <w:numPr>
                <w:ilvl w:val="0"/>
                <w:numId w:val="0"/>
              </w:numPr>
              <w:spacing w:before="20" w:after="0" w:line="240" w:lineRule="auto"/>
              <w:rPr>
                <w:sz w:val="20"/>
                <w:szCs w:val="20"/>
                <w:lang w:val="en-GB"/>
              </w:rPr>
            </w:pPr>
            <w:r w:rsidRPr="00AA629C">
              <w:rPr>
                <w:sz w:val="20"/>
                <w:szCs w:val="20"/>
                <w:lang w:val="en-GB"/>
              </w:rPr>
              <w:t>Professor and Chair of Anaesthesia, University of Melbourne</w:t>
            </w:r>
            <w:r w:rsidR="00B27AC3" w:rsidRPr="00AA629C">
              <w:rPr>
                <w:sz w:val="20"/>
                <w:szCs w:val="20"/>
                <w:lang w:val="en-GB"/>
              </w:rPr>
              <w:t xml:space="preserve">; </w:t>
            </w:r>
            <w:r w:rsidRPr="00AA629C">
              <w:rPr>
                <w:sz w:val="20"/>
                <w:szCs w:val="20"/>
                <w:lang w:val="en-GB"/>
              </w:rPr>
              <w:t>Staff Anaesthetist</w:t>
            </w:r>
            <w:r w:rsidR="00B27AC3" w:rsidRPr="00AA629C">
              <w:rPr>
                <w:sz w:val="20"/>
                <w:szCs w:val="20"/>
                <w:lang w:val="en-GB"/>
              </w:rPr>
              <w:t>,</w:t>
            </w:r>
            <w:r w:rsidRPr="00AA629C">
              <w:rPr>
                <w:sz w:val="20"/>
                <w:szCs w:val="20"/>
                <w:lang w:val="en-GB"/>
              </w:rPr>
              <w:t xml:space="preserve"> Austin Hospital, Melbourne</w:t>
            </w:r>
            <w:r w:rsidR="00B27AC3" w:rsidRPr="00AA629C">
              <w:rPr>
                <w:sz w:val="20"/>
                <w:szCs w:val="20"/>
                <w:lang w:val="en-GB"/>
              </w:rPr>
              <w:t>; Part of the MBS R</w:t>
            </w:r>
            <w:r w:rsidRPr="00AA629C">
              <w:rPr>
                <w:sz w:val="20"/>
                <w:szCs w:val="20"/>
                <w:lang w:val="en-GB"/>
              </w:rPr>
              <w:t>eview for Urology</w:t>
            </w:r>
          </w:p>
        </w:tc>
        <w:tc>
          <w:tcPr>
            <w:tcW w:w="2637" w:type="dxa"/>
            <w:shd w:val="clear" w:color="auto" w:fill="auto"/>
            <w:tcMar>
              <w:top w:w="6" w:type="dxa"/>
              <w:bottom w:w="6" w:type="dxa"/>
            </w:tcMar>
          </w:tcPr>
          <w:p w14:paraId="0E9D0010" w14:textId="77777777" w:rsidR="00862251" w:rsidRPr="00AA629C" w:rsidRDefault="00862251" w:rsidP="007F75DB">
            <w:pPr>
              <w:pStyle w:val="Bullet-green"/>
              <w:numPr>
                <w:ilvl w:val="0"/>
                <w:numId w:val="0"/>
              </w:numPr>
              <w:spacing w:before="20" w:after="0" w:line="240" w:lineRule="auto"/>
              <w:ind w:left="357" w:hanging="357"/>
              <w:rPr>
                <w:sz w:val="20"/>
                <w:szCs w:val="20"/>
                <w:lang w:val="en-GB"/>
              </w:rPr>
            </w:pPr>
            <w:r w:rsidRPr="00AA629C">
              <w:rPr>
                <w:sz w:val="20"/>
                <w:szCs w:val="20"/>
                <w:lang w:val="en-GB"/>
              </w:rPr>
              <w:t>None</w:t>
            </w:r>
          </w:p>
        </w:tc>
      </w:tr>
      <w:tr w:rsidR="003367BD" w:rsidRPr="00C33C0B" w14:paraId="43AD8A3E" w14:textId="77777777" w:rsidTr="00E31CA1">
        <w:tc>
          <w:tcPr>
            <w:tcW w:w="1633" w:type="dxa"/>
            <w:shd w:val="clear" w:color="auto" w:fill="auto"/>
            <w:tcMar>
              <w:top w:w="6" w:type="dxa"/>
              <w:bottom w:w="6" w:type="dxa"/>
            </w:tcMar>
          </w:tcPr>
          <w:p w14:paraId="121E6012" w14:textId="77777777" w:rsidR="003367BD" w:rsidRPr="00AA629C" w:rsidRDefault="003367BD" w:rsidP="00E31CA1">
            <w:pPr>
              <w:spacing w:before="20" w:after="0" w:line="240" w:lineRule="auto"/>
              <w:rPr>
                <w:sz w:val="20"/>
                <w:szCs w:val="20"/>
                <w:lang w:val="en-GB"/>
              </w:rPr>
            </w:pPr>
            <w:r w:rsidRPr="00AA629C">
              <w:rPr>
                <w:sz w:val="20"/>
                <w:szCs w:val="20"/>
                <w:lang w:val="en-GB"/>
              </w:rPr>
              <w:t>Prof. Nick Talley (Ex-Officio)</w:t>
            </w:r>
          </w:p>
        </w:tc>
        <w:tc>
          <w:tcPr>
            <w:tcW w:w="4032" w:type="dxa"/>
            <w:shd w:val="clear" w:color="auto" w:fill="auto"/>
            <w:tcMar>
              <w:top w:w="6" w:type="dxa"/>
              <w:bottom w:w="6" w:type="dxa"/>
            </w:tcMar>
          </w:tcPr>
          <w:p w14:paraId="3258590C" w14:textId="77777777" w:rsidR="003367BD" w:rsidRPr="00AA629C" w:rsidRDefault="003367BD" w:rsidP="00AA629C">
            <w:pPr>
              <w:pStyle w:val="Bullet-green"/>
              <w:numPr>
                <w:ilvl w:val="0"/>
                <w:numId w:val="0"/>
              </w:numPr>
              <w:spacing w:before="20" w:after="0" w:line="240" w:lineRule="auto"/>
              <w:rPr>
                <w:sz w:val="20"/>
                <w:szCs w:val="20"/>
                <w:lang w:val="en-GB"/>
              </w:rPr>
            </w:pPr>
            <w:r w:rsidRPr="00AA629C">
              <w:rPr>
                <w:sz w:val="20"/>
                <w:szCs w:val="20"/>
                <w:lang w:val="en-GB"/>
              </w:rPr>
              <w:t>Senior Specialist Gastroenterologist at the John Hunter</w:t>
            </w:r>
          </w:p>
        </w:tc>
        <w:tc>
          <w:tcPr>
            <w:tcW w:w="2637" w:type="dxa"/>
            <w:shd w:val="clear" w:color="auto" w:fill="auto"/>
            <w:tcMar>
              <w:top w:w="6" w:type="dxa"/>
              <w:bottom w:w="6" w:type="dxa"/>
            </w:tcMar>
          </w:tcPr>
          <w:p w14:paraId="025CF848" w14:textId="77777777" w:rsidR="003367BD" w:rsidRPr="00AA629C" w:rsidRDefault="003367BD" w:rsidP="00307DF1">
            <w:pPr>
              <w:pStyle w:val="Bullet-green"/>
              <w:numPr>
                <w:ilvl w:val="0"/>
                <w:numId w:val="0"/>
              </w:numPr>
              <w:spacing w:before="20" w:after="0" w:line="240" w:lineRule="auto"/>
              <w:rPr>
                <w:rFonts w:cstheme="minorHAnsi"/>
                <w:sz w:val="20"/>
                <w:szCs w:val="20"/>
                <w:lang w:val="en-GB"/>
              </w:rPr>
            </w:pPr>
            <w:r w:rsidRPr="008D50DA">
              <w:rPr>
                <w:rFonts w:cstheme="minorHAnsi"/>
                <w:sz w:val="20"/>
                <w:szCs w:val="20"/>
                <w:lang w:val="en-GB"/>
              </w:rPr>
              <w:t xml:space="preserve">MBS Taskforce; </w:t>
            </w:r>
            <w:r w:rsidR="00307DF1">
              <w:rPr>
                <w:rFonts w:cstheme="minorHAnsi"/>
                <w:sz w:val="20"/>
                <w:szCs w:val="20"/>
                <w:lang w:val="en-GB"/>
              </w:rPr>
              <w:t>The Medical Journal of Australia (</w:t>
            </w:r>
            <w:r w:rsidRPr="008D50DA">
              <w:rPr>
                <w:rFonts w:cstheme="minorHAnsi"/>
                <w:sz w:val="20"/>
                <w:szCs w:val="20"/>
                <w:lang w:val="en-GB"/>
              </w:rPr>
              <w:t>MJA</w:t>
            </w:r>
            <w:r w:rsidR="00307DF1">
              <w:rPr>
                <w:rFonts w:cstheme="minorHAnsi"/>
                <w:sz w:val="20"/>
                <w:szCs w:val="20"/>
                <w:lang w:val="en-GB"/>
              </w:rPr>
              <w:t>)</w:t>
            </w:r>
            <w:r w:rsidRPr="008D50DA">
              <w:rPr>
                <w:rFonts w:cstheme="minorHAnsi"/>
                <w:sz w:val="20"/>
                <w:szCs w:val="20"/>
                <w:lang w:val="en-GB"/>
              </w:rPr>
              <w:t xml:space="preserve"> Editor;</w:t>
            </w:r>
            <w:r w:rsidR="00307DF1">
              <w:rPr>
                <w:rFonts w:cstheme="minorHAnsi"/>
                <w:sz w:val="20"/>
                <w:szCs w:val="20"/>
                <w:lang w:val="en-GB"/>
              </w:rPr>
              <w:t xml:space="preserve"> Gastroenterological Society of </w:t>
            </w:r>
            <w:r w:rsidR="00307DF1" w:rsidRPr="00307DF1">
              <w:rPr>
                <w:rFonts w:cstheme="minorHAnsi"/>
                <w:sz w:val="20"/>
                <w:szCs w:val="20"/>
                <w:lang w:val="en-GB"/>
              </w:rPr>
              <w:t>Australia (GESA)</w:t>
            </w:r>
            <w:r w:rsidR="00307DF1">
              <w:rPr>
                <w:rFonts w:cstheme="minorHAnsi"/>
                <w:sz w:val="20"/>
                <w:szCs w:val="20"/>
                <w:lang w:val="en-GB"/>
              </w:rPr>
              <w:t xml:space="preserve"> </w:t>
            </w:r>
            <w:r w:rsidRPr="008D50DA">
              <w:rPr>
                <w:rFonts w:cstheme="minorHAnsi"/>
                <w:sz w:val="20"/>
                <w:szCs w:val="20"/>
                <w:lang w:val="en-GB"/>
              </w:rPr>
              <w:t>Board Member</w:t>
            </w:r>
          </w:p>
        </w:tc>
      </w:tr>
      <w:tr w:rsidR="00862251" w:rsidRPr="00C33C0B" w14:paraId="3C70C261" w14:textId="77777777" w:rsidTr="00607BDA">
        <w:trPr>
          <w:trHeight w:val="351"/>
        </w:trPr>
        <w:tc>
          <w:tcPr>
            <w:tcW w:w="1633" w:type="dxa"/>
            <w:shd w:val="clear" w:color="auto" w:fill="auto"/>
            <w:tcMar>
              <w:top w:w="6" w:type="dxa"/>
              <w:bottom w:w="6" w:type="dxa"/>
            </w:tcMar>
          </w:tcPr>
          <w:p w14:paraId="739D4D2E" w14:textId="77777777" w:rsidR="00862251" w:rsidRPr="00AA629C" w:rsidRDefault="007046FD" w:rsidP="00E31CA1">
            <w:pPr>
              <w:spacing w:before="20" w:after="0" w:line="240" w:lineRule="auto"/>
              <w:rPr>
                <w:sz w:val="20"/>
                <w:szCs w:val="20"/>
                <w:lang w:val="en-GB"/>
              </w:rPr>
            </w:pPr>
            <w:r w:rsidRPr="00AA629C">
              <w:rPr>
                <w:sz w:val="20"/>
                <w:szCs w:val="20"/>
                <w:lang w:val="en-GB"/>
              </w:rPr>
              <w:t>Dr</w:t>
            </w:r>
            <w:r w:rsidR="00862251" w:rsidRPr="00AA629C">
              <w:rPr>
                <w:sz w:val="20"/>
                <w:szCs w:val="20"/>
                <w:lang w:val="en-GB"/>
              </w:rPr>
              <w:t xml:space="preserve"> Julie Thompson</w:t>
            </w:r>
          </w:p>
        </w:tc>
        <w:tc>
          <w:tcPr>
            <w:tcW w:w="4032" w:type="dxa"/>
            <w:shd w:val="clear" w:color="auto" w:fill="auto"/>
            <w:tcMar>
              <w:top w:w="6" w:type="dxa"/>
              <w:bottom w:w="6" w:type="dxa"/>
            </w:tcMar>
          </w:tcPr>
          <w:p w14:paraId="74A6DAB0" w14:textId="77777777" w:rsidR="00862251" w:rsidRPr="00AA629C" w:rsidRDefault="00862251" w:rsidP="00B15F3A">
            <w:pPr>
              <w:pStyle w:val="Bullet-green"/>
              <w:numPr>
                <w:ilvl w:val="0"/>
                <w:numId w:val="0"/>
              </w:numPr>
              <w:spacing w:before="20" w:after="0" w:line="240" w:lineRule="auto"/>
              <w:ind w:left="357" w:hanging="357"/>
              <w:rPr>
                <w:sz w:val="20"/>
                <w:szCs w:val="20"/>
                <w:lang w:val="en-GB"/>
              </w:rPr>
            </w:pPr>
            <w:r w:rsidRPr="00AA629C">
              <w:rPr>
                <w:sz w:val="20"/>
                <w:szCs w:val="20"/>
                <w:lang w:val="en-GB"/>
              </w:rPr>
              <w:t>General Practitioner in Victoria</w:t>
            </w:r>
          </w:p>
        </w:tc>
        <w:tc>
          <w:tcPr>
            <w:tcW w:w="2637" w:type="dxa"/>
            <w:shd w:val="clear" w:color="auto" w:fill="auto"/>
            <w:tcMar>
              <w:top w:w="6" w:type="dxa"/>
              <w:bottom w:w="6" w:type="dxa"/>
            </w:tcMar>
          </w:tcPr>
          <w:p w14:paraId="4020913E" w14:textId="77777777" w:rsidR="00862251" w:rsidRPr="00AA629C" w:rsidRDefault="00862251" w:rsidP="00146A89">
            <w:pPr>
              <w:pStyle w:val="Bullet-green"/>
              <w:numPr>
                <w:ilvl w:val="0"/>
                <w:numId w:val="0"/>
              </w:numPr>
              <w:spacing w:before="20" w:after="0" w:line="240" w:lineRule="auto"/>
              <w:ind w:left="357" w:hanging="357"/>
              <w:rPr>
                <w:rFonts w:cstheme="minorHAnsi"/>
                <w:sz w:val="20"/>
                <w:szCs w:val="20"/>
                <w:lang w:val="en-GB"/>
              </w:rPr>
            </w:pPr>
            <w:r w:rsidRPr="00AA629C">
              <w:rPr>
                <w:rFonts w:cstheme="minorHAnsi"/>
                <w:sz w:val="20"/>
                <w:szCs w:val="20"/>
                <w:lang w:val="en-GB"/>
              </w:rPr>
              <w:t>None</w:t>
            </w:r>
          </w:p>
        </w:tc>
      </w:tr>
      <w:tr w:rsidR="00862251" w:rsidRPr="00C33C0B" w14:paraId="7610CB4E" w14:textId="77777777" w:rsidTr="00E31CA1">
        <w:tc>
          <w:tcPr>
            <w:tcW w:w="1633" w:type="dxa"/>
            <w:shd w:val="clear" w:color="auto" w:fill="auto"/>
            <w:tcMar>
              <w:top w:w="6" w:type="dxa"/>
              <w:bottom w:w="6" w:type="dxa"/>
            </w:tcMar>
          </w:tcPr>
          <w:p w14:paraId="4CDDC852" w14:textId="77777777" w:rsidR="007747F4" w:rsidRDefault="007747F4" w:rsidP="00E31CA1">
            <w:pPr>
              <w:spacing w:before="20" w:after="0" w:line="240" w:lineRule="auto"/>
              <w:rPr>
                <w:sz w:val="20"/>
                <w:szCs w:val="20"/>
                <w:lang w:val="en-GB"/>
              </w:rPr>
            </w:pPr>
            <w:r>
              <w:rPr>
                <w:sz w:val="20"/>
                <w:szCs w:val="20"/>
                <w:lang w:val="en-GB"/>
              </w:rPr>
              <w:t>Prof. David Watters</w:t>
            </w:r>
          </w:p>
          <w:p w14:paraId="735ADDC2" w14:textId="77777777" w:rsidR="00862251" w:rsidRPr="007747F4" w:rsidRDefault="00862251" w:rsidP="007747F4">
            <w:pPr>
              <w:jc w:val="center"/>
              <w:rPr>
                <w:sz w:val="20"/>
                <w:szCs w:val="20"/>
                <w:lang w:val="en-GB"/>
              </w:rPr>
            </w:pPr>
          </w:p>
        </w:tc>
        <w:tc>
          <w:tcPr>
            <w:tcW w:w="4032" w:type="dxa"/>
            <w:shd w:val="clear" w:color="auto" w:fill="auto"/>
            <w:tcMar>
              <w:top w:w="6" w:type="dxa"/>
              <w:bottom w:w="6" w:type="dxa"/>
            </w:tcMar>
          </w:tcPr>
          <w:p w14:paraId="7FFA51DC" w14:textId="77777777" w:rsidR="00862251" w:rsidRPr="00AA629C" w:rsidRDefault="00862251" w:rsidP="0060609E">
            <w:pPr>
              <w:pStyle w:val="Bullet-green"/>
              <w:numPr>
                <w:ilvl w:val="0"/>
                <w:numId w:val="0"/>
              </w:numPr>
              <w:spacing w:before="20" w:after="0" w:line="240" w:lineRule="auto"/>
              <w:rPr>
                <w:sz w:val="20"/>
                <w:szCs w:val="20"/>
                <w:lang w:val="en-GB"/>
              </w:rPr>
            </w:pPr>
            <w:r w:rsidRPr="00AA629C">
              <w:rPr>
                <w:sz w:val="20"/>
                <w:szCs w:val="20"/>
                <w:lang w:val="en-GB"/>
              </w:rPr>
              <w:t>Chair of Surgical and Critical Care Program</w:t>
            </w:r>
            <w:r w:rsidR="00630271">
              <w:rPr>
                <w:sz w:val="20"/>
                <w:szCs w:val="20"/>
                <w:lang w:val="en-GB"/>
              </w:rPr>
              <w:t>me</w:t>
            </w:r>
            <w:r w:rsidRPr="00AA629C">
              <w:rPr>
                <w:sz w:val="20"/>
                <w:szCs w:val="20"/>
                <w:lang w:val="en-GB"/>
              </w:rPr>
              <w:t xml:space="preserve"> Safety and Quality Committee</w:t>
            </w:r>
            <w:r w:rsidR="00146A89" w:rsidRPr="00AA629C">
              <w:rPr>
                <w:sz w:val="20"/>
                <w:szCs w:val="20"/>
                <w:lang w:val="en-GB"/>
              </w:rPr>
              <w:t xml:space="preserve">; </w:t>
            </w:r>
            <w:r w:rsidRPr="00AA629C">
              <w:rPr>
                <w:sz w:val="20"/>
                <w:szCs w:val="20"/>
                <w:lang w:val="en-GB"/>
              </w:rPr>
              <w:t>General and Endocrine Surgeo</w:t>
            </w:r>
            <w:r w:rsidR="00146A89" w:rsidRPr="00AA629C">
              <w:rPr>
                <w:sz w:val="20"/>
                <w:szCs w:val="20"/>
                <w:lang w:val="en-GB"/>
              </w:rPr>
              <w:t>n at University Hospital</w:t>
            </w:r>
            <w:r w:rsidRPr="00AA629C">
              <w:rPr>
                <w:sz w:val="20"/>
                <w:szCs w:val="20"/>
                <w:lang w:val="en-GB"/>
              </w:rPr>
              <w:t xml:space="preserve"> and St John of God Hospital</w:t>
            </w:r>
            <w:r w:rsidR="00146A89" w:rsidRPr="00AA629C">
              <w:rPr>
                <w:sz w:val="20"/>
                <w:szCs w:val="20"/>
                <w:lang w:val="en-GB"/>
              </w:rPr>
              <w:t>,</w:t>
            </w:r>
            <w:r w:rsidRPr="00AA629C">
              <w:rPr>
                <w:sz w:val="20"/>
                <w:szCs w:val="20"/>
                <w:lang w:val="en-GB"/>
              </w:rPr>
              <w:t xml:space="preserve"> Geelong</w:t>
            </w:r>
            <w:r w:rsidR="00146A89" w:rsidRPr="00AA629C">
              <w:rPr>
                <w:sz w:val="20"/>
                <w:szCs w:val="20"/>
                <w:lang w:val="en-GB"/>
              </w:rPr>
              <w:t xml:space="preserve">; </w:t>
            </w:r>
            <w:r w:rsidRPr="00AA629C">
              <w:rPr>
                <w:sz w:val="20"/>
                <w:szCs w:val="20"/>
                <w:lang w:val="en-GB"/>
              </w:rPr>
              <w:t>Professor of Surgery, Deakin University</w:t>
            </w:r>
          </w:p>
        </w:tc>
        <w:tc>
          <w:tcPr>
            <w:tcW w:w="2637" w:type="dxa"/>
            <w:shd w:val="clear" w:color="auto" w:fill="auto"/>
            <w:tcMar>
              <w:top w:w="6" w:type="dxa"/>
              <w:bottom w:w="6" w:type="dxa"/>
            </w:tcMar>
          </w:tcPr>
          <w:p w14:paraId="412364D3" w14:textId="77777777" w:rsidR="00862251" w:rsidRDefault="00862251" w:rsidP="006547EC">
            <w:pPr>
              <w:pStyle w:val="Bullet-green"/>
              <w:numPr>
                <w:ilvl w:val="0"/>
                <w:numId w:val="0"/>
              </w:numPr>
              <w:spacing w:before="20" w:after="0" w:line="240" w:lineRule="auto"/>
              <w:rPr>
                <w:sz w:val="20"/>
                <w:szCs w:val="20"/>
                <w:lang w:val="en-GB"/>
              </w:rPr>
            </w:pPr>
            <w:r w:rsidRPr="00AA629C">
              <w:rPr>
                <w:sz w:val="20"/>
                <w:szCs w:val="20"/>
                <w:lang w:val="en-GB"/>
              </w:rPr>
              <w:t xml:space="preserve">Member of </w:t>
            </w:r>
            <w:r w:rsidR="006547EC" w:rsidRPr="00AA629C">
              <w:rPr>
                <w:sz w:val="20"/>
                <w:szCs w:val="20"/>
                <w:lang w:val="en-GB"/>
              </w:rPr>
              <w:t xml:space="preserve">the </w:t>
            </w:r>
            <w:r w:rsidRPr="00AA629C">
              <w:rPr>
                <w:sz w:val="20"/>
                <w:szCs w:val="20"/>
                <w:lang w:val="en-GB"/>
              </w:rPr>
              <w:t>Clinical Measurement and Reporting Group for the Victorian Agency of Health Information (VAHI)</w:t>
            </w:r>
            <w:r w:rsidR="003367BD">
              <w:rPr>
                <w:sz w:val="20"/>
                <w:szCs w:val="20"/>
                <w:lang w:val="en-GB"/>
              </w:rPr>
              <w:t>;</w:t>
            </w:r>
          </w:p>
          <w:p w14:paraId="05DFCEE5" w14:textId="77777777" w:rsidR="003367BD" w:rsidRPr="00AA629C" w:rsidRDefault="003367BD" w:rsidP="006547EC">
            <w:pPr>
              <w:pStyle w:val="Bullet-green"/>
              <w:numPr>
                <w:ilvl w:val="0"/>
                <w:numId w:val="0"/>
              </w:numPr>
              <w:spacing w:before="20" w:after="0" w:line="240" w:lineRule="auto"/>
              <w:rPr>
                <w:sz w:val="20"/>
                <w:szCs w:val="20"/>
                <w:lang w:val="en-GB"/>
              </w:rPr>
            </w:pPr>
            <w:r>
              <w:rPr>
                <w:sz w:val="20"/>
                <w:szCs w:val="20"/>
                <w:lang w:val="en-GB"/>
              </w:rPr>
              <w:t>Chair of the General Surgery Clinical Committee (GSCC) for the MBS Review</w:t>
            </w:r>
          </w:p>
        </w:tc>
      </w:tr>
    </w:tbl>
    <w:p w14:paraId="7D545E4D" w14:textId="77777777" w:rsidR="00862251" w:rsidRPr="00283102" w:rsidRDefault="00862251" w:rsidP="00283102">
      <w:pPr>
        <w:rPr>
          <w:lang w:val="en-GB" w:eastAsia="en-US"/>
        </w:rPr>
      </w:pPr>
    </w:p>
    <w:p w14:paraId="28B2B0A0" w14:textId="77777777" w:rsidR="0036549D" w:rsidRDefault="0036549D" w:rsidP="00DF5455">
      <w:pPr>
        <w:pStyle w:val="Heading2"/>
        <w:rPr>
          <w:lang w:val="en-GB"/>
        </w:rPr>
      </w:pPr>
      <w:bookmarkStart w:id="91" w:name="_Toc24544676"/>
      <w:r>
        <w:rPr>
          <w:lang w:val="en-GB"/>
        </w:rPr>
        <w:t>Conflicts of interest</w:t>
      </w:r>
      <w:bookmarkEnd w:id="91"/>
    </w:p>
    <w:p w14:paraId="6A2EBF51" w14:textId="77777777" w:rsidR="00E95CAB" w:rsidRPr="00C33C0B" w:rsidRDefault="00A44A70" w:rsidP="00A44A70">
      <w:pPr>
        <w:rPr>
          <w:lang w:val="en-GB"/>
        </w:rPr>
      </w:pPr>
      <w:r w:rsidRPr="00C33C0B">
        <w:rPr>
          <w:lang w:val="en-GB"/>
        </w:rPr>
        <w:t xml:space="preserve">All members of the Taskforce, </w:t>
      </w:r>
      <w:r w:rsidR="00AE2DEF">
        <w:rPr>
          <w:lang w:val="en-GB"/>
        </w:rPr>
        <w:t>c</w:t>
      </w:r>
      <w:r w:rsidRPr="00C33C0B">
        <w:rPr>
          <w:lang w:val="en-GB"/>
        </w:rPr>
        <w:t xml:space="preserve">linical </w:t>
      </w:r>
      <w:r w:rsidR="00AE2DEF">
        <w:rPr>
          <w:lang w:val="en-GB"/>
        </w:rPr>
        <w:t>c</w:t>
      </w:r>
      <w:r w:rsidRPr="00C33C0B">
        <w:rPr>
          <w:lang w:val="en-GB"/>
        </w:rPr>
        <w:t>ommittees</w:t>
      </w:r>
      <w:r w:rsidR="00713B32">
        <w:rPr>
          <w:lang w:val="en-GB"/>
        </w:rPr>
        <w:t xml:space="preserve"> and</w:t>
      </w:r>
      <w:r w:rsidR="00AE2DEF">
        <w:rPr>
          <w:lang w:val="en-GB"/>
        </w:rPr>
        <w:t xml:space="preserve"> working groups</w:t>
      </w:r>
      <w:r w:rsidRPr="00C33C0B">
        <w:rPr>
          <w:lang w:val="en-GB"/>
        </w:rPr>
        <w:t xml:space="preserve"> are asked to declare any conflicts of interest at the start of their involvement and reminded to update their declaration</w:t>
      </w:r>
      <w:r w:rsidR="00EA2E20">
        <w:rPr>
          <w:lang w:val="en-GB"/>
        </w:rPr>
        <w:t>s</w:t>
      </w:r>
      <w:r w:rsidRPr="00C33C0B">
        <w:rPr>
          <w:lang w:val="en-GB"/>
        </w:rPr>
        <w:t xml:space="preserve"> periodically.</w:t>
      </w:r>
      <w:r w:rsidR="00EA2E20">
        <w:rPr>
          <w:lang w:val="en-GB"/>
        </w:rPr>
        <w:t xml:space="preserve"> A complete list of declared conflicts of interest can be viewed in Table </w:t>
      </w:r>
      <w:r w:rsidR="00902997">
        <w:rPr>
          <w:lang w:val="en-GB"/>
        </w:rPr>
        <w:t>1</w:t>
      </w:r>
      <w:r w:rsidR="00EA2E20">
        <w:rPr>
          <w:lang w:val="en-GB"/>
        </w:rPr>
        <w:t>.</w:t>
      </w:r>
    </w:p>
    <w:p w14:paraId="1E6E746C" w14:textId="77777777" w:rsidR="00A44A70" w:rsidRPr="00A44A70" w:rsidRDefault="00E95CAB" w:rsidP="00A44A70">
      <w:pPr>
        <w:rPr>
          <w:lang w:val="en-GB" w:eastAsia="en-US"/>
        </w:rPr>
      </w:pPr>
      <w:r>
        <w:rPr>
          <w:lang w:val="en-GB" w:eastAsia="en-US"/>
        </w:rPr>
        <w:t>It is noted that the majority of Committee members</w:t>
      </w:r>
      <w:r w:rsidR="00185217">
        <w:rPr>
          <w:lang w:val="en-GB" w:eastAsia="en-US"/>
        </w:rPr>
        <w:t xml:space="preserve"> </w:t>
      </w:r>
      <w:r w:rsidR="00185217" w:rsidRPr="004D1B38">
        <w:t>share a common conflict of interest in reviewing items that are a source of revenue for them (i.e. Committee members claim the items under review). This conflict is inherent in a clinician-led process, and having been acknowledged by the Committee and the Taskforce, it was agreed that this should not prevent a clinician from participating in the review</w:t>
      </w:r>
      <w:r w:rsidR="001B5822">
        <w:t>.</w:t>
      </w:r>
    </w:p>
    <w:p w14:paraId="0E751F97" w14:textId="77777777" w:rsidR="00A921C1" w:rsidRPr="00C33C0B" w:rsidRDefault="00A921C1" w:rsidP="003C5D5A">
      <w:pPr>
        <w:pStyle w:val="Heading2"/>
        <w:rPr>
          <w:lang w:val="en-GB"/>
        </w:rPr>
      </w:pPr>
      <w:bookmarkStart w:id="92" w:name="_Toc24544677"/>
      <w:r w:rsidRPr="00C33C0B">
        <w:rPr>
          <w:lang w:val="en-GB"/>
        </w:rPr>
        <w:t xml:space="preserve">Areas of responsibility of the </w:t>
      </w:r>
      <w:bookmarkEnd w:id="87"/>
      <w:bookmarkEnd w:id="88"/>
      <w:r w:rsidR="00D83272">
        <w:rPr>
          <w:lang w:val="en-GB"/>
        </w:rPr>
        <w:t>C</w:t>
      </w:r>
      <w:r w:rsidR="00961971">
        <w:rPr>
          <w:lang w:val="en-GB"/>
        </w:rPr>
        <w:t>ommittee</w:t>
      </w:r>
      <w:bookmarkEnd w:id="92"/>
    </w:p>
    <w:p w14:paraId="3E499ADA" w14:textId="77777777" w:rsidR="00A921C1" w:rsidRPr="00C33C0B" w:rsidRDefault="00A921C1" w:rsidP="0065723A">
      <w:pPr>
        <w:rPr>
          <w:lang w:val="en-GB"/>
        </w:rPr>
      </w:pPr>
      <w:r w:rsidRPr="00C33C0B">
        <w:rPr>
          <w:lang w:val="en-GB"/>
        </w:rPr>
        <w:t xml:space="preserve">The Committee was assigned </w:t>
      </w:r>
      <w:r w:rsidR="00937CD1" w:rsidRPr="00C33C0B">
        <w:rPr>
          <w:lang w:val="en-GB"/>
        </w:rPr>
        <w:t>143</w:t>
      </w:r>
      <w:r w:rsidRPr="00C33C0B">
        <w:rPr>
          <w:lang w:val="en-GB"/>
        </w:rPr>
        <w:t xml:space="preserve"> MBS items</w:t>
      </w:r>
      <w:r w:rsidR="00194A25">
        <w:rPr>
          <w:lang w:val="en-GB"/>
        </w:rPr>
        <w:t xml:space="preserve"> to review</w:t>
      </w:r>
      <w:r w:rsidR="002154A4">
        <w:rPr>
          <w:lang w:val="en-GB"/>
        </w:rPr>
        <w:t>,</w:t>
      </w:r>
      <w:r w:rsidR="007219C3">
        <w:rPr>
          <w:lang w:val="en-GB"/>
        </w:rPr>
        <w:t xml:space="preserve"> cover</w:t>
      </w:r>
      <w:r w:rsidR="002154A4">
        <w:rPr>
          <w:lang w:val="en-GB"/>
        </w:rPr>
        <w:t>ing</w:t>
      </w:r>
      <w:r w:rsidR="008D50DA">
        <w:rPr>
          <w:lang w:val="en-GB"/>
        </w:rPr>
        <w:t xml:space="preserve"> the following</w:t>
      </w:r>
      <w:r w:rsidR="007219C3">
        <w:rPr>
          <w:lang w:val="en-GB"/>
        </w:rPr>
        <w:t>:</w:t>
      </w:r>
    </w:p>
    <w:p w14:paraId="28C68379" w14:textId="77777777" w:rsidR="00A921C1" w:rsidRPr="00C33C0B" w:rsidRDefault="00A921C1" w:rsidP="0065723A">
      <w:pPr>
        <w:pStyle w:val="Bullet-green"/>
        <w:rPr>
          <w:lang w:val="en-GB"/>
        </w:rPr>
      </w:pPr>
      <w:r w:rsidRPr="00C33C0B">
        <w:rPr>
          <w:lang w:val="en-GB"/>
        </w:rPr>
        <w:t xml:space="preserve">A3 </w:t>
      </w:r>
      <w:r w:rsidR="00054751">
        <w:rPr>
          <w:lang w:val="en-GB"/>
        </w:rPr>
        <w:t>s</w:t>
      </w:r>
      <w:r w:rsidRPr="00C33C0B">
        <w:rPr>
          <w:lang w:val="en-GB"/>
        </w:rPr>
        <w:t xml:space="preserve">pecialist </w:t>
      </w:r>
      <w:r w:rsidR="00054751">
        <w:rPr>
          <w:lang w:val="en-GB"/>
        </w:rPr>
        <w:t>a</w:t>
      </w:r>
      <w:r w:rsidR="002154A4">
        <w:rPr>
          <w:lang w:val="en-GB"/>
        </w:rPr>
        <w:t>ttendances</w:t>
      </w:r>
    </w:p>
    <w:p w14:paraId="62AE9079" w14:textId="77777777" w:rsidR="00A921C1" w:rsidRPr="00C33C0B" w:rsidRDefault="00A921C1" w:rsidP="0065723A">
      <w:pPr>
        <w:pStyle w:val="Bullet-green"/>
        <w:rPr>
          <w:lang w:val="en-GB"/>
        </w:rPr>
      </w:pPr>
      <w:r w:rsidRPr="00C33C0B">
        <w:rPr>
          <w:lang w:val="en-GB"/>
        </w:rPr>
        <w:t xml:space="preserve">A4 </w:t>
      </w:r>
      <w:r w:rsidR="00054751">
        <w:rPr>
          <w:lang w:val="en-GB"/>
        </w:rPr>
        <w:t>c</w:t>
      </w:r>
      <w:r w:rsidRPr="00C33C0B">
        <w:rPr>
          <w:lang w:val="en-GB"/>
        </w:rPr>
        <w:t xml:space="preserve">onsultant </w:t>
      </w:r>
      <w:r w:rsidR="00054751">
        <w:rPr>
          <w:lang w:val="en-GB"/>
        </w:rPr>
        <w:t>p</w:t>
      </w:r>
      <w:r w:rsidRPr="00C33C0B">
        <w:rPr>
          <w:lang w:val="en-GB"/>
        </w:rPr>
        <w:t xml:space="preserve">hysician </w:t>
      </w:r>
      <w:r w:rsidR="00054751">
        <w:rPr>
          <w:lang w:val="en-GB"/>
        </w:rPr>
        <w:t>a</w:t>
      </w:r>
      <w:r w:rsidRPr="00C33C0B">
        <w:rPr>
          <w:lang w:val="en-GB"/>
        </w:rPr>
        <w:t>ttendances</w:t>
      </w:r>
    </w:p>
    <w:p w14:paraId="5DE951CA" w14:textId="77777777" w:rsidR="008E7AD6" w:rsidRPr="00C33C0B" w:rsidRDefault="008E7AD6" w:rsidP="008E7AD6">
      <w:pPr>
        <w:pStyle w:val="Bullet-green"/>
        <w:rPr>
          <w:lang w:val="en-GB"/>
        </w:rPr>
      </w:pPr>
      <w:r w:rsidRPr="00C33C0B">
        <w:rPr>
          <w:lang w:val="en-GB"/>
        </w:rPr>
        <w:t xml:space="preserve">A5 </w:t>
      </w:r>
      <w:r w:rsidR="00054751">
        <w:rPr>
          <w:lang w:val="en-GB"/>
        </w:rPr>
        <w:t>p</w:t>
      </w:r>
      <w:r w:rsidRPr="00C33C0B">
        <w:rPr>
          <w:lang w:val="en-GB"/>
        </w:rPr>
        <w:t xml:space="preserve">rolonged </w:t>
      </w:r>
      <w:r w:rsidR="00054751">
        <w:rPr>
          <w:lang w:val="en-GB"/>
        </w:rPr>
        <w:t>a</w:t>
      </w:r>
      <w:r w:rsidRPr="00C33C0B">
        <w:rPr>
          <w:lang w:val="en-GB"/>
        </w:rPr>
        <w:t>ttendances</w:t>
      </w:r>
    </w:p>
    <w:p w14:paraId="5AF3986F" w14:textId="77777777" w:rsidR="008E7AD6" w:rsidRPr="00C33C0B" w:rsidRDefault="008E7AD6" w:rsidP="008E7AD6">
      <w:pPr>
        <w:pStyle w:val="Bullet-green"/>
        <w:rPr>
          <w:lang w:val="en-GB"/>
        </w:rPr>
      </w:pPr>
      <w:r w:rsidRPr="00C33C0B">
        <w:rPr>
          <w:lang w:val="en-GB"/>
        </w:rPr>
        <w:t xml:space="preserve">A6 </w:t>
      </w:r>
      <w:r w:rsidR="00054751">
        <w:rPr>
          <w:lang w:val="en-GB"/>
        </w:rPr>
        <w:t>g</w:t>
      </w:r>
      <w:r w:rsidRPr="00C33C0B">
        <w:rPr>
          <w:lang w:val="en-GB"/>
        </w:rPr>
        <w:t xml:space="preserve">roup </w:t>
      </w:r>
      <w:r w:rsidR="00054751">
        <w:rPr>
          <w:lang w:val="en-GB"/>
        </w:rPr>
        <w:t>t</w:t>
      </w:r>
      <w:r w:rsidRPr="00C33C0B">
        <w:rPr>
          <w:lang w:val="en-GB"/>
        </w:rPr>
        <w:t>herapy</w:t>
      </w:r>
    </w:p>
    <w:p w14:paraId="4E2BC34C" w14:textId="77777777" w:rsidR="008E7AD6" w:rsidRPr="00C33C0B" w:rsidRDefault="008E7AD6" w:rsidP="008E7AD6">
      <w:pPr>
        <w:pStyle w:val="Bullet-green"/>
        <w:rPr>
          <w:lang w:val="en-GB"/>
        </w:rPr>
      </w:pPr>
      <w:r w:rsidRPr="00C33C0B">
        <w:rPr>
          <w:lang w:val="en-GB"/>
        </w:rPr>
        <w:t xml:space="preserve">A12 </w:t>
      </w:r>
      <w:r w:rsidR="00054751">
        <w:rPr>
          <w:lang w:val="en-GB"/>
        </w:rPr>
        <w:t>o</w:t>
      </w:r>
      <w:r w:rsidRPr="00C33C0B">
        <w:rPr>
          <w:lang w:val="en-GB"/>
        </w:rPr>
        <w:t xml:space="preserve">ccupational </w:t>
      </w:r>
      <w:r w:rsidR="00054751">
        <w:rPr>
          <w:lang w:val="en-GB"/>
        </w:rPr>
        <w:t>p</w:t>
      </w:r>
      <w:r w:rsidRPr="00C33C0B">
        <w:rPr>
          <w:lang w:val="en-GB"/>
        </w:rPr>
        <w:t xml:space="preserve">hysician </w:t>
      </w:r>
      <w:r w:rsidR="00054751">
        <w:rPr>
          <w:lang w:val="en-GB"/>
        </w:rPr>
        <w:t>a</w:t>
      </w:r>
      <w:r w:rsidRPr="00C33C0B">
        <w:rPr>
          <w:lang w:val="en-GB"/>
        </w:rPr>
        <w:t>ttendances</w:t>
      </w:r>
    </w:p>
    <w:p w14:paraId="7FF026CD" w14:textId="77777777" w:rsidR="008E7AD6" w:rsidRPr="00C33C0B" w:rsidRDefault="008E7AD6" w:rsidP="008E7AD6">
      <w:pPr>
        <w:pStyle w:val="Bullet-green"/>
        <w:rPr>
          <w:lang w:val="en-GB"/>
        </w:rPr>
      </w:pPr>
      <w:r w:rsidRPr="00C33C0B">
        <w:rPr>
          <w:lang w:val="en-GB"/>
        </w:rPr>
        <w:t xml:space="preserve">A13 </w:t>
      </w:r>
      <w:r w:rsidR="00054751">
        <w:rPr>
          <w:lang w:val="en-GB"/>
        </w:rPr>
        <w:t>p</w:t>
      </w:r>
      <w:r w:rsidRPr="00C33C0B">
        <w:rPr>
          <w:lang w:val="en-GB"/>
        </w:rPr>
        <w:t xml:space="preserve">ublic </w:t>
      </w:r>
      <w:r w:rsidR="00054751">
        <w:rPr>
          <w:lang w:val="en-GB"/>
        </w:rPr>
        <w:t>h</w:t>
      </w:r>
      <w:r w:rsidRPr="00C33C0B">
        <w:rPr>
          <w:lang w:val="en-GB"/>
        </w:rPr>
        <w:t xml:space="preserve">ealth </w:t>
      </w:r>
      <w:r w:rsidR="00054751">
        <w:rPr>
          <w:lang w:val="en-GB"/>
        </w:rPr>
        <w:t>p</w:t>
      </w:r>
      <w:r w:rsidRPr="00C33C0B">
        <w:rPr>
          <w:lang w:val="en-GB"/>
        </w:rPr>
        <w:t xml:space="preserve">hysician </w:t>
      </w:r>
      <w:r w:rsidR="00054751">
        <w:rPr>
          <w:lang w:val="en-GB"/>
        </w:rPr>
        <w:t>a</w:t>
      </w:r>
      <w:r w:rsidRPr="00C33C0B">
        <w:rPr>
          <w:lang w:val="en-GB"/>
        </w:rPr>
        <w:t>ttendances</w:t>
      </w:r>
    </w:p>
    <w:p w14:paraId="3B0D91C4" w14:textId="77777777" w:rsidR="008E7AD6" w:rsidRPr="00C33C0B" w:rsidRDefault="008E7AD6" w:rsidP="008E7AD6">
      <w:pPr>
        <w:pStyle w:val="Bullet-green"/>
        <w:rPr>
          <w:lang w:val="en-GB"/>
        </w:rPr>
      </w:pPr>
      <w:r w:rsidRPr="00C33C0B">
        <w:rPr>
          <w:lang w:val="en-GB"/>
        </w:rPr>
        <w:t xml:space="preserve">A15 </w:t>
      </w:r>
      <w:r w:rsidR="00AA329D">
        <w:rPr>
          <w:lang w:val="en-GB"/>
        </w:rPr>
        <w:t>consultant specialist</w:t>
      </w:r>
      <w:r w:rsidR="000356E8" w:rsidRPr="00C33C0B">
        <w:rPr>
          <w:lang w:val="en-GB"/>
        </w:rPr>
        <w:t xml:space="preserve"> </w:t>
      </w:r>
      <w:r w:rsidR="00054751">
        <w:rPr>
          <w:lang w:val="en-GB"/>
        </w:rPr>
        <w:t>c</w:t>
      </w:r>
      <w:r w:rsidRPr="00C33C0B">
        <w:rPr>
          <w:lang w:val="en-GB"/>
        </w:rPr>
        <w:t xml:space="preserve">ase </w:t>
      </w:r>
      <w:r w:rsidR="00054751">
        <w:rPr>
          <w:lang w:val="en-GB"/>
        </w:rPr>
        <w:t>c</w:t>
      </w:r>
      <w:r w:rsidRPr="00C33C0B">
        <w:rPr>
          <w:lang w:val="en-GB"/>
        </w:rPr>
        <w:t>onferences</w:t>
      </w:r>
    </w:p>
    <w:p w14:paraId="129DD975" w14:textId="77777777" w:rsidR="008E7AD6" w:rsidRPr="00C33C0B" w:rsidRDefault="008E7AD6" w:rsidP="008E7AD6">
      <w:pPr>
        <w:pStyle w:val="Bullet-green"/>
        <w:rPr>
          <w:lang w:val="en-GB"/>
        </w:rPr>
      </w:pPr>
      <w:r w:rsidRPr="00C33C0B">
        <w:rPr>
          <w:lang w:val="en-GB"/>
        </w:rPr>
        <w:t xml:space="preserve">A24 </w:t>
      </w:r>
      <w:r w:rsidR="00054751">
        <w:rPr>
          <w:lang w:val="en-GB"/>
        </w:rPr>
        <w:t>p</w:t>
      </w:r>
      <w:r w:rsidRPr="00C33C0B">
        <w:rPr>
          <w:lang w:val="en-GB"/>
        </w:rPr>
        <w:t xml:space="preserve">ain and </w:t>
      </w:r>
      <w:r w:rsidR="00054751">
        <w:rPr>
          <w:lang w:val="en-GB"/>
        </w:rPr>
        <w:t>p</w:t>
      </w:r>
      <w:r w:rsidRPr="00C33C0B">
        <w:rPr>
          <w:lang w:val="en-GB"/>
        </w:rPr>
        <w:t xml:space="preserve">alliative </w:t>
      </w:r>
      <w:r w:rsidR="00054751">
        <w:rPr>
          <w:lang w:val="en-GB"/>
        </w:rPr>
        <w:t>m</w:t>
      </w:r>
      <w:r w:rsidRPr="00C33C0B">
        <w:rPr>
          <w:lang w:val="en-GB"/>
        </w:rPr>
        <w:t xml:space="preserve">edicine </w:t>
      </w:r>
      <w:r w:rsidR="00054751">
        <w:rPr>
          <w:lang w:val="en-GB"/>
        </w:rPr>
        <w:t>a</w:t>
      </w:r>
      <w:r w:rsidRPr="00C33C0B">
        <w:rPr>
          <w:lang w:val="en-GB"/>
        </w:rPr>
        <w:t>ttendances</w:t>
      </w:r>
    </w:p>
    <w:p w14:paraId="4CAC1B65" w14:textId="77777777" w:rsidR="008E7AD6" w:rsidRPr="00C33C0B" w:rsidRDefault="008E7AD6" w:rsidP="008E7AD6">
      <w:pPr>
        <w:pStyle w:val="Bullet-green"/>
        <w:rPr>
          <w:lang w:val="en-GB"/>
        </w:rPr>
      </w:pPr>
      <w:r w:rsidRPr="00C33C0B">
        <w:rPr>
          <w:lang w:val="en-GB"/>
        </w:rPr>
        <w:t xml:space="preserve">A26 </w:t>
      </w:r>
      <w:r w:rsidR="00054751">
        <w:rPr>
          <w:lang w:val="en-GB"/>
        </w:rPr>
        <w:t>n</w:t>
      </w:r>
      <w:r w:rsidRPr="00C33C0B">
        <w:rPr>
          <w:lang w:val="en-GB"/>
        </w:rPr>
        <w:t xml:space="preserve">eurosurgery </w:t>
      </w:r>
      <w:r w:rsidR="00054751">
        <w:rPr>
          <w:lang w:val="en-GB"/>
        </w:rPr>
        <w:t>a</w:t>
      </w:r>
      <w:r w:rsidRPr="00C33C0B">
        <w:rPr>
          <w:lang w:val="en-GB"/>
        </w:rPr>
        <w:t>ttendances</w:t>
      </w:r>
    </w:p>
    <w:p w14:paraId="01A3CCE2" w14:textId="77777777" w:rsidR="008E7AD6" w:rsidRPr="00C33C0B" w:rsidRDefault="008E7AD6" w:rsidP="008E7AD6">
      <w:pPr>
        <w:pStyle w:val="Bullet-green"/>
        <w:rPr>
          <w:lang w:val="en-GB"/>
        </w:rPr>
      </w:pPr>
      <w:r w:rsidRPr="00C33C0B">
        <w:rPr>
          <w:lang w:val="en-GB"/>
        </w:rPr>
        <w:t xml:space="preserve">A28 </w:t>
      </w:r>
      <w:r w:rsidR="00054751">
        <w:rPr>
          <w:lang w:val="en-GB"/>
        </w:rPr>
        <w:t>g</w:t>
      </w:r>
      <w:r w:rsidRPr="00C33C0B">
        <w:rPr>
          <w:lang w:val="en-GB"/>
        </w:rPr>
        <w:t xml:space="preserve">eriatric </w:t>
      </w:r>
      <w:r w:rsidR="00054751">
        <w:rPr>
          <w:lang w:val="en-GB"/>
        </w:rPr>
        <w:t>m</w:t>
      </w:r>
      <w:r w:rsidRPr="00C33C0B">
        <w:rPr>
          <w:lang w:val="en-GB"/>
        </w:rPr>
        <w:t>edicine</w:t>
      </w:r>
    </w:p>
    <w:p w14:paraId="03F7AFC1" w14:textId="77777777" w:rsidR="008E7AD6" w:rsidRPr="00C33C0B" w:rsidRDefault="008E7AD6" w:rsidP="008E7AD6">
      <w:pPr>
        <w:pStyle w:val="Bullet-green"/>
        <w:rPr>
          <w:lang w:val="en-GB"/>
        </w:rPr>
      </w:pPr>
      <w:r w:rsidRPr="00C33C0B">
        <w:rPr>
          <w:lang w:val="en-GB"/>
        </w:rPr>
        <w:t xml:space="preserve">A29 </w:t>
      </w:r>
      <w:r w:rsidR="00054751">
        <w:rPr>
          <w:lang w:val="en-GB"/>
        </w:rPr>
        <w:t>e</w:t>
      </w:r>
      <w:r w:rsidRPr="00C33C0B">
        <w:rPr>
          <w:lang w:val="en-GB"/>
        </w:rPr>
        <w:t xml:space="preserve">arly </w:t>
      </w:r>
      <w:r w:rsidR="00054751">
        <w:rPr>
          <w:lang w:val="en-GB"/>
        </w:rPr>
        <w:t>i</w:t>
      </w:r>
      <w:r w:rsidRPr="00C33C0B">
        <w:rPr>
          <w:lang w:val="en-GB"/>
        </w:rPr>
        <w:t xml:space="preserve">ntervention, </w:t>
      </w:r>
      <w:r w:rsidR="00054751">
        <w:rPr>
          <w:lang w:val="en-GB"/>
        </w:rPr>
        <w:t>c</w:t>
      </w:r>
      <w:r w:rsidRPr="00C33C0B">
        <w:rPr>
          <w:lang w:val="en-GB"/>
        </w:rPr>
        <w:t>hildren</w:t>
      </w:r>
    </w:p>
    <w:p w14:paraId="501E34B0" w14:textId="77777777" w:rsidR="00937CD1" w:rsidRPr="00C33C0B" w:rsidRDefault="00937CD1" w:rsidP="008E7AD6">
      <w:pPr>
        <w:pStyle w:val="Bullet-green"/>
        <w:rPr>
          <w:lang w:val="en-GB"/>
        </w:rPr>
      </w:pPr>
      <w:r w:rsidRPr="00C33C0B">
        <w:rPr>
          <w:lang w:val="en-GB"/>
        </w:rPr>
        <w:t xml:space="preserve">A31 </w:t>
      </w:r>
      <w:r w:rsidR="00054751">
        <w:rPr>
          <w:lang w:val="en-GB"/>
        </w:rPr>
        <w:t>a</w:t>
      </w:r>
      <w:r w:rsidRPr="00C33C0B">
        <w:rPr>
          <w:lang w:val="en-GB"/>
        </w:rPr>
        <w:t xml:space="preserve">ddiction </w:t>
      </w:r>
      <w:r w:rsidR="00054751">
        <w:rPr>
          <w:lang w:val="en-GB"/>
        </w:rPr>
        <w:t>m</w:t>
      </w:r>
      <w:r w:rsidRPr="00C33C0B">
        <w:rPr>
          <w:lang w:val="en-GB"/>
        </w:rPr>
        <w:t xml:space="preserve">edicine </w:t>
      </w:r>
      <w:r w:rsidR="00054751">
        <w:rPr>
          <w:lang w:val="en-GB"/>
        </w:rPr>
        <w:t>a</w:t>
      </w:r>
      <w:r w:rsidRPr="00C33C0B">
        <w:rPr>
          <w:lang w:val="en-GB"/>
        </w:rPr>
        <w:t>ttendances</w:t>
      </w:r>
      <w:r w:rsidR="002154A4">
        <w:rPr>
          <w:lang w:val="en-GB"/>
        </w:rPr>
        <w:t>, and</w:t>
      </w:r>
    </w:p>
    <w:p w14:paraId="31D82467" w14:textId="77777777" w:rsidR="00937CD1" w:rsidRPr="00C33C0B" w:rsidRDefault="00937CD1" w:rsidP="008E7AD6">
      <w:pPr>
        <w:pStyle w:val="Bullet-green"/>
        <w:rPr>
          <w:lang w:val="en-GB"/>
        </w:rPr>
      </w:pPr>
      <w:r w:rsidRPr="00C33C0B">
        <w:rPr>
          <w:lang w:val="en-GB"/>
        </w:rPr>
        <w:t xml:space="preserve">A32 </w:t>
      </w:r>
      <w:r w:rsidR="00054751">
        <w:rPr>
          <w:lang w:val="en-GB"/>
        </w:rPr>
        <w:t>s</w:t>
      </w:r>
      <w:r w:rsidRPr="00C33C0B">
        <w:rPr>
          <w:lang w:val="en-GB"/>
        </w:rPr>
        <w:t xml:space="preserve">exual </w:t>
      </w:r>
      <w:r w:rsidR="00054751">
        <w:rPr>
          <w:lang w:val="en-GB"/>
        </w:rPr>
        <w:t>h</w:t>
      </w:r>
      <w:r w:rsidRPr="00C33C0B">
        <w:rPr>
          <w:lang w:val="en-GB"/>
        </w:rPr>
        <w:t xml:space="preserve">ealth </w:t>
      </w:r>
      <w:r w:rsidR="00054751">
        <w:rPr>
          <w:lang w:val="en-GB"/>
        </w:rPr>
        <w:t>a</w:t>
      </w:r>
      <w:r w:rsidRPr="00C33C0B">
        <w:rPr>
          <w:lang w:val="en-GB"/>
        </w:rPr>
        <w:t>ttendances</w:t>
      </w:r>
      <w:r w:rsidR="00796647">
        <w:rPr>
          <w:lang w:val="en-GB"/>
        </w:rPr>
        <w:t>.</w:t>
      </w:r>
    </w:p>
    <w:p w14:paraId="4BF9638D" w14:textId="77777777" w:rsidR="00695F0B" w:rsidRDefault="005E670B" w:rsidP="00695F0B">
      <w:pPr>
        <w:rPr>
          <w:lang w:val="en-GB"/>
        </w:rPr>
      </w:pPr>
      <w:r w:rsidRPr="00C33C0B">
        <w:rPr>
          <w:lang w:val="en-GB"/>
        </w:rPr>
        <w:t>A</w:t>
      </w:r>
      <w:r w:rsidR="00695F0B" w:rsidRPr="00C33C0B">
        <w:rPr>
          <w:lang w:val="en-GB"/>
        </w:rPr>
        <w:t xml:space="preserve">ttendance items for addiction medicine </w:t>
      </w:r>
      <w:r w:rsidR="00176E14" w:rsidRPr="00C33C0B">
        <w:rPr>
          <w:lang w:val="en-GB"/>
        </w:rPr>
        <w:t xml:space="preserve">and sexual health medicine </w:t>
      </w:r>
      <w:r w:rsidR="00C77E7A" w:rsidRPr="00C33C0B">
        <w:rPr>
          <w:lang w:val="en-GB"/>
        </w:rPr>
        <w:t>were</w:t>
      </w:r>
      <w:r w:rsidR="00695F0B" w:rsidRPr="00C33C0B">
        <w:rPr>
          <w:lang w:val="en-GB"/>
        </w:rPr>
        <w:t xml:space="preserve"> </w:t>
      </w:r>
      <w:r w:rsidRPr="00C33C0B">
        <w:rPr>
          <w:lang w:val="en-GB"/>
        </w:rPr>
        <w:t xml:space="preserve">initially </w:t>
      </w:r>
      <w:r w:rsidR="00695F0B" w:rsidRPr="00C33C0B">
        <w:rPr>
          <w:lang w:val="en-GB"/>
        </w:rPr>
        <w:t>not referred to the Committee</w:t>
      </w:r>
      <w:r w:rsidR="00082B43" w:rsidRPr="00C33C0B">
        <w:rPr>
          <w:lang w:val="en-GB"/>
        </w:rPr>
        <w:t xml:space="preserve"> </w:t>
      </w:r>
      <w:r w:rsidRPr="00C33C0B">
        <w:rPr>
          <w:lang w:val="en-GB"/>
        </w:rPr>
        <w:t xml:space="preserve">as these items were introduced </w:t>
      </w:r>
      <w:r w:rsidR="00C77E7A" w:rsidRPr="00C33C0B">
        <w:rPr>
          <w:lang w:val="en-GB"/>
        </w:rPr>
        <w:t>to the MBS</w:t>
      </w:r>
      <w:r w:rsidR="00176E14" w:rsidRPr="00C33C0B">
        <w:rPr>
          <w:lang w:val="en-GB"/>
        </w:rPr>
        <w:t xml:space="preserve"> in 2016</w:t>
      </w:r>
      <w:r w:rsidR="00C77E7A" w:rsidRPr="00C33C0B">
        <w:rPr>
          <w:lang w:val="en-GB"/>
        </w:rPr>
        <w:t xml:space="preserve">. However, </w:t>
      </w:r>
      <w:r w:rsidR="00176E14" w:rsidRPr="00C33C0B">
        <w:rPr>
          <w:lang w:val="en-GB"/>
        </w:rPr>
        <w:t xml:space="preserve">to maintain consistency in the </w:t>
      </w:r>
      <w:r w:rsidR="00AA21C3">
        <w:rPr>
          <w:lang w:val="en-GB"/>
        </w:rPr>
        <w:t>MBS</w:t>
      </w:r>
      <w:r w:rsidR="00176E14" w:rsidRPr="00C33C0B">
        <w:rPr>
          <w:lang w:val="en-GB"/>
        </w:rPr>
        <w:t xml:space="preserve">, </w:t>
      </w:r>
      <w:r w:rsidR="00C77E7A" w:rsidRPr="00C33C0B">
        <w:rPr>
          <w:lang w:val="en-GB"/>
        </w:rPr>
        <w:t>t</w:t>
      </w:r>
      <w:r w:rsidR="00695F0B" w:rsidRPr="00C33C0B">
        <w:rPr>
          <w:lang w:val="en-GB"/>
        </w:rPr>
        <w:t xml:space="preserve">he Committee </w:t>
      </w:r>
      <w:r w:rsidR="003269B0" w:rsidRPr="00C33C0B">
        <w:rPr>
          <w:lang w:val="en-GB"/>
        </w:rPr>
        <w:t xml:space="preserve">believes </w:t>
      </w:r>
      <w:r w:rsidR="00CB13F2">
        <w:rPr>
          <w:lang w:val="en-GB"/>
        </w:rPr>
        <w:t xml:space="preserve">that </w:t>
      </w:r>
      <w:r w:rsidR="003269B0" w:rsidRPr="00C33C0B">
        <w:rPr>
          <w:lang w:val="en-GB"/>
        </w:rPr>
        <w:t xml:space="preserve">many of the recommendations set out in this report </w:t>
      </w:r>
      <w:r w:rsidRPr="00C33C0B">
        <w:rPr>
          <w:lang w:val="en-GB"/>
        </w:rPr>
        <w:t>should apply to these attendances</w:t>
      </w:r>
      <w:r w:rsidR="00FC05EE">
        <w:rPr>
          <w:lang w:val="en-GB"/>
        </w:rPr>
        <w:t xml:space="preserve">. For this reason, the Committee </w:t>
      </w:r>
      <w:r w:rsidR="00176E14" w:rsidRPr="00C33C0B">
        <w:rPr>
          <w:lang w:val="en-GB"/>
        </w:rPr>
        <w:t xml:space="preserve">subsequently received approval from the Taskforce to make recommendations on these items. </w:t>
      </w:r>
    </w:p>
    <w:p w14:paraId="396CF3C9" w14:textId="77777777" w:rsidR="00CE152A" w:rsidRPr="00C33C0B" w:rsidRDefault="00484C45" w:rsidP="00695F0B">
      <w:pPr>
        <w:rPr>
          <w:lang w:val="en-GB"/>
        </w:rPr>
      </w:pPr>
      <w:r w:rsidRPr="00C33C0B">
        <w:rPr>
          <w:lang w:val="en-GB"/>
        </w:rPr>
        <w:t xml:space="preserve">A complete list of </w:t>
      </w:r>
      <w:r>
        <w:rPr>
          <w:lang w:val="en-GB"/>
        </w:rPr>
        <w:t xml:space="preserve">the </w:t>
      </w:r>
      <w:r w:rsidRPr="00C33C0B">
        <w:rPr>
          <w:lang w:val="en-GB"/>
        </w:rPr>
        <w:t xml:space="preserve">items </w:t>
      </w:r>
      <w:r>
        <w:rPr>
          <w:lang w:val="en-GB"/>
        </w:rPr>
        <w:t xml:space="preserve">under review </w:t>
      </w:r>
      <w:r w:rsidRPr="00C33C0B">
        <w:rPr>
          <w:lang w:val="en-GB"/>
        </w:rPr>
        <w:t>can be found in Appendix A – Index of items.</w:t>
      </w:r>
      <w:r>
        <w:rPr>
          <w:lang w:val="en-GB"/>
        </w:rPr>
        <w:t xml:space="preserve"> </w:t>
      </w:r>
    </w:p>
    <w:p w14:paraId="23D13E83" w14:textId="77777777" w:rsidR="00C13D6A" w:rsidRPr="00C33C0B" w:rsidRDefault="00F02357" w:rsidP="0065723A">
      <w:pPr>
        <w:rPr>
          <w:lang w:val="en-GB"/>
        </w:rPr>
      </w:pPr>
      <w:r>
        <w:rPr>
          <w:lang w:val="en-GB"/>
        </w:rPr>
        <w:t>A</w:t>
      </w:r>
      <w:r w:rsidR="00C13D6A" w:rsidRPr="00C33C0B">
        <w:rPr>
          <w:lang w:val="en-GB"/>
        </w:rPr>
        <w:t xml:space="preserve"> number of professional attendance items </w:t>
      </w:r>
      <w:r w:rsidR="00DA23A9">
        <w:rPr>
          <w:lang w:val="en-GB"/>
        </w:rPr>
        <w:t xml:space="preserve">are </w:t>
      </w:r>
      <w:r w:rsidR="00C13D6A" w:rsidRPr="00C33C0B">
        <w:rPr>
          <w:lang w:val="en-GB"/>
        </w:rPr>
        <w:t xml:space="preserve">outside the scope of this review as </w:t>
      </w:r>
      <w:r w:rsidR="00044A34">
        <w:rPr>
          <w:lang w:val="en-GB"/>
        </w:rPr>
        <w:t>they</w:t>
      </w:r>
      <w:r w:rsidR="00C13D6A" w:rsidRPr="00C33C0B">
        <w:rPr>
          <w:lang w:val="en-GB"/>
        </w:rPr>
        <w:t xml:space="preserve"> are </w:t>
      </w:r>
      <w:r w:rsidR="003D725B">
        <w:rPr>
          <w:lang w:val="en-GB"/>
        </w:rPr>
        <w:t>the subject of review</w:t>
      </w:r>
      <w:r w:rsidR="00C13D6A" w:rsidRPr="00C33C0B">
        <w:rPr>
          <w:lang w:val="en-GB"/>
        </w:rPr>
        <w:t xml:space="preserve"> by other </w:t>
      </w:r>
      <w:r w:rsidR="00905100">
        <w:rPr>
          <w:lang w:val="en-GB"/>
        </w:rPr>
        <w:t>clinical c</w:t>
      </w:r>
      <w:r w:rsidR="00C13D6A" w:rsidRPr="00C33C0B">
        <w:rPr>
          <w:lang w:val="en-GB"/>
        </w:rPr>
        <w:t>o</w:t>
      </w:r>
      <w:r w:rsidR="00981AD4" w:rsidRPr="00C33C0B">
        <w:rPr>
          <w:lang w:val="en-GB"/>
        </w:rPr>
        <w:t>mmittees</w:t>
      </w:r>
      <w:r w:rsidR="00695F0B" w:rsidRPr="00C33C0B">
        <w:rPr>
          <w:lang w:val="en-GB"/>
        </w:rPr>
        <w:t>, including</w:t>
      </w:r>
      <w:r w:rsidR="00603074">
        <w:rPr>
          <w:lang w:val="en-GB"/>
        </w:rPr>
        <w:t xml:space="preserve"> specific</w:t>
      </w:r>
      <w:r w:rsidR="00695F0B" w:rsidRPr="00C33C0B">
        <w:rPr>
          <w:lang w:val="en-GB"/>
        </w:rPr>
        <w:t xml:space="preserve"> </w:t>
      </w:r>
      <w:r w:rsidR="00981AD4" w:rsidRPr="00C33C0B">
        <w:rPr>
          <w:lang w:val="en-GB"/>
        </w:rPr>
        <w:t xml:space="preserve">attendance items </w:t>
      </w:r>
      <w:r w:rsidR="00C13D6A" w:rsidRPr="00C33C0B">
        <w:rPr>
          <w:lang w:val="en-GB"/>
        </w:rPr>
        <w:t xml:space="preserve">for </w:t>
      </w:r>
      <w:r w:rsidR="004A00FB">
        <w:rPr>
          <w:lang w:val="en-GB"/>
        </w:rPr>
        <w:t>p</w:t>
      </w:r>
      <w:r w:rsidR="00C13D6A" w:rsidRPr="00C33C0B">
        <w:rPr>
          <w:lang w:val="en-GB"/>
        </w:rPr>
        <w:t xml:space="preserve">sychiatry, </w:t>
      </w:r>
      <w:r w:rsidR="004A00FB">
        <w:rPr>
          <w:lang w:val="en-GB"/>
        </w:rPr>
        <w:t>e</w:t>
      </w:r>
      <w:r w:rsidR="00C13D6A" w:rsidRPr="00C33C0B">
        <w:rPr>
          <w:lang w:val="en-GB"/>
        </w:rPr>
        <w:t xml:space="preserve">mergency </w:t>
      </w:r>
      <w:r w:rsidR="004A00FB">
        <w:rPr>
          <w:lang w:val="en-GB"/>
        </w:rPr>
        <w:t>m</w:t>
      </w:r>
      <w:r w:rsidR="00C13D6A" w:rsidRPr="00C33C0B">
        <w:rPr>
          <w:lang w:val="en-GB"/>
        </w:rPr>
        <w:t xml:space="preserve">edicine, </w:t>
      </w:r>
      <w:r w:rsidR="004A00FB">
        <w:rPr>
          <w:lang w:val="en-GB"/>
        </w:rPr>
        <w:t>a</w:t>
      </w:r>
      <w:r w:rsidR="00C13D6A" w:rsidRPr="00C33C0B">
        <w:rPr>
          <w:lang w:val="en-GB"/>
        </w:rPr>
        <w:t xml:space="preserve">naesthetics, </w:t>
      </w:r>
      <w:r w:rsidR="004A00FB">
        <w:rPr>
          <w:lang w:val="en-GB"/>
        </w:rPr>
        <w:t>i</w:t>
      </w:r>
      <w:r w:rsidR="00C13D6A" w:rsidRPr="00C33C0B">
        <w:rPr>
          <w:lang w:val="en-GB"/>
        </w:rPr>
        <w:t xml:space="preserve">ntensive </w:t>
      </w:r>
      <w:r w:rsidR="004A00FB">
        <w:rPr>
          <w:lang w:val="en-GB"/>
        </w:rPr>
        <w:t>c</w:t>
      </w:r>
      <w:r w:rsidR="00C13D6A" w:rsidRPr="00C33C0B">
        <w:rPr>
          <w:lang w:val="en-GB"/>
        </w:rPr>
        <w:t xml:space="preserve">are, </w:t>
      </w:r>
      <w:r w:rsidR="005472BB">
        <w:rPr>
          <w:lang w:val="en-GB"/>
        </w:rPr>
        <w:t>obstetrics</w:t>
      </w:r>
      <w:r w:rsidR="005472BB" w:rsidRPr="00C33C0B">
        <w:rPr>
          <w:lang w:val="en-GB"/>
        </w:rPr>
        <w:t xml:space="preserve"> </w:t>
      </w:r>
      <w:r w:rsidR="00C13D6A" w:rsidRPr="00C33C0B">
        <w:rPr>
          <w:lang w:val="en-GB"/>
        </w:rPr>
        <w:t xml:space="preserve">and </w:t>
      </w:r>
      <w:r w:rsidR="005472BB">
        <w:rPr>
          <w:lang w:val="en-GB"/>
        </w:rPr>
        <w:t>general practice</w:t>
      </w:r>
      <w:r w:rsidR="00695F0B" w:rsidRPr="00C33C0B">
        <w:rPr>
          <w:lang w:val="en-GB"/>
        </w:rPr>
        <w:t>.</w:t>
      </w:r>
    </w:p>
    <w:p w14:paraId="2D57EEEC" w14:textId="77777777" w:rsidR="004A116E" w:rsidRPr="00C33C0B" w:rsidRDefault="00A921C1" w:rsidP="0065723A">
      <w:pPr>
        <w:rPr>
          <w:lang w:val="en-GB"/>
        </w:rPr>
      </w:pPr>
      <w:r w:rsidRPr="00C33C0B">
        <w:rPr>
          <w:lang w:val="en-GB"/>
        </w:rPr>
        <w:t>In 2016/17, the</w:t>
      </w:r>
      <w:r w:rsidR="00822644">
        <w:rPr>
          <w:lang w:val="en-GB"/>
        </w:rPr>
        <w:t xml:space="preserve"> attendance</w:t>
      </w:r>
      <w:r w:rsidRPr="00C33C0B">
        <w:rPr>
          <w:lang w:val="en-GB"/>
        </w:rPr>
        <w:t xml:space="preserve"> items</w:t>
      </w:r>
      <w:r w:rsidR="00822644">
        <w:rPr>
          <w:lang w:val="en-GB"/>
        </w:rPr>
        <w:t xml:space="preserve"> reviewed by the Committee</w:t>
      </w:r>
      <w:r w:rsidRPr="00C33C0B">
        <w:rPr>
          <w:lang w:val="en-GB"/>
        </w:rPr>
        <w:t xml:space="preserve"> accounted for approximately 26 million</w:t>
      </w:r>
      <w:r w:rsidR="003048BA">
        <w:rPr>
          <w:lang w:val="en-GB"/>
        </w:rPr>
        <w:t xml:space="preserve"> </w:t>
      </w:r>
      <w:r w:rsidRPr="00C33C0B">
        <w:rPr>
          <w:lang w:val="en-GB"/>
        </w:rPr>
        <w:t xml:space="preserve">services and $1.9 billion in benefits. Over the past five years, service volumes for these items have grown at </w:t>
      </w:r>
      <w:r w:rsidR="005F63CE" w:rsidRPr="00C33C0B">
        <w:rPr>
          <w:lang w:val="en-GB"/>
        </w:rPr>
        <w:t>4.2</w:t>
      </w:r>
      <w:r w:rsidR="008A23EB">
        <w:rPr>
          <w:lang w:val="en-GB"/>
        </w:rPr>
        <w:t xml:space="preserve"> per cent</w:t>
      </w:r>
      <w:r w:rsidR="005F63CE" w:rsidRPr="00C33C0B">
        <w:rPr>
          <w:lang w:val="en-GB"/>
        </w:rPr>
        <w:t xml:space="preserve"> </w:t>
      </w:r>
      <w:r w:rsidRPr="00C33C0B">
        <w:rPr>
          <w:lang w:val="en-GB"/>
        </w:rPr>
        <w:t>per year, and the cost of benefits has increased by 5.5</w:t>
      </w:r>
      <w:r w:rsidR="00B00A6A">
        <w:rPr>
          <w:lang w:val="en-GB"/>
        </w:rPr>
        <w:t xml:space="preserve"> per cent</w:t>
      </w:r>
      <w:r w:rsidR="005F63CE" w:rsidRPr="00C33C0B">
        <w:rPr>
          <w:lang w:val="en-GB"/>
        </w:rPr>
        <w:t xml:space="preserve"> </w:t>
      </w:r>
      <w:r w:rsidRPr="00C33C0B">
        <w:rPr>
          <w:lang w:val="en-GB"/>
        </w:rPr>
        <w:t>per year</w:t>
      </w:r>
      <w:r w:rsidR="00AF7ED3">
        <w:rPr>
          <w:lang w:val="en-GB"/>
        </w:rPr>
        <w:t xml:space="preserve"> (</w:t>
      </w:r>
      <w:r w:rsidR="00484C45">
        <w:rPr>
          <w:lang w:val="en-GB"/>
        </w:rPr>
        <w:t>r</w:t>
      </w:r>
      <w:r w:rsidR="00AF7ED3">
        <w:rPr>
          <w:lang w:val="en-GB"/>
        </w:rPr>
        <w:t>efer to Figure</w:t>
      </w:r>
      <w:r w:rsidR="00AF7ED3" w:rsidRPr="00C33C0B">
        <w:rPr>
          <w:lang w:val="en-GB"/>
        </w:rPr>
        <w:t xml:space="preserve"> </w:t>
      </w:r>
      <w:r w:rsidR="00AF7ED3">
        <w:rPr>
          <w:lang w:val="en-GB"/>
        </w:rPr>
        <w:t>2</w:t>
      </w:r>
      <w:r w:rsidRPr="00C33C0B">
        <w:rPr>
          <w:lang w:val="en-GB"/>
        </w:rPr>
        <w:t xml:space="preserve">. This growth is largely </w:t>
      </w:r>
      <w:r w:rsidR="003D725B">
        <w:rPr>
          <w:lang w:val="en-GB"/>
        </w:rPr>
        <w:t>accounted for</w:t>
      </w:r>
      <w:r w:rsidR="003D725B" w:rsidRPr="00C33C0B">
        <w:rPr>
          <w:lang w:val="en-GB"/>
        </w:rPr>
        <w:t xml:space="preserve"> </w:t>
      </w:r>
      <w:r w:rsidRPr="00C33C0B">
        <w:rPr>
          <w:lang w:val="en-GB"/>
        </w:rPr>
        <w:t>by a 2.6</w:t>
      </w:r>
      <w:r w:rsidR="00257570">
        <w:rPr>
          <w:lang w:val="en-GB"/>
        </w:rPr>
        <w:t xml:space="preserve"> per cent</w:t>
      </w:r>
      <w:r w:rsidR="00BA5BCC" w:rsidRPr="00C33C0B">
        <w:rPr>
          <w:lang w:val="en-GB"/>
        </w:rPr>
        <w:t xml:space="preserve"> increase </w:t>
      </w:r>
      <w:r w:rsidRPr="00C33C0B">
        <w:rPr>
          <w:lang w:val="en-GB"/>
        </w:rPr>
        <w:t>in services per head of population</w:t>
      </w:r>
      <w:r w:rsidR="00AF7ED3">
        <w:rPr>
          <w:lang w:val="en-GB"/>
        </w:rPr>
        <w:t>,</w:t>
      </w:r>
      <w:r w:rsidR="00F34696" w:rsidRPr="00C33C0B">
        <w:rPr>
          <w:lang w:val="en-GB"/>
        </w:rPr>
        <w:t xml:space="preserve"> </w:t>
      </w:r>
      <w:r w:rsidR="00BA5BCC" w:rsidRPr="00C33C0B">
        <w:rPr>
          <w:lang w:val="en-GB"/>
        </w:rPr>
        <w:t>likely as a result of an ageing population and the incr</w:t>
      </w:r>
      <w:r w:rsidR="00F34696" w:rsidRPr="00C33C0B">
        <w:rPr>
          <w:lang w:val="en-GB"/>
        </w:rPr>
        <w:t>eased burden of chronic disease</w:t>
      </w:r>
      <w:r w:rsidR="00AF7ED3">
        <w:rPr>
          <w:lang w:val="en-GB"/>
        </w:rPr>
        <w:t>.</w:t>
      </w:r>
    </w:p>
    <w:p w14:paraId="2175AA94" w14:textId="77777777" w:rsidR="004A116E" w:rsidRPr="001B08A1" w:rsidRDefault="001B08A1" w:rsidP="00BC53AC">
      <w:pPr>
        <w:pStyle w:val="60exhnormal"/>
        <w:keepNext/>
        <w:keepLines/>
        <w:rPr>
          <w:rFonts w:asciiTheme="minorHAnsi" w:hAnsiTheme="minorHAnsi" w:cstheme="minorHAnsi"/>
          <w:b/>
          <w:sz w:val="20"/>
          <w:lang w:val="en-GB"/>
        </w:rPr>
      </w:pPr>
      <w:bookmarkStart w:id="93" w:name="_Toc529028434"/>
      <w:r>
        <w:rPr>
          <w:rFonts w:asciiTheme="minorHAnsi" w:hAnsiTheme="minorHAnsi" w:cstheme="minorHAnsi"/>
          <w:b/>
          <w:caps w:val="0"/>
          <w:sz w:val="20"/>
          <w:lang w:val="en-GB"/>
        </w:rPr>
        <w:t>Figure</w:t>
      </w:r>
      <w:r w:rsidR="0092016F" w:rsidRPr="001B08A1">
        <w:rPr>
          <w:rFonts w:asciiTheme="minorHAnsi" w:hAnsiTheme="minorHAnsi" w:cstheme="minorHAnsi"/>
          <w:b/>
          <w:caps w:val="0"/>
          <w:sz w:val="20"/>
          <w:lang w:val="en-GB"/>
        </w:rPr>
        <w:t xml:space="preserve"> </w:t>
      </w:r>
      <w:r w:rsidR="00A7304F">
        <w:rPr>
          <w:rFonts w:asciiTheme="minorHAnsi" w:hAnsiTheme="minorHAnsi" w:cstheme="minorHAnsi"/>
          <w:b/>
          <w:caps w:val="0"/>
          <w:sz w:val="20"/>
          <w:lang w:val="en-GB"/>
        </w:rPr>
        <w:t>2</w:t>
      </w:r>
      <w:r w:rsidR="0092016F" w:rsidRPr="001B08A1">
        <w:rPr>
          <w:rFonts w:asciiTheme="minorHAnsi" w:hAnsiTheme="minorHAnsi" w:cstheme="minorHAnsi"/>
          <w:b/>
          <w:sz w:val="20"/>
          <w:lang w:val="en-GB"/>
        </w:rPr>
        <w:t xml:space="preserve">: </w:t>
      </w:r>
      <w:r w:rsidR="0092016F" w:rsidRPr="001B08A1">
        <w:rPr>
          <w:rFonts w:asciiTheme="minorHAnsi" w:hAnsiTheme="minorHAnsi" w:cstheme="minorHAnsi"/>
          <w:b/>
          <w:caps w:val="0"/>
          <w:sz w:val="20"/>
          <w:lang w:val="en-GB"/>
        </w:rPr>
        <w:t>Drivers of benefit growth</w:t>
      </w:r>
      <w:r w:rsidR="00484C45">
        <w:rPr>
          <w:rFonts w:asciiTheme="minorHAnsi" w:hAnsiTheme="minorHAnsi" w:cstheme="minorHAnsi"/>
          <w:b/>
          <w:caps w:val="0"/>
          <w:sz w:val="20"/>
          <w:lang w:val="en-GB"/>
        </w:rPr>
        <w:t xml:space="preserve"> -</w:t>
      </w:r>
      <w:r w:rsidR="006A347E" w:rsidRPr="001B08A1">
        <w:rPr>
          <w:rFonts w:asciiTheme="minorHAnsi" w:hAnsiTheme="minorHAnsi" w:cstheme="minorHAnsi"/>
          <w:b/>
          <w:caps w:val="0"/>
          <w:sz w:val="20"/>
          <w:lang w:val="en-GB"/>
        </w:rPr>
        <w:t xml:space="preserve"> </w:t>
      </w:r>
      <w:r w:rsidR="0092016F" w:rsidRPr="001B08A1">
        <w:rPr>
          <w:rFonts w:asciiTheme="minorHAnsi" w:hAnsiTheme="minorHAnsi" w:cstheme="minorHAnsi"/>
          <w:b/>
          <w:caps w:val="0"/>
          <w:sz w:val="20"/>
          <w:lang w:val="en-GB"/>
        </w:rPr>
        <w:t>201</w:t>
      </w:r>
      <w:r w:rsidR="006A347E" w:rsidRPr="001B08A1">
        <w:rPr>
          <w:rFonts w:asciiTheme="minorHAnsi" w:hAnsiTheme="minorHAnsi" w:cstheme="minorHAnsi"/>
          <w:b/>
          <w:caps w:val="0"/>
          <w:sz w:val="20"/>
          <w:lang w:val="en-GB"/>
        </w:rPr>
        <w:t>1/</w:t>
      </w:r>
      <w:r w:rsidR="0092016F" w:rsidRPr="001B08A1">
        <w:rPr>
          <w:rFonts w:asciiTheme="minorHAnsi" w:hAnsiTheme="minorHAnsi" w:cstheme="minorHAnsi"/>
          <w:b/>
          <w:caps w:val="0"/>
          <w:sz w:val="20"/>
          <w:lang w:val="en-GB"/>
        </w:rPr>
        <w:t>12 to 2016</w:t>
      </w:r>
      <w:r w:rsidR="006A347E" w:rsidRPr="001B08A1">
        <w:rPr>
          <w:rFonts w:asciiTheme="minorHAnsi" w:hAnsiTheme="minorHAnsi" w:cstheme="minorHAnsi"/>
          <w:b/>
          <w:caps w:val="0"/>
          <w:sz w:val="20"/>
          <w:lang w:val="en-GB"/>
        </w:rPr>
        <w:t>/</w:t>
      </w:r>
      <w:r w:rsidR="0092016F" w:rsidRPr="001B08A1">
        <w:rPr>
          <w:rFonts w:asciiTheme="minorHAnsi" w:hAnsiTheme="minorHAnsi" w:cstheme="minorHAnsi"/>
          <w:b/>
          <w:caps w:val="0"/>
          <w:sz w:val="20"/>
          <w:lang w:val="en-GB"/>
        </w:rPr>
        <w:t>17</w:t>
      </w:r>
      <w:bookmarkEnd w:id="93"/>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4A116E" w:rsidRPr="00C33C0B" w14:paraId="210BD0AB" w14:textId="77777777" w:rsidTr="00AF3BAB">
        <w:trPr>
          <w:cantSplit/>
        </w:trPr>
        <w:tc>
          <w:tcPr>
            <w:tcW w:w="5000" w:type="pct"/>
          </w:tcPr>
          <w:p w14:paraId="3A1DB73F" w14:textId="77777777" w:rsidR="004A116E" w:rsidRPr="00C33C0B" w:rsidRDefault="004A116E">
            <w:pPr>
              <w:pStyle w:val="70exhtblnormal"/>
              <w:rPr>
                <w:lang w:val="en-GB"/>
              </w:rPr>
            </w:pPr>
            <w:r w:rsidRPr="00C33C0B">
              <w:rPr>
                <w:noProof/>
                <w:lang w:val="en-AU" w:eastAsia="en-AU"/>
              </w:rPr>
              <w:drawing>
                <wp:inline distT="0" distB="0" distL="0" distR="0" wp14:anchorId="1F4DE50B" wp14:editId="0A589471">
                  <wp:extent cx="5172075" cy="3819525"/>
                  <wp:effectExtent l="0" t="0" r="9525" b="9525"/>
                  <wp:docPr id="8" name="Picture 8" descr="Figure 2 illustrates the compounded annual growth in the number of services per capita, total benefits and average benefits per service over the past five years, from the 2011/12 financial year to the 2016-17 financial year." title="Figure 2: Drivers of benefit growth 2011/12 to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72075" cy="3819525"/>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5D50EF5C" w14:textId="77777777" w:rsidR="00484C45" w:rsidRPr="00EF734E" w:rsidRDefault="00A921C1" w:rsidP="00607BDA">
      <w:pPr>
        <w:rPr>
          <w:lang w:val="en-GB"/>
        </w:rPr>
      </w:pPr>
      <w:r w:rsidRPr="00EF734E">
        <w:rPr>
          <w:lang w:val="en-GB"/>
        </w:rPr>
        <w:t xml:space="preserve">The Committee was also asked to consider seven priority issues </w:t>
      </w:r>
      <w:r w:rsidR="00046004" w:rsidRPr="00EF734E">
        <w:rPr>
          <w:lang w:val="en-GB"/>
        </w:rPr>
        <w:t xml:space="preserve">identified </w:t>
      </w:r>
      <w:r w:rsidRPr="00EF734E">
        <w:rPr>
          <w:lang w:val="en-GB"/>
        </w:rPr>
        <w:t>by the Taskforce</w:t>
      </w:r>
      <w:r w:rsidR="00487674" w:rsidRPr="00EF734E">
        <w:rPr>
          <w:lang w:val="en-GB"/>
        </w:rPr>
        <w:t>. These</w:t>
      </w:r>
      <w:r w:rsidRPr="00EF734E">
        <w:rPr>
          <w:lang w:val="en-GB"/>
        </w:rPr>
        <w:t xml:space="preserve"> </w:t>
      </w:r>
      <w:r w:rsidR="00476F5B" w:rsidRPr="00EF734E">
        <w:rPr>
          <w:lang w:val="en-GB"/>
        </w:rPr>
        <w:t xml:space="preserve">issues are </w:t>
      </w:r>
      <w:r w:rsidRPr="00EF734E">
        <w:rPr>
          <w:lang w:val="en-GB"/>
        </w:rPr>
        <w:t>largely structural in nature</w:t>
      </w:r>
      <w:r w:rsidR="00487674" w:rsidRPr="00EF734E">
        <w:rPr>
          <w:lang w:val="en-GB"/>
        </w:rPr>
        <w:t xml:space="preserve">, </w:t>
      </w:r>
      <w:r w:rsidRPr="00EF734E">
        <w:rPr>
          <w:lang w:val="en-GB"/>
        </w:rPr>
        <w:t>rather than item</w:t>
      </w:r>
      <w:r w:rsidR="000B35AC" w:rsidRPr="00EF734E">
        <w:rPr>
          <w:lang w:val="en-GB"/>
        </w:rPr>
        <w:t>-</w:t>
      </w:r>
      <w:r w:rsidRPr="00EF734E">
        <w:rPr>
          <w:lang w:val="en-GB"/>
        </w:rPr>
        <w:t xml:space="preserve">specific </w:t>
      </w:r>
      <w:r w:rsidR="000B35AC" w:rsidRPr="00EF734E">
        <w:rPr>
          <w:lang w:val="en-GB"/>
        </w:rPr>
        <w:t>(</w:t>
      </w:r>
      <w:r w:rsidR="00484C45" w:rsidRPr="00EF734E">
        <w:rPr>
          <w:lang w:val="en-GB"/>
        </w:rPr>
        <w:t xml:space="preserve">refer to </w:t>
      </w:r>
      <w:r w:rsidR="00346844">
        <w:rPr>
          <w:lang w:val="en-GB"/>
        </w:rPr>
        <w:t>T</w:t>
      </w:r>
      <w:r w:rsidR="0001226A">
        <w:rPr>
          <w:lang w:val="en-GB"/>
        </w:rPr>
        <w:t xml:space="preserve">able </w:t>
      </w:r>
      <w:r w:rsidR="00C035DF">
        <w:rPr>
          <w:lang w:val="en-GB"/>
        </w:rPr>
        <w:t>2</w:t>
      </w:r>
      <w:r w:rsidR="001113FC" w:rsidRPr="00EF734E">
        <w:rPr>
          <w:lang w:val="en-GB"/>
        </w:rPr>
        <w:t>). The Taskforce referred t</w:t>
      </w:r>
      <w:r w:rsidRPr="00EF734E">
        <w:rPr>
          <w:lang w:val="en-GB"/>
        </w:rPr>
        <w:t xml:space="preserve">wo </w:t>
      </w:r>
      <w:r w:rsidR="001113FC" w:rsidRPr="00EF734E">
        <w:rPr>
          <w:lang w:val="en-GB"/>
        </w:rPr>
        <w:t xml:space="preserve">further </w:t>
      </w:r>
      <w:r w:rsidRPr="00EF734E">
        <w:rPr>
          <w:lang w:val="en-GB"/>
        </w:rPr>
        <w:t>issues</w:t>
      </w:r>
      <w:r w:rsidR="001113FC" w:rsidRPr="00EF734E">
        <w:rPr>
          <w:lang w:val="en-GB"/>
        </w:rPr>
        <w:t xml:space="preserve"> to the Committee</w:t>
      </w:r>
      <w:r w:rsidRPr="00EF734E">
        <w:rPr>
          <w:lang w:val="en-GB"/>
        </w:rPr>
        <w:t>, as requested by the Minister</w:t>
      </w:r>
      <w:r w:rsidR="001113FC" w:rsidRPr="00EF734E">
        <w:rPr>
          <w:lang w:val="en-GB"/>
        </w:rPr>
        <w:t>:</w:t>
      </w:r>
    </w:p>
    <w:p w14:paraId="04FB81F4" w14:textId="77777777" w:rsidR="00484C45" w:rsidRDefault="00A921C1" w:rsidP="00607BDA">
      <w:pPr>
        <w:pStyle w:val="Bullet-green"/>
        <w:rPr>
          <w:lang w:val="en-GB"/>
        </w:rPr>
      </w:pPr>
      <w:r w:rsidRPr="00484C45">
        <w:rPr>
          <w:lang w:val="en-GB"/>
        </w:rPr>
        <w:t>referral practices</w:t>
      </w:r>
      <w:r w:rsidR="00482B19">
        <w:rPr>
          <w:lang w:val="en-GB"/>
        </w:rPr>
        <w:t>;</w:t>
      </w:r>
      <w:r w:rsidRPr="00484C45">
        <w:rPr>
          <w:lang w:val="en-GB"/>
        </w:rPr>
        <w:t xml:space="preserve"> and</w:t>
      </w:r>
    </w:p>
    <w:p w14:paraId="3FB525D6" w14:textId="77777777" w:rsidR="00AF7ED3" w:rsidRPr="00484C45" w:rsidRDefault="003D725B" w:rsidP="00607BDA">
      <w:pPr>
        <w:pStyle w:val="Bullet-green"/>
        <w:rPr>
          <w:lang w:val="en-GB"/>
        </w:rPr>
      </w:pPr>
      <w:r w:rsidRPr="00484C45">
        <w:rPr>
          <w:lang w:val="en-GB"/>
        </w:rPr>
        <w:t xml:space="preserve">incentivising </w:t>
      </w:r>
      <w:r w:rsidR="00A921C1" w:rsidRPr="00484C45">
        <w:rPr>
          <w:lang w:val="en-GB"/>
        </w:rPr>
        <w:t>the uptake of My Health Record.</w:t>
      </w:r>
    </w:p>
    <w:p w14:paraId="2379656D" w14:textId="77777777" w:rsidR="00EA23F7" w:rsidRDefault="00EA23F7" w:rsidP="0004747F">
      <w:pPr>
        <w:pStyle w:val="60exhnormal"/>
        <w:rPr>
          <w:rFonts w:cstheme="minorHAnsi"/>
          <w:b/>
          <w:caps w:val="0"/>
          <w:sz w:val="18"/>
          <w:lang w:val="en-GB"/>
        </w:rPr>
      </w:pPr>
    </w:p>
    <w:p w14:paraId="0334C28B" w14:textId="77777777" w:rsidR="0092016F" w:rsidRPr="0004747F" w:rsidRDefault="00EA23F7" w:rsidP="0004747F">
      <w:pPr>
        <w:pStyle w:val="60exhnormal"/>
        <w:rPr>
          <w:rFonts w:cstheme="minorHAnsi"/>
          <w:b/>
          <w:sz w:val="18"/>
          <w:lang w:val="en-GB"/>
        </w:rPr>
      </w:pPr>
      <w:bookmarkStart w:id="94" w:name="_Toc529028435"/>
      <w:r>
        <w:rPr>
          <w:rFonts w:cstheme="minorHAnsi"/>
          <w:b/>
          <w:caps w:val="0"/>
          <w:sz w:val="18"/>
          <w:lang w:val="en-GB"/>
        </w:rPr>
        <w:t>Table 2</w:t>
      </w:r>
      <w:r w:rsidR="0004747F" w:rsidRPr="0004747F">
        <w:rPr>
          <w:rFonts w:cstheme="minorHAnsi"/>
          <w:b/>
          <w:caps w:val="0"/>
          <w:sz w:val="18"/>
          <w:lang w:val="en-GB"/>
        </w:rPr>
        <w:t xml:space="preserve">: Priority </w:t>
      </w:r>
      <w:r w:rsidR="0054010A">
        <w:rPr>
          <w:rFonts w:cstheme="minorHAnsi"/>
          <w:b/>
          <w:caps w:val="0"/>
          <w:sz w:val="18"/>
          <w:lang w:val="en-GB"/>
        </w:rPr>
        <w:t>i</w:t>
      </w:r>
      <w:r w:rsidR="0004747F" w:rsidRPr="0004747F">
        <w:rPr>
          <w:rFonts w:cstheme="minorHAnsi"/>
          <w:b/>
          <w:caps w:val="0"/>
          <w:sz w:val="18"/>
          <w:lang w:val="en-GB"/>
        </w:rPr>
        <w:t xml:space="preserve">ssues to </w:t>
      </w:r>
      <w:r w:rsidR="0054010A">
        <w:rPr>
          <w:rFonts w:cstheme="minorHAnsi"/>
          <w:b/>
          <w:caps w:val="0"/>
          <w:sz w:val="18"/>
          <w:lang w:val="en-GB"/>
        </w:rPr>
        <w:t>a</w:t>
      </w:r>
      <w:r w:rsidR="0004747F" w:rsidRPr="0004747F">
        <w:rPr>
          <w:rFonts w:cstheme="minorHAnsi"/>
          <w:b/>
          <w:caps w:val="0"/>
          <w:sz w:val="18"/>
          <w:lang w:val="en-GB"/>
        </w:rPr>
        <w:t xml:space="preserve">ddress in the </w:t>
      </w:r>
      <w:r w:rsidR="0054010A">
        <w:rPr>
          <w:rFonts w:cstheme="minorHAnsi"/>
          <w:b/>
          <w:caps w:val="0"/>
          <w:sz w:val="18"/>
          <w:lang w:val="en-GB"/>
        </w:rPr>
        <w:t>c</w:t>
      </w:r>
      <w:r w:rsidR="0004747F" w:rsidRPr="0004747F">
        <w:rPr>
          <w:rFonts w:cstheme="minorHAnsi"/>
          <w:b/>
          <w:caps w:val="0"/>
          <w:sz w:val="18"/>
          <w:lang w:val="en-GB"/>
        </w:rPr>
        <w:t xml:space="preserve">ommittee’s </w:t>
      </w:r>
      <w:r w:rsidR="0054010A">
        <w:rPr>
          <w:rFonts w:cstheme="minorHAnsi"/>
          <w:b/>
          <w:caps w:val="0"/>
          <w:sz w:val="18"/>
          <w:lang w:val="en-GB"/>
        </w:rPr>
        <w:t>r</w:t>
      </w:r>
      <w:r w:rsidR="0004747F" w:rsidRPr="0004747F">
        <w:rPr>
          <w:rFonts w:cstheme="minorHAnsi"/>
          <w:b/>
          <w:caps w:val="0"/>
          <w:sz w:val="18"/>
          <w:lang w:val="en-GB"/>
        </w:rPr>
        <w:t>eview</w:t>
      </w:r>
      <w:bookmarkEnd w:id="94"/>
    </w:p>
    <w:tbl>
      <w:tblPr>
        <w:tblStyle w:val="TableGrid2"/>
        <w:tblW w:w="8506" w:type="dxa"/>
        <w:tblInd w:w="-147" w:type="dxa"/>
        <w:tblLayout w:type="fixed"/>
        <w:tblLook w:val="04A0" w:firstRow="1" w:lastRow="0" w:firstColumn="1" w:lastColumn="0" w:noHBand="0" w:noVBand="1"/>
        <w:tblCaption w:val="Table 2: Priority issues to address in the committee's review"/>
        <w:tblDescription w:val="Table 2 lists the issues that were prioritised by the committee and describes why they were important. "/>
      </w:tblPr>
      <w:tblGrid>
        <w:gridCol w:w="2977"/>
        <w:gridCol w:w="5529"/>
      </w:tblGrid>
      <w:tr w:rsidR="00EA23F7" w14:paraId="4DEC33E3" w14:textId="77777777" w:rsidTr="0067037B">
        <w:trPr>
          <w:trHeight w:val="317"/>
          <w:tblHeader/>
        </w:trPr>
        <w:tc>
          <w:tcPr>
            <w:tcW w:w="2977" w:type="dxa"/>
          </w:tcPr>
          <w:p w14:paraId="1A180DF7" w14:textId="77777777" w:rsidR="00EA23F7" w:rsidRPr="004F4165" w:rsidRDefault="00EA23F7" w:rsidP="007F023B">
            <w:pPr>
              <w:rPr>
                <w:rFonts w:cstheme="minorHAnsi"/>
                <w:b/>
                <w:color w:val="548DD4" w:themeColor="text2" w:themeTint="99"/>
              </w:rPr>
            </w:pPr>
            <w:r w:rsidRPr="004F4165">
              <w:rPr>
                <w:rFonts w:cstheme="minorHAnsi"/>
                <w:b/>
                <w:color w:val="548DD4" w:themeColor="text2" w:themeTint="99"/>
              </w:rPr>
              <w:t>Issues</w:t>
            </w:r>
          </w:p>
        </w:tc>
        <w:tc>
          <w:tcPr>
            <w:tcW w:w="5529" w:type="dxa"/>
          </w:tcPr>
          <w:p w14:paraId="27DC6A71" w14:textId="77777777" w:rsidR="00EA23F7" w:rsidRPr="004F4165" w:rsidRDefault="00EA23F7" w:rsidP="007F023B">
            <w:pPr>
              <w:ind w:left="317" w:hanging="317"/>
              <w:rPr>
                <w:rFonts w:cstheme="minorHAnsi"/>
                <w:b/>
                <w:color w:val="548DD4" w:themeColor="text2" w:themeTint="99"/>
              </w:rPr>
            </w:pPr>
            <w:r w:rsidRPr="004F4165">
              <w:rPr>
                <w:rFonts w:cstheme="minorHAnsi"/>
                <w:b/>
                <w:color w:val="548DD4" w:themeColor="text2" w:themeTint="99"/>
              </w:rPr>
              <w:t>Description</w:t>
            </w:r>
          </w:p>
        </w:tc>
      </w:tr>
      <w:tr w:rsidR="00EA23F7" w14:paraId="5CFF51BC" w14:textId="77777777" w:rsidTr="00346844">
        <w:tc>
          <w:tcPr>
            <w:tcW w:w="2977" w:type="dxa"/>
          </w:tcPr>
          <w:p w14:paraId="798F6633" w14:textId="77777777" w:rsidR="00EA23F7" w:rsidRPr="00CA2155" w:rsidRDefault="00EA23F7" w:rsidP="00CA2155">
            <w:pPr>
              <w:pStyle w:val="ListParagraph"/>
              <w:numPr>
                <w:ilvl w:val="0"/>
                <w:numId w:val="112"/>
              </w:numPr>
              <w:rPr>
                <w:rFonts w:cstheme="minorHAnsi"/>
                <w:color w:val="548DD4" w:themeColor="text2" w:themeTint="99"/>
              </w:rPr>
            </w:pPr>
            <w:r w:rsidRPr="00CA2155">
              <w:rPr>
                <w:rFonts w:cstheme="minorHAnsi"/>
                <w:color w:val="548DD4" w:themeColor="text2" w:themeTint="99"/>
              </w:rPr>
              <w:t>The structure of the attendance items may not reflect contemporary roles and profiles of different specialities</w:t>
            </w:r>
          </w:p>
        </w:tc>
        <w:tc>
          <w:tcPr>
            <w:tcW w:w="5529" w:type="dxa"/>
          </w:tcPr>
          <w:p w14:paraId="0D50B176" w14:textId="77777777" w:rsidR="00EA23F7" w:rsidRDefault="00EA23F7" w:rsidP="00EA23F7">
            <w:pPr>
              <w:numPr>
                <w:ilvl w:val="0"/>
                <w:numId w:val="107"/>
              </w:numPr>
              <w:spacing w:before="0" w:after="0" w:line="240" w:lineRule="auto"/>
              <w:ind w:left="317" w:hanging="317"/>
              <w:rPr>
                <w:rFonts w:cstheme="minorHAnsi"/>
              </w:rPr>
            </w:pPr>
            <w:r>
              <w:rPr>
                <w:rFonts w:cstheme="minorHAnsi"/>
              </w:rPr>
              <w:t>There are no requirements with regard to time or activities or assessments that should be provided under the standard attendance, in contrast to the GP attendance items.</w:t>
            </w:r>
          </w:p>
          <w:p w14:paraId="6BB4A3F4" w14:textId="77777777" w:rsidR="00EA23F7" w:rsidRDefault="00EA23F7" w:rsidP="00EA23F7">
            <w:pPr>
              <w:numPr>
                <w:ilvl w:val="0"/>
                <w:numId w:val="107"/>
              </w:numPr>
              <w:spacing w:before="0" w:after="0" w:line="240" w:lineRule="auto"/>
              <w:ind w:left="317" w:hanging="317"/>
              <w:rPr>
                <w:rFonts w:cstheme="minorHAnsi"/>
              </w:rPr>
            </w:pPr>
            <w:r>
              <w:rPr>
                <w:rFonts w:cstheme="minorHAnsi"/>
              </w:rPr>
              <w:t>Fee relativity between initial and subsequent items does not necessarily reflect resource requirement</w:t>
            </w:r>
          </w:p>
          <w:p w14:paraId="0C02A84D" w14:textId="77777777" w:rsidR="00EA23F7" w:rsidRPr="000F6FAF" w:rsidRDefault="00EA23F7" w:rsidP="00EA23F7">
            <w:pPr>
              <w:numPr>
                <w:ilvl w:val="0"/>
                <w:numId w:val="107"/>
              </w:numPr>
              <w:spacing w:before="0" w:after="0" w:line="240" w:lineRule="auto"/>
              <w:ind w:left="317" w:hanging="317"/>
              <w:rPr>
                <w:rFonts w:cstheme="minorHAnsi"/>
              </w:rPr>
            </w:pPr>
            <w:r>
              <w:rPr>
                <w:rFonts w:cstheme="minorHAnsi"/>
              </w:rPr>
              <w:t>50% loading for telehealth items was to recognise the additional time and increased professional complexity associated with provided telehealth services.  This high loading may no longer be appropriate.</w:t>
            </w:r>
          </w:p>
        </w:tc>
      </w:tr>
      <w:tr w:rsidR="00EA23F7" w14:paraId="30973F1A" w14:textId="77777777" w:rsidTr="00346844">
        <w:tc>
          <w:tcPr>
            <w:tcW w:w="2977" w:type="dxa"/>
          </w:tcPr>
          <w:p w14:paraId="49EF893D" w14:textId="77777777" w:rsidR="00EA23F7" w:rsidRPr="00CA2155" w:rsidRDefault="00EA23F7" w:rsidP="00CA2155">
            <w:pPr>
              <w:pStyle w:val="ListParagraph"/>
              <w:numPr>
                <w:ilvl w:val="0"/>
                <w:numId w:val="112"/>
              </w:numPr>
              <w:rPr>
                <w:rFonts w:cstheme="minorHAnsi"/>
                <w:color w:val="548DD4" w:themeColor="text2" w:themeTint="99"/>
              </w:rPr>
            </w:pPr>
            <w:r w:rsidRPr="00CA2155">
              <w:rPr>
                <w:rFonts w:cstheme="minorHAnsi"/>
                <w:color w:val="548DD4" w:themeColor="text2" w:themeTint="99"/>
              </w:rPr>
              <w:t>The structure of the attendance items may not reflect contemporary roles and profiles of different specialities</w:t>
            </w:r>
          </w:p>
        </w:tc>
        <w:tc>
          <w:tcPr>
            <w:tcW w:w="5529" w:type="dxa"/>
          </w:tcPr>
          <w:p w14:paraId="0570D13D" w14:textId="77777777" w:rsidR="00EA23F7" w:rsidRPr="000F6FAF" w:rsidRDefault="00EA23F7" w:rsidP="00EA23F7">
            <w:pPr>
              <w:numPr>
                <w:ilvl w:val="0"/>
                <w:numId w:val="107"/>
              </w:numPr>
              <w:spacing w:before="0" w:after="0" w:line="240" w:lineRule="auto"/>
              <w:ind w:left="317" w:hanging="317"/>
              <w:rPr>
                <w:rFonts w:cstheme="minorHAnsi"/>
              </w:rPr>
            </w:pPr>
            <w:r w:rsidRPr="000F6FAF">
              <w:rPr>
                <w:rFonts w:cstheme="minorHAnsi"/>
              </w:rPr>
              <w:t>The assumptions underlying the differentiation between specialist versus consultant physician attendances may no longer hold true due to evolution of medical practices</w:t>
            </w:r>
          </w:p>
          <w:p w14:paraId="5417D019" w14:textId="77777777" w:rsidR="00EA23F7" w:rsidRPr="004725A7" w:rsidRDefault="00EA23F7" w:rsidP="00EA23F7">
            <w:pPr>
              <w:numPr>
                <w:ilvl w:val="0"/>
                <w:numId w:val="107"/>
              </w:numPr>
              <w:spacing w:before="0" w:after="0" w:line="240" w:lineRule="auto"/>
              <w:ind w:left="317" w:hanging="317"/>
              <w:rPr>
                <w:rFonts w:cstheme="minorHAnsi"/>
              </w:rPr>
            </w:pPr>
            <w:r w:rsidRPr="000F6FAF">
              <w:rPr>
                <w:rFonts w:cstheme="minorHAnsi"/>
              </w:rPr>
              <w:t>The nature of work performed by consultant physicians has increasingly become ‘procedural’ as well as ‘cognitive’ and vice versa for specialists</w:t>
            </w:r>
          </w:p>
        </w:tc>
      </w:tr>
      <w:tr w:rsidR="00EA23F7" w14:paraId="4DFF83DF" w14:textId="77777777" w:rsidTr="00346844">
        <w:tc>
          <w:tcPr>
            <w:tcW w:w="2977" w:type="dxa"/>
          </w:tcPr>
          <w:p w14:paraId="355C9120" w14:textId="77777777" w:rsidR="00EA23F7" w:rsidRPr="00CA2155" w:rsidRDefault="00EA23F7" w:rsidP="00CA2155">
            <w:pPr>
              <w:pStyle w:val="ListParagraph"/>
              <w:numPr>
                <w:ilvl w:val="0"/>
                <w:numId w:val="112"/>
              </w:numPr>
              <w:rPr>
                <w:rFonts w:cstheme="minorHAnsi"/>
                <w:color w:val="548DD4" w:themeColor="text2" w:themeTint="99"/>
              </w:rPr>
            </w:pPr>
            <w:r w:rsidRPr="00CA2155">
              <w:rPr>
                <w:rFonts w:cstheme="minorHAnsi"/>
                <w:color w:val="548DD4" w:themeColor="text2" w:themeTint="99"/>
              </w:rPr>
              <w:t>The complex plan items may not consistently deliver the originally intended benefits to patients</w:t>
            </w:r>
          </w:p>
          <w:p w14:paraId="3B3859CF" w14:textId="77777777" w:rsidR="00EA23F7" w:rsidRPr="000F6FAF" w:rsidRDefault="00EA23F7" w:rsidP="007F023B">
            <w:pPr>
              <w:rPr>
                <w:rFonts w:cstheme="minorHAnsi"/>
                <w:color w:val="548DD4" w:themeColor="text2" w:themeTint="99"/>
              </w:rPr>
            </w:pPr>
          </w:p>
        </w:tc>
        <w:tc>
          <w:tcPr>
            <w:tcW w:w="5529" w:type="dxa"/>
          </w:tcPr>
          <w:p w14:paraId="7BDA243A" w14:textId="77777777" w:rsidR="00EA23F7" w:rsidRDefault="00EA23F7" w:rsidP="00EA23F7">
            <w:pPr>
              <w:pStyle w:val="ListParagraph"/>
              <w:numPr>
                <w:ilvl w:val="0"/>
                <w:numId w:val="108"/>
              </w:numPr>
              <w:tabs>
                <w:tab w:val="clear" w:pos="720"/>
                <w:tab w:val="num" w:pos="317"/>
              </w:tabs>
              <w:spacing w:before="0" w:after="0" w:line="240" w:lineRule="auto"/>
              <w:ind w:left="317" w:hanging="283"/>
              <w:rPr>
                <w:rFonts w:cstheme="minorHAnsi"/>
              </w:rPr>
            </w:pPr>
            <w:r w:rsidRPr="000F6FAF">
              <w:rPr>
                <w:rFonts w:cstheme="minorHAnsi"/>
              </w:rPr>
              <w:t>The</w:t>
            </w:r>
            <w:r w:rsidR="006053AB">
              <w:rPr>
                <w:rFonts w:cstheme="minorHAnsi"/>
              </w:rPr>
              <w:t>se</w:t>
            </w:r>
            <w:r w:rsidRPr="000F6FAF">
              <w:rPr>
                <w:rFonts w:cstheme="minorHAnsi"/>
              </w:rPr>
              <w:t xml:space="preserve"> items </w:t>
            </w:r>
            <w:r w:rsidR="006053AB">
              <w:rPr>
                <w:rFonts w:cstheme="minorHAnsi"/>
              </w:rPr>
              <w:t xml:space="preserve">were introduced </w:t>
            </w:r>
            <w:r w:rsidRPr="000F6FAF">
              <w:rPr>
                <w:rFonts w:cstheme="minorHAnsi"/>
              </w:rPr>
              <w:t xml:space="preserve">to support effective integrated care for consumers with complex and chronic conditions </w:t>
            </w:r>
          </w:p>
          <w:p w14:paraId="7AACB097" w14:textId="77777777" w:rsidR="00EA23F7" w:rsidRPr="000F6FAF" w:rsidRDefault="00EA23F7" w:rsidP="00EA23F7">
            <w:pPr>
              <w:pStyle w:val="ListParagraph"/>
              <w:numPr>
                <w:ilvl w:val="0"/>
                <w:numId w:val="108"/>
              </w:numPr>
              <w:tabs>
                <w:tab w:val="clear" w:pos="720"/>
                <w:tab w:val="num" w:pos="317"/>
              </w:tabs>
              <w:spacing w:before="0" w:after="0" w:line="240" w:lineRule="auto"/>
              <w:ind w:left="317" w:hanging="283"/>
              <w:rPr>
                <w:rFonts w:cstheme="minorHAnsi"/>
              </w:rPr>
            </w:pPr>
            <w:r>
              <w:rPr>
                <w:rFonts w:cstheme="minorHAnsi"/>
              </w:rPr>
              <w:t>(</w:t>
            </w:r>
            <w:r>
              <w:rPr>
                <w:rFonts w:cstheme="minorHAnsi"/>
                <w:i/>
              </w:rPr>
              <w:t>Refer to the rationale and recommendations from the General Practice/Primary Care Clinical committee)</w:t>
            </w:r>
          </w:p>
        </w:tc>
      </w:tr>
      <w:tr w:rsidR="00EA23F7" w14:paraId="72AB0F18" w14:textId="77777777" w:rsidTr="00346844">
        <w:tc>
          <w:tcPr>
            <w:tcW w:w="2977" w:type="dxa"/>
          </w:tcPr>
          <w:p w14:paraId="5E72D4F5" w14:textId="77777777" w:rsidR="00EA23F7" w:rsidRPr="00CA2155" w:rsidRDefault="00EA23F7" w:rsidP="00CA2155">
            <w:pPr>
              <w:pStyle w:val="ListParagraph"/>
              <w:numPr>
                <w:ilvl w:val="0"/>
                <w:numId w:val="112"/>
              </w:numPr>
              <w:rPr>
                <w:rFonts w:cstheme="minorHAnsi"/>
                <w:color w:val="548DD4" w:themeColor="text2" w:themeTint="99"/>
              </w:rPr>
            </w:pPr>
            <w:r w:rsidRPr="00CA2155">
              <w:rPr>
                <w:rFonts w:cstheme="minorHAnsi"/>
                <w:color w:val="548DD4" w:themeColor="text2" w:themeTint="99"/>
              </w:rPr>
              <w:t>Imbalance between procedures and consultations for some specialities</w:t>
            </w:r>
          </w:p>
        </w:tc>
        <w:tc>
          <w:tcPr>
            <w:tcW w:w="5529" w:type="dxa"/>
          </w:tcPr>
          <w:p w14:paraId="766097C3" w14:textId="77777777" w:rsidR="00EA23F7" w:rsidRPr="007E381B" w:rsidRDefault="00EA23F7" w:rsidP="00EA23F7">
            <w:pPr>
              <w:pStyle w:val="ListParagraph"/>
              <w:numPr>
                <w:ilvl w:val="0"/>
                <w:numId w:val="109"/>
              </w:numPr>
              <w:tabs>
                <w:tab w:val="clear" w:pos="754"/>
                <w:tab w:val="num" w:pos="317"/>
              </w:tabs>
              <w:spacing w:before="0" w:after="0" w:line="240" w:lineRule="auto"/>
              <w:ind w:left="317" w:hanging="283"/>
              <w:rPr>
                <w:rFonts w:cstheme="minorHAnsi"/>
              </w:rPr>
            </w:pPr>
            <w:r w:rsidRPr="007E381B">
              <w:rPr>
                <w:rFonts w:cstheme="minorHAnsi"/>
              </w:rPr>
              <w:t>The proportion of consultations undertaken relative to procedures may be suboptimal for patient outcomes</w:t>
            </w:r>
          </w:p>
        </w:tc>
      </w:tr>
      <w:tr w:rsidR="00EA23F7" w14:paraId="58DAD431" w14:textId="77777777" w:rsidTr="00346844">
        <w:tc>
          <w:tcPr>
            <w:tcW w:w="2977" w:type="dxa"/>
          </w:tcPr>
          <w:p w14:paraId="276F0448" w14:textId="77777777" w:rsidR="00EA23F7" w:rsidRPr="00CA2155" w:rsidRDefault="00EA23F7" w:rsidP="00CA2155">
            <w:pPr>
              <w:pStyle w:val="ListParagraph"/>
              <w:numPr>
                <w:ilvl w:val="0"/>
                <w:numId w:val="112"/>
              </w:numPr>
              <w:rPr>
                <w:rFonts w:cstheme="minorHAnsi"/>
                <w:color w:val="548DD4" w:themeColor="text2" w:themeTint="99"/>
              </w:rPr>
            </w:pPr>
            <w:r w:rsidRPr="00CA2155">
              <w:rPr>
                <w:rFonts w:cstheme="minorHAnsi"/>
                <w:color w:val="548DD4" w:themeColor="text2" w:themeTint="99"/>
              </w:rPr>
              <w:t>Review and assess multi-disciplinary approach</w:t>
            </w:r>
          </w:p>
        </w:tc>
        <w:tc>
          <w:tcPr>
            <w:tcW w:w="5529" w:type="dxa"/>
          </w:tcPr>
          <w:p w14:paraId="6903FBAC" w14:textId="77777777" w:rsidR="00EA23F7" w:rsidRPr="004725A7" w:rsidRDefault="00EA23F7" w:rsidP="00EA23F7">
            <w:pPr>
              <w:pStyle w:val="ListParagraph"/>
              <w:numPr>
                <w:ilvl w:val="0"/>
                <w:numId w:val="109"/>
              </w:numPr>
              <w:tabs>
                <w:tab w:val="clear" w:pos="754"/>
                <w:tab w:val="num" w:pos="317"/>
              </w:tabs>
              <w:spacing w:before="0" w:after="0" w:line="240" w:lineRule="auto"/>
              <w:ind w:left="317" w:hanging="283"/>
              <w:rPr>
                <w:rFonts w:cstheme="minorHAnsi"/>
              </w:rPr>
            </w:pPr>
            <w:r w:rsidRPr="007E381B">
              <w:rPr>
                <w:rFonts w:cstheme="minorHAnsi"/>
              </w:rPr>
              <w:t>The multi-disciplinary approach could be remodelled and assessed to facilitate better patient outcomes</w:t>
            </w:r>
          </w:p>
        </w:tc>
      </w:tr>
      <w:tr w:rsidR="00EA23F7" w14:paraId="2A4EEB48" w14:textId="77777777" w:rsidTr="00346844">
        <w:tc>
          <w:tcPr>
            <w:tcW w:w="2977" w:type="dxa"/>
          </w:tcPr>
          <w:p w14:paraId="5E0B4C6B" w14:textId="77777777" w:rsidR="0094098B" w:rsidRDefault="00EA23F7" w:rsidP="00CA2155">
            <w:pPr>
              <w:pStyle w:val="ListParagraph"/>
              <w:numPr>
                <w:ilvl w:val="0"/>
                <w:numId w:val="112"/>
              </w:numPr>
              <w:ind w:right="-1475"/>
              <w:rPr>
                <w:rFonts w:cstheme="minorHAnsi"/>
                <w:color w:val="548DD4" w:themeColor="text2" w:themeTint="99"/>
              </w:rPr>
            </w:pPr>
            <w:r w:rsidRPr="00CA2155">
              <w:rPr>
                <w:rFonts w:cstheme="minorHAnsi"/>
                <w:color w:val="548DD4" w:themeColor="text2" w:themeTint="99"/>
              </w:rPr>
              <w:t xml:space="preserve">Review GP referrals to </w:t>
            </w:r>
            <w:r w:rsidR="0094098B">
              <w:rPr>
                <w:rFonts w:cstheme="minorHAnsi"/>
                <w:color w:val="548DD4" w:themeColor="text2" w:themeTint="99"/>
              </w:rPr>
              <w:t xml:space="preserve"> </w:t>
            </w:r>
          </w:p>
          <w:p w14:paraId="727F7EEF" w14:textId="77777777" w:rsidR="0094098B" w:rsidRDefault="00EA23F7" w:rsidP="0094098B">
            <w:pPr>
              <w:pStyle w:val="ListParagraph"/>
              <w:ind w:left="360" w:right="-1475"/>
              <w:rPr>
                <w:rFonts w:cstheme="minorHAnsi"/>
                <w:color w:val="548DD4" w:themeColor="text2" w:themeTint="99"/>
              </w:rPr>
            </w:pPr>
            <w:r w:rsidRPr="00CA2155">
              <w:rPr>
                <w:rFonts w:cstheme="minorHAnsi"/>
                <w:color w:val="548DD4" w:themeColor="text2" w:themeTint="99"/>
              </w:rPr>
              <w:t>specialists and</w:t>
            </w:r>
            <w:r w:rsidR="0094098B">
              <w:rPr>
                <w:rFonts w:cstheme="minorHAnsi"/>
                <w:color w:val="548DD4" w:themeColor="text2" w:themeTint="99"/>
              </w:rPr>
              <w:t xml:space="preserve"> </w:t>
            </w:r>
            <w:r w:rsidRPr="00CA2155">
              <w:rPr>
                <w:rFonts w:cstheme="minorHAnsi"/>
                <w:color w:val="548DD4" w:themeColor="text2" w:themeTint="99"/>
              </w:rPr>
              <w:t>consultant</w:t>
            </w:r>
          </w:p>
          <w:p w14:paraId="20357D67" w14:textId="77777777" w:rsidR="00EA23F7" w:rsidRPr="00CA2155" w:rsidRDefault="00EA23F7" w:rsidP="0094098B">
            <w:pPr>
              <w:pStyle w:val="ListParagraph"/>
              <w:ind w:left="360" w:right="-1475"/>
              <w:rPr>
                <w:rFonts w:cstheme="minorHAnsi"/>
                <w:color w:val="548DD4" w:themeColor="text2" w:themeTint="99"/>
              </w:rPr>
            </w:pPr>
            <w:r w:rsidRPr="00CA2155">
              <w:rPr>
                <w:rFonts w:cstheme="minorHAnsi"/>
                <w:color w:val="548DD4" w:themeColor="text2" w:themeTint="99"/>
              </w:rPr>
              <w:t>physicians</w:t>
            </w:r>
          </w:p>
          <w:p w14:paraId="3F18A585" w14:textId="77777777" w:rsidR="00EA23F7" w:rsidRPr="000F6FAF" w:rsidRDefault="00EA23F7" w:rsidP="007F023B">
            <w:pPr>
              <w:ind w:right="-1475"/>
              <w:rPr>
                <w:rFonts w:cstheme="minorHAnsi"/>
                <w:color w:val="548DD4" w:themeColor="text2" w:themeTint="99"/>
              </w:rPr>
            </w:pPr>
          </w:p>
        </w:tc>
        <w:tc>
          <w:tcPr>
            <w:tcW w:w="5529" w:type="dxa"/>
          </w:tcPr>
          <w:p w14:paraId="2F92B5A3" w14:textId="77777777" w:rsidR="00EA23F7" w:rsidRPr="007E381B" w:rsidRDefault="00EA23F7" w:rsidP="00EA23F7">
            <w:pPr>
              <w:pStyle w:val="ListParagraph"/>
              <w:numPr>
                <w:ilvl w:val="0"/>
                <w:numId w:val="109"/>
              </w:numPr>
              <w:tabs>
                <w:tab w:val="clear" w:pos="754"/>
                <w:tab w:val="num" w:pos="317"/>
              </w:tabs>
              <w:spacing w:before="0" w:after="0" w:line="240" w:lineRule="auto"/>
              <w:ind w:left="317" w:right="34" w:hanging="283"/>
              <w:rPr>
                <w:rFonts w:cstheme="minorHAnsi"/>
              </w:rPr>
            </w:pPr>
            <w:r w:rsidRPr="007E381B">
              <w:rPr>
                <w:rFonts w:cstheme="minorHAnsi"/>
              </w:rPr>
              <w:t>The Minister requested that the Committee review how referrals operate and whether there should be any changes to referral arrangements to prevent unnecessary GP consultations</w:t>
            </w:r>
          </w:p>
        </w:tc>
      </w:tr>
      <w:tr w:rsidR="00EA23F7" w14:paraId="009055E6" w14:textId="77777777" w:rsidTr="00346844">
        <w:tc>
          <w:tcPr>
            <w:tcW w:w="2977" w:type="dxa"/>
          </w:tcPr>
          <w:p w14:paraId="30A5046C" w14:textId="77777777" w:rsidR="0094098B" w:rsidRDefault="00EA23F7" w:rsidP="00CA2155">
            <w:pPr>
              <w:pStyle w:val="ListParagraph"/>
              <w:numPr>
                <w:ilvl w:val="0"/>
                <w:numId w:val="112"/>
              </w:numPr>
              <w:ind w:right="-1475"/>
              <w:rPr>
                <w:rFonts w:cstheme="minorHAnsi"/>
                <w:color w:val="548DD4" w:themeColor="text2" w:themeTint="99"/>
              </w:rPr>
            </w:pPr>
            <w:r w:rsidRPr="00CA2155">
              <w:rPr>
                <w:rFonts w:cstheme="minorHAnsi"/>
                <w:color w:val="548DD4" w:themeColor="text2" w:themeTint="99"/>
              </w:rPr>
              <w:t xml:space="preserve">Multiple items exist that </w:t>
            </w:r>
          </w:p>
          <w:p w14:paraId="45A75FDA" w14:textId="77777777" w:rsidR="00EA23F7" w:rsidRPr="00CA2155" w:rsidRDefault="00EA23F7" w:rsidP="0094098B">
            <w:pPr>
              <w:pStyle w:val="ListParagraph"/>
              <w:ind w:left="360" w:right="-1475"/>
              <w:rPr>
                <w:rFonts w:cstheme="minorHAnsi"/>
                <w:color w:val="548DD4" w:themeColor="text2" w:themeTint="99"/>
              </w:rPr>
            </w:pPr>
            <w:r w:rsidRPr="00CA2155">
              <w:rPr>
                <w:rFonts w:cstheme="minorHAnsi"/>
                <w:color w:val="548DD4" w:themeColor="text2" w:themeTint="99"/>
              </w:rPr>
              <w:t>serve similar</w:t>
            </w:r>
            <w:r w:rsidR="0094098B">
              <w:rPr>
                <w:rFonts w:cstheme="minorHAnsi"/>
                <w:color w:val="548DD4" w:themeColor="text2" w:themeTint="99"/>
              </w:rPr>
              <w:t xml:space="preserve"> </w:t>
            </w:r>
            <w:r w:rsidRPr="00CA2155">
              <w:rPr>
                <w:rFonts w:cstheme="minorHAnsi"/>
                <w:color w:val="548DD4" w:themeColor="text2" w:themeTint="99"/>
              </w:rPr>
              <w:t>purposes</w:t>
            </w:r>
          </w:p>
        </w:tc>
        <w:tc>
          <w:tcPr>
            <w:tcW w:w="5529" w:type="dxa"/>
          </w:tcPr>
          <w:p w14:paraId="41150603" w14:textId="77777777" w:rsidR="00EA23F7" w:rsidRPr="00D122A6" w:rsidRDefault="00EA23F7" w:rsidP="00EA23F7">
            <w:pPr>
              <w:pStyle w:val="ListParagraph"/>
              <w:numPr>
                <w:ilvl w:val="0"/>
                <w:numId w:val="109"/>
              </w:numPr>
              <w:tabs>
                <w:tab w:val="clear" w:pos="754"/>
                <w:tab w:val="num" w:pos="317"/>
                <w:tab w:val="num" w:pos="356"/>
              </w:tabs>
              <w:spacing w:before="0" w:after="0" w:line="240" w:lineRule="auto"/>
              <w:ind w:left="356" w:right="34" w:hanging="284"/>
              <w:rPr>
                <w:rFonts w:cstheme="minorHAnsi"/>
              </w:rPr>
            </w:pPr>
            <w:r w:rsidRPr="00D122A6">
              <w:rPr>
                <w:rFonts w:cstheme="minorHAnsi"/>
              </w:rPr>
              <w:t>Several items fulfil highly similar functions in the current service description, especially for newly added items</w:t>
            </w:r>
          </w:p>
          <w:p w14:paraId="5E94766E" w14:textId="77777777" w:rsidR="00EA23F7" w:rsidRPr="00D122A6" w:rsidRDefault="00EA23F7" w:rsidP="00EA23F7">
            <w:pPr>
              <w:pStyle w:val="ListParagraph"/>
              <w:numPr>
                <w:ilvl w:val="0"/>
                <w:numId w:val="109"/>
              </w:numPr>
              <w:tabs>
                <w:tab w:val="clear" w:pos="754"/>
                <w:tab w:val="num" w:pos="317"/>
                <w:tab w:val="num" w:pos="356"/>
              </w:tabs>
              <w:spacing w:before="0" w:after="0" w:line="240" w:lineRule="auto"/>
              <w:ind w:left="356" w:right="34" w:hanging="284"/>
              <w:rPr>
                <w:rFonts w:cstheme="minorHAnsi"/>
              </w:rPr>
            </w:pPr>
            <w:r w:rsidRPr="00D122A6">
              <w:rPr>
                <w:rFonts w:cstheme="minorHAnsi"/>
              </w:rPr>
              <w:t>Different items can be claimed for the same services (e.g. by different provider types)</w:t>
            </w:r>
          </w:p>
        </w:tc>
      </w:tr>
    </w:tbl>
    <w:p w14:paraId="3C3BF64D" w14:textId="77777777" w:rsidR="00484C45" w:rsidRDefault="00484C45" w:rsidP="00EA23F7">
      <w:pPr>
        <w:rPr>
          <w:lang w:val="en-GB"/>
        </w:rPr>
      </w:pPr>
    </w:p>
    <w:p w14:paraId="6364C615" w14:textId="77777777" w:rsidR="00A921C1" w:rsidRPr="00C33C0B" w:rsidRDefault="002C1176" w:rsidP="0065723A">
      <w:pPr>
        <w:rPr>
          <w:lang w:val="en-GB"/>
        </w:rPr>
      </w:pPr>
      <w:r>
        <w:rPr>
          <w:lang w:val="en-GB"/>
        </w:rPr>
        <w:t>Noting</w:t>
      </w:r>
      <w:r w:rsidR="00A921C1" w:rsidRPr="00C33C0B">
        <w:rPr>
          <w:lang w:val="en-GB"/>
        </w:rPr>
        <w:t xml:space="preserve"> significant overlap between some of these issues</w:t>
      </w:r>
      <w:r>
        <w:rPr>
          <w:lang w:val="en-GB"/>
        </w:rPr>
        <w:t>, the Committee</w:t>
      </w:r>
      <w:r w:rsidR="00A921C1" w:rsidRPr="00C33C0B">
        <w:rPr>
          <w:lang w:val="en-GB"/>
        </w:rPr>
        <w:t xml:space="preserve"> consider</w:t>
      </w:r>
      <w:r>
        <w:rPr>
          <w:lang w:val="en-GB"/>
        </w:rPr>
        <w:t>ed</w:t>
      </w:r>
      <w:r w:rsidR="00A921C1" w:rsidRPr="00C33C0B">
        <w:rPr>
          <w:lang w:val="en-GB"/>
        </w:rPr>
        <w:t xml:space="preserve">: </w:t>
      </w:r>
    </w:p>
    <w:p w14:paraId="2C0FFE54" w14:textId="77777777" w:rsidR="00A921C1" w:rsidRPr="00607BDA" w:rsidRDefault="005C6FAB" w:rsidP="000831A1">
      <w:pPr>
        <w:pStyle w:val="Numbering"/>
        <w:numPr>
          <w:ilvl w:val="0"/>
          <w:numId w:val="40"/>
        </w:numPr>
        <w:rPr>
          <w:lang w:val="en-GB"/>
        </w:rPr>
      </w:pPr>
      <w:r w:rsidRPr="00607BDA">
        <w:rPr>
          <w:lang w:val="en-GB"/>
        </w:rPr>
        <w:t>How s</w:t>
      </w:r>
      <w:r w:rsidR="00A921C1" w:rsidRPr="00607BDA">
        <w:rPr>
          <w:lang w:val="en-GB"/>
        </w:rPr>
        <w:t>tandard attendance item</w:t>
      </w:r>
      <w:r w:rsidR="006A4A9B" w:rsidRPr="00607BDA">
        <w:rPr>
          <w:lang w:val="en-GB"/>
        </w:rPr>
        <w:t>s</w:t>
      </w:r>
      <w:r w:rsidR="00A921C1" w:rsidRPr="00607BDA">
        <w:rPr>
          <w:lang w:val="en-GB"/>
        </w:rPr>
        <w:t xml:space="preserve"> (initial and subsequent </w:t>
      </w:r>
      <w:r w:rsidR="000356E8" w:rsidRPr="00607BDA">
        <w:rPr>
          <w:lang w:val="en-GB"/>
        </w:rPr>
        <w:t>attendances</w:t>
      </w:r>
      <w:r w:rsidR="00A921C1" w:rsidRPr="00607BDA">
        <w:rPr>
          <w:lang w:val="en-GB"/>
        </w:rPr>
        <w:t xml:space="preserve"> with a single </w:t>
      </w:r>
      <w:r w:rsidR="00AA329D" w:rsidRPr="00607BDA">
        <w:rPr>
          <w:lang w:val="en-GB"/>
        </w:rPr>
        <w:t>consultant specialist</w:t>
      </w:r>
      <w:r w:rsidR="00A921C1" w:rsidRPr="00607BDA">
        <w:rPr>
          <w:lang w:val="en-GB"/>
        </w:rPr>
        <w:t>) can better reflect resource input</w:t>
      </w:r>
      <w:r w:rsidR="0024276B" w:rsidRPr="00607BDA">
        <w:rPr>
          <w:lang w:val="en-GB"/>
        </w:rPr>
        <w:t xml:space="preserve"> (Section 4)</w:t>
      </w:r>
      <w:r w:rsidR="00F50424" w:rsidRPr="00607BDA">
        <w:rPr>
          <w:lang w:val="en-GB"/>
        </w:rPr>
        <w:t>.</w:t>
      </w:r>
    </w:p>
    <w:p w14:paraId="7C9CA92A" w14:textId="77777777" w:rsidR="00A921C1" w:rsidRPr="00C33C0B" w:rsidRDefault="00DA7C22" w:rsidP="000831A1">
      <w:pPr>
        <w:pStyle w:val="Numbering"/>
        <w:numPr>
          <w:ilvl w:val="0"/>
          <w:numId w:val="25"/>
        </w:numPr>
        <w:rPr>
          <w:lang w:val="en-GB"/>
        </w:rPr>
      </w:pPr>
      <w:r>
        <w:rPr>
          <w:lang w:val="en-GB"/>
        </w:rPr>
        <w:t>How c</w:t>
      </w:r>
      <w:r w:rsidR="00A921C1" w:rsidRPr="00C33C0B">
        <w:rPr>
          <w:lang w:val="en-GB"/>
        </w:rPr>
        <w:t>omplex plan items can better promote integrated care</w:t>
      </w:r>
      <w:r w:rsidR="007447EB">
        <w:rPr>
          <w:lang w:val="en-GB"/>
        </w:rPr>
        <w:t xml:space="preserve"> (Section 5</w:t>
      </w:r>
      <w:r w:rsidR="0024276B">
        <w:rPr>
          <w:lang w:val="en-GB"/>
        </w:rPr>
        <w:t>)</w:t>
      </w:r>
      <w:r w:rsidR="005C6FAB">
        <w:rPr>
          <w:lang w:val="en-GB"/>
        </w:rPr>
        <w:t>.</w:t>
      </w:r>
    </w:p>
    <w:p w14:paraId="2112A97E" w14:textId="77777777" w:rsidR="007447EB" w:rsidRPr="00C33C0B" w:rsidRDefault="007447EB" w:rsidP="000831A1">
      <w:pPr>
        <w:pStyle w:val="Numbering"/>
        <w:numPr>
          <w:ilvl w:val="0"/>
          <w:numId w:val="25"/>
        </w:numPr>
        <w:rPr>
          <w:lang w:val="en-GB"/>
        </w:rPr>
      </w:pPr>
      <w:r>
        <w:rPr>
          <w:lang w:val="en-GB"/>
        </w:rPr>
        <w:t>Whether t</w:t>
      </w:r>
      <w:r w:rsidRPr="00C33C0B">
        <w:rPr>
          <w:lang w:val="en-GB"/>
        </w:rPr>
        <w:t>elehealth loading items remain the optimal mechanism to promote uptake of telehealth</w:t>
      </w:r>
      <w:r>
        <w:rPr>
          <w:lang w:val="en-GB"/>
        </w:rPr>
        <w:t xml:space="preserve"> (Section 6).</w:t>
      </w:r>
    </w:p>
    <w:p w14:paraId="63FD1CB7" w14:textId="77777777" w:rsidR="00A921C1" w:rsidRPr="00C33C0B" w:rsidRDefault="00166C3F" w:rsidP="000831A1">
      <w:pPr>
        <w:pStyle w:val="Numbering"/>
        <w:numPr>
          <w:ilvl w:val="0"/>
          <w:numId w:val="25"/>
        </w:numPr>
        <w:rPr>
          <w:lang w:val="en-GB"/>
        </w:rPr>
      </w:pPr>
      <w:r>
        <w:rPr>
          <w:lang w:val="en-GB"/>
        </w:rPr>
        <w:t>How use of c</w:t>
      </w:r>
      <w:r w:rsidR="00A921C1" w:rsidRPr="00C33C0B">
        <w:rPr>
          <w:lang w:val="en-GB"/>
        </w:rPr>
        <w:t>ase conference</w:t>
      </w:r>
      <w:r w:rsidR="005C6FAB">
        <w:rPr>
          <w:lang w:val="en-GB"/>
        </w:rPr>
        <w:t>s</w:t>
      </w:r>
      <w:r w:rsidR="00A921C1" w:rsidRPr="00C33C0B">
        <w:rPr>
          <w:lang w:val="en-GB"/>
        </w:rPr>
        <w:t xml:space="preserve"> can be increased in the private sector</w:t>
      </w:r>
      <w:r w:rsidR="00252576">
        <w:rPr>
          <w:lang w:val="en-GB"/>
        </w:rPr>
        <w:t>,</w:t>
      </w:r>
      <w:r w:rsidR="00A921C1" w:rsidRPr="00C33C0B">
        <w:rPr>
          <w:lang w:val="en-GB"/>
        </w:rPr>
        <w:t xml:space="preserve"> and</w:t>
      </w:r>
      <w:r w:rsidR="00252576">
        <w:rPr>
          <w:lang w:val="en-GB"/>
        </w:rPr>
        <w:t xml:space="preserve"> how case conferences can</w:t>
      </w:r>
      <w:r w:rsidR="00A921C1" w:rsidRPr="00C33C0B">
        <w:rPr>
          <w:lang w:val="en-GB"/>
        </w:rPr>
        <w:t xml:space="preserve"> involve the right participants to integrate care and improve patient outcomes</w:t>
      </w:r>
      <w:r w:rsidR="0024276B">
        <w:rPr>
          <w:lang w:val="en-GB"/>
        </w:rPr>
        <w:t xml:space="preserve"> (Section 7)</w:t>
      </w:r>
      <w:r w:rsidR="0089140A">
        <w:rPr>
          <w:lang w:val="en-GB"/>
        </w:rPr>
        <w:t>.</w:t>
      </w:r>
    </w:p>
    <w:p w14:paraId="00437F70" w14:textId="77777777" w:rsidR="00A921C1" w:rsidRPr="00C33C0B" w:rsidRDefault="00A921C1" w:rsidP="000831A1">
      <w:pPr>
        <w:pStyle w:val="Numbering"/>
        <w:numPr>
          <w:ilvl w:val="0"/>
          <w:numId w:val="25"/>
        </w:numPr>
        <w:rPr>
          <w:lang w:val="en-GB"/>
        </w:rPr>
      </w:pPr>
      <w:r w:rsidRPr="00C33C0B">
        <w:rPr>
          <w:lang w:val="en-GB"/>
        </w:rPr>
        <w:t xml:space="preserve">The imbalance between procedures and </w:t>
      </w:r>
      <w:r w:rsidR="00F735F4" w:rsidRPr="00C33C0B">
        <w:rPr>
          <w:lang w:val="en-GB"/>
        </w:rPr>
        <w:t>attendances</w:t>
      </w:r>
      <w:r w:rsidR="00957037" w:rsidRPr="00C33C0B">
        <w:rPr>
          <w:lang w:val="en-GB"/>
        </w:rPr>
        <w:t xml:space="preserve"> and the role of data-</w:t>
      </w:r>
      <w:r w:rsidRPr="00C33C0B">
        <w:rPr>
          <w:lang w:val="en-GB"/>
        </w:rPr>
        <w:t>driven practice and patient consent in improving quality</w:t>
      </w:r>
      <w:r w:rsidR="0024276B">
        <w:rPr>
          <w:lang w:val="en-GB"/>
        </w:rPr>
        <w:t xml:space="preserve"> (Section 8)</w:t>
      </w:r>
      <w:r w:rsidR="00E60FB9">
        <w:rPr>
          <w:lang w:val="en-GB"/>
        </w:rPr>
        <w:t>.</w:t>
      </w:r>
    </w:p>
    <w:p w14:paraId="387C8ED4" w14:textId="77777777" w:rsidR="007447EB" w:rsidRPr="00C33C0B" w:rsidRDefault="007447EB" w:rsidP="000831A1">
      <w:pPr>
        <w:pStyle w:val="Numbering"/>
        <w:numPr>
          <w:ilvl w:val="0"/>
          <w:numId w:val="25"/>
        </w:numPr>
      </w:pPr>
      <w:r w:rsidRPr="00C33C0B">
        <w:rPr>
          <w:lang w:val="en-GB"/>
        </w:rPr>
        <w:t>Mechanisms to promote uptake of My Health Record</w:t>
      </w:r>
      <w:r>
        <w:rPr>
          <w:lang w:val="en-GB"/>
        </w:rPr>
        <w:t xml:space="preserve"> (Section 9).</w:t>
      </w:r>
    </w:p>
    <w:p w14:paraId="1D803C20" w14:textId="77777777" w:rsidR="00A921C1" w:rsidRPr="00C33C0B" w:rsidRDefault="00A921C1" w:rsidP="000831A1">
      <w:pPr>
        <w:pStyle w:val="Numbering"/>
        <w:numPr>
          <w:ilvl w:val="0"/>
          <w:numId w:val="25"/>
        </w:numPr>
        <w:rPr>
          <w:lang w:val="en-GB"/>
        </w:rPr>
      </w:pPr>
      <w:r w:rsidRPr="00C33C0B">
        <w:rPr>
          <w:lang w:val="en-GB"/>
        </w:rPr>
        <w:t>Referral practices</w:t>
      </w:r>
      <w:r w:rsidR="006F4955">
        <w:rPr>
          <w:lang w:val="en-GB"/>
        </w:rPr>
        <w:t>,</w:t>
      </w:r>
      <w:r w:rsidRPr="00C33C0B">
        <w:rPr>
          <w:lang w:val="en-GB"/>
        </w:rPr>
        <w:t xml:space="preserve"> in response to consumer concerns around access and convenience</w:t>
      </w:r>
      <w:r w:rsidR="007447EB">
        <w:rPr>
          <w:lang w:val="en-GB"/>
        </w:rPr>
        <w:t xml:space="preserve"> (Section 10</w:t>
      </w:r>
      <w:r w:rsidR="0024276B">
        <w:rPr>
          <w:lang w:val="en-GB"/>
        </w:rPr>
        <w:t>)</w:t>
      </w:r>
      <w:r w:rsidR="001E3265">
        <w:rPr>
          <w:lang w:val="en-GB"/>
        </w:rPr>
        <w:t>.</w:t>
      </w:r>
    </w:p>
    <w:p w14:paraId="5B8F6912" w14:textId="77777777" w:rsidR="00296E41" w:rsidRPr="00C33C0B" w:rsidRDefault="00296E41" w:rsidP="003C5D5A">
      <w:pPr>
        <w:pStyle w:val="Heading2"/>
        <w:rPr>
          <w:lang w:val="en-GB"/>
        </w:rPr>
      </w:pPr>
      <w:bookmarkStart w:id="95" w:name="_Toc468831585"/>
      <w:bookmarkStart w:id="96" w:name="_Toc521442198"/>
      <w:bookmarkStart w:id="97" w:name="_Toc24544678"/>
      <w:r w:rsidRPr="00C33C0B">
        <w:rPr>
          <w:lang w:val="en-GB"/>
        </w:rPr>
        <w:t xml:space="preserve">Summary of the </w:t>
      </w:r>
      <w:r w:rsidR="0054010A">
        <w:rPr>
          <w:lang w:val="en-GB"/>
        </w:rPr>
        <w:t>c</w:t>
      </w:r>
      <w:r w:rsidRPr="00C33C0B">
        <w:rPr>
          <w:lang w:val="en-GB"/>
        </w:rPr>
        <w:t>ommittee’s review approach</w:t>
      </w:r>
      <w:bookmarkEnd w:id="95"/>
      <w:bookmarkEnd w:id="96"/>
      <w:bookmarkEnd w:id="97"/>
    </w:p>
    <w:p w14:paraId="27BEC263" w14:textId="77777777" w:rsidR="00717672" w:rsidRDefault="00296E41" w:rsidP="00D661EB">
      <w:pPr>
        <w:rPr>
          <w:lang w:val="en-GB"/>
        </w:rPr>
      </w:pPr>
      <w:r w:rsidRPr="00C33C0B">
        <w:rPr>
          <w:lang w:val="en-GB"/>
        </w:rPr>
        <w:t xml:space="preserve">The Committee completed a review of items </w:t>
      </w:r>
      <w:r w:rsidR="00674781">
        <w:rPr>
          <w:lang w:val="en-GB"/>
        </w:rPr>
        <w:t xml:space="preserve">in scope </w:t>
      </w:r>
      <w:r w:rsidRPr="00C33C0B">
        <w:rPr>
          <w:lang w:val="en-GB"/>
        </w:rPr>
        <w:t xml:space="preserve">across five full Committee meetings and </w:t>
      </w:r>
      <w:r w:rsidR="00EA14BE">
        <w:rPr>
          <w:lang w:val="en-GB"/>
        </w:rPr>
        <w:t>eight</w:t>
      </w:r>
      <w:r w:rsidRPr="00C33C0B">
        <w:rPr>
          <w:lang w:val="en-GB"/>
        </w:rPr>
        <w:t xml:space="preserve"> </w:t>
      </w:r>
      <w:r w:rsidR="005E1E25">
        <w:rPr>
          <w:lang w:val="en-GB"/>
        </w:rPr>
        <w:t>working group</w:t>
      </w:r>
      <w:r w:rsidRPr="00C33C0B">
        <w:rPr>
          <w:lang w:val="en-GB"/>
        </w:rPr>
        <w:t xml:space="preserve"> meeting</w:t>
      </w:r>
      <w:r w:rsidR="00077813">
        <w:rPr>
          <w:lang w:val="en-GB"/>
        </w:rPr>
        <w:t>s</w:t>
      </w:r>
      <w:r w:rsidR="00674781">
        <w:rPr>
          <w:lang w:val="en-GB"/>
        </w:rPr>
        <w:t xml:space="preserve"> – supplemented by email correspondence between meetings – to develop </w:t>
      </w:r>
      <w:r w:rsidRPr="00C33C0B">
        <w:rPr>
          <w:lang w:val="en-GB"/>
        </w:rPr>
        <w:t xml:space="preserve">the recommendations and rationales </w:t>
      </w:r>
      <w:r w:rsidR="00717672">
        <w:rPr>
          <w:lang w:val="en-GB"/>
        </w:rPr>
        <w:t>contained in this report.</w:t>
      </w:r>
      <w:r w:rsidRPr="00C33C0B">
        <w:rPr>
          <w:lang w:val="en-GB"/>
        </w:rPr>
        <w:t xml:space="preserve"> </w:t>
      </w:r>
    </w:p>
    <w:p w14:paraId="5C342A8D" w14:textId="77777777" w:rsidR="00296E41" w:rsidRPr="00C33C0B" w:rsidRDefault="00296E41" w:rsidP="00D661EB">
      <w:pPr>
        <w:rPr>
          <w:lang w:val="en-GB"/>
        </w:rPr>
      </w:pPr>
      <w:r w:rsidRPr="00C33C0B">
        <w:rPr>
          <w:lang w:val="en-GB"/>
        </w:rPr>
        <w:t xml:space="preserve">The </w:t>
      </w:r>
      <w:r w:rsidR="00B54042">
        <w:rPr>
          <w:lang w:val="en-GB"/>
        </w:rPr>
        <w:t xml:space="preserve">Committee’s </w:t>
      </w:r>
      <w:r w:rsidRPr="00C33C0B">
        <w:rPr>
          <w:lang w:val="en-GB"/>
        </w:rPr>
        <w:t xml:space="preserve">review drew on various types of MBS data, including data on utilisation of items (services, benefits, patients, providers and growth rates); service provision (type of provider, geography of service provision); patients (demographics and services per patient); </w:t>
      </w:r>
      <w:r w:rsidR="00B42409">
        <w:rPr>
          <w:lang w:val="en-GB"/>
        </w:rPr>
        <w:t xml:space="preserve">and </w:t>
      </w:r>
      <w:r w:rsidRPr="00C33C0B">
        <w:rPr>
          <w:lang w:val="en-GB"/>
        </w:rPr>
        <w:t>co-claiming or episodes of services (same-day claiming). The review also drew on data presented in the relevant published literature, all of which is referenced in the report.</w:t>
      </w:r>
    </w:p>
    <w:p w14:paraId="58515437" w14:textId="77777777" w:rsidR="00296E41" w:rsidRPr="00C33C0B" w:rsidRDefault="008F518A" w:rsidP="00D661EB">
      <w:pPr>
        <w:pStyle w:val="Heading3"/>
        <w:rPr>
          <w:lang w:val="en-GB"/>
        </w:rPr>
      </w:pPr>
      <w:bookmarkStart w:id="98" w:name="_Toc24544679"/>
      <w:r>
        <w:rPr>
          <w:lang w:val="en-GB"/>
        </w:rPr>
        <w:t>Working groups</w:t>
      </w:r>
      <w:bookmarkEnd w:id="98"/>
    </w:p>
    <w:p w14:paraId="43189886" w14:textId="77777777" w:rsidR="00C90776" w:rsidRDefault="00F67355" w:rsidP="00607BDA">
      <w:pPr>
        <w:rPr>
          <w:lang w:val="en-GB"/>
        </w:rPr>
      </w:pPr>
      <w:r w:rsidRPr="00C33C0B">
        <w:rPr>
          <w:lang w:val="en-GB"/>
        </w:rPr>
        <w:t>T</w:t>
      </w:r>
      <w:r w:rsidR="00296E41" w:rsidRPr="00C33C0B">
        <w:rPr>
          <w:lang w:val="en-GB"/>
        </w:rPr>
        <w:t xml:space="preserve">he Committee </w:t>
      </w:r>
      <w:r w:rsidR="00FD41A9" w:rsidRPr="00C33C0B">
        <w:rPr>
          <w:lang w:val="en-GB"/>
        </w:rPr>
        <w:t xml:space="preserve">formed </w:t>
      </w:r>
      <w:r w:rsidR="005520B2">
        <w:rPr>
          <w:lang w:val="en-GB"/>
        </w:rPr>
        <w:t>seven</w:t>
      </w:r>
      <w:r w:rsidR="00FD5CD9">
        <w:rPr>
          <w:lang w:val="en-GB"/>
        </w:rPr>
        <w:t xml:space="preserve"> </w:t>
      </w:r>
      <w:r w:rsidR="003A4449">
        <w:rPr>
          <w:lang w:val="en-GB"/>
        </w:rPr>
        <w:t>working groups</w:t>
      </w:r>
      <w:r w:rsidR="00296E41" w:rsidRPr="00C33C0B">
        <w:rPr>
          <w:lang w:val="en-GB"/>
        </w:rPr>
        <w:t xml:space="preserve"> to develop the evidence base and further detail recommen</w:t>
      </w:r>
      <w:r w:rsidR="00211B24" w:rsidRPr="00C33C0B">
        <w:rPr>
          <w:lang w:val="en-GB"/>
        </w:rPr>
        <w:t>dations</w:t>
      </w:r>
      <w:r w:rsidRPr="00C33C0B">
        <w:rPr>
          <w:lang w:val="en-GB"/>
        </w:rPr>
        <w:t xml:space="preserve"> </w:t>
      </w:r>
      <w:r w:rsidR="00E103C4">
        <w:rPr>
          <w:lang w:val="en-GB"/>
        </w:rPr>
        <w:t>regarding</w:t>
      </w:r>
      <w:r w:rsidR="00D9233A">
        <w:rPr>
          <w:lang w:val="en-GB"/>
        </w:rPr>
        <w:t xml:space="preserve"> the following</w:t>
      </w:r>
      <w:r w:rsidR="00296E41" w:rsidRPr="00C33C0B">
        <w:rPr>
          <w:lang w:val="en-GB"/>
        </w:rPr>
        <w:t xml:space="preserve">: </w:t>
      </w:r>
    </w:p>
    <w:p w14:paraId="21A01EA7" w14:textId="77777777" w:rsidR="00296E41" w:rsidRDefault="006549E9" w:rsidP="000831A1">
      <w:pPr>
        <w:pStyle w:val="Numbering"/>
        <w:numPr>
          <w:ilvl w:val="0"/>
          <w:numId w:val="105"/>
        </w:numPr>
        <w:rPr>
          <w:lang w:val="en-GB"/>
        </w:rPr>
      </w:pPr>
      <w:r>
        <w:rPr>
          <w:lang w:val="en-GB"/>
        </w:rPr>
        <w:t>t</w:t>
      </w:r>
      <w:r w:rsidR="005E6B44" w:rsidRPr="00607BDA">
        <w:rPr>
          <w:lang w:val="en-GB"/>
        </w:rPr>
        <w:t>ime-tiered attendances</w:t>
      </w:r>
      <w:r w:rsidR="00A12003">
        <w:rPr>
          <w:lang w:val="en-GB"/>
        </w:rPr>
        <w:t xml:space="preserve"> and </w:t>
      </w:r>
      <w:r w:rsidR="005E6B44" w:rsidRPr="00C33C0B">
        <w:rPr>
          <w:lang w:val="en-GB"/>
        </w:rPr>
        <w:t>T</w:t>
      </w:r>
      <w:r w:rsidR="00211B24" w:rsidRPr="00C33C0B">
        <w:rPr>
          <w:lang w:val="en-GB"/>
        </w:rPr>
        <w:t>elehealth</w:t>
      </w:r>
      <w:r>
        <w:rPr>
          <w:lang w:val="en-GB"/>
        </w:rPr>
        <w:t>;</w:t>
      </w:r>
    </w:p>
    <w:p w14:paraId="16C4BB92" w14:textId="77777777" w:rsidR="00876B7C" w:rsidRPr="00876B7C" w:rsidRDefault="006549E9" w:rsidP="000831A1">
      <w:pPr>
        <w:pStyle w:val="Numbering"/>
        <w:numPr>
          <w:ilvl w:val="0"/>
          <w:numId w:val="105"/>
        </w:numPr>
        <w:rPr>
          <w:lang w:val="en-GB"/>
        </w:rPr>
      </w:pPr>
      <w:r>
        <w:rPr>
          <w:lang w:val="en-GB"/>
        </w:rPr>
        <w:t>c</w:t>
      </w:r>
      <w:r w:rsidR="00876B7C" w:rsidRPr="00876B7C">
        <w:rPr>
          <w:lang w:val="en-GB"/>
        </w:rPr>
        <w:t>ontemporary roles of medical practitioners</w:t>
      </w:r>
      <w:r>
        <w:rPr>
          <w:lang w:val="en-GB"/>
        </w:rPr>
        <w:t>;</w:t>
      </w:r>
    </w:p>
    <w:p w14:paraId="145C8DC8" w14:textId="77777777" w:rsidR="00296E41" w:rsidRPr="00C33C0B" w:rsidRDefault="006549E9" w:rsidP="000831A1">
      <w:pPr>
        <w:pStyle w:val="Numbering"/>
        <w:numPr>
          <w:ilvl w:val="0"/>
          <w:numId w:val="105"/>
        </w:numPr>
        <w:rPr>
          <w:lang w:val="en-GB"/>
        </w:rPr>
      </w:pPr>
      <w:r>
        <w:rPr>
          <w:lang w:val="en-GB"/>
        </w:rPr>
        <w:t>u</w:t>
      </w:r>
      <w:r w:rsidR="00296E41" w:rsidRPr="00C33C0B">
        <w:rPr>
          <w:lang w:val="en-GB"/>
        </w:rPr>
        <w:t xml:space="preserve">se of data to </w:t>
      </w:r>
      <w:r w:rsidR="001F6CB0">
        <w:rPr>
          <w:lang w:val="en-GB"/>
        </w:rPr>
        <w:t>inform</w:t>
      </w:r>
      <w:r w:rsidR="00296E41" w:rsidRPr="00C33C0B">
        <w:rPr>
          <w:lang w:val="en-GB"/>
        </w:rPr>
        <w:t xml:space="preserve"> quality</w:t>
      </w:r>
      <w:r w:rsidR="00A76E6A" w:rsidRPr="00C33C0B">
        <w:rPr>
          <w:lang w:val="en-GB"/>
        </w:rPr>
        <w:t xml:space="preserve"> care</w:t>
      </w:r>
      <w:r w:rsidR="00296E41" w:rsidRPr="00C33C0B">
        <w:rPr>
          <w:lang w:val="en-GB"/>
        </w:rPr>
        <w:t xml:space="preserve"> and patient consent</w:t>
      </w:r>
      <w:r>
        <w:rPr>
          <w:lang w:val="en-GB"/>
        </w:rPr>
        <w:t>;</w:t>
      </w:r>
    </w:p>
    <w:p w14:paraId="3DB7FEE8" w14:textId="77777777" w:rsidR="00296E41" w:rsidRPr="00C33C0B" w:rsidRDefault="006549E9" w:rsidP="000831A1">
      <w:pPr>
        <w:pStyle w:val="Numbering"/>
        <w:numPr>
          <w:ilvl w:val="0"/>
          <w:numId w:val="105"/>
        </w:numPr>
        <w:rPr>
          <w:lang w:val="en-GB"/>
        </w:rPr>
      </w:pPr>
      <w:r>
        <w:rPr>
          <w:lang w:val="en-GB"/>
        </w:rPr>
        <w:t>e</w:t>
      </w:r>
      <w:r w:rsidR="00BF1DDB" w:rsidRPr="00C33C0B">
        <w:rPr>
          <w:lang w:val="en-GB"/>
        </w:rPr>
        <w:t xml:space="preserve">ncouraging </w:t>
      </w:r>
      <w:r w:rsidR="00491E3E">
        <w:rPr>
          <w:lang w:val="en-GB"/>
        </w:rPr>
        <w:t xml:space="preserve">the </w:t>
      </w:r>
      <w:r w:rsidR="00BF1DDB" w:rsidRPr="00C33C0B">
        <w:rPr>
          <w:lang w:val="en-GB"/>
        </w:rPr>
        <w:t>use of case conference items</w:t>
      </w:r>
      <w:r>
        <w:rPr>
          <w:lang w:val="en-GB"/>
        </w:rPr>
        <w:t>;</w:t>
      </w:r>
    </w:p>
    <w:p w14:paraId="56BAEE89" w14:textId="77777777" w:rsidR="005E6B44" w:rsidRPr="00C33C0B" w:rsidRDefault="006549E9" w:rsidP="000831A1">
      <w:pPr>
        <w:pStyle w:val="Numbering"/>
        <w:numPr>
          <w:ilvl w:val="0"/>
          <w:numId w:val="105"/>
        </w:numPr>
        <w:rPr>
          <w:lang w:val="en-GB"/>
        </w:rPr>
      </w:pPr>
      <w:r>
        <w:rPr>
          <w:lang w:val="en-GB"/>
        </w:rPr>
        <w:t>a</w:t>
      </w:r>
      <w:r w:rsidR="005E6B44" w:rsidRPr="00C33C0B">
        <w:rPr>
          <w:lang w:val="en-GB"/>
        </w:rPr>
        <w:t>cute a</w:t>
      </w:r>
      <w:r w:rsidR="00211B24" w:rsidRPr="00C33C0B">
        <w:rPr>
          <w:lang w:val="en-GB"/>
        </w:rPr>
        <w:t>ttendances</w:t>
      </w:r>
      <w:r>
        <w:rPr>
          <w:lang w:val="en-GB"/>
        </w:rPr>
        <w:t>;</w:t>
      </w:r>
    </w:p>
    <w:p w14:paraId="5C5DD8F5" w14:textId="77777777" w:rsidR="00BF1DDB" w:rsidRDefault="006549E9" w:rsidP="000831A1">
      <w:pPr>
        <w:pStyle w:val="Numbering"/>
        <w:numPr>
          <w:ilvl w:val="0"/>
          <w:numId w:val="105"/>
        </w:numPr>
        <w:rPr>
          <w:lang w:val="en-GB"/>
        </w:rPr>
      </w:pPr>
      <w:r>
        <w:rPr>
          <w:lang w:val="en-GB"/>
        </w:rPr>
        <w:t>c</w:t>
      </w:r>
      <w:r w:rsidR="00BF1DDB" w:rsidRPr="00C33C0B">
        <w:rPr>
          <w:lang w:val="en-GB"/>
        </w:rPr>
        <w:t>ase conference cost-shifting</w:t>
      </w:r>
      <w:r>
        <w:rPr>
          <w:lang w:val="en-GB"/>
        </w:rPr>
        <w:t>;</w:t>
      </w:r>
      <w:r w:rsidR="00EF734E">
        <w:rPr>
          <w:lang w:val="en-GB"/>
        </w:rPr>
        <w:t xml:space="preserve"> and</w:t>
      </w:r>
    </w:p>
    <w:p w14:paraId="17590B05" w14:textId="77777777" w:rsidR="00976FA2" w:rsidRPr="00C33C0B" w:rsidRDefault="006549E9" w:rsidP="000831A1">
      <w:pPr>
        <w:pStyle w:val="Numbering"/>
        <w:numPr>
          <w:ilvl w:val="0"/>
          <w:numId w:val="105"/>
        </w:numPr>
        <w:rPr>
          <w:lang w:val="en-GB"/>
        </w:rPr>
      </w:pPr>
      <w:r>
        <w:rPr>
          <w:lang w:val="en-GB"/>
        </w:rPr>
        <w:t>f</w:t>
      </w:r>
      <w:r w:rsidR="00976FA2" w:rsidRPr="00976FA2">
        <w:rPr>
          <w:lang w:val="en-GB"/>
        </w:rPr>
        <w:t>etal alcohol spectrum disorder and other complex neurodevelopmental disorders</w:t>
      </w:r>
      <w:r w:rsidR="00976FA2">
        <w:rPr>
          <w:lang w:val="en-GB"/>
        </w:rPr>
        <w:t>.</w:t>
      </w:r>
    </w:p>
    <w:p w14:paraId="4E087464" w14:textId="77777777" w:rsidR="00296E41" w:rsidRPr="00C33C0B" w:rsidRDefault="00FE1778" w:rsidP="00D661EB">
      <w:pPr>
        <w:rPr>
          <w:lang w:val="en-GB"/>
        </w:rPr>
      </w:pPr>
      <w:r>
        <w:rPr>
          <w:lang w:val="en-GB"/>
        </w:rPr>
        <w:t>Working group</w:t>
      </w:r>
      <w:r w:rsidR="00296E41" w:rsidRPr="00C33C0B">
        <w:rPr>
          <w:lang w:val="en-GB"/>
        </w:rPr>
        <w:t xml:space="preserve"> members were </w:t>
      </w:r>
      <w:r w:rsidR="00905320">
        <w:rPr>
          <w:lang w:val="en-GB"/>
        </w:rPr>
        <w:t>selected</w:t>
      </w:r>
      <w:r w:rsidR="00905320" w:rsidRPr="00C33C0B">
        <w:rPr>
          <w:lang w:val="en-GB"/>
        </w:rPr>
        <w:t xml:space="preserve"> </w:t>
      </w:r>
      <w:r w:rsidR="00296E41" w:rsidRPr="00C33C0B">
        <w:rPr>
          <w:lang w:val="en-GB"/>
        </w:rPr>
        <w:t xml:space="preserve">based on relevant </w:t>
      </w:r>
      <w:r w:rsidR="00FD5CD9" w:rsidRPr="00C33C0B">
        <w:rPr>
          <w:lang w:val="en-GB"/>
        </w:rPr>
        <w:t>experience</w:t>
      </w:r>
      <w:r w:rsidR="00FD5CD9">
        <w:rPr>
          <w:lang w:val="en-GB"/>
        </w:rPr>
        <w:t xml:space="preserve"> and</w:t>
      </w:r>
      <w:r w:rsidR="00C20606">
        <w:rPr>
          <w:lang w:val="en-GB"/>
        </w:rPr>
        <w:t xml:space="preserve"> </w:t>
      </w:r>
      <w:r w:rsidR="009417F6">
        <w:rPr>
          <w:lang w:val="en-GB"/>
        </w:rPr>
        <w:t xml:space="preserve">generally </w:t>
      </w:r>
      <w:r w:rsidR="00C20606">
        <w:rPr>
          <w:lang w:val="en-GB"/>
        </w:rPr>
        <w:t>include</w:t>
      </w:r>
      <w:r w:rsidR="003D725B">
        <w:rPr>
          <w:lang w:val="en-GB"/>
        </w:rPr>
        <w:t>d</w:t>
      </w:r>
      <w:r w:rsidR="00AE1028" w:rsidRPr="00C33C0B">
        <w:rPr>
          <w:lang w:val="en-GB"/>
        </w:rPr>
        <w:t xml:space="preserve"> </w:t>
      </w:r>
      <w:r w:rsidR="00296E41" w:rsidRPr="00C33C0B">
        <w:rPr>
          <w:lang w:val="en-GB"/>
        </w:rPr>
        <w:t xml:space="preserve">representation </w:t>
      </w:r>
      <w:r w:rsidR="00507B37">
        <w:rPr>
          <w:lang w:val="en-GB"/>
        </w:rPr>
        <w:t xml:space="preserve">of </w:t>
      </w:r>
      <w:r w:rsidR="00292332">
        <w:rPr>
          <w:lang w:val="en-GB"/>
        </w:rPr>
        <w:t>both</w:t>
      </w:r>
      <w:r w:rsidR="00971102" w:rsidRPr="00C33C0B">
        <w:rPr>
          <w:lang w:val="en-GB"/>
        </w:rPr>
        <w:t xml:space="preserve"> </w:t>
      </w:r>
      <w:r w:rsidR="00296E41" w:rsidRPr="00C33C0B">
        <w:rPr>
          <w:lang w:val="en-GB"/>
        </w:rPr>
        <w:t xml:space="preserve">consumers and </w:t>
      </w:r>
      <w:r w:rsidR="00C90776">
        <w:rPr>
          <w:lang w:val="en-GB"/>
        </w:rPr>
        <w:t>clinicians</w:t>
      </w:r>
      <w:r w:rsidR="005520B2">
        <w:rPr>
          <w:lang w:val="en-GB"/>
        </w:rPr>
        <w:t xml:space="preserve"> </w:t>
      </w:r>
      <w:r w:rsidR="00C20606">
        <w:rPr>
          <w:lang w:val="en-GB"/>
        </w:rPr>
        <w:t>(</w:t>
      </w:r>
      <w:r w:rsidR="00507B37">
        <w:rPr>
          <w:lang w:val="en-GB"/>
        </w:rPr>
        <w:t>refer to</w:t>
      </w:r>
      <w:r w:rsidR="00296E41" w:rsidRPr="00C33C0B">
        <w:rPr>
          <w:lang w:val="en-GB"/>
        </w:rPr>
        <w:t xml:space="preserve"> Appendix </w:t>
      </w:r>
      <w:r w:rsidR="004869ED">
        <w:rPr>
          <w:lang w:val="en-GB"/>
        </w:rPr>
        <w:t>C</w:t>
      </w:r>
      <w:r w:rsidR="00296E41" w:rsidRPr="00C33C0B">
        <w:rPr>
          <w:lang w:val="en-GB"/>
        </w:rPr>
        <w:t>)</w:t>
      </w:r>
      <w:r w:rsidR="00507B37">
        <w:rPr>
          <w:lang w:val="en-GB"/>
        </w:rPr>
        <w:t>.</w:t>
      </w:r>
      <w:r w:rsidR="00296E41" w:rsidRPr="00C33C0B">
        <w:rPr>
          <w:lang w:val="en-GB"/>
        </w:rPr>
        <w:t xml:space="preserve"> Each </w:t>
      </w:r>
      <w:r w:rsidR="00A164F1">
        <w:rPr>
          <w:lang w:val="en-GB"/>
        </w:rPr>
        <w:t>working group</w:t>
      </w:r>
      <w:r w:rsidR="00296E41" w:rsidRPr="00C33C0B">
        <w:rPr>
          <w:lang w:val="en-GB"/>
        </w:rPr>
        <w:t xml:space="preserve"> met </w:t>
      </w:r>
      <w:r w:rsidR="000D071D">
        <w:rPr>
          <w:lang w:val="en-GB"/>
        </w:rPr>
        <w:t>via</w:t>
      </w:r>
      <w:r w:rsidR="000D071D" w:rsidRPr="00C33C0B">
        <w:rPr>
          <w:lang w:val="en-GB"/>
        </w:rPr>
        <w:t xml:space="preserve"> </w:t>
      </w:r>
      <w:r w:rsidR="00296E41" w:rsidRPr="00C33C0B">
        <w:rPr>
          <w:lang w:val="en-GB"/>
        </w:rPr>
        <w:t xml:space="preserve">teleconference to develop draft recommendations. These recommendations were then reviewed and considered by the full </w:t>
      </w:r>
      <w:r w:rsidR="009417F6">
        <w:rPr>
          <w:lang w:val="en-GB"/>
        </w:rPr>
        <w:t>C</w:t>
      </w:r>
      <w:r w:rsidR="00296E41" w:rsidRPr="00C33C0B">
        <w:rPr>
          <w:lang w:val="en-GB"/>
        </w:rPr>
        <w:t>ommittee at subsequent meetings to reach consensus.</w:t>
      </w:r>
    </w:p>
    <w:p w14:paraId="3565F54C" w14:textId="77777777" w:rsidR="00296E41" w:rsidRPr="00C33C0B" w:rsidRDefault="00296E41" w:rsidP="00D661EB">
      <w:pPr>
        <w:pStyle w:val="Heading3"/>
        <w:rPr>
          <w:lang w:val="en-GB"/>
        </w:rPr>
      </w:pPr>
      <w:bookmarkStart w:id="99" w:name="_Toc468831588"/>
      <w:bookmarkStart w:id="100" w:name="_Toc521442200"/>
      <w:bookmarkStart w:id="101" w:name="_Toc24544680"/>
      <w:r w:rsidRPr="00C33C0B">
        <w:rPr>
          <w:lang w:val="en-GB"/>
        </w:rPr>
        <w:t>Numbering of proposed items</w:t>
      </w:r>
      <w:bookmarkEnd w:id="99"/>
      <w:bookmarkEnd w:id="100"/>
      <w:bookmarkEnd w:id="101"/>
    </w:p>
    <w:p w14:paraId="23803DB4" w14:textId="77777777" w:rsidR="00296E41" w:rsidRPr="00C33C0B" w:rsidRDefault="009C0509" w:rsidP="00D661EB">
      <w:pPr>
        <w:rPr>
          <w:lang w:val="en-GB"/>
        </w:rPr>
      </w:pPr>
      <w:r w:rsidRPr="00C33C0B">
        <w:rPr>
          <w:lang w:val="en-GB"/>
        </w:rPr>
        <w:t>Where</w:t>
      </w:r>
      <w:r w:rsidR="00296E41" w:rsidRPr="00C33C0B">
        <w:rPr>
          <w:lang w:val="en-GB"/>
        </w:rPr>
        <w:t xml:space="preserve"> the Committee recommends new </w:t>
      </w:r>
      <w:r w:rsidRPr="00C33C0B">
        <w:rPr>
          <w:lang w:val="en-GB"/>
        </w:rPr>
        <w:t>items, t</w:t>
      </w:r>
      <w:r w:rsidR="00296E41" w:rsidRPr="00C33C0B">
        <w:rPr>
          <w:lang w:val="en-GB"/>
        </w:rPr>
        <w:t>hese are often referred to using letters for ease of reference. If the recommended items are ultimately added to the MBS, the Department of Human Services (DHS) will assign new numbers in the usual format. The Committee is not recommending changes to the MBS numbering system.</w:t>
      </w:r>
    </w:p>
    <w:p w14:paraId="09CBD4BF" w14:textId="77777777" w:rsidR="00D661EB" w:rsidRPr="00C33C0B" w:rsidRDefault="004C74B7" w:rsidP="00237B22">
      <w:pPr>
        <w:pStyle w:val="Heading1"/>
        <w:rPr>
          <w:lang w:val="en-GB"/>
        </w:rPr>
      </w:pPr>
      <w:bookmarkStart w:id="102" w:name="_Toc521442202"/>
      <w:bookmarkStart w:id="103" w:name="_Toc24544681"/>
      <w:bookmarkStart w:id="104" w:name="_Hlk521409651"/>
      <w:bookmarkStart w:id="105" w:name="_Hlk521924211"/>
      <w:r>
        <w:rPr>
          <w:lang w:val="en-GB"/>
        </w:rPr>
        <w:t>Standard attendance r</w:t>
      </w:r>
      <w:r w:rsidR="00D661EB" w:rsidRPr="00C33C0B">
        <w:rPr>
          <w:lang w:val="en-GB"/>
        </w:rPr>
        <w:t>ecommendations</w:t>
      </w:r>
      <w:bookmarkEnd w:id="102"/>
      <w:bookmarkEnd w:id="103"/>
    </w:p>
    <w:p w14:paraId="6BAD5942" w14:textId="77777777" w:rsidR="00D0787A" w:rsidRDefault="00D0787A" w:rsidP="003C5D5A">
      <w:pPr>
        <w:pStyle w:val="Heading2"/>
        <w:rPr>
          <w:lang w:val="en-GB"/>
        </w:rPr>
      </w:pPr>
      <w:bookmarkStart w:id="106" w:name="_Toc24544682"/>
      <w:r>
        <w:rPr>
          <w:lang w:val="en-GB"/>
        </w:rPr>
        <w:t xml:space="preserve">Current </w:t>
      </w:r>
      <w:r w:rsidRPr="00C33C0B">
        <w:rPr>
          <w:lang w:val="en-GB"/>
        </w:rPr>
        <w:t xml:space="preserve">standard attendances for </w:t>
      </w:r>
      <w:r>
        <w:rPr>
          <w:lang w:val="en-GB"/>
        </w:rPr>
        <w:t>consultant specialist</w:t>
      </w:r>
      <w:r w:rsidRPr="00C33C0B">
        <w:rPr>
          <w:lang w:val="en-GB"/>
        </w:rPr>
        <w:t>s</w:t>
      </w:r>
      <w:bookmarkEnd w:id="106"/>
    </w:p>
    <w:p w14:paraId="744629D1" w14:textId="77777777" w:rsidR="00D661EB" w:rsidRPr="00C33C0B" w:rsidRDefault="00D661EB" w:rsidP="00237B22">
      <w:pPr>
        <w:rPr>
          <w:lang w:val="en-GB"/>
        </w:rPr>
      </w:pPr>
      <w:r w:rsidRPr="00C33C0B">
        <w:rPr>
          <w:lang w:val="en-GB"/>
        </w:rPr>
        <w:t xml:space="preserve">There are </w:t>
      </w:r>
      <w:r w:rsidR="00A14DD3" w:rsidRPr="00C33C0B">
        <w:rPr>
          <w:lang w:val="en-GB"/>
        </w:rPr>
        <w:t>55</w:t>
      </w:r>
      <w:r w:rsidRPr="00C33C0B">
        <w:rPr>
          <w:lang w:val="en-GB"/>
        </w:rPr>
        <w:t xml:space="preserve"> MBS items related to </w:t>
      </w:r>
      <w:bookmarkStart w:id="107" w:name="_Hlk528947724"/>
      <w:r w:rsidRPr="00C33C0B">
        <w:rPr>
          <w:lang w:val="en-GB"/>
        </w:rPr>
        <w:t>standard attendances</w:t>
      </w:r>
      <w:r w:rsidR="00FD6FA8" w:rsidRPr="00C33C0B">
        <w:rPr>
          <w:lang w:val="en-GB"/>
        </w:rPr>
        <w:t xml:space="preserve"> for </w:t>
      </w:r>
      <w:r w:rsidR="00AA329D">
        <w:rPr>
          <w:lang w:val="en-GB" w:eastAsia="en-US"/>
        </w:rPr>
        <w:t>consultant specialist</w:t>
      </w:r>
      <w:r w:rsidR="006219EB" w:rsidRPr="00C33C0B">
        <w:rPr>
          <w:lang w:val="en-GB" w:eastAsia="en-US"/>
        </w:rPr>
        <w:t>s</w:t>
      </w:r>
      <w:bookmarkEnd w:id="107"/>
      <w:r w:rsidRPr="00C33C0B">
        <w:rPr>
          <w:lang w:val="en-GB"/>
        </w:rPr>
        <w:t xml:space="preserve">. In 2016/17, these items </w:t>
      </w:r>
      <w:r w:rsidR="00466C5D" w:rsidRPr="00C33C0B">
        <w:rPr>
          <w:lang w:val="en-GB"/>
        </w:rPr>
        <w:t xml:space="preserve">accounted for </w:t>
      </w:r>
      <w:r w:rsidRPr="00C33C0B">
        <w:rPr>
          <w:lang w:val="en-GB"/>
        </w:rPr>
        <w:t>24 million services and $1.6</w:t>
      </w:r>
      <w:r w:rsidR="003048BA">
        <w:rPr>
          <w:lang w:val="en-GB"/>
        </w:rPr>
        <w:t xml:space="preserve"> </w:t>
      </w:r>
      <w:r w:rsidRPr="00C33C0B">
        <w:rPr>
          <w:lang w:val="en-GB"/>
        </w:rPr>
        <w:t>b</w:t>
      </w:r>
      <w:r w:rsidR="003048BA">
        <w:rPr>
          <w:lang w:val="en-GB"/>
        </w:rPr>
        <w:t>illio</w:t>
      </w:r>
      <w:r w:rsidRPr="00C33C0B">
        <w:rPr>
          <w:lang w:val="en-GB"/>
        </w:rPr>
        <w:t>n in MBS benefits paid</w:t>
      </w:r>
      <w:r w:rsidR="007649DC" w:rsidRPr="00C33C0B">
        <w:rPr>
          <w:lang w:val="en-GB"/>
        </w:rPr>
        <w:t>. These include standard</w:t>
      </w:r>
      <w:r w:rsidRPr="00C33C0B">
        <w:rPr>
          <w:lang w:val="en-GB"/>
        </w:rPr>
        <w:t xml:space="preserve"> attendances </w:t>
      </w:r>
      <w:r w:rsidR="007649DC" w:rsidRPr="00C33C0B">
        <w:rPr>
          <w:lang w:val="en-GB"/>
        </w:rPr>
        <w:t xml:space="preserve">from </w:t>
      </w:r>
      <w:r w:rsidR="00056412" w:rsidRPr="00C33C0B">
        <w:rPr>
          <w:lang w:val="en-GB"/>
        </w:rPr>
        <w:t xml:space="preserve">the following </w:t>
      </w:r>
      <w:r w:rsidR="0076421E" w:rsidRPr="00C33C0B">
        <w:rPr>
          <w:lang w:val="en-GB"/>
        </w:rPr>
        <w:t>G</w:t>
      </w:r>
      <w:r w:rsidR="00056412" w:rsidRPr="00C33C0B">
        <w:rPr>
          <w:lang w:val="en-GB"/>
        </w:rPr>
        <w:t xml:space="preserve">roups </w:t>
      </w:r>
      <w:r w:rsidR="007649DC" w:rsidRPr="00C33C0B">
        <w:rPr>
          <w:lang w:val="en-GB"/>
        </w:rPr>
        <w:t>in</w:t>
      </w:r>
      <w:r w:rsidR="00056412" w:rsidRPr="00C33C0B">
        <w:rPr>
          <w:lang w:val="en-GB"/>
        </w:rPr>
        <w:t xml:space="preserve"> </w:t>
      </w:r>
      <w:r w:rsidR="00081E28" w:rsidRPr="00C33C0B">
        <w:rPr>
          <w:lang w:val="en-GB"/>
        </w:rPr>
        <w:t xml:space="preserve">MBS </w:t>
      </w:r>
      <w:r w:rsidR="00056412" w:rsidRPr="00C33C0B">
        <w:rPr>
          <w:lang w:val="en-GB"/>
        </w:rPr>
        <w:t>Category 1</w:t>
      </w:r>
      <w:r w:rsidRPr="00C33C0B">
        <w:rPr>
          <w:lang w:val="en-GB"/>
        </w:rPr>
        <w:t>:</w:t>
      </w:r>
    </w:p>
    <w:p w14:paraId="42BF260B" w14:textId="77777777" w:rsidR="00D661EB" w:rsidRPr="00C33C0B" w:rsidRDefault="00D661EB" w:rsidP="00237B22">
      <w:pPr>
        <w:pStyle w:val="Bullet-green"/>
        <w:rPr>
          <w:lang w:val="en-GB"/>
        </w:rPr>
      </w:pPr>
      <w:r w:rsidRPr="00C33C0B">
        <w:rPr>
          <w:lang w:val="en-GB"/>
        </w:rPr>
        <w:t xml:space="preserve">A3 </w:t>
      </w:r>
      <w:r w:rsidR="00AF5790">
        <w:rPr>
          <w:lang w:val="en-GB"/>
        </w:rPr>
        <w:t>s</w:t>
      </w:r>
      <w:r w:rsidRPr="00C33C0B">
        <w:rPr>
          <w:lang w:val="en-GB"/>
        </w:rPr>
        <w:t xml:space="preserve">pecialist </w:t>
      </w:r>
      <w:r w:rsidR="00AF5790">
        <w:rPr>
          <w:lang w:val="en-GB"/>
        </w:rPr>
        <w:t>a</w:t>
      </w:r>
      <w:r w:rsidRPr="00C33C0B">
        <w:rPr>
          <w:lang w:val="en-GB"/>
        </w:rPr>
        <w:t>ttendances</w:t>
      </w:r>
      <w:r w:rsidR="006549E9">
        <w:rPr>
          <w:lang w:val="en-GB"/>
        </w:rPr>
        <w:t>;</w:t>
      </w:r>
    </w:p>
    <w:p w14:paraId="3A235C39" w14:textId="77777777" w:rsidR="00D661EB" w:rsidRPr="00C33C0B" w:rsidRDefault="00D661EB" w:rsidP="00237B22">
      <w:pPr>
        <w:pStyle w:val="Bullet-green"/>
        <w:rPr>
          <w:lang w:val="en-GB"/>
        </w:rPr>
      </w:pPr>
      <w:r w:rsidRPr="00C33C0B">
        <w:rPr>
          <w:lang w:val="en-GB"/>
        </w:rPr>
        <w:t xml:space="preserve">A4 </w:t>
      </w:r>
      <w:r w:rsidR="00AF5790">
        <w:rPr>
          <w:lang w:val="en-GB"/>
        </w:rPr>
        <w:t>c</w:t>
      </w:r>
      <w:r w:rsidRPr="00C33C0B">
        <w:rPr>
          <w:lang w:val="en-GB"/>
        </w:rPr>
        <w:t xml:space="preserve">onsultant </w:t>
      </w:r>
      <w:r w:rsidR="00AF5790">
        <w:rPr>
          <w:lang w:val="en-GB"/>
        </w:rPr>
        <w:t>p</w:t>
      </w:r>
      <w:r w:rsidRPr="00C33C0B">
        <w:rPr>
          <w:lang w:val="en-GB"/>
        </w:rPr>
        <w:t xml:space="preserve">hysician </w:t>
      </w:r>
      <w:r w:rsidR="00AF5790">
        <w:rPr>
          <w:lang w:val="en-GB"/>
        </w:rPr>
        <w:t>a</w:t>
      </w:r>
      <w:r w:rsidRPr="00C33C0B">
        <w:rPr>
          <w:lang w:val="en-GB"/>
        </w:rPr>
        <w:t>ttendances</w:t>
      </w:r>
      <w:r w:rsidR="006549E9">
        <w:rPr>
          <w:lang w:val="en-GB"/>
        </w:rPr>
        <w:t>;</w:t>
      </w:r>
    </w:p>
    <w:p w14:paraId="7995C395" w14:textId="77777777" w:rsidR="00D661EB" w:rsidRPr="00C33C0B" w:rsidRDefault="00D661EB" w:rsidP="00237B22">
      <w:pPr>
        <w:pStyle w:val="Bullet-green"/>
        <w:rPr>
          <w:lang w:val="en-GB"/>
        </w:rPr>
      </w:pPr>
      <w:r w:rsidRPr="00C33C0B">
        <w:rPr>
          <w:lang w:val="en-GB"/>
        </w:rPr>
        <w:t xml:space="preserve">A5 </w:t>
      </w:r>
      <w:r w:rsidR="00AF5790">
        <w:rPr>
          <w:lang w:val="en-GB"/>
        </w:rPr>
        <w:t>p</w:t>
      </w:r>
      <w:r w:rsidRPr="00C33C0B">
        <w:rPr>
          <w:lang w:val="en-GB"/>
        </w:rPr>
        <w:t xml:space="preserve">rolonged </w:t>
      </w:r>
      <w:r w:rsidR="00AF5790">
        <w:rPr>
          <w:lang w:val="en-GB"/>
        </w:rPr>
        <w:t>a</w:t>
      </w:r>
      <w:r w:rsidRPr="00C33C0B">
        <w:rPr>
          <w:lang w:val="en-GB"/>
        </w:rPr>
        <w:t>ttendances</w:t>
      </w:r>
      <w:r w:rsidR="006549E9">
        <w:rPr>
          <w:lang w:val="en-GB"/>
        </w:rPr>
        <w:t>;</w:t>
      </w:r>
    </w:p>
    <w:p w14:paraId="017D12E9" w14:textId="77777777" w:rsidR="00D661EB" w:rsidRPr="00C33C0B" w:rsidRDefault="00D661EB" w:rsidP="00237B22">
      <w:pPr>
        <w:pStyle w:val="Bullet-green"/>
        <w:rPr>
          <w:lang w:val="en-GB"/>
        </w:rPr>
      </w:pPr>
      <w:r w:rsidRPr="00C33C0B">
        <w:rPr>
          <w:lang w:val="en-GB"/>
        </w:rPr>
        <w:t xml:space="preserve">A12 </w:t>
      </w:r>
      <w:r w:rsidR="00AF5790">
        <w:rPr>
          <w:lang w:val="en-GB"/>
        </w:rPr>
        <w:t>o</w:t>
      </w:r>
      <w:r w:rsidRPr="00C33C0B">
        <w:rPr>
          <w:lang w:val="en-GB"/>
        </w:rPr>
        <w:t xml:space="preserve">ccupational </w:t>
      </w:r>
      <w:r w:rsidR="00AF5790">
        <w:rPr>
          <w:lang w:val="en-GB"/>
        </w:rPr>
        <w:t>p</w:t>
      </w:r>
      <w:r w:rsidRPr="00C33C0B">
        <w:rPr>
          <w:lang w:val="en-GB"/>
        </w:rPr>
        <w:t xml:space="preserve">hysician </w:t>
      </w:r>
      <w:r w:rsidR="00AF5790">
        <w:rPr>
          <w:lang w:val="en-GB"/>
        </w:rPr>
        <w:t>a</w:t>
      </w:r>
      <w:r w:rsidRPr="00C33C0B">
        <w:rPr>
          <w:lang w:val="en-GB"/>
        </w:rPr>
        <w:t>ttendances</w:t>
      </w:r>
      <w:r w:rsidR="006549E9">
        <w:rPr>
          <w:lang w:val="en-GB"/>
        </w:rPr>
        <w:t>;</w:t>
      </w:r>
    </w:p>
    <w:p w14:paraId="364B17C9" w14:textId="77777777" w:rsidR="00D661EB" w:rsidRPr="00C33C0B" w:rsidRDefault="00D661EB" w:rsidP="00237B22">
      <w:pPr>
        <w:pStyle w:val="Bullet-green"/>
        <w:rPr>
          <w:lang w:val="en-GB"/>
        </w:rPr>
      </w:pPr>
      <w:r w:rsidRPr="00C33C0B">
        <w:rPr>
          <w:lang w:val="en-GB"/>
        </w:rPr>
        <w:t xml:space="preserve">A13 </w:t>
      </w:r>
      <w:r w:rsidR="00AF5790">
        <w:rPr>
          <w:lang w:val="en-GB"/>
        </w:rPr>
        <w:t>p</w:t>
      </w:r>
      <w:r w:rsidRPr="00C33C0B">
        <w:rPr>
          <w:lang w:val="en-GB"/>
        </w:rPr>
        <w:t xml:space="preserve">ublic </w:t>
      </w:r>
      <w:r w:rsidR="00AF5790">
        <w:rPr>
          <w:lang w:val="en-GB"/>
        </w:rPr>
        <w:t>h</w:t>
      </w:r>
      <w:r w:rsidRPr="00C33C0B">
        <w:rPr>
          <w:lang w:val="en-GB"/>
        </w:rPr>
        <w:t xml:space="preserve">ealth </w:t>
      </w:r>
      <w:r w:rsidR="00AF5790">
        <w:rPr>
          <w:lang w:val="en-GB"/>
        </w:rPr>
        <w:t>p</w:t>
      </w:r>
      <w:r w:rsidRPr="00C33C0B">
        <w:rPr>
          <w:lang w:val="en-GB"/>
        </w:rPr>
        <w:t xml:space="preserve">hysician </w:t>
      </w:r>
      <w:r w:rsidR="00AF5790">
        <w:rPr>
          <w:lang w:val="en-GB"/>
        </w:rPr>
        <w:t>a</w:t>
      </w:r>
      <w:r w:rsidRPr="00C33C0B">
        <w:rPr>
          <w:lang w:val="en-GB"/>
        </w:rPr>
        <w:t>ttendances</w:t>
      </w:r>
      <w:r w:rsidR="006549E9">
        <w:rPr>
          <w:lang w:val="en-GB"/>
        </w:rPr>
        <w:t>;</w:t>
      </w:r>
    </w:p>
    <w:p w14:paraId="79DC5B20" w14:textId="77777777" w:rsidR="00D661EB" w:rsidRPr="00C33C0B" w:rsidRDefault="00D661EB" w:rsidP="00237B22">
      <w:pPr>
        <w:pStyle w:val="Bullet-green"/>
        <w:rPr>
          <w:lang w:val="en-GB"/>
        </w:rPr>
      </w:pPr>
      <w:r w:rsidRPr="00C33C0B">
        <w:rPr>
          <w:lang w:val="en-GB"/>
        </w:rPr>
        <w:t xml:space="preserve">A24 </w:t>
      </w:r>
      <w:r w:rsidR="00AF5790">
        <w:rPr>
          <w:lang w:val="en-GB"/>
        </w:rPr>
        <w:t>p</w:t>
      </w:r>
      <w:r w:rsidRPr="00C33C0B">
        <w:rPr>
          <w:lang w:val="en-GB"/>
        </w:rPr>
        <w:t xml:space="preserve">ain and </w:t>
      </w:r>
      <w:r w:rsidR="00AF5790">
        <w:rPr>
          <w:lang w:val="en-GB"/>
        </w:rPr>
        <w:t>p</w:t>
      </w:r>
      <w:r w:rsidRPr="00C33C0B">
        <w:rPr>
          <w:lang w:val="en-GB"/>
        </w:rPr>
        <w:t xml:space="preserve">alliative </w:t>
      </w:r>
      <w:r w:rsidR="00AF5790">
        <w:rPr>
          <w:lang w:val="en-GB"/>
        </w:rPr>
        <w:t>m</w:t>
      </w:r>
      <w:r w:rsidRPr="00C33C0B">
        <w:rPr>
          <w:lang w:val="en-GB"/>
        </w:rPr>
        <w:t xml:space="preserve">edicine </w:t>
      </w:r>
      <w:r w:rsidR="00AF5790">
        <w:rPr>
          <w:lang w:val="en-GB"/>
        </w:rPr>
        <w:t>a</w:t>
      </w:r>
      <w:r w:rsidRPr="00C33C0B">
        <w:rPr>
          <w:lang w:val="en-GB"/>
        </w:rPr>
        <w:t>ttendances</w:t>
      </w:r>
      <w:r w:rsidR="006549E9">
        <w:rPr>
          <w:lang w:val="en-GB"/>
        </w:rPr>
        <w:t>;</w:t>
      </w:r>
    </w:p>
    <w:p w14:paraId="15A0CF84" w14:textId="77777777" w:rsidR="00D661EB" w:rsidRPr="00C33C0B" w:rsidRDefault="00D661EB" w:rsidP="00237B22">
      <w:pPr>
        <w:pStyle w:val="Bullet-green"/>
        <w:rPr>
          <w:lang w:val="en-GB"/>
        </w:rPr>
      </w:pPr>
      <w:r w:rsidRPr="00C33C0B">
        <w:rPr>
          <w:lang w:val="en-GB"/>
        </w:rPr>
        <w:t xml:space="preserve">A26 </w:t>
      </w:r>
      <w:r w:rsidR="00AF5790">
        <w:rPr>
          <w:lang w:val="en-GB"/>
        </w:rPr>
        <w:t>n</w:t>
      </w:r>
      <w:r w:rsidRPr="00C33C0B">
        <w:rPr>
          <w:lang w:val="en-GB"/>
        </w:rPr>
        <w:t xml:space="preserve">eurosurgery </w:t>
      </w:r>
      <w:r w:rsidR="00AF5790">
        <w:rPr>
          <w:lang w:val="en-GB"/>
        </w:rPr>
        <w:t>a</w:t>
      </w:r>
      <w:r w:rsidRPr="00C33C0B">
        <w:rPr>
          <w:lang w:val="en-GB"/>
        </w:rPr>
        <w:t>ttendances</w:t>
      </w:r>
      <w:r w:rsidR="006549E9">
        <w:rPr>
          <w:lang w:val="en-GB"/>
        </w:rPr>
        <w:t>;</w:t>
      </w:r>
    </w:p>
    <w:p w14:paraId="5545BC37" w14:textId="77777777" w:rsidR="007649DC" w:rsidRPr="00C33C0B" w:rsidRDefault="007649DC" w:rsidP="00237B22">
      <w:pPr>
        <w:pStyle w:val="Bullet-green"/>
        <w:rPr>
          <w:lang w:val="en-GB"/>
        </w:rPr>
      </w:pPr>
      <w:r w:rsidRPr="00C33C0B">
        <w:rPr>
          <w:lang w:val="en-GB"/>
        </w:rPr>
        <w:t xml:space="preserve">A31 </w:t>
      </w:r>
      <w:r w:rsidR="00AF5790">
        <w:rPr>
          <w:lang w:val="en-GB"/>
        </w:rPr>
        <w:t>a</w:t>
      </w:r>
      <w:r w:rsidRPr="00C33C0B">
        <w:rPr>
          <w:lang w:val="en-GB"/>
        </w:rPr>
        <w:t xml:space="preserve">ddiction </w:t>
      </w:r>
      <w:r w:rsidR="00AF5790">
        <w:rPr>
          <w:lang w:val="en-GB"/>
        </w:rPr>
        <w:t>m</w:t>
      </w:r>
      <w:r w:rsidRPr="00C33C0B">
        <w:rPr>
          <w:lang w:val="en-GB"/>
        </w:rPr>
        <w:t xml:space="preserve">edicine </w:t>
      </w:r>
      <w:r w:rsidR="00AF5790">
        <w:rPr>
          <w:lang w:val="en-GB"/>
        </w:rPr>
        <w:t>a</w:t>
      </w:r>
      <w:r w:rsidRPr="00C33C0B">
        <w:rPr>
          <w:lang w:val="en-GB"/>
        </w:rPr>
        <w:t>ttendances</w:t>
      </w:r>
      <w:r w:rsidR="006549E9">
        <w:rPr>
          <w:lang w:val="en-GB"/>
        </w:rPr>
        <w:t>;</w:t>
      </w:r>
      <w:r w:rsidR="003048BA">
        <w:rPr>
          <w:lang w:val="en-GB"/>
        </w:rPr>
        <w:t xml:space="preserve"> and</w:t>
      </w:r>
    </w:p>
    <w:p w14:paraId="6F526BD6" w14:textId="77777777" w:rsidR="007649DC" w:rsidRPr="00C33C0B" w:rsidRDefault="007649DC" w:rsidP="00237B22">
      <w:pPr>
        <w:pStyle w:val="Bullet-green"/>
        <w:rPr>
          <w:lang w:val="en-GB"/>
        </w:rPr>
      </w:pPr>
      <w:r w:rsidRPr="00C33C0B">
        <w:rPr>
          <w:lang w:val="en-GB"/>
        </w:rPr>
        <w:t xml:space="preserve">A32 </w:t>
      </w:r>
      <w:r w:rsidR="00AF5790">
        <w:rPr>
          <w:lang w:val="en-GB"/>
        </w:rPr>
        <w:t>s</w:t>
      </w:r>
      <w:r w:rsidRPr="00C33C0B">
        <w:rPr>
          <w:lang w:val="en-GB"/>
        </w:rPr>
        <w:t xml:space="preserve">exual </w:t>
      </w:r>
      <w:r w:rsidR="00AF5790">
        <w:rPr>
          <w:lang w:val="en-GB"/>
        </w:rPr>
        <w:t>h</w:t>
      </w:r>
      <w:r w:rsidRPr="00C33C0B">
        <w:rPr>
          <w:lang w:val="en-GB"/>
        </w:rPr>
        <w:t xml:space="preserve">ealth </w:t>
      </w:r>
      <w:r w:rsidR="00AF5790">
        <w:rPr>
          <w:lang w:val="en-GB"/>
        </w:rPr>
        <w:t>m</w:t>
      </w:r>
      <w:r w:rsidRPr="00C33C0B">
        <w:rPr>
          <w:lang w:val="en-GB"/>
        </w:rPr>
        <w:t xml:space="preserve">edicine </w:t>
      </w:r>
      <w:r w:rsidR="00AF5790">
        <w:rPr>
          <w:lang w:val="en-GB"/>
        </w:rPr>
        <w:t>a</w:t>
      </w:r>
      <w:r w:rsidRPr="00C33C0B">
        <w:rPr>
          <w:lang w:val="en-GB"/>
        </w:rPr>
        <w:t>ttendances</w:t>
      </w:r>
      <w:r w:rsidR="00B07947">
        <w:rPr>
          <w:lang w:val="en-GB"/>
        </w:rPr>
        <w:t>.</w:t>
      </w:r>
    </w:p>
    <w:p w14:paraId="47FFD31F" w14:textId="77777777" w:rsidR="00FD6FA8" w:rsidRDefault="000949B2" w:rsidP="000949B2">
      <w:pPr>
        <w:pStyle w:val="Bullet-green"/>
        <w:numPr>
          <w:ilvl w:val="0"/>
          <w:numId w:val="0"/>
        </w:numPr>
        <w:rPr>
          <w:lang w:val="en-GB"/>
        </w:rPr>
      </w:pPr>
      <w:r w:rsidRPr="00C33C0B">
        <w:rPr>
          <w:lang w:val="en-GB"/>
        </w:rPr>
        <w:t>A</w:t>
      </w:r>
      <w:r w:rsidR="00FD6FA8" w:rsidRPr="00C33C0B">
        <w:rPr>
          <w:lang w:val="en-GB"/>
        </w:rPr>
        <w:t xml:space="preserve">ttendance items </w:t>
      </w:r>
      <w:r w:rsidR="002C0891">
        <w:rPr>
          <w:lang w:val="en-GB"/>
        </w:rPr>
        <w:t>beyond</w:t>
      </w:r>
      <w:r w:rsidR="002C0891" w:rsidRPr="00C33C0B">
        <w:rPr>
          <w:lang w:val="en-GB"/>
        </w:rPr>
        <w:t xml:space="preserve"> </w:t>
      </w:r>
      <w:r w:rsidRPr="00C33C0B">
        <w:rPr>
          <w:lang w:val="en-GB"/>
        </w:rPr>
        <w:t xml:space="preserve">the scope of the </w:t>
      </w:r>
      <w:r w:rsidR="00A14DD3" w:rsidRPr="00C33C0B">
        <w:rPr>
          <w:lang w:val="en-GB"/>
        </w:rPr>
        <w:t>Committee</w:t>
      </w:r>
      <w:r w:rsidRPr="00C33C0B">
        <w:rPr>
          <w:lang w:val="en-GB"/>
        </w:rPr>
        <w:t xml:space="preserve"> </w:t>
      </w:r>
      <w:r w:rsidR="00FD6FA8" w:rsidRPr="00C33C0B">
        <w:rPr>
          <w:lang w:val="en-GB"/>
        </w:rPr>
        <w:t xml:space="preserve">include </w:t>
      </w:r>
      <w:r w:rsidR="00B47C7E">
        <w:rPr>
          <w:lang w:val="en-GB"/>
        </w:rPr>
        <w:t>those</w:t>
      </w:r>
      <w:r w:rsidRPr="00C33C0B">
        <w:rPr>
          <w:lang w:val="en-GB"/>
        </w:rPr>
        <w:t xml:space="preserve"> for g</w:t>
      </w:r>
      <w:r w:rsidR="00881847" w:rsidRPr="00C33C0B">
        <w:rPr>
          <w:lang w:val="en-GB"/>
        </w:rPr>
        <w:t xml:space="preserve">eneral </w:t>
      </w:r>
      <w:r w:rsidRPr="00C33C0B">
        <w:rPr>
          <w:lang w:val="en-GB"/>
        </w:rPr>
        <w:t>practice</w:t>
      </w:r>
      <w:r w:rsidR="00881847" w:rsidRPr="00C33C0B">
        <w:rPr>
          <w:lang w:val="en-GB"/>
        </w:rPr>
        <w:t xml:space="preserve"> (A1, A2, A15, A18, A22, </w:t>
      </w:r>
      <w:r w:rsidR="00CE152A">
        <w:rPr>
          <w:lang w:val="en-GB"/>
        </w:rPr>
        <w:t xml:space="preserve">and </w:t>
      </w:r>
      <w:r w:rsidR="00881847" w:rsidRPr="00C33C0B">
        <w:rPr>
          <w:lang w:val="en-GB"/>
        </w:rPr>
        <w:t xml:space="preserve">A23), </w:t>
      </w:r>
      <w:r w:rsidRPr="00C33C0B">
        <w:rPr>
          <w:lang w:val="en-GB"/>
        </w:rPr>
        <w:t>obstetrics</w:t>
      </w:r>
      <w:r w:rsidR="00881847" w:rsidRPr="00C33C0B">
        <w:rPr>
          <w:lang w:val="en-GB"/>
        </w:rPr>
        <w:t xml:space="preserve"> (T4), </w:t>
      </w:r>
      <w:r w:rsidRPr="00C33C0B">
        <w:rPr>
          <w:lang w:val="en-GB"/>
        </w:rPr>
        <w:t>a</w:t>
      </w:r>
      <w:r w:rsidR="00881847" w:rsidRPr="00C33C0B">
        <w:rPr>
          <w:lang w:val="en-GB"/>
        </w:rPr>
        <w:t xml:space="preserve">naesthetics (T6), </w:t>
      </w:r>
      <w:r w:rsidRPr="00C33C0B">
        <w:rPr>
          <w:lang w:val="en-GB"/>
        </w:rPr>
        <w:t>p</w:t>
      </w:r>
      <w:r w:rsidR="00FD6FA8" w:rsidRPr="00C33C0B">
        <w:rPr>
          <w:lang w:val="en-GB"/>
        </w:rPr>
        <w:t>sychiatry</w:t>
      </w:r>
      <w:r w:rsidR="00420DEC" w:rsidRPr="00C33C0B">
        <w:rPr>
          <w:lang w:val="en-GB"/>
        </w:rPr>
        <w:t xml:space="preserve"> (A8)</w:t>
      </w:r>
      <w:r w:rsidR="00FD6FA8" w:rsidRPr="00C33C0B">
        <w:rPr>
          <w:lang w:val="en-GB"/>
        </w:rPr>
        <w:t xml:space="preserve">, </w:t>
      </w:r>
      <w:r w:rsidRPr="00C33C0B">
        <w:rPr>
          <w:lang w:val="en-GB"/>
        </w:rPr>
        <w:t xml:space="preserve">intensive care (T11) </w:t>
      </w:r>
      <w:r w:rsidR="008972C2" w:rsidRPr="00C33C0B">
        <w:rPr>
          <w:lang w:val="en-GB"/>
        </w:rPr>
        <w:t xml:space="preserve">and </w:t>
      </w:r>
      <w:r w:rsidRPr="00C33C0B">
        <w:rPr>
          <w:lang w:val="en-GB"/>
        </w:rPr>
        <w:t>emergency m</w:t>
      </w:r>
      <w:r w:rsidR="00FD6FA8" w:rsidRPr="00C33C0B">
        <w:rPr>
          <w:lang w:val="en-GB"/>
        </w:rPr>
        <w:t>edicine</w:t>
      </w:r>
      <w:r w:rsidR="00420DEC" w:rsidRPr="00C33C0B">
        <w:rPr>
          <w:lang w:val="en-GB"/>
        </w:rPr>
        <w:t xml:space="preserve"> (A21)</w:t>
      </w:r>
      <w:r w:rsidRPr="00C33C0B">
        <w:rPr>
          <w:lang w:val="en-GB"/>
        </w:rPr>
        <w:t xml:space="preserve">. These items have been reviewed by their respective </w:t>
      </w:r>
      <w:r w:rsidR="002462E8">
        <w:rPr>
          <w:lang w:val="en-GB"/>
        </w:rPr>
        <w:t>c</w:t>
      </w:r>
      <w:r w:rsidRPr="00C33C0B">
        <w:rPr>
          <w:lang w:val="en-GB"/>
        </w:rPr>
        <w:t xml:space="preserve">linical </w:t>
      </w:r>
      <w:r w:rsidR="002462E8">
        <w:rPr>
          <w:lang w:val="en-GB"/>
        </w:rPr>
        <w:t>c</w:t>
      </w:r>
      <w:r w:rsidRPr="00C33C0B">
        <w:rPr>
          <w:lang w:val="en-GB"/>
        </w:rPr>
        <w:t>ommittees</w:t>
      </w:r>
      <w:r w:rsidR="00140B7B">
        <w:rPr>
          <w:lang w:val="en-GB"/>
        </w:rPr>
        <w:t>, with both formal and informal consultation and communication occurring between committees where relevant</w:t>
      </w:r>
    </w:p>
    <w:p w14:paraId="3C533922" w14:textId="77777777" w:rsidR="005924BE" w:rsidRPr="00C33C0B" w:rsidRDefault="005924BE" w:rsidP="000949B2">
      <w:pPr>
        <w:pStyle w:val="Bullet-green"/>
        <w:numPr>
          <w:ilvl w:val="0"/>
          <w:numId w:val="0"/>
        </w:numPr>
        <w:rPr>
          <w:lang w:val="en-GB"/>
        </w:rPr>
      </w:pPr>
      <w:r>
        <w:t>See Appendix A.1 for a full list of standard attendance items.</w:t>
      </w:r>
    </w:p>
    <w:p w14:paraId="5FC3A444" w14:textId="77777777" w:rsidR="0068431D" w:rsidRDefault="0068431D" w:rsidP="003C5D5A">
      <w:pPr>
        <w:pStyle w:val="Heading2"/>
      </w:pPr>
      <w:bookmarkStart w:id="108" w:name="_Toc24544683"/>
      <w:r>
        <w:t>H</w:t>
      </w:r>
      <w:r w:rsidR="00DF1DB6">
        <w:t>istorical context</w:t>
      </w:r>
      <w:bookmarkEnd w:id="108"/>
    </w:p>
    <w:p w14:paraId="6F81B984" w14:textId="77777777" w:rsidR="0068431D" w:rsidRPr="00C33C0B" w:rsidRDefault="0068431D" w:rsidP="0068431D">
      <w:pPr>
        <w:rPr>
          <w:lang w:val="en-GB" w:eastAsia="en-US"/>
        </w:rPr>
      </w:pPr>
      <w:r w:rsidRPr="00C33C0B">
        <w:rPr>
          <w:lang w:val="en-GB" w:eastAsia="en-US"/>
        </w:rPr>
        <w:t xml:space="preserve">Many of the items for </w:t>
      </w:r>
      <w:r w:rsidR="008C78CE">
        <w:rPr>
          <w:lang w:val="en-GB" w:eastAsia="en-US"/>
        </w:rPr>
        <w:t>consultant specialist</w:t>
      </w:r>
      <w:r w:rsidRPr="00C33C0B">
        <w:rPr>
          <w:lang w:val="en-GB" w:eastAsia="en-US"/>
        </w:rPr>
        <w:t xml:space="preserve"> attendances are long-standing items that have not been reviewed or changed since their introduction in the 1970s. The structure of the items is based on </w:t>
      </w:r>
      <w:r w:rsidR="00CF65E9">
        <w:rPr>
          <w:lang w:val="en-GB" w:eastAsia="en-US"/>
        </w:rPr>
        <w:t xml:space="preserve">historic </w:t>
      </w:r>
      <w:r w:rsidRPr="00C33C0B">
        <w:rPr>
          <w:lang w:val="en-GB" w:eastAsia="en-US"/>
        </w:rPr>
        <w:t xml:space="preserve">roles of </w:t>
      </w:r>
      <w:r>
        <w:rPr>
          <w:lang w:val="en-GB" w:eastAsia="en-US"/>
        </w:rPr>
        <w:t>s</w:t>
      </w:r>
      <w:r w:rsidRPr="00C33C0B">
        <w:rPr>
          <w:lang w:val="en-GB" w:eastAsia="en-US"/>
        </w:rPr>
        <w:t xml:space="preserve">pecialists </w:t>
      </w:r>
      <w:r>
        <w:rPr>
          <w:lang w:val="en-GB" w:eastAsia="en-US"/>
        </w:rPr>
        <w:t>and</w:t>
      </w:r>
      <w:r w:rsidRPr="00C33C0B">
        <w:rPr>
          <w:lang w:val="en-GB" w:eastAsia="en-US"/>
        </w:rPr>
        <w:t xml:space="preserve"> </w:t>
      </w:r>
      <w:r>
        <w:rPr>
          <w:lang w:val="en-GB" w:eastAsia="en-US"/>
        </w:rPr>
        <w:t>c</w:t>
      </w:r>
      <w:r w:rsidRPr="00C33C0B">
        <w:rPr>
          <w:lang w:val="en-GB" w:eastAsia="en-US"/>
        </w:rPr>
        <w:t xml:space="preserve">onsultant </w:t>
      </w:r>
      <w:r>
        <w:rPr>
          <w:lang w:val="en-GB" w:eastAsia="en-US"/>
        </w:rPr>
        <w:t>physicians.</w:t>
      </w:r>
    </w:p>
    <w:p w14:paraId="5EB6DD9C" w14:textId="77777777" w:rsidR="0068431D" w:rsidRPr="00C33C0B" w:rsidRDefault="0068431D" w:rsidP="00607BDA">
      <w:pPr>
        <w:pStyle w:val="Bullet-green"/>
        <w:numPr>
          <w:ilvl w:val="0"/>
          <w:numId w:val="0"/>
        </w:numPr>
        <w:rPr>
          <w:lang w:val="en-GB" w:eastAsia="en-US"/>
        </w:rPr>
      </w:pPr>
      <w:r w:rsidRPr="00C33C0B">
        <w:rPr>
          <w:lang w:val="en-GB" w:eastAsia="en-US"/>
        </w:rPr>
        <w:t xml:space="preserve">Originally, the items were structured to </w:t>
      </w:r>
      <w:r>
        <w:rPr>
          <w:lang w:val="en-GB" w:eastAsia="en-US"/>
        </w:rPr>
        <w:t>“</w:t>
      </w:r>
      <w:r w:rsidRPr="00C33C0B">
        <w:rPr>
          <w:lang w:val="en-GB" w:eastAsia="en-US"/>
        </w:rPr>
        <w:t>balance</w:t>
      </w:r>
      <w:r>
        <w:rPr>
          <w:lang w:val="en-GB" w:eastAsia="en-US"/>
        </w:rPr>
        <w:t>”</w:t>
      </w:r>
      <w:r w:rsidRPr="00C33C0B">
        <w:rPr>
          <w:lang w:val="en-GB" w:eastAsia="en-US"/>
        </w:rPr>
        <w:t xml:space="preserve"> </w:t>
      </w:r>
      <w:r w:rsidR="009417F6">
        <w:rPr>
          <w:lang w:val="en-GB" w:eastAsia="en-US"/>
        </w:rPr>
        <w:t>patient rebate</w:t>
      </w:r>
      <w:r w:rsidR="009417F6" w:rsidRPr="00C33C0B">
        <w:rPr>
          <w:lang w:val="en-GB" w:eastAsia="en-US"/>
        </w:rPr>
        <w:t xml:space="preserve"> </w:t>
      </w:r>
      <w:r w:rsidRPr="00C33C0B">
        <w:rPr>
          <w:lang w:val="en-GB" w:eastAsia="en-US"/>
        </w:rPr>
        <w:t xml:space="preserve">levels between </w:t>
      </w:r>
      <w:r>
        <w:rPr>
          <w:lang w:val="en-GB" w:eastAsia="en-US"/>
        </w:rPr>
        <w:t>s</w:t>
      </w:r>
      <w:r w:rsidRPr="00C33C0B">
        <w:rPr>
          <w:lang w:val="en-GB" w:eastAsia="en-US"/>
        </w:rPr>
        <w:t xml:space="preserve">pecialists and </w:t>
      </w:r>
      <w:r>
        <w:rPr>
          <w:lang w:val="en-GB" w:eastAsia="en-US"/>
        </w:rPr>
        <w:t>c</w:t>
      </w:r>
      <w:r w:rsidRPr="00C33C0B">
        <w:rPr>
          <w:lang w:val="en-GB" w:eastAsia="en-US"/>
        </w:rPr>
        <w:t xml:space="preserve">onsultant </w:t>
      </w:r>
      <w:r>
        <w:rPr>
          <w:lang w:val="en-GB" w:eastAsia="en-US"/>
        </w:rPr>
        <w:t>p</w:t>
      </w:r>
      <w:r w:rsidRPr="00C33C0B">
        <w:rPr>
          <w:lang w:val="en-GB" w:eastAsia="en-US"/>
        </w:rPr>
        <w:t>hysicians</w:t>
      </w:r>
      <w:r>
        <w:rPr>
          <w:lang w:val="en-GB" w:eastAsia="en-US"/>
        </w:rPr>
        <w:t>.</w:t>
      </w:r>
      <w:r w:rsidR="00533CEF">
        <w:rPr>
          <w:lang w:val="en-GB" w:eastAsia="en-US"/>
        </w:rPr>
        <w:t xml:space="preserve"> </w:t>
      </w:r>
      <w:r w:rsidR="00CF65E9">
        <w:rPr>
          <w:lang w:val="en-GB" w:eastAsia="en-US"/>
        </w:rPr>
        <w:t>Historically, c</w:t>
      </w:r>
      <w:r w:rsidRPr="00C33C0B">
        <w:rPr>
          <w:lang w:val="en-GB" w:eastAsia="en-US"/>
        </w:rPr>
        <w:t xml:space="preserve">ompared to </w:t>
      </w:r>
      <w:r>
        <w:rPr>
          <w:lang w:val="en-GB" w:eastAsia="en-US"/>
        </w:rPr>
        <w:t>s</w:t>
      </w:r>
      <w:r w:rsidRPr="00C33C0B">
        <w:rPr>
          <w:lang w:val="en-GB" w:eastAsia="en-US"/>
        </w:rPr>
        <w:t xml:space="preserve">pecialists, </w:t>
      </w:r>
      <w:r>
        <w:rPr>
          <w:lang w:val="en-GB" w:eastAsia="en-US"/>
        </w:rPr>
        <w:t>c</w:t>
      </w:r>
      <w:r w:rsidRPr="00C33C0B">
        <w:rPr>
          <w:lang w:val="en-GB" w:eastAsia="en-US"/>
        </w:rPr>
        <w:t xml:space="preserve">onsultant </w:t>
      </w:r>
      <w:r>
        <w:rPr>
          <w:lang w:val="en-GB" w:eastAsia="en-US"/>
        </w:rPr>
        <w:t>p</w:t>
      </w:r>
      <w:r w:rsidRPr="00C33C0B">
        <w:rPr>
          <w:lang w:val="en-GB" w:eastAsia="en-US"/>
        </w:rPr>
        <w:t xml:space="preserve">hysicians </w:t>
      </w:r>
      <w:r w:rsidR="00531387">
        <w:rPr>
          <w:lang w:val="en-GB" w:eastAsia="en-US"/>
        </w:rPr>
        <w:t xml:space="preserve">were deemed to </w:t>
      </w:r>
      <w:r w:rsidRPr="00C33C0B">
        <w:rPr>
          <w:lang w:val="en-GB" w:eastAsia="en-US"/>
        </w:rPr>
        <w:t>provide</w:t>
      </w:r>
      <w:r w:rsidR="00531387">
        <w:rPr>
          <w:lang w:val="en-GB" w:eastAsia="en-US"/>
        </w:rPr>
        <w:t xml:space="preserve"> </w:t>
      </w:r>
      <w:r w:rsidRPr="00C33C0B">
        <w:rPr>
          <w:lang w:val="en-GB" w:eastAsia="en-US"/>
        </w:rPr>
        <w:t xml:space="preserve">more </w:t>
      </w:r>
      <w:r>
        <w:rPr>
          <w:lang w:val="en-GB" w:eastAsia="en-US"/>
        </w:rPr>
        <w:t>“</w:t>
      </w:r>
      <w:r w:rsidRPr="00C33C0B">
        <w:rPr>
          <w:lang w:val="en-GB" w:eastAsia="en-US"/>
        </w:rPr>
        <w:t>cognitively complex</w:t>
      </w:r>
      <w:r>
        <w:rPr>
          <w:lang w:val="en-GB" w:eastAsia="en-US"/>
        </w:rPr>
        <w:t>” attendances</w:t>
      </w:r>
      <w:r w:rsidRPr="00C33C0B">
        <w:rPr>
          <w:lang w:val="en-GB" w:eastAsia="en-US"/>
        </w:rPr>
        <w:t xml:space="preserve"> and</w:t>
      </w:r>
      <w:r>
        <w:rPr>
          <w:lang w:val="en-GB" w:eastAsia="en-US"/>
        </w:rPr>
        <w:t xml:space="preserve"> did </w:t>
      </w:r>
      <w:r w:rsidRPr="00C33C0B">
        <w:rPr>
          <w:lang w:val="en-GB" w:eastAsia="en-US"/>
        </w:rPr>
        <w:t>not conduct as many procedures</w:t>
      </w:r>
      <w:r>
        <w:rPr>
          <w:lang w:val="en-GB" w:eastAsia="en-US"/>
        </w:rPr>
        <w:t>.</w:t>
      </w:r>
      <w:r w:rsidR="00533CEF">
        <w:rPr>
          <w:lang w:val="en-GB" w:eastAsia="en-US"/>
        </w:rPr>
        <w:t xml:space="preserve"> </w:t>
      </w:r>
      <w:r w:rsidRPr="00C33C0B">
        <w:rPr>
          <w:lang w:val="en-GB" w:eastAsia="en-US"/>
        </w:rPr>
        <w:t>The recognition of new specialty groups led to the introduction of new attendance items</w:t>
      </w:r>
      <w:r>
        <w:rPr>
          <w:lang w:val="en-GB" w:eastAsia="en-US"/>
        </w:rPr>
        <w:t>.</w:t>
      </w:r>
      <w:r w:rsidRPr="00C33C0B">
        <w:rPr>
          <w:lang w:val="en-GB" w:eastAsia="en-US"/>
        </w:rPr>
        <w:t xml:space="preserve"> </w:t>
      </w:r>
      <w:r>
        <w:rPr>
          <w:lang w:val="en-GB" w:eastAsia="en-US"/>
        </w:rPr>
        <w:t>I</w:t>
      </w:r>
      <w:r w:rsidRPr="00C33C0B">
        <w:rPr>
          <w:lang w:val="en-GB" w:eastAsia="en-US"/>
        </w:rPr>
        <w:t xml:space="preserve">n some cases, higher </w:t>
      </w:r>
      <w:r w:rsidR="00AB28F3">
        <w:rPr>
          <w:lang w:val="en-GB" w:eastAsia="en-US"/>
        </w:rPr>
        <w:t>schedule fees</w:t>
      </w:r>
      <w:r w:rsidRPr="00C33C0B">
        <w:rPr>
          <w:lang w:val="en-GB" w:eastAsia="en-US"/>
        </w:rPr>
        <w:t xml:space="preserve"> were set to address specific issues)</w:t>
      </w:r>
      <w:r>
        <w:rPr>
          <w:lang w:val="en-GB" w:eastAsia="en-US"/>
        </w:rPr>
        <w:t>.</w:t>
      </w:r>
    </w:p>
    <w:p w14:paraId="28608FCD" w14:textId="77777777" w:rsidR="0068431D" w:rsidRPr="004C0BE5" w:rsidRDefault="0068431D" w:rsidP="004C0BE5">
      <w:pPr>
        <w:rPr>
          <w:lang w:val="en-GB" w:eastAsia="en-US"/>
        </w:rPr>
      </w:pPr>
      <w:r w:rsidRPr="00C33C0B">
        <w:rPr>
          <w:lang w:val="en-GB" w:eastAsia="en-US"/>
        </w:rPr>
        <w:t>Previous efforts to reform these items</w:t>
      </w:r>
      <w:r>
        <w:rPr>
          <w:lang w:val="en-GB" w:eastAsia="en-US"/>
        </w:rPr>
        <w:t xml:space="preserve">, </w:t>
      </w:r>
      <w:r w:rsidRPr="00C33C0B">
        <w:rPr>
          <w:lang w:val="en-GB" w:eastAsia="en-US"/>
        </w:rPr>
        <w:t>such as the Relative Value Study (RVS)</w:t>
      </w:r>
      <w:sdt>
        <w:sdtPr>
          <w:rPr>
            <w:lang w:val="en-GB" w:eastAsia="en-US"/>
          </w:rPr>
          <w:id w:val="899475429"/>
          <w:citation/>
        </w:sdtPr>
        <w:sdtEndPr/>
        <w:sdtContent>
          <w:r w:rsidR="000E7A4F">
            <w:rPr>
              <w:lang w:val="en-GB" w:eastAsia="en-US"/>
            </w:rPr>
            <w:fldChar w:fldCharType="begin"/>
          </w:r>
          <w:r w:rsidR="000E7A4F">
            <w:rPr>
              <w:lang w:eastAsia="en-US"/>
            </w:rPr>
            <w:instrText xml:space="preserve"> CITATION Rel08 \l 3081 </w:instrText>
          </w:r>
          <w:r w:rsidR="000E7A4F">
            <w:rPr>
              <w:lang w:val="en-GB" w:eastAsia="en-US"/>
            </w:rPr>
            <w:fldChar w:fldCharType="separate"/>
          </w:r>
          <w:r w:rsidR="000E7A4F">
            <w:rPr>
              <w:noProof/>
              <w:lang w:eastAsia="en-US"/>
            </w:rPr>
            <w:t xml:space="preserve"> (2)</w:t>
          </w:r>
          <w:r w:rsidR="000E7A4F">
            <w:rPr>
              <w:lang w:val="en-GB" w:eastAsia="en-US"/>
            </w:rPr>
            <w:fldChar w:fldCharType="end"/>
          </w:r>
        </w:sdtContent>
      </w:sdt>
      <w:r>
        <w:rPr>
          <w:lang w:val="en-GB" w:eastAsia="en-US"/>
        </w:rPr>
        <w:t>, demonstrated</w:t>
      </w:r>
      <w:r w:rsidRPr="00C33C0B">
        <w:rPr>
          <w:lang w:val="en-GB" w:eastAsia="en-US"/>
        </w:rPr>
        <w:t xml:space="preserve"> the complexity of </w:t>
      </w:r>
      <w:r>
        <w:rPr>
          <w:lang w:val="en-GB" w:eastAsia="en-US"/>
        </w:rPr>
        <w:t>the task</w:t>
      </w:r>
      <w:r w:rsidRPr="00C33C0B">
        <w:rPr>
          <w:lang w:val="en-GB" w:eastAsia="en-US"/>
        </w:rPr>
        <w:t>. The RVS</w:t>
      </w:r>
      <w:r>
        <w:rPr>
          <w:lang w:val="en-GB" w:eastAsia="en-US"/>
        </w:rPr>
        <w:t xml:space="preserve"> c</w:t>
      </w:r>
      <w:r w:rsidRPr="00C33C0B">
        <w:rPr>
          <w:lang w:val="en-GB" w:eastAsia="en-US"/>
        </w:rPr>
        <w:t xml:space="preserve">onducted extensive analyses in the late 1990s to identify relative value units, practice resources and costs, and </w:t>
      </w:r>
      <w:r>
        <w:rPr>
          <w:lang w:val="en-GB" w:eastAsia="en-US"/>
        </w:rPr>
        <w:t xml:space="preserve">suggest </w:t>
      </w:r>
      <w:r w:rsidRPr="00C33C0B">
        <w:rPr>
          <w:lang w:val="en-GB" w:eastAsia="en-US"/>
        </w:rPr>
        <w:t xml:space="preserve">appropriate </w:t>
      </w:r>
      <w:r>
        <w:rPr>
          <w:lang w:val="en-GB" w:eastAsia="en-US"/>
        </w:rPr>
        <w:t xml:space="preserve">schedule </w:t>
      </w:r>
      <w:r w:rsidRPr="00C33C0B">
        <w:rPr>
          <w:lang w:val="en-GB" w:eastAsia="en-US"/>
        </w:rPr>
        <w:t xml:space="preserve">fee levels </w:t>
      </w:r>
      <w:r>
        <w:rPr>
          <w:lang w:val="en-GB" w:eastAsia="en-US"/>
        </w:rPr>
        <w:t>for</w:t>
      </w:r>
      <w:r w:rsidRPr="00C33C0B">
        <w:rPr>
          <w:lang w:val="en-GB" w:eastAsia="en-US"/>
        </w:rPr>
        <w:t xml:space="preserve"> individual items</w:t>
      </w:r>
      <w:r>
        <w:rPr>
          <w:lang w:val="en-GB" w:eastAsia="en-US"/>
        </w:rPr>
        <w:t>. It s</w:t>
      </w:r>
      <w:r w:rsidRPr="00C33C0B">
        <w:rPr>
          <w:lang w:val="en-GB" w:eastAsia="en-US"/>
        </w:rPr>
        <w:t>uggested introducing time-tiered attendance items</w:t>
      </w:r>
      <w:r w:rsidR="00B469A0">
        <w:rPr>
          <w:lang w:val="en-GB" w:eastAsia="en-US"/>
        </w:rPr>
        <w:t xml:space="preserve"> that </w:t>
      </w:r>
      <w:r w:rsidRPr="00C33C0B">
        <w:rPr>
          <w:lang w:val="en-GB" w:eastAsia="en-US"/>
        </w:rPr>
        <w:t xml:space="preserve">would have narrowed the difference in remuneration between </w:t>
      </w:r>
      <w:r>
        <w:rPr>
          <w:lang w:val="en-GB" w:eastAsia="en-US"/>
        </w:rPr>
        <w:t>s</w:t>
      </w:r>
      <w:r w:rsidRPr="00C33C0B">
        <w:rPr>
          <w:lang w:val="en-GB" w:eastAsia="en-US"/>
        </w:rPr>
        <w:t xml:space="preserve">pecialists and </w:t>
      </w:r>
      <w:r>
        <w:rPr>
          <w:lang w:val="en-GB" w:eastAsia="en-US"/>
        </w:rPr>
        <w:t>c</w:t>
      </w:r>
      <w:r w:rsidRPr="00C33C0B">
        <w:rPr>
          <w:lang w:val="en-GB" w:eastAsia="en-US"/>
        </w:rPr>
        <w:t xml:space="preserve">onsultant </w:t>
      </w:r>
      <w:r>
        <w:rPr>
          <w:lang w:val="en-GB" w:eastAsia="en-US"/>
        </w:rPr>
        <w:t>p</w:t>
      </w:r>
      <w:r w:rsidRPr="00C33C0B">
        <w:rPr>
          <w:lang w:val="en-GB" w:eastAsia="en-US"/>
        </w:rPr>
        <w:t>hysicians</w:t>
      </w:r>
      <w:r>
        <w:rPr>
          <w:lang w:val="en-GB" w:eastAsia="en-US"/>
        </w:rPr>
        <w:t>.</w:t>
      </w:r>
    </w:p>
    <w:p w14:paraId="1B79750E" w14:textId="77777777" w:rsidR="00CD255A" w:rsidRPr="00C33C0B" w:rsidRDefault="009C5D3D" w:rsidP="00607BDA">
      <w:pPr>
        <w:pStyle w:val="Heading3"/>
      </w:pPr>
      <w:bookmarkStart w:id="109" w:name="_Toc24544684"/>
      <w:r>
        <w:rPr>
          <w:lang w:val="en-GB"/>
        </w:rPr>
        <w:t xml:space="preserve">The </w:t>
      </w:r>
      <w:r w:rsidRPr="00C33C0B">
        <w:rPr>
          <w:lang w:val="en-GB"/>
        </w:rPr>
        <w:t xml:space="preserve">distinction between </w:t>
      </w:r>
      <w:r>
        <w:rPr>
          <w:lang w:val="en-GB"/>
        </w:rPr>
        <w:t>“specialist</w:t>
      </w:r>
      <w:r w:rsidRPr="00C33C0B">
        <w:rPr>
          <w:lang w:val="en-GB"/>
        </w:rPr>
        <w:t>s</w:t>
      </w:r>
      <w:r>
        <w:rPr>
          <w:lang w:val="en-GB"/>
        </w:rPr>
        <w:t>”</w:t>
      </w:r>
      <w:r w:rsidRPr="00C33C0B">
        <w:rPr>
          <w:lang w:val="en-GB"/>
        </w:rPr>
        <w:t xml:space="preserve"> and </w:t>
      </w:r>
      <w:r>
        <w:rPr>
          <w:lang w:val="en-GB"/>
        </w:rPr>
        <w:t>“consultant physician</w:t>
      </w:r>
      <w:r w:rsidRPr="00C33C0B">
        <w:rPr>
          <w:lang w:val="en-GB"/>
        </w:rPr>
        <w:t>s</w:t>
      </w:r>
      <w:r>
        <w:rPr>
          <w:lang w:val="en-GB"/>
        </w:rPr>
        <w:t>”</w:t>
      </w:r>
      <w:bookmarkEnd w:id="109"/>
    </w:p>
    <w:p w14:paraId="1D8C5BCD" w14:textId="77777777" w:rsidR="00CD255A" w:rsidRDefault="00CD255A" w:rsidP="00CD255A">
      <w:pPr>
        <w:rPr>
          <w:lang w:val="en-GB"/>
        </w:rPr>
      </w:pPr>
      <w:r>
        <w:rPr>
          <w:lang w:val="en-GB"/>
        </w:rPr>
        <w:t xml:space="preserve">The MBS and the </w:t>
      </w:r>
      <w:r w:rsidRPr="00607BDA">
        <w:rPr>
          <w:i/>
          <w:lang w:val="en-GB"/>
        </w:rPr>
        <w:t>Health Insurance Act 1973</w:t>
      </w:r>
      <w:r>
        <w:rPr>
          <w:lang w:val="en-GB"/>
        </w:rPr>
        <w:t xml:space="preserve"> makes </w:t>
      </w:r>
      <w:r w:rsidRPr="00C33C0B">
        <w:rPr>
          <w:lang w:val="en-GB"/>
        </w:rPr>
        <w:t xml:space="preserve">a distinction between </w:t>
      </w:r>
      <w:r>
        <w:rPr>
          <w:lang w:val="en-GB"/>
        </w:rPr>
        <w:t>“specialist</w:t>
      </w:r>
      <w:r w:rsidRPr="00C33C0B">
        <w:rPr>
          <w:lang w:val="en-GB"/>
        </w:rPr>
        <w:t>s</w:t>
      </w:r>
      <w:r>
        <w:rPr>
          <w:lang w:val="en-GB"/>
        </w:rPr>
        <w:t>”</w:t>
      </w:r>
      <w:r w:rsidRPr="00C33C0B">
        <w:rPr>
          <w:lang w:val="en-GB"/>
        </w:rPr>
        <w:t xml:space="preserve"> and </w:t>
      </w:r>
      <w:r>
        <w:rPr>
          <w:lang w:val="en-GB"/>
        </w:rPr>
        <w:t>“consultant physician</w:t>
      </w:r>
      <w:r w:rsidRPr="00C33C0B">
        <w:rPr>
          <w:lang w:val="en-GB"/>
        </w:rPr>
        <w:t>s</w:t>
      </w:r>
      <w:r>
        <w:rPr>
          <w:lang w:val="en-GB"/>
        </w:rPr>
        <w:t>”. This</w:t>
      </w:r>
      <w:r w:rsidRPr="004D5989">
        <w:rPr>
          <w:lang w:val="en-GB"/>
        </w:rPr>
        <w:t xml:space="preserve"> </w:t>
      </w:r>
      <w:r>
        <w:rPr>
          <w:lang w:val="en-GB"/>
        </w:rPr>
        <w:t xml:space="preserve">distinction </w:t>
      </w:r>
      <w:r w:rsidRPr="004D5989">
        <w:rPr>
          <w:lang w:val="en-GB"/>
        </w:rPr>
        <w:t xml:space="preserve">is based on the traditional roles </w:t>
      </w:r>
      <w:r>
        <w:rPr>
          <w:lang w:val="en-GB"/>
        </w:rPr>
        <w:t>and</w:t>
      </w:r>
      <w:r w:rsidRPr="004D5989">
        <w:rPr>
          <w:lang w:val="en-GB"/>
        </w:rPr>
        <w:t xml:space="preserve"> </w:t>
      </w:r>
      <w:r>
        <w:rPr>
          <w:lang w:val="en-GB"/>
        </w:rPr>
        <w:t xml:space="preserve">training pathways </w:t>
      </w:r>
      <w:r w:rsidRPr="004D5989">
        <w:rPr>
          <w:lang w:val="en-GB"/>
        </w:rPr>
        <w:t xml:space="preserve">of </w:t>
      </w:r>
      <w:r>
        <w:rPr>
          <w:lang w:val="en-GB"/>
        </w:rPr>
        <w:t xml:space="preserve">these groups, with </w:t>
      </w:r>
      <w:r w:rsidRPr="004D5989">
        <w:rPr>
          <w:lang w:val="en-GB"/>
        </w:rPr>
        <w:t xml:space="preserve">consultant physicians </w:t>
      </w:r>
      <w:r>
        <w:rPr>
          <w:lang w:val="en-GB"/>
        </w:rPr>
        <w:t>traditionally receiving training through the Royal Australasian College of Physicians</w:t>
      </w:r>
      <w:r w:rsidRPr="004D5989">
        <w:rPr>
          <w:lang w:val="en-GB"/>
        </w:rPr>
        <w:t xml:space="preserve"> </w:t>
      </w:r>
      <w:r>
        <w:rPr>
          <w:lang w:val="en-GB"/>
        </w:rPr>
        <w:t>(RACP)</w:t>
      </w:r>
      <w:r w:rsidRPr="004D5989">
        <w:rPr>
          <w:lang w:val="en-GB"/>
        </w:rPr>
        <w:t xml:space="preserve"> training</w:t>
      </w:r>
      <w:r>
        <w:rPr>
          <w:lang w:val="en-GB"/>
        </w:rPr>
        <w:t xml:space="preserve"> pathway</w:t>
      </w:r>
      <w:r w:rsidRPr="004D5989">
        <w:rPr>
          <w:lang w:val="en-GB"/>
        </w:rPr>
        <w:t xml:space="preserve">, </w:t>
      </w:r>
      <w:r>
        <w:rPr>
          <w:lang w:val="en-GB"/>
        </w:rPr>
        <w:t xml:space="preserve">being expected to perform </w:t>
      </w:r>
      <w:r w:rsidRPr="004D5989">
        <w:rPr>
          <w:lang w:val="en-GB"/>
        </w:rPr>
        <w:t xml:space="preserve">more “cognitively complex” attendances and </w:t>
      </w:r>
      <w:r>
        <w:rPr>
          <w:lang w:val="en-GB"/>
        </w:rPr>
        <w:t>performing fewer</w:t>
      </w:r>
      <w:r w:rsidRPr="004D5989">
        <w:rPr>
          <w:lang w:val="en-GB"/>
        </w:rPr>
        <w:t xml:space="preserve"> procedures.</w:t>
      </w:r>
      <w:r>
        <w:rPr>
          <w:lang w:val="en-GB"/>
        </w:rPr>
        <w:t xml:space="preserve"> By contrast, those groups described as “specialists” receive training through bodies other than the RACP, and traditionally were more procedurally focused</w:t>
      </w:r>
      <w:r w:rsidR="009C5D3D">
        <w:rPr>
          <w:lang w:val="en-GB"/>
        </w:rPr>
        <w:t>.</w:t>
      </w:r>
      <w:r>
        <w:rPr>
          <w:lang w:val="en-GB"/>
        </w:rPr>
        <w:t xml:space="preserve"> These two broad </w:t>
      </w:r>
      <w:r w:rsidRPr="00C33C0B">
        <w:rPr>
          <w:lang w:val="en-GB"/>
        </w:rPr>
        <w:t xml:space="preserve">groups </w:t>
      </w:r>
      <w:r>
        <w:rPr>
          <w:lang w:val="en-GB"/>
        </w:rPr>
        <w:t xml:space="preserve">have </w:t>
      </w:r>
      <w:r w:rsidRPr="00C33C0B">
        <w:rPr>
          <w:lang w:val="en-GB"/>
        </w:rPr>
        <w:t>access to different attendance items (</w:t>
      </w:r>
      <w:r>
        <w:rPr>
          <w:lang w:val="en-GB"/>
        </w:rPr>
        <w:t>Figure</w:t>
      </w:r>
      <w:r w:rsidRPr="00C33C0B">
        <w:rPr>
          <w:lang w:val="en-GB"/>
        </w:rPr>
        <w:t xml:space="preserve"> </w:t>
      </w:r>
      <w:r>
        <w:rPr>
          <w:lang w:val="en-GB"/>
        </w:rPr>
        <w:t>1</w:t>
      </w:r>
      <w:r w:rsidRPr="00C33C0B">
        <w:rPr>
          <w:lang w:val="en-GB"/>
        </w:rPr>
        <w:t>).</w:t>
      </w:r>
      <w:r>
        <w:rPr>
          <w:lang w:val="en-GB"/>
        </w:rPr>
        <w:t xml:space="preserve"> </w:t>
      </w:r>
    </w:p>
    <w:p w14:paraId="2CAA866A" w14:textId="77777777" w:rsidR="00CD255A" w:rsidRDefault="00CD255A" w:rsidP="00CD255A">
      <w:pPr>
        <w:rPr>
          <w:lang w:val="en-GB"/>
        </w:rPr>
      </w:pPr>
      <w:r>
        <w:rPr>
          <w:lang w:val="en-GB"/>
        </w:rPr>
        <w:t>T</w:t>
      </w:r>
      <w:r w:rsidRPr="00C33C0B">
        <w:rPr>
          <w:lang w:val="en-GB"/>
        </w:rPr>
        <w:t xml:space="preserve">he following terms are used </w:t>
      </w:r>
      <w:r>
        <w:rPr>
          <w:lang w:val="en-GB"/>
        </w:rPr>
        <w:t xml:space="preserve">in this report </w:t>
      </w:r>
      <w:r w:rsidRPr="00C33C0B">
        <w:rPr>
          <w:lang w:val="en-GB"/>
        </w:rPr>
        <w:t>to distingui</w:t>
      </w:r>
      <w:r>
        <w:rPr>
          <w:lang w:val="en-GB"/>
        </w:rPr>
        <w:t>sh between medical practitioner profiles</w:t>
      </w:r>
      <w:r w:rsidRPr="00C33C0B">
        <w:rPr>
          <w:lang w:val="en-GB"/>
        </w:rPr>
        <w:t>:</w:t>
      </w:r>
    </w:p>
    <w:p w14:paraId="24F35A2A" w14:textId="77777777" w:rsidR="00CD255A" w:rsidRPr="00C33C0B" w:rsidRDefault="00CD255A" w:rsidP="00CD255A">
      <w:pPr>
        <w:pStyle w:val="Bullet-green"/>
        <w:rPr>
          <w:lang w:val="en-GB"/>
        </w:rPr>
      </w:pPr>
      <w:r w:rsidRPr="009A4476">
        <w:rPr>
          <w:lang w:val="en-GB"/>
        </w:rPr>
        <w:t>Specialist:</w:t>
      </w:r>
      <w:r w:rsidRPr="00C33C0B">
        <w:rPr>
          <w:lang w:val="en-GB"/>
        </w:rPr>
        <w:t xml:space="preserve"> </w:t>
      </w:r>
      <w:r>
        <w:rPr>
          <w:lang w:val="en-GB"/>
        </w:rPr>
        <w:t>A m</w:t>
      </w:r>
      <w:r w:rsidRPr="00C33C0B">
        <w:rPr>
          <w:lang w:val="en-GB"/>
        </w:rPr>
        <w:t xml:space="preserve">edical practitioner in a specialty that has access to either A3 </w:t>
      </w:r>
      <w:r>
        <w:rPr>
          <w:lang w:val="en-GB"/>
        </w:rPr>
        <w:t xml:space="preserve">specialist </w:t>
      </w:r>
      <w:r w:rsidRPr="00C33C0B">
        <w:rPr>
          <w:lang w:val="en-GB"/>
        </w:rPr>
        <w:t>attendance items or specialty-specific attendance items</w:t>
      </w:r>
      <w:r>
        <w:rPr>
          <w:lang w:val="en-GB"/>
        </w:rPr>
        <w:t>.</w:t>
      </w:r>
      <w:r w:rsidRPr="00C33C0B">
        <w:rPr>
          <w:lang w:val="en-GB"/>
        </w:rPr>
        <w:t xml:space="preserve"> </w:t>
      </w:r>
    </w:p>
    <w:p w14:paraId="26D6C5F1" w14:textId="77777777" w:rsidR="00CD255A" w:rsidRPr="00C33C0B" w:rsidRDefault="00CD255A" w:rsidP="00CD255A">
      <w:pPr>
        <w:pStyle w:val="Bullet-green"/>
        <w:rPr>
          <w:lang w:val="en-GB"/>
        </w:rPr>
      </w:pPr>
      <w:r w:rsidRPr="007575F5">
        <w:rPr>
          <w:lang w:val="en-GB"/>
        </w:rPr>
        <w:t xml:space="preserve">Consultant </w:t>
      </w:r>
      <w:r>
        <w:rPr>
          <w:lang w:val="en-GB"/>
        </w:rPr>
        <w:t>p</w:t>
      </w:r>
      <w:r w:rsidRPr="007575F5">
        <w:rPr>
          <w:lang w:val="en-GB"/>
        </w:rPr>
        <w:t>hysician:</w:t>
      </w:r>
      <w:r w:rsidRPr="00C33C0B">
        <w:rPr>
          <w:lang w:val="en-GB"/>
        </w:rPr>
        <w:t xml:space="preserve"> </w:t>
      </w:r>
      <w:r>
        <w:rPr>
          <w:lang w:val="en-GB"/>
        </w:rPr>
        <w:t>A m</w:t>
      </w:r>
      <w:r w:rsidRPr="00C33C0B">
        <w:rPr>
          <w:lang w:val="en-GB"/>
        </w:rPr>
        <w:t xml:space="preserve">edical practitioner who </w:t>
      </w:r>
      <w:r>
        <w:rPr>
          <w:lang w:val="en-GB"/>
        </w:rPr>
        <w:t>is a</w:t>
      </w:r>
      <w:r w:rsidRPr="00C33C0B">
        <w:rPr>
          <w:lang w:val="en-GB"/>
        </w:rPr>
        <w:t xml:space="preserve"> Fellow of the Royal Australasian College of Physicians (FRACP) and has access to A4 </w:t>
      </w:r>
      <w:r>
        <w:rPr>
          <w:lang w:val="en-GB"/>
        </w:rPr>
        <w:t>consultant physician</w:t>
      </w:r>
      <w:r w:rsidRPr="00C33C0B">
        <w:rPr>
          <w:lang w:val="en-GB"/>
        </w:rPr>
        <w:t xml:space="preserve"> items</w:t>
      </w:r>
      <w:r>
        <w:rPr>
          <w:lang w:val="en-GB"/>
        </w:rPr>
        <w:t>.</w:t>
      </w:r>
    </w:p>
    <w:p w14:paraId="1874695F" w14:textId="77777777" w:rsidR="00CD255A" w:rsidRPr="00A12FF6" w:rsidRDefault="00CD255A" w:rsidP="00CD255A">
      <w:pPr>
        <w:pStyle w:val="Bullet-green"/>
        <w:rPr>
          <w:lang w:val="en-GB"/>
        </w:rPr>
      </w:pPr>
      <w:r>
        <w:rPr>
          <w:lang w:val="en-GB"/>
        </w:rPr>
        <w:t>Consultant specialist</w:t>
      </w:r>
      <w:r w:rsidRPr="007575F5">
        <w:rPr>
          <w:lang w:val="en-GB"/>
        </w:rPr>
        <w:t>:</w:t>
      </w:r>
      <w:r w:rsidRPr="00C33C0B">
        <w:rPr>
          <w:lang w:val="en-GB"/>
        </w:rPr>
        <w:t xml:space="preserve"> </w:t>
      </w:r>
      <w:r>
        <w:rPr>
          <w:lang w:val="en-GB"/>
        </w:rPr>
        <w:t>An u</w:t>
      </w:r>
      <w:r w:rsidRPr="00C33C0B">
        <w:rPr>
          <w:lang w:val="en-GB"/>
        </w:rPr>
        <w:t xml:space="preserve">mbrella term for </w:t>
      </w:r>
      <w:r>
        <w:rPr>
          <w:lang w:val="en-GB"/>
        </w:rPr>
        <w:t>specialist</w:t>
      </w:r>
      <w:r w:rsidRPr="00C33C0B">
        <w:rPr>
          <w:lang w:val="en-GB"/>
        </w:rPr>
        <w:t xml:space="preserve">s and </w:t>
      </w:r>
      <w:r>
        <w:rPr>
          <w:lang w:val="en-GB"/>
        </w:rPr>
        <w:t>consultant physician</w:t>
      </w:r>
      <w:r w:rsidRPr="00C33C0B">
        <w:rPr>
          <w:lang w:val="en-GB"/>
        </w:rPr>
        <w:t>s</w:t>
      </w:r>
      <w:r>
        <w:rPr>
          <w:lang w:val="en-GB"/>
        </w:rPr>
        <w:t>, used to distinguish from General Practitioners (GPs).</w:t>
      </w:r>
    </w:p>
    <w:p w14:paraId="44FB2B8A" w14:textId="77777777" w:rsidR="00EC4A53" w:rsidRDefault="00EC4A53" w:rsidP="00CD255A">
      <w:pPr>
        <w:pStyle w:val="60exhnormal"/>
        <w:rPr>
          <w:rFonts w:asciiTheme="minorHAnsi" w:hAnsiTheme="minorHAnsi" w:cstheme="minorHAnsi"/>
          <w:b/>
          <w:caps w:val="0"/>
          <w:sz w:val="20"/>
          <w:lang w:val="en-GB"/>
        </w:rPr>
      </w:pPr>
      <w:bookmarkStart w:id="110" w:name="_Toc529028436"/>
    </w:p>
    <w:p w14:paraId="72C238A7" w14:textId="77777777" w:rsidR="00EC4A53" w:rsidRDefault="00EC4A53" w:rsidP="00CD255A">
      <w:pPr>
        <w:pStyle w:val="60exhnormal"/>
        <w:rPr>
          <w:rFonts w:asciiTheme="minorHAnsi" w:hAnsiTheme="minorHAnsi" w:cstheme="minorHAnsi"/>
          <w:b/>
          <w:caps w:val="0"/>
          <w:sz w:val="20"/>
          <w:lang w:val="en-GB"/>
        </w:rPr>
      </w:pPr>
    </w:p>
    <w:p w14:paraId="2004519C" w14:textId="77777777" w:rsidR="00EC4A53" w:rsidRDefault="00EC4A53" w:rsidP="00CD255A">
      <w:pPr>
        <w:pStyle w:val="60exhnormal"/>
        <w:rPr>
          <w:rFonts w:asciiTheme="minorHAnsi" w:hAnsiTheme="minorHAnsi" w:cstheme="minorHAnsi"/>
          <w:b/>
          <w:caps w:val="0"/>
          <w:sz w:val="20"/>
          <w:lang w:val="en-GB"/>
        </w:rPr>
      </w:pPr>
    </w:p>
    <w:p w14:paraId="60BB99B9" w14:textId="77777777" w:rsidR="00EC4A53" w:rsidRDefault="00EC4A53" w:rsidP="00CD255A">
      <w:pPr>
        <w:pStyle w:val="60exhnormal"/>
        <w:rPr>
          <w:rFonts w:asciiTheme="minorHAnsi" w:hAnsiTheme="minorHAnsi" w:cstheme="minorHAnsi"/>
          <w:b/>
          <w:caps w:val="0"/>
          <w:sz w:val="20"/>
          <w:lang w:val="en-GB"/>
        </w:rPr>
      </w:pPr>
    </w:p>
    <w:p w14:paraId="1805360F" w14:textId="77777777" w:rsidR="00EC4A53" w:rsidRDefault="00EC4A53" w:rsidP="00CD255A">
      <w:pPr>
        <w:pStyle w:val="60exhnormal"/>
        <w:rPr>
          <w:rFonts w:asciiTheme="minorHAnsi" w:hAnsiTheme="minorHAnsi" w:cstheme="minorHAnsi"/>
          <w:b/>
          <w:caps w:val="0"/>
          <w:sz w:val="20"/>
          <w:lang w:val="en-GB"/>
        </w:rPr>
      </w:pPr>
    </w:p>
    <w:p w14:paraId="1AF7ADDA" w14:textId="77777777" w:rsidR="00EC4A53" w:rsidRDefault="00EC4A53" w:rsidP="00CD255A">
      <w:pPr>
        <w:pStyle w:val="60exhnormal"/>
        <w:rPr>
          <w:rFonts w:asciiTheme="minorHAnsi" w:hAnsiTheme="minorHAnsi" w:cstheme="minorHAnsi"/>
          <w:b/>
          <w:caps w:val="0"/>
          <w:sz w:val="20"/>
          <w:lang w:val="en-GB"/>
        </w:rPr>
      </w:pPr>
    </w:p>
    <w:p w14:paraId="2AD533DA" w14:textId="77777777" w:rsidR="00EC4A53" w:rsidRDefault="00EC4A53" w:rsidP="00CD255A">
      <w:pPr>
        <w:pStyle w:val="60exhnormal"/>
        <w:rPr>
          <w:rFonts w:asciiTheme="minorHAnsi" w:hAnsiTheme="minorHAnsi" w:cstheme="minorHAnsi"/>
          <w:b/>
          <w:caps w:val="0"/>
          <w:sz w:val="20"/>
          <w:lang w:val="en-GB"/>
        </w:rPr>
      </w:pPr>
    </w:p>
    <w:p w14:paraId="5032F9C0" w14:textId="77777777" w:rsidR="00EC4A53" w:rsidRDefault="00EC4A53" w:rsidP="00CD255A">
      <w:pPr>
        <w:pStyle w:val="60exhnormal"/>
        <w:rPr>
          <w:rFonts w:asciiTheme="minorHAnsi" w:hAnsiTheme="minorHAnsi" w:cstheme="minorHAnsi"/>
          <w:b/>
          <w:caps w:val="0"/>
          <w:sz w:val="20"/>
          <w:lang w:val="en-GB"/>
        </w:rPr>
      </w:pPr>
    </w:p>
    <w:p w14:paraId="4EA4267F" w14:textId="77777777" w:rsidR="00EC4A53" w:rsidRDefault="00EC4A53" w:rsidP="00CD255A">
      <w:pPr>
        <w:pStyle w:val="60exhnormal"/>
        <w:rPr>
          <w:rFonts w:asciiTheme="minorHAnsi" w:hAnsiTheme="minorHAnsi" w:cstheme="minorHAnsi"/>
          <w:b/>
          <w:caps w:val="0"/>
          <w:sz w:val="20"/>
          <w:lang w:val="en-GB"/>
        </w:rPr>
      </w:pPr>
    </w:p>
    <w:p w14:paraId="0A65B79F" w14:textId="77777777" w:rsidR="00EC4A53" w:rsidRDefault="00EC4A53" w:rsidP="00CD255A">
      <w:pPr>
        <w:pStyle w:val="60exhnormal"/>
        <w:rPr>
          <w:rFonts w:asciiTheme="minorHAnsi" w:hAnsiTheme="minorHAnsi" w:cstheme="minorHAnsi"/>
          <w:b/>
          <w:caps w:val="0"/>
          <w:sz w:val="20"/>
          <w:lang w:val="en-GB"/>
        </w:rPr>
      </w:pPr>
    </w:p>
    <w:p w14:paraId="7B420E4C" w14:textId="77777777" w:rsidR="00CD255A" w:rsidRDefault="008F56A6" w:rsidP="00CD255A">
      <w:pPr>
        <w:pStyle w:val="60exhnormal"/>
        <w:rPr>
          <w:rFonts w:asciiTheme="minorHAnsi" w:hAnsiTheme="minorHAnsi" w:cstheme="minorHAnsi"/>
          <w:b/>
          <w:caps w:val="0"/>
          <w:sz w:val="20"/>
          <w:lang w:val="en-GB"/>
        </w:rPr>
      </w:pPr>
      <w:r>
        <w:rPr>
          <w:rFonts w:asciiTheme="minorHAnsi" w:hAnsiTheme="minorHAnsi" w:cstheme="minorHAnsi"/>
          <w:b/>
          <w:caps w:val="0"/>
          <w:sz w:val="20"/>
          <w:lang w:val="en-GB"/>
        </w:rPr>
        <w:t>Table</w:t>
      </w:r>
      <w:r w:rsidR="00CD255A" w:rsidRPr="00B37DF8">
        <w:rPr>
          <w:rFonts w:asciiTheme="minorHAnsi" w:hAnsiTheme="minorHAnsi" w:cstheme="minorHAnsi"/>
          <w:b/>
          <w:caps w:val="0"/>
          <w:sz w:val="20"/>
          <w:lang w:val="en-GB"/>
        </w:rPr>
        <w:t xml:space="preserve"> </w:t>
      </w:r>
      <w:r>
        <w:rPr>
          <w:rFonts w:asciiTheme="minorHAnsi" w:hAnsiTheme="minorHAnsi" w:cstheme="minorHAnsi"/>
          <w:b/>
          <w:caps w:val="0"/>
          <w:sz w:val="20"/>
          <w:lang w:val="en-GB"/>
        </w:rPr>
        <w:t>3</w:t>
      </w:r>
      <w:r w:rsidR="00CD255A" w:rsidRPr="00B37DF8">
        <w:rPr>
          <w:rFonts w:asciiTheme="minorHAnsi" w:hAnsiTheme="minorHAnsi" w:cstheme="minorHAnsi"/>
          <w:b/>
          <w:caps w:val="0"/>
          <w:sz w:val="20"/>
          <w:lang w:val="en-GB"/>
        </w:rPr>
        <w:t xml:space="preserve">: Current </w:t>
      </w:r>
      <w:r w:rsidR="00CD255A">
        <w:rPr>
          <w:rFonts w:asciiTheme="minorHAnsi" w:hAnsiTheme="minorHAnsi" w:cstheme="minorHAnsi"/>
          <w:b/>
          <w:caps w:val="0"/>
          <w:sz w:val="20"/>
          <w:lang w:val="en-GB"/>
        </w:rPr>
        <w:t>specialist</w:t>
      </w:r>
      <w:r w:rsidR="00CD255A" w:rsidRPr="00B37DF8">
        <w:rPr>
          <w:rFonts w:asciiTheme="minorHAnsi" w:hAnsiTheme="minorHAnsi" w:cstheme="minorHAnsi"/>
          <w:b/>
          <w:caps w:val="0"/>
          <w:sz w:val="20"/>
          <w:lang w:val="en-GB"/>
        </w:rPr>
        <w:t xml:space="preserve"> and </w:t>
      </w:r>
      <w:r w:rsidR="00CD255A">
        <w:rPr>
          <w:rFonts w:asciiTheme="minorHAnsi" w:hAnsiTheme="minorHAnsi" w:cstheme="minorHAnsi"/>
          <w:b/>
          <w:caps w:val="0"/>
          <w:sz w:val="20"/>
          <w:lang w:val="en-GB"/>
        </w:rPr>
        <w:t>consultant physician</w:t>
      </w:r>
      <w:r w:rsidR="00CD255A" w:rsidRPr="00B37DF8">
        <w:rPr>
          <w:rFonts w:asciiTheme="minorHAnsi" w:hAnsiTheme="minorHAnsi" w:cstheme="minorHAnsi"/>
          <w:b/>
          <w:caps w:val="0"/>
          <w:sz w:val="20"/>
          <w:lang w:val="en-GB"/>
        </w:rPr>
        <w:t xml:space="preserve"> access to attendance items</w:t>
      </w:r>
      <w:bookmarkEnd w:id="110"/>
    </w:p>
    <w:tbl>
      <w:tblPr>
        <w:tblStyle w:val="TableGrid"/>
        <w:tblW w:w="0" w:type="auto"/>
        <w:tblLook w:val="04A0" w:firstRow="1" w:lastRow="0" w:firstColumn="1" w:lastColumn="0" w:noHBand="0" w:noVBand="1"/>
        <w:tblCaption w:val="Table 3: Current specialist and consultant physician access to attendance items"/>
        <w:tblDescription w:val="Table 4 lists the specialist professions who have access to A3 items, A4 items and speciality-specific attendance items."/>
      </w:tblPr>
      <w:tblGrid>
        <w:gridCol w:w="2767"/>
        <w:gridCol w:w="2767"/>
        <w:gridCol w:w="2768"/>
      </w:tblGrid>
      <w:tr w:rsidR="007F023B" w14:paraId="07AC89CD" w14:textId="77777777" w:rsidTr="0067037B">
        <w:trPr>
          <w:trHeight w:val="991"/>
          <w:tblHeader/>
        </w:trPr>
        <w:tc>
          <w:tcPr>
            <w:tcW w:w="2767" w:type="dxa"/>
            <w:shd w:val="clear" w:color="auto" w:fill="01653F"/>
            <w:vAlign w:val="bottom"/>
          </w:tcPr>
          <w:p w14:paraId="302B7B03" w14:textId="77777777" w:rsidR="007F023B" w:rsidRPr="005F1E73" w:rsidRDefault="007F023B" w:rsidP="008F56A6">
            <w:pPr>
              <w:pStyle w:val="01Trianglebullets"/>
              <w:ind w:left="0"/>
              <w:jc w:val="center"/>
              <w:rPr>
                <w:b/>
                <w:color w:val="FFFFFF" w:themeColor="background1"/>
              </w:rPr>
            </w:pPr>
            <w:r w:rsidRPr="005F1E73">
              <w:rPr>
                <w:b/>
                <w:color w:val="FFFFFF" w:themeColor="background1"/>
              </w:rPr>
              <w:t>Specialists with access to A3 items</w:t>
            </w:r>
          </w:p>
        </w:tc>
        <w:tc>
          <w:tcPr>
            <w:tcW w:w="2767" w:type="dxa"/>
            <w:shd w:val="clear" w:color="auto" w:fill="01653F"/>
            <w:vAlign w:val="bottom"/>
          </w:tcPr>
          <w:p w14:paraId="0F1AF03E" w14:textId="77777777" w:rsidR="007F023B" w:rsidRPr="005F1E73" w:rsidRDefault="007F023B" w:rsidP="008F56A6">
            <w:pPr>
              <w:pStyle w:val="01Trianglebullets"/>
              <w:ind w:left="0"/>
              <w:jc w:val="center"/>
              <w:rPr>
                <w:rFonts w:ascii="Arial" w:hAnsi="Arial"/>
                <w:b/>
                <w:caps/>
                <w:color w:val="FFFFFF" w:themeColor="background1"/>
              </w:rPr>
            </w:pPr>
            <w:r w:rsidRPr="005F1E73">
              <w:rPr>
                <w:b/>
                <w:color w:val="FFFFFF" w:themeColor="background1"/>
              </w:rPr>
              <w:t>Consultant Physicians with access to A4 items</w:t>
            </w:r>
          </w:p>
        </w:tc>
        <w:tc>
          <w:tcPr>
            <w:tcW w:w="2768" w:type="dxa"/>
            <w:shd w:val="clear" w:color="auto" w:fill="01653F"/>
            <w:vAlign w:val="bottom"/>
          </w:tcPr>
          <w:p w14:paraId="177F3F4F" w14:textId="77777777" w:rsidR="007F023B" w:rsidRPr="005F1E73" w:rsidRDefault="007F023B" w:rsidP="008F56A6">
            <w:pPr>
              <w:pStyle w:val="01Trianglebullets"/>
              <w:ind w:left="0"/>
              <w:jc w:val="center"/>
              <w:rPr>
                <w:rFonts w:ascii="Arial" w:hAnsi="Arial"/>
                <w:b/>
                <w:caps/>
                <w:color w:val="FFFFFF" w:themeColor="background1"/>
              </w:rPr>
            </w:pPr>
            <w:r w:rsidRPr="005F1E73">
              <w:rPr>
                <w:b/>
                <w:color w:val="FFFFFF" w:themeColor="background1"/>
              </w:rPr>
              <w:t>Specialists with access to speciality specific attendance items</w:t>
            </w:r>
          </w:p>
        </w:tc>
      </w:tr>
      <w:tr w:rsidR="007F023B" w14:paraId="089E3128" w14:textId="77777777" w:rsidTr="007F023B">
        <w:tc>
          <w:tcPr>
            <w:tcW w:w="2767" w:type="dxa"/>
          </w:tcPr>
          <w:p w14:paraId="012F379F" w14:textId="77777777" w:rsidR="007F023B" w:rsidRPr="007F023B" w:rsidRDefault="007F023B" w:rsidP="008F56A6">
            <w:pPr>
              <w:pStyle w:val="01Trianglebullets"/>
              <w:ind w:left="0"/>
            </w:pPr>
            <w:r w:rsidRPr="007F023B">
              <w:t>Anaesthetics</w:t>
            </w:r>
          </w:p>
          <w:p w14:paraId="0B758071" w14:textId="77777777" w:rsidR="007F023B" w:rsidRPr="007F023B" w:rsidRDefault="007F023B" w:rsidP="008F56A6">
            <w:pPr>
              <w:pStyle w:val="01Trianglebullets"/>
              <w:ind w:left="0"/>
            </w:pPr>
            <w:r w:rsidRPr="007F023B">
              <w:t>Cardiothoracic Surgery</w:t>
            </w:r>
          </w:p>
          <w:p w14:paraId="35CD32F0" w14:textId="77777777" w:rsidR="007F023B" w:rsidRPr="007F023B" w:rsidRDefault="007F023B" w:rsidP="008F56A6">
            <w:pPr>
              <w:pStyle w:val="01Trianglebullets"/>
              <w:ind w:left="0"/>
            </w:pPr>
            <w:r w:rsidRPr="007F023B">
              <w:t>Dermatology</w:t>
            </w:r>
          </w:p>
          <w:p w14:paraId="1C27F5E5" w14:textId="77777777" w:rsidR="007F023B" w:rsidRPr="007F023B" w:rsidRDefault="007F023B" w:rsidP="008F56A6">
            <w:pPr>
              <w:pStyle w:val="01Trianglebullets"/>
              <w:ind w:left="0"/>
            </w:pPr>
            <w:r w:rsidRPr="007F023B">
              <w:t>Diagnostic Radiology</w:t>
            </w:r>
          </w:p>
          <w:p w14:paraId="4411261C" w14:textId="77777777" w:rsidR="007F023B" w:rsidRPr="007F023B" w:rsidRDefault="007F023B" w:rsidP="008F56A6">
            <w:pPr>
              <w:pStyle w:val="01Trianglebullets"/>
              <w:ind w:left="0"/>
            </w:pPr>
            <w:r w:rsidRPr="007F023B">
              <w:t>Diagnostic Ultrasound</w:t>
            </w:r>
          </w:p>
          <w:p w14:paraId="60EFEACB" w14:textId="77777777" w:rsidR="007F023B" w:rsidRPr="007F023B" w:rsidRDefault="007F023B" w:rsidP="008F56A6">
            <w:pPr>
              <w:pStyle w:val="01Trianglebullets"/>
              <w:ind w:left="0"/>
            </w:pPr>
            <w:r w:rsidRPr="007F023B">
              <w:t>Emergency Medicine</w:t>
            </w:r>
          </w:p>
          <w:p w14:paraId="6F0F59CA" w14:textId="77777777" w:rsidR="007F023B" w:rsidRPr="007F023B" w:rsidRDefault="007F023B" w:rsidP="008F56A6">
            <w:pPr>
              <w:pStyle w:val="01Trianglebullets"/>
              <w:ind w:left="0"/>
            </w:pPr>
            <w:r w:rsidRPr="007F023B">
              <w:t>General Pathology</w:t>
            </w:r>
          </w:p>
          <w:p w14:paraId="3AF497BD" w14:textId="77777777" w:rsidR="007F023B" w:rsidRPr="007F023B" w:rsidRDefault="007F023B" w:rsidP="008F56A6">
            <w:pPr>
              <w:pStyle w:val="01Trianglebullets"/>
              <w:ind w:left="0"/>
            </w:pPr>
            <w:r w:rsidRPr="007F023B">
              <w:t>General Surgery</w:t>
            </w:r>
          </w:p>
          <w:p w14:paraId="546E0327" w14:textId="77777777" w:rsidR="007F023B" w:rsidRPr="007F023B" w:rsidRDefault="007F023B" w:rsidP="008F56A6">
            <w:pPr>
              <w:pStyle w:val="01Trianglebullets"/>
              <w:ind w:left="0"/>
            </w:pPr>
            <w:r w:rsidRPr="007F023B">
              <w:t>Gynaecology</w:t>
            </w:r>
          </w:p>
          <w:p w14:paraId="1B7BD2AD" w14:textId="77777777" w:rsidR="007F023B" w:rsidRPr="007F023B" w:rsidRDefault="007F023B" w:rsidP="008F56A6">
            <w:pPr>
              <w:pStyle w:val="01Trianglebullets"/>
              <w:ind w:left="0"/>
            </w:pPr>
            <w:r w:rsidRPr="007F023B">
              <w:t>Immunology</w:t>
            </w:r>
          </w:p>
          <w:p w14:paraId="784DF2B6" w14:textId="77777777" w:rsidR="007F023B" w:rsidRPr="007F023B" w:rsidRDefault="007F023B" w:rsidP="008F56A6">
            <w:pPr>
              <w:pStyle w:val="01Trianglebullets"/>
              <w:ind w:left="0"/>
            </w:pPr>
            <w:r w:rsidRPr="007F023B">
              <w:t>Intensive Care Medicine</w:t>
            </w:r>
          </w:p>
          <w:p w14:paraId="61653557" w14:textId="77777777" w:rsidR="007F023B" w:rsidRPr="007F023B" w:rsidRDefault="007F023B" w:rsidP="008F56A6">
            <w:pPr>
              <w:pStyle w:val="01Trianglebullets"/>
              <w:ind w:left="0"/>
            </w:pPr>
            <w:r w:rsidRPr="007F023B">
              <w:t>Medical Oncology</w:t>
            </w:r>
          </w:p>
          <w:p w14:paraId="02BC22F3" w14:textId="77777777" w:rsidR="007F023B" w:rsidRPr="007F023B" w:rsidRDefault="007F023B" w:rsidP="008F56A6">
            <w:pPr>
              <w:pStyle w:val="01Trianglebullets"/>
              <w:ind w:left="0"/>
            </w:pPr>
            <w:r w:rsidRPr="007F023B">
              <w:t>Microbiology Neurosurgery</w:t>
            </w:r>
          </w:p>
          <w:p w14:paraId="06957DAD" w14:textId="77777777" w:rsidR="007F023B" w:rsidRPr="007F023B" w:rsidRDefault="007F023B" w:rsidP="008F56A6">
            <w:pPr>
              <w:pStyle w:val="01Trianglebullets"/>
              <w:ind w:left="0"/>
            </w:pPr>
            <w:r w:rsidRPr="007F023B">
              <w:t>Obstetrics and Gynaecology</w:t>
            </w:r>
          </w:p>
          <w:p w14:paraId="30030E92" w14:textId="77777777" w:rsidR="007F023B" w:rsidRPr="007F023B" w:rsidRDefault="008F56A6" w:rsidP="008F56A6">
            <w:pPr>
              <w:pStyle w:val="01Trianglebullets"/>
              <w:ind w:left="0"/>
            </w:pPr>
            <w:r>
              <w:t>Obstetrics and Gynaecological Ultr</w:t>
            </w:r>
            <w:r w:rsidR="007F023B" w:rsidRPr="007F023B">
              <w:t>asound</w:t>
            </w:r>
          </w:p>
          <w:p w14:paraId="0052D4C5" w14:textId="77777777" w:rsidR="007F023B" w:rsidRPr="007F023B" w:rsidRDefault="007F023B" w:rsidP="008F56A6">
            <w:pPr>
              <w:pStyle w:val="01Trianglebullets"/>
              <w:ind w:left="0"/>
            </w:pPr>
            <w:r w:rsidRPr="007F023B">
              <w:t>Ophthalmology</w:t>
            </w:r>
          </w:p>
          <w:p w14:paraId="04B936B7" w14:textId="77777777" w:rsidR="007F023B" w:rsidRPr="007F023B" w:rsidRDefault="008F56A6" w:rsidP="008F56A6">
            <w:pPr>
              <w:pStyle w:val="01Trianglebullets"/>
              <w:ind w:left="0"/>
            </w:pPr>
            <w:r>
              <w:t xml:space="preserve">Oral and maxillofacial </w:t>
            </w:r>
            <w:r w:rsidR="007F023B" w:rsidRPr="007F023B">
              <w:t>Surgery</w:t>
            </w:r>
          </w:p>
          <w:p w14:paraId="5074BB99" w14:textId="77777777" w:rsidR="007F023B" w:rsidRPr="007F023B" w:rsidRDefault="007F023B" w:rsidP="008F56A6">
            <w:pPr>
              <w:pStyle w:val="01Trianglebullets"/>
              <w:ind w:left="0"/>
            </w:pPr>
            <w:r w:rsidRPr="007F023B">
              <w:t>Orthopaedic Surgery</w:t>
            </w:r>
          </w:p>
          <w:p w14:paraId="294DB420" w14:textId="77777777" w:rsidR="007F023B" w:rsidRPr="007F023B" w:rsidRDefault="007F023B" w:rsidP="008F56A6">
            <w:pPr>
              <w:pStyle w:val="01Trianglebullets"/>
              <w:ind w:left="0"/>
            </w:pPr>
            <w:r w:rsidRPr="007F023B">
              <w:t>Otolaryngology</w:t>
            </w:r>
          </w:p>
          <w:p w14:paraId="2503E8DF" w14:textId="77777777" w:rsidR="007F023B" w:rsidRPr="007F023B" w:rsidRDefault="007F023B" w:rsidP="008F56A6">
            <w:pPr>
              <w:pStyle w:val="01Trianglebullets"/>
              <w:ind w:left="0"/>
            </w:pPr>
            <w:r w:rsidRPr="007F023B">
              <w:t>Paediatric Surgery</w:t>
            </w:r>
          </w:p>
          <w:p w14:paraId="22098429" w14:textId="77777777" w:rsidR="007F023B" w:rsidRPr="007F023B" w:rsidRDefault="007F023B" w:rsidP="008F56A6">
            <w:pPr>
              <w:pStyle w:val="01Trianglebullets"/>
              <w:ind w:left="0"/>
            </w:pPr>
            <w:r w:rsidRPr="007F023B">
              <w:t>Pain medicine</w:t>
            </w:r>
          </w:p>
          <w:p w14:paraId="621FE7DE" w14:textId="77777777" w:rsidR="007F023B" w:rsidRPr="007F023B" w:rsidRDefault="007F023B" w:rsidP="008F56A6">
            <w:pPr>
              <w:pStyle w:val="01Trianglebullets"/>
              <w:ind w:left="0"/>
            </w:pPr>
            <w:r w:rsidRPr="007F023B">
              <w:t>Pathology</w:t>
            </w:r>
          </w:p>
          <w:p w14:paraId="7D0F1AB8" w14:textId="77777777" w:rsidR="007F023B" w:rsidRPr="007F023B" w:rsidRDefault="008F56A6" w:rsidP="008F56A6">
            <w:pPr>
              <w:pStyle w:val="01Trianglebullets"/>
              <w:ind w:left="0"/>
            </w:pPr>
            <w:r>
              <w:t xml:space="preserve">Plastic and Reconstructive </w:t>
            </w:r>
            <w:r w:rsidR="007F023B" w:rsidRPr="007F023B">
              <w:t>Surgery</w:t>
            </w:r>
          </w:p>
          <w:p w14:paraId="4780F456" w14:textId="77777777" w:rsidR="007F023B" w:rsidRPr="007F023B" w:rsidRDefault="007F023B" w:rsidP="008F56A6">
            <w:pPr>
              <w:pStyle w:val="01Trianglebullets"/>
              <w:ind w:left="0"/>
            </w:pPr>
            <w:r w:rsidRPr="007F023B">
              <w:t>Radiation Oncology</w:t>
            </w:r>
          </w:p>
          <w:p w14:paraId="392A6BDF" w14:textId="77777777" w:rsidR="007F023B" w:rsidRPr="007F023B" w:rsidRDefault="007F023B" w:rsidP="008F56A6">
            <w:pPr>
              <w:pStyle w:val="01Trianglebullets"/>
              <w:ind w:left="0"/>
            </w:pPr>
            <w:r w:rsidRPr="007F023B">
              <w:t>Reproductive Endocrinology and Infertility</w:t>
            </w:r>
          </w:p>
          <w:p w14:paraId="2B7921AE" w14:textId="77777777" w:rsidR="007F023B" w:rsidRPr="007F023B" w:rsidRDefault="007F023B" w:rsidP="008F56A6">
            <w:pPr>
              <w:pStyle w:val="01Trianglebullets"/>
              <w:ind w:left="0"/>
            </w:pPr>
            <w:r w:rsidRPr="007F023B">
              <w:t>Sport and Exercise Medicine</w:t>
            </w:r>
          </w:p>
          <w:p w14:paraId="610DD79E" w14:textId="77777777" w:rsidR="007F023B" w:rsidRPr="007F023B" w:rsidRDefault="007F023B" w:rsidP="008F56A6">
            <w:pPr>
              <w:pStyle w:val="01Trianglebullets"/>
              <w:ind w:left="0"/>
            </w:pPr>
            <w:r w:rsidRPr="007F023B">
              <w:t>Urogyna</w:t>
            </w:r>
            <w:r w:rsidR="009D26D2">
              <w:t>e</w:t>
            </w:r>
            <w:r w:rsidRPr="007F023B">
              <w:t>cology</w:t>
            </w:r>
          </w:p>
          <w:p w14:paraId="6B15A635" w14:textId="77777777" w:rsidR="007F023B" w:rsidRPr="007F023B" w:rsidRDefault="007F023B" w:rsidP="008F56A6">
            <w:pPr>
              <w:pStyle w:val="01Trianglebullets"/>
              <w:ind w:left="0"/>
            </w:pPr>
            <w:r w:rsidRPr="007F023B">
              <w:t>Urology</w:t>
            </w:r>
          </w:p>
          <w:p w14:paraId="389628FA" w14:textId="77777777" w:rsidR="007F023B" w:rsidRPr="007F023B" w:rsidRDefault="007F023B" w:rsidP="008F56A6">
            <w:pPr>
              <w:pStyle w:val="01Trianglebullets"/>
              <w:ind w:left="0"/>
            </w:pPr>
            <w:r w:rsidRPr="007F023B">
              <w:t>Vascular Surgery</w:t>
            </w:r>
          </w:p>
        </w:tc>
        <w:tc>
          <w:tcPr>
            <w:tcW w:w="2767" w:type="dxa"/>
          </w:tcPr>
          <w:p w14:paraId="73AEE40C" w14:textId="77777777" w:rsidR="007F023B" w:rsidRPr="007F023B" w:rsidRDefault="007F023B" w:rsidP="008F56A6">
            <w:pPr>
              <w:pStyle w:val="01Trianglebullets"/>
              <w:ind w:left="0"/>
            </w:pPr>
            <w:r w:rsidRPr="007F023B">
              <w:t>Addiction Medicine</w:t>
            </w:r>
          </w:p>
          <w:p w14:paraId="176F8969" w14:textId="77777777" w:rsidR="007F023B" w:rsidRPr="007F023B" w:rsidRDefault="007F023B" w:rsidP="008F56A6">
            <w:pPr>
              <w:pStyle w:val="01Trianglebullets"/>
              <w:ind w:left="0"/>
            </w:pPr>
            <w:r w:rsidRPr="007F023B">
              <w:t>Cardiology</w:t>
            </w:r>
          </w:p>
          <w:p w14:paraId="2CF74E19" w14:textId="77777777" w:rsidR="007F023B" w:rsidRPr="007F023B" w:rsidRDefault="007F023B" w:rsidP="008F56A6">
            <w:pPr>
              <w:pStyle w:val="01Trianglebullets"/>
              <w:ind w:left="0"/>
            </w:pPr>
            <w:r w:rsidRPr="007F023B">
              <w:t>Clinical Genetics</w:t>
            </w:r>
          </w:p>
          <w:p w14:paraId="267BDD77" w14:textId="77777777" w:rsidR="007F023B" w:rsidRPr="007F023B" w:rsidRDefault="007F023B" w:rsidP="008F56A6">
            <w:pPr>
              <w:pStyle w:val="01Trianglebullets"/>
              <w:ind w:left="0"/>
            </w:pPr>
            <w:r w:rsidRPr="007F023B">
              <w:t>Clinical Pharmacology</w:t>
            </w:r>
          </w:p>
          <w:p w14:paraId="78EBE389" w14:textId="77777777" w:rsidR="007F023B" w:rsidRPr="007F023B" w:rsidRDefault="007F023B" w:rsidP="008F56A6">
            <w:pPr>
              <w:pStyle w:val="01Trianglebullets"/>
              <w:ind w:left="0"/>
            </w:pPr>
            <w:r w:rsidRPr="007F023B">
              <w:t>Endocrinology</w:t>
            </w:r>
          </w:p>
          <w:p w14:paraId="0C84FFA6" w14:textId="77777777" w:rsidR="007F023B" w:rsidRPr="007F023B" w:rsidRDefault="008F56A6" w:rsidP="008F56A6">
            <w:pPr>
              <w:pStyle w:val="01Trianglebullets"/>
              <w:ind w:left="0"/>
            </w:pPr>
            <w:r>
              <w:t xml:space="preserve">Gastroenterology and </w:t>
            </w:r>
            <w:r w:rsidR="007F023B" w:rsidRPr="007F023B">
              <w:t>Hepatology</w:t>
            </w:r>
          </w:p>
          <w:p w14:paraId="655046F7" w14:textId="77777777" w:rsidR="007F023B" w:rsidRPr="007F023B" w:rsidRDefault="007F023B" w:rsidP="008F56A6">
            <w:pPr>
              <w:pStyle w:val="01Trianglebullets"/>
              <w:ind w:left="0"/>
            </w:pPr>
            <w:r w:rsidRPr="007F023B">
              <w:t>General Medicine</w:t>
            </w:r>
          </w:p>
          <w:p w14:paraId="53BF4C65" w14:textId="77777777" w:rsidR="007F023B" w:rsidRPr="007F023B" w:rsidRDefault="007F023B" w:rsidP="008F56A6">
            <w:pPr>
              <w:pStyle w:val="01Trianglebullets"/>
              <w:ind w:left="0"/>
            </w:pPr>
            <w:r w:rsidRPr="007F023B">
              <w:t>Haematology</w:t>
            </w:r>
          </w:p>
          <w:p w14:paraId="6CE29049" w14:textId="77777777" w:rsidR="007F023B" w:rsidRPr="007F023B" w:rsidRDefault="007F023B" w:rsidP="008F56A6">
            <w:pPr>
              <w:pStyle w:val="01Trianglebullets"/>
              <w:ind w:left="0"/>
            </w:pPr>
            <w:r w:rsidRPr="007F023B">
              <w:t>Immunology and Allergy</w:t>
            </w:r>
          </w:p>
          <w:p w14:paraId="4AC6394E" w14:textId="77777777" w:rsidR="007F023B" w:rsidRPr="007F023B" w:rsidRDefault="007F023B" w:rsidP="008F56A6">
            <w:pPr>
              <w:pStyle w:val="01Trianglebullets"/>
              <w:ind w:left="0"/>
            </w:pPr>
            <w:r w:rsidRPr="007F023B">
              <w:t>Infectio</w:t>
            </w:r>
            <w:r w:rsidR="009D26D2">
              <w:t>us</w:t>
            </w:r>
            <w:r w:rsidRPr="007F023B">
              <w:t xml:space="preserve"> Diseases</w:t>
            </w:r>
          </w:p>
          <w:p w14:paraId="319137AF" w14:textId="77777777" w:rsidR="007F023B" w:rsidRPr="007F023B" w:rsidRDefault="007F023B" w:rsidP="008F56A6">
            <w:pPr>
              <w:pStyle w:val="01Trianglebullets"/>
              <w:ind w:left="0"/>
            </w:pPr>
            <w:r w:rsidRPr="007F023B">
              <w:t>Medical Oncology</w:t>
            </w:r>
          </w:p>
          <w:p w14:paraId="2B11FFF4" w14:textId="77777777" w:rsidR="007F023B" w:rsidRPr="007F023B" w:rsidRDefault="007F023B" w:rsidP="008F56A6">
            <w:pPr>
              <w:pStyle w:val="01Trianglebullets"/>
              <w:ind w:left="0"/>
            </w:pPr>
            <w:r w:rsidRPr="007F023B">
              <w:t>Nephrology</w:t>
            </w:r>
          </w:p>
          <w:p w14:paraId="6C950323" w14:textId="77777777" w:rsidR="007F023B" w:rsidRPr="007F023B" w:rsidRDefault="007F023B" w:rsidP="008F56A6">
            <w:pPr>
              <w:pStyle w:val="01Trianglebullets"/>
              <w:ind w:left="0"/>
            </w:pPr>
            <w:r w:rsidRPr="007F023B">
              <w:t>Neurology</w:t>
            </w:r>
          </w:p>
          <w:p w14:paraId="2BA64B34" w14:textId="77777777" w:rsidR="007F023B" w:rsidRPr="007F023B" w:rsidRDefault="007F023B" w:rsidP="008F56A6">
            <w:pPr>
              <w:pStyle w:val="01Trianglebullets"/>
              <w:ind w:left="0"/>
            </w:pPr>
            <w:r w:rsidRPr="007F023B">
              <w:t>Nuclear Medicine</w:t>
            </w:r>
          </w:p>
          <w:p w14:paraId="259FDC8A" w14:textId="77777777" w:rsidR="007F023B" w:rsidRPr="007F023B" w:rsidRDefault="008F56A6" w:rsidP="008F56A6">
            <w:pPr>
              <w:pStyle w:val="01Trianglebullets"/>
              <w:ind w:left="0"/>
            </w:pPr>
            <w:r>
              <w:t xml:space="preserve">Occupational and </w:t>
            </w:r>
            <w:r w:rsidR="007F023B" w:rsidRPr="007F023B">
              <w:t>Environmental Medicine</w:t>
            </w:r>
          </w:p>
          <w:p w14:paraId="00DC5B06" w14:textId="77777777" w:rsidR="007F023B" w:rsidRPr="007F023B" w:rsidRDefault="008F56A6" w:rsidP="008F56A6">
            <w:pPr>
              <w:pStyle w:val="01Trianglebullets"/>
              <w:ind w:left="0"/>
            </w:pPr>
            <w:r>
              <w:t xml:space="preserve">Respiratory and Sleep </w:t>
            </w:r>
            <w:r w:rsidR="007F023B" w:rsidRPr="007F023B">
              <w:t>Medicine</w:t>
            </w:r>
          </w:p>
          <w:p w14:paraId="209CB432" w14:textId="77777777" w:rsidR="007F023B" w:rsidRPr="007F023B" w:rsidRDefault="007F023B" w:rsidP="008F56A6">
            <w:pPr>
              <w:pStyle w:val="01Trianglebullets"/>
              <w:ind w:left="0"/>
            </w:pPr>
            <w:r w:rsidRPr="007F023B">
              <w:t>Rheumatology</w:t>
            </w:r>
          </w:p>
          <w:p w14:paraId="36B9B2CA" w14:textId="77777777" w:rsidR="007F023B" w:rsidRPr="007F023B" w:rsidRDefault="008F56A6" w:rsidP="008F56A6">
            <w:pPr>
              <w:pStyle w:val="01Trianglebullets"/>
              <w:ind w:left="0"/>
            </w:pPr>
            <w:r>
              <w:t xml:space="preserve">Neonatal/Perinatal </w:t>
            </w:r>
            <w:r w:rsidR="007F023B" w:rsidRPr="007F023B">
              <w:t>Medicine</w:t>
            </w:r>
          </w:p>
          <w:p w14:paraId="0D0CBF72" w14:textId="77777777" w:rsidR="007F023B" w:rsidRPr="007F023B" w:rsidRDefault="007F023B" w:rsidP="008F56A6">
            <w:pPr>
              <w:pStyle w:val="01Trianglebullets"/>
              <w:ind w:left="0"/>
            </w:pPr>
            <w:r w:rsidRPr="007F023B">
              <w:t>Paediatrics (inc. all sub specialities)</w:t>
            </w:r>
          </w:p>
          <w:p w14:paraId="3D19424B" w14:textId="77777777" w:rsidR="007F023B" w:rsidRDefault="007F023B" w:rsidP="008F56A6">
            <w:pPr>
              <w:pStyle w:val="01Trianglebullets"/>
              <w:ind w:left="0"/>
            </w:pPr>
            <w:r w:rsidRPr="007F023B">
              <w:t>Palliative Medicine</w:t>
            </w:r>
          </w:p>
          <w:p w14:paraId="0D1114D6" w14:textId="77777777" w:rsidR="00AA4173" w:rsidRPr="007F023B" w:rsidRDefault="00AA4173" w:rsidP="008F56A6">
            <w:pPr>
              <w:pStyle w:val="01Trianglebullets"/>
              <w:ind w:left="0"/>
            </w:pPr>
            <w:r>
              <w:t>Rehabilitation Medicine</w:t>
            </w:r>
          </w:p>
        </w:tc>
        <w:tc>
          <w:tcPr>
            <w:tcW w:w="2768" w:type="dxa"/>
          </w:tcPr>
          <w:p w14:paraId="63590432" w14:textId="77777777" w:rsidR="007F023B" w:rsidRPr="007F023B" w:rsidRDefault="007F023B" w:rsidP="00532054">
            <w:pPr>
              <w:pStyle w:val="01Trianglebullets"/>
              <w:ind w:left="0"/>
            </w:pPr>
            <w:r w:rsidRPr="007F023B">
              <w:t>Addiction Medicine</w:t>
            </w:r>
          </w:p>
          <w:p w14:paraId="6902E3AE" w14:textId="77777777" w:rsidR="007F023B" w:rsidRPr="007F023B" w:rsidRDefault="007F023B" w:rsidP="00532054">
            <w:pPr>
              <w:pStyle w:val="01Trianglebullets"/>
              <w:ind w:left="0"/>
            </w:pPr>
            <w:r w:rsidRPr="007F023B">
              <w:t>Anaesthetics</w:t>
            </w:r>
          </w:p>
          <w:p w14:paraId="2EE56B2B" w14:textId="77777777" w:rsidR="007F023B" w:rsidRPr="007F023B" w:rsidRDefault="007F023B" w:rsidP="00532054">
            <w:pPr>
              <w:pStyle w:val="01Trianglebullets"/>
              <w:ind w:left="0"/>
            </w:pPr>
            <w:r w:rsidRPr="007F023B">
              <w:t>Emergency physicians</w:t>
            </w:r>
          </w:p>
          <w:p w14:paraId="324D2C1C" w14:textId="77777777" w:rsidR="007F023B" w:rsidRPr="007F023B" w:rsidRDefault="007F023B" w:rsidP="00532054">
            <w:pPr>
              <w:pStyle w:val="01Trianglebullets"/>
              <w:ind w:left="0"/>
            </w:pPr>
            <w:r w:rsidRPr="007F023B">
              <w:t>Geriatric Medicine</w:t>
            </w:r>
          </w:p>
          <w:p w14:paraId="55A1FFB1" w14:textId="77777777" w:rsidR="007F023B" w:rsidRPr="007F023B" w:rsidRDefault="007F023B" w:rsidP="00532054">
            <w:pPr>
              <w:pStyle w:val="01Trianglebullets"/>
              <w:ind w:left="0"/>
            </w:pPr>
            <w:r w:rsidRPr="007F023B">
              <w:t>Intensive Care Medicine</w:t>
            </w:r>
          </w:p>
          <w:p w14:paraId="42DB1B1E" w14:textId="77777777" w:rsidR="007F023B" w:rsidRPr="007F023B" w:rsidRDefault="007F023B" w:rsidP="00532054">
            <w:pPr>
              <w:pStyle w:val="01Trianglebullets"/>
              <w:ind w:left="0"/>
            </w:pPr>
            <w:r w:rsidRPr="007F023B">
              <w:t>Obstetrics</w:t>
            </w:r>
          </w:p>
          <w:p w14:paraId="6AAC245D" w14:textId="77777777" w:rsidR="007F023B" w:rsidRPr="007F023B" w:rsidRDefault="007F023B" w:rsidP="00532054">
            <w:pPr>
              <w:pStyle w:val="01Trianglebullets"/>
              <w:ind w:left="0"/>
            </w:pPr>
            <w:r w:rsidRPr="007F023B">
              <w:t>Occupational and environmental Medicine</w:t>
            </w:r>
          </w:p>
          <w:p w14:paraId="68FBF526" w14:textId="77777777" w:rsidR="007F023B" w:rsidRPr="007F023B" w:rsidRDefault="007F023B" w:rsidP="00532054">
            <w:pPr>
              <w:pStyle w:val="01Trianglebullets"/>
              <w:ind w:left="0"/>
            </w:pPr>
            <w:r w:rsidRPr="007F023B">
              <w:t>Ophthalmology</w:t>
            </w:r>
          </w:p>
          <w:p w14:paraId="24F8AC31" w14:textId="77777777" w:rsidR="007F023B" w:rsidRPr="007F023B" w:rsidRDefault="007F023B" w:rsidP="00532054">
            <w:pPr>
              <w:pStyle w:val="01Trianglebullets"/>
              <w:ind w:left="0"/>
            </w:pPr>
            <w:r w:rsidRPr="007F023B">
              <w:t>Pain medicine</w:t>
            </w:r>
          </w:p>
          <w:p w14:paraId="72F2912A" w14:textId="77777777" w:rsidR="007F023B" w:rsidRPr="007F023B" w:rsidRDefault="007F023B" w:rsidP="00532054">
            <w:pPr>
              <w:pStyle w:val="01Trianglebullets"/>
              <w:ind w:left="0"/>
            </w:pPr>
            <w:r w:rsidRPr="007F023B">
              <w:t>Psychiatry</w:t>
            </w:r>
          </w:p>
          <w:p w14:paraId="5EB7EF64" w14:textId="77777777" w:rsidR="007F023B" w:rsidRPr="007F023B" w:rsidRDefault="007F023B" w:rsidP="00532054">
            <w:pPr>
              <w:pStyle w:val="01Trianglebullets"/>
              <w:ind w:left="0"/>
            </w:pPr>
            <w:r w:rsidRPr="007F023B">
              <w:t>Public health Medicine</w:t>
            </w:r>
          </w:p>
          <w:p w14:paraId="5167C856" w14:textId="77777777" w:rsidR="007F023B" w:rsidRPr="007F023B" w:rsidRDefault="007F023B" w:rsidP="00532054">
            <w:pPr>
              <w:pStyle w:val="01Trianglebullets"/>
              <w:ind w:left="0"/>
            </w:pPr>
            <w:r w:rsidRPr="007F023B">
              <w:t>Sexual health Medicine</w:t>
            </w:r>
          </w:p>
          <w:p w14:paraId="157D727F" w14:textId="77777777" w:rsidR="007F023B" w:rsidRDefault="007F023B" w:rsidP="008F56A6">
            <w:pPr>
              <w:pStyle w:val="01Trianglebullets"/>
              <w:rPr>
                <w:caps/>
                <w:lang w:val="en-GB"/>
              </w:rPr>
            </w:pPr>
          </w:p>
        </w:tc>
      </w:tr>
    </w:tbl>
    <w:p w14:paraId="37D075CB" w14:textId="77777777" w:rsidR="004710BE" w:rsidRPr="00B37DF8" w:rsidRDefault="004710BE" w:rsidP="00607BDA">
      <w:pPr>
        <w:rPr>
          <w:lang w:val="en-GB"/>
        </w:rPr>
      </w:pPr>
    </w:p>
    <w:p w14:paraId="5343B14E" w14:textId="77777777" w:rsidR="00D661EB" w:rsidRPr="00C33C0B" w:rsidRDefault="00D661EB" w:rsidP="003C5D5A">
      <w:pPr>
        <w:pStyle w:val="Heading2"/>
      </w:pPr>
      <w:bookmarkStart w:id="111" w:name="_Toc24544685"/>
      <w:r w:rsidRPr="00C33C0B">
        <w:t>Overview of current standard attendance items</w:t>
      </w:r>
      <w:bookmarkEnd w:id="111"/>
    </w:p>
    <w:p w14:paraId="66F5DEE4" w14:textId="77777777" w:rsidR="00D661EB" w:rsidRPr="00C33C0B" w:rsidRDefault="00461322" w:rsidP="00607BDA">
      <w:pPr>
        <w:rPr>
          <w:lang w:val="en-GB" w:eastAsia="en-US"/>
        </w:rPr>
      </w:pPr>
      <w:r>
        <w:rPr>
          <w:lang w:val="en-GB" w:eastAsia="en-US"/>
        </w:rPr>
        <w:t>Standard attendance items a</w:t>
      </w:r>
      <w:r w:rsidR="00D661EB" w:rsidRPr="00C33C0B">
        <w:rPr>
          <w:lang w:val="en-GB" w:eastAsia="en-US"/>
        </w:rPr>
        <w:t>re defined as either “initial” or “subsequent”</w:t>
      </w:r>
      <w:r w:rsidR="00AA5461" w:rsidRPr="00C33C0B">
        <w:rPr>
          <w:lang w:val="en-GB" w:eastAsia="en-US"/>
        </w:rPr>
        <w:t xml:space="preserve"> attendances</w:t>
      </w:r>
      <w:r w:rsidR="00D661EB" w:rsidRPr="00C33C0B">
        <w:rPr>
          <w:lang w:val="en-GB" w:eastAsia="en-US"/>
        </w:rPr>
        <w:t xml:space="preserve"> with a single provider</w:t>
      </w:r>
      <w:r w:rsidR="00760E27">
        <w:rPr>
          <w:rStyle w:val="FootnoteReference"/>
          <w:lang w:val="en-GB" w:eastAsia="en-US"/>
        </w:rPr>
        <w:footnoteReference w:id="3"/>
      </w:r>
      <w:r w:rsidR="00221662" w:rsidRPr="00C33C0B">
        <w:rPr>
          <w:lang w:val="en-GB" w:eastAsia="en-US"/>
        </w:rPr>
        <w:t xml:space="preserve"> </w:t>
      </w:r>
      <w:r w:rsidR="005B1496">
        <w:rPr>
          <w:lang w:val="en-GB" w:eastAsia="en-US"/>
        </w:rPr>
        <w:t>I</w:t>
      </w:r>
      <w:r w:rsidR="00221662" w:rsidRPr="00C33C0B">
        <w:rPr>
          <w:lang w:val="en-GB" w:eastAsia="en-US"/>
        </w:rPr>
        <w:t>nitial</w:t>
      </w:r>
      <w:r w:rsidR="002629CE" w:rsidRPr="00C33C0B">
        <w:rPr>
          <w:lang w:val="en-GB" w:eastAsia="en-US"/>
        </w:rPr>
        <w:t xml:space="preserve"> attendances</w:t>
      </w:r>
      <w:r w:rsidR="00221662" w:rsidRPr="00C33C0B">
        <w:rPr>
          <w:lang w:val="en-GB" w:eastAsia="en-US"/>
        </w:rPr>
        <w:t xml:space="preserve"> </w:t>
      </w:r>
      <w:r w:rsidR="005B1496">
        <w:rPr>
          <w:lang w:val="en-GB" w:eastAsia="en-US"/>
        </w:rPr>
        <w:t>have</w:t>
      </w:r>
      <w:r w:rsidR="005B1496" w:rsidRPr="00C33C0B">
        <w:rPr>
          <w:lang w:val="en-GB" w:eastAsia="en-US"/>
        </w:rPr>
        <w:t xml:space="preserve"> </w:t>
      </w:r>
      <w:r w:rsidR="00221662" w:rsidRPr="00C33C0B">
        <w:rPr>
          <w:lang w:val="en-GB" w:eastAsia="en-US"/>
        </w:rPr>
        <w:t>schedule fees</w:t>
      </w:r>
      <w:r w:rsidR="005B1496">
        <w:rPr>
          <w:lang w:val="en-GB" w:eastAsia="en-US"/>
        </w:rPr>
        <w:t xml:space="preserve"> that are</w:t>
      </w:r>
      <w:r w:rsidR="00221662" w:rsidRPr="00C33C0B">
        <w:rPr>
          <w:lang w:val="en-GB" w:eastAsia="en-US"/>
        </w:rPr>
        <w:t xml:space="preserve"> </w:t>
      </w:r>
      <w:r w:rsidR="005669B0" w:rsidRPr="00C33C0B">
        <w:rPr>
          <w:lang w:val="en-GB" w:eastAsia="en-US"/>
        </w:rPr>
        <w:t>30</w:t>
      </w:r>
      <w:r w:rsidR="005B1496">
        <w:rPr>
          <w:lang w:val="en-GB" w:eastAsia="en-US"/>
        </w:rPr>
        <w:t xml:space="preserve"> to </w:t>
      </w:r>
      <w:r w:rsidR="005669B0" w:rsidRPr="00C33C0B">
        <w:rPr>
          <w:lang w:val="en-GB" w:eastAsia="en-US"/>
        </w:rPr>
        <w:t>5</w:t>
      </w:r>
      <w:r w:rsidR="00221662" w:rsidRPr="00C33C0B">
        <w:rPr>
          <w:lang w:val="en-GB" w:eastAsia="en-US"/>
        </w:rPr>
        <w:t>0</w:t>
      </w:r>
      <w:r w:rsidR="005B1496">
        <w:rPr>
          <w:lang w:val="en-GB" w:eastAsia="en-US"/>
        </w:rPr>
        <w:t xml:space="preserve"> per cent</w:t>
      </w:r>
      <w:r w:rsidR="00221662" w:rsidRPr="00C33C0B">
        <w:rPr>
          <w:lang w:val="en-GB" w:eastAsia="en-US"/>
        </w:rPr>
        <w:t xml:space="preserve"> higher than </w:t>
      </w:r>
      <w:r w:rsidR="00AD0D41">
        <w:rPr>
          <w:lang w:val="en-GB" w:eastAsia="en-US"/>
        </w:rPr>
        <w:t xml:space="preserve">those for </w:t>
      </w:r>
      <w:r w:rsidR="00221662" w:rsidRPr="00C33C0B">
        <w:rPr>
          <w:lang w:val="en-GB" w:eastAsia="en-US"/>
        </w:rPr>
        <w:t>subsequent attendances</w:t>
      </w:r>
      <w:r w:rsidR="00AD0D41">
        <w:rPr>
          <w:lang w:val="en-GB" w:eastAsia="en-US"/>
        </w:rPr>
        <w:t>.</w:t>
      </w:r>
    </w:p>
    <w:p w14:paraId="0174BDB4" w14:textId="77777777" w:rsidR="00D661EB" w:rsidRPr="00C33C0B" w:rsidRDefault="00B37F62" w:rsidP="00607BDA">
      <w:pPr>
        <w:rPr>
          <w:lang w:val="en-GB" w:eastAsia="en-US"/>
        </w:rPr>
      </w:pPr>
      <w:r>
        <w:rPr>
          <w:lang w:val="en-GB" w:eastAsia="en-US"/>
        </w:rPr>
        <w:t>There are</w:t>
      </w:r>
      <w:r w:rsidRPr="00C33C0B">
        <w:rPr>
          <w:lang w:val="en-GB" w:eastAsia="en-US"/>
        </w:rPr>
        <w:t xml:space="preserve"> </w:t>
      </w:r>
      <w:r w:rsidR="00D661EB" w:rsidRPr="00C33C0B">
        <w:rPr>
          <w:lang w:val="en-GB" w:eastAsia="en-US"/>
        </w:rPr>
        <w:t xml:space="preserve">parallel items for </w:t>
      </w:r>
      <w:r w:rsidR="00CF064A">
        <w:rPr>
          <w:lang w:val="en-GB" w:eastAsia="en-US"/>
        </w:rPr>
        <w:t>consultant physician</w:t>
      </w:r>
      <w:r w:rsidR="00D661EB" w:rsidRPr="00C33C0B">
        <w:rPr>
          <w:lang w:val="en-GB" w:eastAsia="en-US"/>
        </w:rPr>
        <w:t xml:space="preserve">s and </w:t>
      </w:r>
      <w:r w:rsidR="00CF064A">
        <w:rPr>
          <w:lang w:val="en-GB" w:eastAsia="en-US"/>
        </w:rPr>
        <w:t>specialist</w:t>
      </w:r>
      <w:r w:rsidR="007447EB">
        <w:rPr>
          <w:lang w:val="en-GB" w:eastAsia="en-US"/>
        </w:rPr>
        <w:t xml:space="preserve">s (see </w:t>
      </w:r>
      <w:r w:rsidR="005079DD">
        <w:rPr>
          <w:lang w:val="en-GB" w:eastAsia="en-US"/>
        </w:rPr>
        <w:t>above</w:t>
      </w:r>
      <w:r w:rsidR="00D661EB" w:rsidRPr="00C33C0B">
        <w:rPr>
          <w:lang w:val="en-GB" w:eastAsia="en-US"/>
        </w:rPr>
        <w:t xml:space="preserve"> for the distinction between professions)</w:t>
      </w:r>
      <w:r w:rsidR="008166DD">
        <w:rPr>
          <w:lang w:val="en-GB" w:eastAsia="en-US"/>
        </w:rPr>
        <w:t>.</w:t>
      </w:r>
    </w:p>
    <w:p w14:paraId="769E52F1" w14:textId="77777777" w:rsidR="003E651E" w:rsidRDefault="003E651E" w:rsidP="00607BDA">
      <w:r>
        <w:t>Unique items were created for new specialties that did not exist when the standard attendance items were created, and for specialties that applied to MSAC for access to unique attendance items (most commonly citing longer consultation durations as the rationale for their request). These specialists cannot claim both a standard attendance item and specialty-specific item for the same service.</w:t>
      </w:r>
    </w:p>
    <w:p w14:paraId="32E0DC5E" w14:textId="77777777" w:rsidR="00D661EB" w:rsidRDefault="00D75F80" w:rsidP="00607BDA">
      <w:pPr>
        <w:rPr>
          <w:lang w:val="en-GB" w:eastAsia="en-US"/>
        </w:rPr>
      </w:pPr>
      <w:r>
        <w:rPr>
          <w:lang w:val="en-GB" w:eastAsia="en-US"/>
        </w:rPr>
        <w:t>There are</w:t>
      </w:r>
      <w:r w:rsidRPr="00C33C0B">
        <w:rPr>
          <w:lang w:val="en-GB" w:eastAsia="en-US"/>
        </w:rPr>
        <w:t xml:space="preserve"> </w:t>
      </w:r>
      <w:r w:rsidR="00D661EB" w:rsidRPr="00C33C0B">
        <w:rPr>
          <w:lang w:val="en-GB" w:eastAsia="en-US"/>
        </w:rPr>
        <w:t xml:space="preserve">distinct attendance items for certain </w:t>
      </w:r>
      <w:r w:rsidR="009A06C9" w:rsidRPr="00C33C0B">
        <w:rPr>
          <w:lang w:val="en-GB" w:eastAsia="en-US"/>
        </w:rPr>
        <w:t>specialties</w:t>
      </w:r>
      <w:r w:rsidR="00D661EB" w:rsidRPr="00C33C0B">
        <w:rPr>
          <w:lang w:val="en-GB" w:eastAsia="en-US"/>
        </w:rPr>
        <w:t>, including ophthalmology, occupational health, public health, pain medicine, palliative care and neurosurgery</w:t>
      </w:r>
      <w:r w:rsidR="00FA114C">
        <w:rPr>
          <w:lang w:val="en-GB" w:eastAsia="en-US"/>
        </w:rPr>
        <w:t>.</w:t>
      </w:r>
      <w:r w:rsidR="00D661EB" w:rsidRPr="00C33C0B">
        <w:rPr>
          <w:lang w:val="en-GB" w:eastAsia="en-US"/>
        </w:rPr>
        <w:t xml:space="preserve"> </w:t>
      </w:r>
      <w:r w:rsidR="00FA114C">
        <w:rPr>
          <w:lang w:val="en-GB" w:eastAsia="en-US"/>
        </w:rPr>
        <w:t>T</w:t>
      </w:r>
      <w:r w:rsidR="00D661EB" w:rsidRPr="00C33C0B">
        <w:rPr>
          <w:lang w:val="en-GB" w:eastAsia="en-US"/>
        </w:rPr>
        <w:t xml:space="preserve">hese specialities can also </w:t>
      </w:r>
      <w:r w:rsidR="00CF65E9">
        <w:rPr>
          <w:lang w:val="en-GB" w:eastAsia="en-US"/>
        </w:rPr>
        <w:t xml:space="preserve">choose to claim via </w:t>
      </w:r>
      <w:r w:rsidR="00D661EB" w:rsidRPr="00C33C0B">
        <w:rPr>
          <w:lang w:val="en-GB" w:eastAsia="en-US"/>
        </w:rPr>
        <w:t>the standard attendance items mentioned above</w:t>
      </w:r>
      <w:r w:rsidR="00CF65E9">
        <w:rPr>
          <w:lang w:val="en-GB" w:eastAsia="en-US"/>
        </w:rPr>
        <w:t xml:space="preserve">, </w:t>
      </w:r>
      <w:r w:rsidR="00486C58">
        <w:rPr>
          <w:lang w:val="en-GB" w:eastAsia="en-US"/>
        </w:rPr>
        <w:t xml:space="preserve">often </w:t>
      </w:r>
      <w:r w:rsidR="0026365B" w:rsidRPr="00C33C0B">
        <w:rPr>
          <w:lang w:val="en-GB" w:eastAsia="en-US"/>
        </w:rPr>
        <w:t xml:space="preserve">with a different </w:t>
      </w:r>
      <w:r w:rsidR="00AB28F3">
        <w:rPr>
          <w:lang w:val="en-GB" w:eastAsia="en-US"/>
        </w:rPr>
        <w:t>schedule fee</w:t>
      </w:r>
      <w:r w:rsidR="005E1DBF">
        <w:rPr>
          <w:lang w:val="en-GB" w:eastAsia="en-US"/>
        </w:rPr>
        <w:t>.</w:t>
      </w:r>
    </w:p>
    <w:p w14:paraId="7772C80E" w14:textId="77777777" w:rsidR="003B457C" w:rsidRPr="00C33C0B" w:rsidRDefault="00DE38F3" w:rsidP="00607BDA">
      <w:pPr>
        <w:rPr>
          <w:lang w:val="en-GB" w:eastAsia="en-US"/>
        </w:rPr>
      </w:pPr>
      <w:r>
        <w:rPr>
          <w:lang w:val="en-GB" w:eastAsia="en-US"/>
        </w:rPr>
        <w:t>There are</w:t>
      </w:r>
      <w:r w:rsidR="00C7153B">
        <w:rPr>
          <w:lang w:val="en-GB" w:eastAsia="en-US"/>
        </w:rPr>
        <w:t xml:space="preserve"> also</w:t>
      </w:r>
      <w:r w:rsidRPr="00C33C0B">
        <w:rPr>
          <w:lang w:val="en-GB" w:eastAsia="en-US"/>
        </w:rPr>
        <w:t xml:space="preserve"> </w:t>
      </w:r>
      <w:r w:rsidR="003B457C" w:rsidRPr="00C33C0B">
        <w:rPr>
          <w:lang w:val="en-GB" w:eastAsia="en-US"/>
        </w:rPr>
        <w:t xml:space="preserve">parallel items </w:t>
      </w:r>
      <w:r w:rsidR="00E32700" w:rsidRPr="00C33C0B">
        <w:rPr>
          <w:lang w:val="en-GB" w:eastAsia="en-US"/>
        </w:rPr>
        <w:t>for attendances that take place</w:t>
      </w:r>
      <w:r w:rsidR="003B457C" w:rsidRPr="00C33C0B">
        <w:rPr>
          <w:lang w:val="en-GB" w:eastAsia="en-US"/>
        </w:rPr>
        <w:t xml:space="preserve"> either in a consulting room</w:t>
      </w:r>
      <w:r w:rsidR="00566B8B">
        <w:rPr>
          <w:lang w:val="en-GB" w:eastAsia="en-US"/>
        </w:rPr>
        <w:t xml:space="preserve"> or</w:t>
      </w:r>
      <w:r w:rsidR="003B457C" w:rsidRPr="00C33C0B">
        <w:rPr>
          <w:lang w:val="en-GB" w:eastAsia="en-US"/>
        </w:rPr>
        <w:t xml:space="preserve"> hospital</w:t>
      </w:r>
      <w:r w:rsidR="00566B8B">
        <w:rPr>
          <w:lang w:val="en-GB" w:eastAsia="en-US"/>
        </w:rPr>
        <w:t>,</w:t>
      </w:r>
      <w:r w:rsidR="003B457C" w:rsidRPr="00C33C0B">
        <w:rPr>
          <w:lang w:val="en-GB" w:eastAsia="en-US"/>
        </w:rPr>
        <w:t xml:space="preserve"> or elsewhere</w:t>
      </w:r>
      <w:r w:rsidR="00566B8B">
        <w:rPr>
          <w:lang w:val="en-GB" w:eastAsia="en-US"/>
        </w:rPr>
        <w:t>.</w:t>
      </w:r>
    </w:p>
    <w:p w14:paraId="0971ACFD" w14:textId="77777777" w:rsidR="00D661EB" w:rsidRPr="00C33C0B" w:rsidRDefault="00576EFD" w:rsidP="003C5D5A">
      <w:pPr>
        <w:pStyle w:val="Heading2"/>
      </w:pPr>
      <w:bookmarkStart w:id="112" w:name="_Toc24544686"/>
      <w:bookmarkStart w:id="113" w:name="_Hlk521589688"/>
      <w:r>
        <w:t>Issues</w:t>
      </w:r>
      <w:r w:rsidR="00D661EB" w:rsidRPr="00C33C0B">
        <w:t xml:space="preserve"> with current standard attendance items</w:t>
      </w:r>
      <w:bookmarkEnd w:id="112"/>
    </w:p>
    <w:bookmarkEnd w:id="113"/>
    <w:p w14:paraId="6906089A" w14:textId="77777777" w:rsidR="00217DE5" w:rsidRPr="00C33C0B" w:rsidRDefault="001B0A0F" w:rsidP="00607BDA">
      <w:pPr>
        <w:rPr>
          <w:lang w:val="en-GB" w:eastAsia="en-US"/>
        </w:rPr>
      </w:pPr>
      <w:r>
        <w:rPr>
          <w:lang w:val="en-GB" w:eastAsia="en-US"/>
        </w:rPr>
        <w:t>The distinction between i</w:t>
      </w:r>
      <w:r w:rsidR="00D661EB" w:rsidRPr="00C33C0B">
        <w:rPr>
          <w:lang w:val="en-GB" w:eastAsia="en-US"/>
        </w:rPr>
        <w:t>nitial and subsequent attendance items do</w:t>
      </w:r>
      <w:r>
        <w:rPr>
          <w:lang w:val="en-GB" w:eastAsia="en-US"/>
        </w:rPr>
        <w:t>es</w:t>
      </w:r>
      <w:r w:rsidR="00D661EB" w:rsidRPr="00C33C0B">
        <w:rPr>
          <w:lang w:val="en-GB" w:eastAsia="en-US"/>
        </w:rPr>
        <w:t xml:space="preserve"> not accurately reflect </w:t>
      </w:r>
      <w:r w:rsidR="00443D18">
        <w:rPr>
          <w:lang w:val="en-GB" w:eastAsia="en-US"/>
        </w:rPr>
        <w:t xml:space="preserve">current </w:t>
      </w:r>
      <w:r w:rsidR="00D661EB" w:rsidRPr="00C33C0B">
        <w:rPr>
          <w:lang w:val="en-GB" w:eastAsia="en-US"/>
        </w:rPr>
        <w:t xml:space="preserve">clinical practice and there is evidence </w:t>
      </w:r>
      <w:r w:rsidR="006A37AE">
        <w:rPr>
          <w:lang w:val="en-GB" w:eastAsia="en-US"/>
        </w:rPr>
        <w:t>that</w:t>
      </w:r>
      <w:r w:rsidR="00D661EB" w:rsidRPr="00C33C0B">
        <w:rPr>
          <w:lang w:val="en-GB" w:eastAsia="en-US"/>
        </w:rPr>
        <w:t xml:space="preserve"> </w:t>
      </w:r>
      <w:r w:rsidR="003013B5">
        <w:rPr>
          <w:lang w:val="en-GB" w:eastAsia="en-US"/>
        </w:rPr>
        <w:t>they are</w:t>
      </w:r>
      <w:r w:rsidR="00443D18">
        <w:rPr>
          <w:lang w:val="en-GB" w:eastAsia="en-US"/>
        </w:rPr>
        <w:t xml:space="preserve"> being</w:t>
      </w:r>
      <w:r w:rsidR="003013B5">
        <w:rPr>
          <w:lang w:val="en-GB" w:eastAsia="en-US"/>
        </w:rPr>
        <w:t xml:space="preserve"> </w:t>
      </w:r>
      <w:r w:rsidR="009F559A" w:rsidRPr="00C33C0B">
        <w:rPr>
          <w:lang w:val="en-GB" w:eastAsia="en-US"/>
        </w:rPr>
        <w:t>inconsistent</w:t>
      </w:r>
      <w:r w:rsidR="003013B5">
        <w:rPr>
          <w:lang w:val="en-GB" w:eastAsia="en-US"/>
        </w:rPr>
        <w:t>ly claimed.</w:t>
      </w:r>
    </w:p>
    <w:p w14:paraId="2784D99C" w14:textId="77777777" w:rsidR="00217DE5" w:rsidRPr="00C33C0B" w:rsidRDefault="0003453A" w:rsidP="00607BDA">
      <w:pPr>
        <w:rPr>
          <w:lang w:val="en-GB"/>
        </w:rPr>
      </w:pPr>
      <w:r w:rsidRPr="00C33C0B">
        <w:rPr>
          <w:lang w:val="en-GB" w:eastAsia="en-US"/>
        </w:rPr>
        <w:t xml:space="preserve">The Committee noted that </w:t>
      </w:r>
      <w:r w:rsidR="003C3713" w:rsidRPr="00C33C0B">
        <w:rPr>
          <w:lang w:val="en-GB" w:eastAsia="en-US"/>
        </w:rPr>
        <w:t>the distinction between initial</w:t>
      </w:r>
      <w:r w:rsidR="00A208AF">
        <w:rPr>
          <w:lang w:val="en-GB" w:eastAsia="en-US"/>
        </w:rPr>
        <w:t xml:space="preserve"> and</w:t>
      </w:r>
      <w:r w:rsidR="00A208AF" w:rsidRPr="00C33C0B">
        <w:rPr>
          <w:lang w:val="en-GB" w:eastAsia="en-US"/>
        </w:rPr>
        <w:t xml:space="preserve"> </w:t>
      </w:r>
      <w:r w:rsidR="003C3713" w:rsidRPr="00C33C0B">
        <w:rPr>
          <w:lang w:val="en-GB" w:eastAsia="en-US"/>
        </w:rPr>
        <w:t xml:space="preserve">subsequent attendances does not account for </w:t>
      </w:r>
      <w:r w:rsidRPr="00C33C0B">
        <w:rPr>
          <w:lang w:val="en-GB" w:eastAsia="en-US"/>
        </w:rPr>
        <w:t>c</w:t>
      </w:r>
      <w:r w:rsidR="00D661EB" w:rsidRPr="00C33C0B">
        <w:rPr>
          <w:lang w:val="en-GB" w:eastAsia="en-US"/>
        </w:rPr>
        <w:t xml:space="preserve">ases where a patient’s clinical needs </w:t>
      </w:r>
      <w:r w:rsidR="001B0A0F">
        <w:rPr>
          <w:lang w:val="en-GB" w:eastAsia="en-US"/>
        </w:rPr>
        <w:t>increase</w:t>
      </w:r>
      <w:r w:rsidR="001B0A0F" w:rsidRPr="00C33C0B">
        <w:rPr>
          <w:lang w:val="en-GB" w:eastAsia="en-US"/>
        </w:rPr>
        <w:t xml:space="preserve"> </w:t>
      </w:r>
      <w:r w:rsidR="00D661EB" w:rsidRPr="00C33C0B">
        <w:rPr>
          <w:lang w:val="en-GB" w:eastAsia="en-US"/>
        </w:rPr>
        <w:t>in complexity over time</w:t>
      </w:r>
      <w:r w:rsidR="001822ED" w:rsidRPr="00C33C0B">
        <w:rPr>
          <w:lang w:val="en-GB" w:eastAsia="en-US"/>
        </w:rPr>
        <w:t xml:space="preserve">. For example, investigations of the patient’s initial problem can lead to </w:t>
      </w:r>
      <w:r w:rsidR="003C3713" w:rsidRPr="00C33C0B">
        <w:rPr>
          <w:lang w:val="en-GB" w:eastAsia="en-US"/>
        </w:rPr>
        <w:t xml:space="preserve">a subsequent attendance that requires </w:t>
      </w:r>
      <w:r w:rsidR="001822ED" w:rsidRPr="00C33C0B">
        <w:rPr>
          <w:lang w:val="en-GB" w:eastAsia="en-US"/>
        </w:rPr>
        <w:t>more time</w:t>
      </w:r>
      <w:r w:rsidR="00B536F7">
        <w:rPr>
          <w:lang w:val="en-GB" w:eastAsia="en-US"/>
        </w:rPr>
        <w:t>.</w:t>
      </w:r>
      <w:r w:rsidR="00F427BE">
        <w:rPr>
          <w:lang w:val="en-GB" w:eastAsia="en-US"/>
        </w:rPr>
        <w:t xml:space="preserve"> </w:t>
      </w:r>
      <w:r w:rsidR="00F427BE">
        <w:t>One result of this issue is the creation of new items for a comprehensive assessment in sexual h</w:t>
      </w:r>
      <w:r w:rsidR="00F427BE" w:rsidRPr="00DE526A">
        <w:t xml:space="preserve">ealth </w:t>
      </w:r>
      <w:r w:rsidR="00F427BE">
        <w:t>medicine and a</w:t>
      </w:r>
      <w:r w:rsidR="00F427BE" w:rsidRPr="00DE526A">
        <w:t>ddiction medicine</w:t>
      </w:r>
      <w:r w:rsidR="00F427BE">
        <w:t>, which</w:t>
      </w:r>
      <w:r w:rsidR="00F427BE" w:rsidRPr="00DE526A">
        <w:t xml:space="preserve"> can be claimed once</w:t>
      </w:r>
      <w:r w:rsidR="00F427BE">
        <w:t xml:space="preserve"> in a course of treatment only. These are </w:t>
      </w:r>
      <w:r w:rsidR="00F427BE" w:rsidRPr="00DE526A">
        <w:t xml:space="preserve">not restricted to being claimed </w:t>
      </w:r>
      <w:r w:rsidR="00F427BE">
        <w:t>as an initial</w:t>
      </w:r>
      <w:r w:rsidR="00F427BE" w:rsidRPr="00DE526A">
        <w:t xml:space="preserve"> consult</w:t>
      </w:r>
      <w:r w:rsidR="00F427BE">
        <w:t>ation</w:t>
      </w:r>
      <w:r w:rsidR="00F427BE" w:rsidRPr="00DE526A">
        <w:t xml:space="preserve"> in a course of treatment</w:t>
      </w:r>
      <w:r w:rsidR="00F427BE">
        <w:t xml:space="preserve">, </w:t>
      </w:r>
      <w:r w:rsidR="00F427BE" w:rsidRPr="00DE526A">
        <w:t xml:space="preserve">in recognition that </w:t>
      </w:r>
      <w:r w:rsidR="00F427BE">
        <w:t>a</w:t>
      </w:r>
      <w:r w:rsidR="00F427BE" w:rsidRPr="00DE526A">
        <w:t xml:space="preserve"> complex comprehensive assessment may not happen at the first po</w:t>
      </w:r>
      <w:r w:rsidR="00F427BE">
        <w:t>int of contact with the patient.</w:t>
      </w:r>
    </w:p>
    <w:p w14:paraId="2E9CEB19" w14:textId="77777777" w:rsidR="00A32571" w:rsidRPr="00607BDA" w:rsidRDefault="0003453A" w:rsidP="00607BDA">
      <w:r w:rsidRPr="00607BDA">
        <w:t xml:space="preserve">The Committee </w:t>
      </w:r>
      <w:r w:rsidR="003455D6" w:rsidRPr="00607BDA">
        <w:t xml:space="preserve">noted </w:t>
      </w:r>
      <w:r w:rsidR="00A32571" w:rsidRPr="00607BDA">
        <w:t xml:space="preserve">evidence suggesting </w:t>
      </w:r>
      <w:r w:rsidR="009F559A" w:rsidRPr="00607BDA">
        <w:t xml:space="preserve">inconsistent use </w:t>
      </w:r>
      <w:r w:rsidR="00A32571" w:rsidRPr="00607BDA">
        <w:t>of</w:t>
      </w:r>
      <w:r w:rsidR="003455D6" w:rsidRPr="00607BDA">
        <w:t xml:space="preserve"> repeat initial attendances</w:t>
      </w:r>
      <w:r w:rsidR="00F427BE">
        <w:t xml:space="preserve">. </w:t>
      </w:r>
      <w:r w:rsidR="00BF2964" w:rsidRPr="00607BDA">
        <w:t xml:space="preserve">In 2016/17, </w:t>
      </w:r>
      <w:r w:rsidR="00A32571" w:rsidRPr="00607BDA">
        <w:t>229,511 r</w:t>
      </w:r>
      <w:r w:rsidR="004D1AC7" w:rsidRPr="00607BDA">
        <w:t>epeat initial attendances occurred between the same patient</w:t>
      </w:r>
      <w:r w:rsidR="00A32571" w:rsidRPr="00607BDA">
        <w:t xml:space="preserve"> </w:t>
      </w:r>
      <w:r w:rsidR="004D1AC7" w:rsidRPr="00607BDA">
        <w:t xml:space="preserve">and provider within </w:t>
      </w:r>
      <w:r w:rsidR="00AD4919" w:rsidRPr="00607BDA">
        <w:t>nine</w:t>
      </w:r>
      <w:r w:rsidR="00A32571" w:rsidRPr="00607BDA">
        <w:t xml:space="preserve"> months of </w:t>
      </w:r>
      <w:r w:rsidR="001B0A0F" w:rsidRPr="00607BDA">
        <w:t>another “initial” attendance</w:t>
      </w:r>
      <w:r w:rsidR="00A32571" w:rsidRPr="00607BDA">
        <w:t>.</w:t>
      </w:r>
      <w:r w:rsidR="004901D1" w:rsidRPr="00607BDA">
        <w:t xml:space="preserve"> The Committee </w:t>
      </w:r>
      <w:r w:rsidR="000B52C1" w:rsidRPr="00607BDA">
        <w:t>noted</w:t>
      </w:r>
      <w:r w:rsidR="004901D1" w:rsidRPr="00607BDA">
        <w:t xml:space="preserve"> that repeat initial</w:t>
      </w:r>
      <w:r w:rsidR="002629CE" w:rsidRPr="00607BDA">
        <w:t xml:space="preserve"> attendances </w:t>
      </w:r>
      <w:r w:rsidR="00A32571" w:rsidRPr="00607BDA">
        <w:t xml:space="preserve">within </w:t>
      </w:r>
      <w:r w:rsidR="004901D1" w:rsidRPr="00607BDA">
        <w:t xml:space="preserve">this timeframe </w:t>
      </w:r>
      <w:r w:rsidR="004D1AC7" w:rsidRPr="00607BDA">
        <w:t xml:space="preserve">should </w:t>
      </w:r>
      <w:r w:rsidR="00A32571" w:rsidRPr="00607BDA">
        <w:t>not comm</w:t>
      </w:r>
      <w:r w:rsidR="008C3F6C" w:rsidRPr="00607BDA">
        <w:t>only occur in clinical practice</w:t>
      </w:r>
      <w:r w:rsidR="002E0254" w:rsidRPr="00607BDA">
        <w:t>.</w:t>
      </w:r>
    </w:p>
    <w:p w14:paraId="54F3E51D" w14:textId="77777777" w:rsidR="00F427BE" w:rsidRDefault="00BA1CCC" w:rsidP="00F427BE">
      <w:r w:rsidRPr="00607BDA">
        <w:t xml:space="preserve">Consumer complaints </w:t>
      </w:r>
      <w:r w:rsidR="00BC4641" w:rsidRPr="00607BDA">
        <w:t xml:space="preserve">regarding </w:t>
      </w:r>
      <w:r w:rsidR="00D94DBB" w:rsidRPr="00607BDA">
        <w:t xml:space="preserve">charges for repeat initial attendances are common and have been referred to the </w:t>
      </w:r>
      <w:r w:rsidRPr="00607BDA">
        <w:t xml:space="preserve">Minister’s Office </w:t>
      </w:r>
      <w:r w:rsidR="00232971" w:rsidRPr="00607BDA">
        <w:t>via</w:t>
      </w:r>
      <w:r w:rsidRPr="00607BDA">
        <w:t xml:space="preserve"> the </w:t>
      </w:r>
      <w:r w:rsidR="004901D1" w:rsidRPr="00607BDA">
        <w:t>Medical Benefits Divisio</w:t>
      </w:r>
      <w:r w:rsidR="00D94DBB" w:rsidRPr="00607BDA">
        <w:t>n</w:t>
      </w:r>
      <w:r w:rsidR="00C678B0" w:rsidRPr="00607BDA">
        <w:t>.</w:t>
      </w:r>
      <w:r w:rsidR="00F427BE">
        <w:t xml:space="preserve"> A sample is provided below:</w:t>
      </w:r>
    </w:p>
    <w:p w14:paraId="2BA96ADE" w14:textId="77777777" w:rsidR="00F427BE" w:rsidRPr="00607BDA" w:rsidRDefault="00F427BE" w:rsidP="00B6474A">
      <w:r w:rsidRPr="00F427BE">
        <w:rPr>
          <w:i/>
        </w:rPr>
        <w:t>“My specialist requires me to get a new referral annually and charges me for an initial consultation fee each time she reviews the same skin cancer… I should be able to go back to the same specialist annually under the original indefinite referral to review the same skin cancer and be charged only for a consultation fee (which is much less than the initial consultation fee). Each year I have to pay for a consultation with my GP for the referral and an initial consultation fee for the specialist.”</w:t>
      </w:r>
    </w:p>
    <w:p w14:paraId="1D759E9E" w14:textId="77777777" w:rsidR="00F427BE" w:rsidRDefault="00F427BE" w:rsidP="00F427BE">
      <w:pPr>
        <w:pStyle w:val="Bullet-green"/>
        <w:numPr>
          <w:ilvl w:val="0"/>
          <w:numId w:val="0"/>
        </w:numPr>
        <w:rPr>
          <w:lang w:val="en-GB"/>
        </w:rPr>
      </w:pPr>
      <w:r>
        <w:rPr>
          <w:lang w:val="en-GB"/>
        </w:rPr>
        <w:t>It can be confusing for both patient and provider.</w:t>
      </w:r>
    </w:p>
    <w:p w14:paraId="4452D051" w14:textId="77777777" w:rsidR="00F427BE" w:rsidRDefault="0053407B" w:rsidP="00F427BE">
      <w:pPr>
        <w:pStyle w:val="Bullet-green"/>
        <w:numPr>
          <w:ilvl w:val="0"/>
          <w:numId w:val="0"/>
        </w:numPr>
        <w:rPr>
          <w:lang w:val="en-GB"/>
        </w:rPr>
      </w:pPr>
      <w:r w:rsidRPr="00C33C0B">
        <w:rPr>
          <w:lang w:val="en-GB"/>
        </w:rPr>
        <w:t xml:space="preserve">The distinction between </w:t>
      </w:r>
      <w:r w:rsidR="00CF064A">
        <w:rPr>
          <w:lang w:val="en-GB"/>
        </w:rPr>
        <w:t>consultant physician</w:t>
      </w:r>
      <w:r w:rsidRPr="00C33C0B">
        <w:rPr>
          <w:lang w:val="en-GB"/>
        </w:rPr>
        <w:t xml:space="preserve">s and </w:t>
      </w:r>
      <w:r w:rsidR="00CF064A">
        <w:rPr>
          <w:lang w:val="en-GB"/>
        </w:rPr>
        <w:t>specialist</w:t>
      </w:r>
      <w:r w:rsidRPr="00C33C0B">
        <w:rPr>
          <w:lang w:val="en-GB"/>
        </w:rPr>
        <w:t xml:space="preserve">s is increasingly dissociated </w:t>
      </w:r>
      <w:r w:rsidR="001B0A0F">
        <w:rPr>
          <w:lang w:val="en-GB"/>
        </w:rPr>
        <w:t>from</w:t>
      </w:r>
      <w:r w:rsidR="001B0A0F" w:rsidRPr="00C33C0B">
        <w:rPr>
          <w:lang w:val="en-GB"/>
        </w:rPr>
        <w:t xml:space="preserve"> </w:t>
      </w:r>
      <w:r w:rsidRPr="00C33C0B">
        <w:rPr>
          <w:lang w:val="en-GB"/>
        </w:rPr>
        <w:t>modern clinical practice</w:t>
      </w:r>
      <w:r w:rsidR="00486C58">
        <w:rPr>
          <w:lang w:val="en-GB"/>
        </w:rPr>
        <w:t xml:space="preserve"> and is unclear to consumers</w:t>
      </w:r>
      <w:r w:rsidR="00CC3B74">
        <w:rPr>
          <w:lang w:val="en-GB"/>
        </w:rPr>
        <w:t>.</w:t>
      </w:r>
      <w:r w:rsidR="00F427BE">
        <w:rPr>
          <w:lang w:val="en-GB"/>
        </w:rPr>
        <w:t xml:space="preserve"> </w:t>
      </w:r>
      <w:r w:rsidR="00CC3B74">
        <w:rPr>
          <w:lang w:val="en-GB"/>
        </w:rPr>
        <w:t xml:space="preserve">The distinction is </w:t>
      </w:r>
      <w:r w:rsidR="00D661EB" w:rsidRPr="00C33C0B">
        <w:rPr>
          <w:lang w:val="en-GB"/>
        </w:rPr>
        <w:t xml:space="preserve">based on a rationale outlined </w:t>
      </w:r>
      <w:r w:rsidR="001B0A0F">
        <w:rPr>
          <w:lang w:val="en-GB"/>
        </w:rPr>
        <w:t>by</w:t>
      </w:r>
      <w:r w:rsidR="001B0A0F" w:rsidRPr="00C33C0B">
        <w:rPr>
          <w:lang w:val="en-GB"/>
        </w:rPr>
        <w:t xml:space="preserve"> </w:t>
      </w:r>
      <w:r w:rsidR="00D661EB" w:rsidRPr="00C33C0B">
        <w:rPr>
          <w:lang w:val="en-GB"/>
        </w:rPr>
        <w:t>the 1974 Medicare Tribunal</w:t>
      </w:r>
      <w:r w:rsidR="00F427BE">
        <w:t xml:space="preserve"> - </w:t>
      </w:r>
      <w:r w:rsidR="00F427BE" w:rsidRPr="00406265">
        <w:rPr>
          <w:i/>
        </w:rPr>
        <w:t xml:space="preserve">“consultant physicians require longer time periods for their consultations. The patients tend to have medical conditions which require study in depth and breadth. By comparison with the specialist group, consultant physicians undertake relatively few procedures and their practice largely consists </w:t>
      </w:r>
      <w:r w:rsidR="00F427BE">
        <w:rPr>
          <w:i/>
        </w:rPr>
        <w:t>of time consuming consultations.</w:t>
      </w:r>
      <w:r w:rsidR="00F427BE" w:rsidRPr="00406265">
        <w:rPr>
          <w:i/>
        </w:rPr>
        <w:t>”</w:t>
      </w:r>
    </w:p>
    <w:p w14:paraId="380E80C1" w14:textId="77777777" w:rsidR="00854C53" w:rsidRPr="00C33C0B" w:rsidRDefault="00F427BE" w:rsidP="00607BDA">
      <w:pPr>
        <w:pStyle w:val="Bullet-green"/>
        <w:numPr>
          <w:ilvl w:val="0"/>
          <w:numId w:val="0"/>
        </w:numPr>
        <w:rPr>
          <w:lang w:val="en-GB"/>
        </w:rPr>
      </w:pPr>
      <w:r>
        <w:rPr>
          <w:lang w:val="en-GB"/>
        </w:rPr>
        <w:t>This distinction has not been</w:t>
      </w:r>
      <w:r w:rsidR="00D661EB" w:rsidRPr="00C33C0B">
        <w:rPr>
          <w:lang w:val="en-GB"/>
        </w:rPr>
        <w:t xml:space="preserve"> updated</w:t>
      </w:r>
      <w:r w:rsidR="00E33635">
        <w:rPr>
          <w:lang w:val="en-GB"/>
        </w:rPr>
        <w:t>. D</w:t>
      </w:r>
      <w:r w:rsidR="00D661EB" w:rsidRPr="00C33C0B">
        <w:rPr>
          <w:lang w:val="en-GB"/>
        </w:rPr>
        <w:t>ata from modern practice sugges</w:t>
      </w:r>
      <w:r w:rsidR="00E33635">
        <w:rPr>
          <w:lang w:val="en-GB"/>
        </w:rPr>
        <w:t>t that</w:t>
      </w:r>
      <w:r w:rsidR="00D661EB" w:rsidRPr="00C33C0B">
        <w:rPr>
          <w:lang w:val="en-GB"/>
        </w:rPr>
        <w:t xml:space="preserve"> this distinction</w:t>
      </w:r>
      <w:r w:rsidR="002F1CA9" w:rsidRPr="00C33C0B">
        <w:rPr>
          <w:lang w:val="en-GB"/>
        </w:rPr>
        <w:t xml:space="preserve"> is no longer valid for</w:t>
      </w:r>
      <w:r w:rsidR="00217DE5" w:rsidRPr="00C33C0B">
        <w:rPr>
          <w:lang w:val="en-GB"/>
        </w:rPr>
        <w:t xml:space="preserve"> many specialties (</w:t>
      </w:r>
      <w:r w:rsidR="008F56A6">
        <w:rPr>
          <w:lang w:val="en-GB"/>
        </w:rPr>
        <w:t>Ta</w:t>
      </w:r>
      <w:r w:rsidR="0001226A">
        <w:rPr>
          <w:lang w:val="en-GB"/>
        </w:rPr>
        <w:t>ble 5</w:t>
      </w:r>
      <w:r w:rsidR="00D661EB" w:rsidRPr="00C33C0B">
        <w:rPr>
          <w:lang w:val="en-GB"/>
        </w:rPr>
        <w:t>)</w:t>
      </w:r>
      <w:r w:rsidR="006F0E41" w:rsidRPr="00C33C0B">
        <w:rPr>
          <w:lang w:val="en-GB"/>
        </w:rPr>
        <w:t xml:space="preserve">. Changes in technology have resulted in some </w:t>
      </w:r>
      <w:r w:rsidR="00CF064A">
        <w:rPr>
          <w:lang w:val="en-GB"/>
        </w:rPr>
        <w:t>consultant physician</w:t>
      </w:r>
      <w:r w:rsidR="006F0E41" w:rsidRPr="00C33C0B">
        <w:rPr>
          <w:lang w:val="en-GB"/>
        </w:rPr>
        <w:t xml:space="preserve">s undertaking many </w:t>
      </w:r>
      <w:r w:rsidR="00503A52" w:rsidRPr="00C33C0B">
        <w:rPr>
          <w:lang w:val="en-GB"/>
        </w:rPr>
        <w:t xml:space="preserve">more procedures, </w:t>
      </w:r>
      <w:r w:rsidR="006F0E41" w:rsidRPr="00C33C0B">
        <w:rPr>
          <w:lang w:val="en-GB"/>
        </w:rPr>
        <w:t>as evidenced by the number of new items listed in recent years</w:t>
      </w:r>
      <w:r w:rsidR="004308B0">
        <w:rPr>
          <w:lang w:val="en-GB"/>
        </w:rPr>
        <w:t>.</w:t>
      </w:r>
      <w:r>
        <w:rPr>
          <w:lang w:val="en-GB"/>
        </w:rPr>
        <w:t xml:space="preserve"> </w:t>
      </w:r>
      <w:r>
        <w:rPr>
          <w:lang w:val="en-US"/>
        </w:rPr>
        <w:t>For example, transcatheter aortic valve implantation (TAVI), left atrial appendage closure and implantable loop recorder items for cardiologists.</w:t>
      </w:r>
    </w:p>
    <w:p w14:paraId="1F6E30FA" w14:textId="77777777" w:rsidR="00854C53" w:rsidRPr="00C33C0B" w:rsidRDefault="00326040" w:rsidP="00607BDA">
      <w:pPr>
        <w:pStyle w:val="Bullet-green"/>
        <w:numPr>
          <w:ilvl w:val="0"/>
          <w:numId w:val="0"/>
        </w:numPr>
        <w:rPr>
          <w:lang w:val="en-GB"/>
        </w:rPr>
      </w:pPr>
      <w:r>
        <w:rPr>
          <w:lang w:val="en-GB"/>
        </w:rPr>
        <w:t>The distinction d</w:t>
      </w:r>
      <w:r w:rsidR="00861893" w:rsidRPr="00C33C0B">
        <w:rPr>
          <w:lang w:val="en-GB"/>
        </w:rPr>
        <w:t xml:space="preserve">ecreases consumer access to </w:t>
      </w:r>
      <w:r w:rsidR="00CF064A">
        <w:rPr>
          <w:lang w:val="en-GB"/>
        </w:rPr>
        <w:t>specialist</w:t>
      </w:r>
      <w:r w:rsidR="00861893" w:rsidRPr="00C33C0B">
        <w:rPr>
          <w:lang w:val="en-GB"/>
        </w:rPr>
        <w:t xml:space="preserve">s </w:t>
      </w:r>
      <w:r w:rsidR="004923D8">
        <w:rPr>
          <w:lang w:val="en-GB"/>
        </w:rPr>
        <w:t>who</w:t>
      </w:r>
      <w:r w:rsidR="004923D8" w:rsidRPr="00C33C0B">
        <w:rPr>
          <w:lang w:val="en-GB"/>
        </w:rPr>
        <w:t xml:space="preserve"> </w:t>
      </w:r>
      <w:r w:rsidR="00861893" w:rsidRPr="00C33C0B">
        <w:rPr>
          <w:lang w:val="en-GB"/>
        </w:rPr>
        <w:t xml:space="preserve">are highly consultative </w:t>
      </w:r>
      <w:r w:rsidR="001B0A0F">
        <w:rPr>
          <w:lang w:val="en-GB"/>
        </w:rPr>
        <w:t>(i</w:t>
      </w:r>
      <w:r w:rsidR="00F427BE">
        <w:rPr>
          <w:lang w:val="en-GB"/>
        </w:rPr>
        <w:t>.</w:t>
      </w:r>
      <w:r w:rsidR="001B0A0F">
        <w:rPr>
          <w:lang w:val="en-GB"/>
        </w:rPr>
        <w:t>e</w:t>
      </w:r>
      <w:r w:rsidR="00F427BE">
        <w:rPr>
          <w:lang w:val="en-GB"/>
        </w:rPr>
        <w:t>.</w:t>
      </w:r>
      <w:r w:rsidR="001B0A0F">
        <w:rPr>
          <w:lang w:val="en-GB"/>
        </w:rPr>
        <w:t xml:space="preserve"> relatively less procedural) </w:t>
      </w:r>
      <w:r w:rsidR="00861893" w:rsidRPr="00C33C0B">
        <w:rPr>
          <w:lang w:val="en-GB"/>
        </w:rPr>
        <w:t xml:space="preserve">and </w:t>
      </w:r>
      <w:r w:rsidR="00C157FC" w:rsidRPr="00C33C0B">
        <w:rPr>
          <w:lang w:val="en-GB"/>
        </w:rPr>
        <w:t xml:space="preserve">so </w:t>
      </w:r>
      <w:r w:rsidR="00A76743" w:rsidRPr="00C33C0B">
        <w:rPr>
          <w:lang w:val="en-GB"/>
        </w:rPr>
        <w:t xml:space="preserve">charge </w:t>
      </w:r>
      <w:r w:rsidR="005C0D6B" w:rsidRPr="00C33C0B">
        <w:rPr>
          <w:lang w:val="en-GB"/>
        </w:rPr>
        <w:t xml:space="preserve">a </w:t>
      </w:r>
      <w:r w:rsidR="00A76743" w:rsidRPr="00C33C0B">
        <w:rPr>
          <w:lang w:val="en-GB"/>
        </w:rPr>
        <w:t>higher patient contribution</w:t>
      </w:r>
      <w:r w:rsidR="0001226A">
        <w:rPr>
          <w:lang w:val="en-GB"/>
        </w:rPr>
        <w:t xml:space="preserve"> (Figure 3</w:t>
      </w:r>
      <w:r w:rsidR="00CE1B22">
        <w:rPr>
          <w:lang w:val="en-GB"/>
        </w:rPr>
        <w:t>).</w:t>
      </w:r>
      <w:r w:rsidR="00632883">
        <w:rPr>
          <w:lang w:val="en-GB"/>
        </w:rPr>
        <w:t xml:space="preserve"> For example, </w:t>
      </w:r>
      <w:r w:rsidR="00632883">
        <w:t>p</w:t>
      </w:r>
      <w:r w:rsidR="00632883" w:rsidRPr="00C157FC">
        <w:t xml:space="preserve">rolonged review consultations </w:t>
      </w:r>
      <w:r w:rsidR="00632883">
        <w:t xml:space="preserve">for sports and exercise physicians receive a lower schedule fee </w:t>
      </w:r>
      <w:r w:rsidR="00632883" w:rsidRPr="00C157FC">
        <w:t xml:space="preserve">than </w:t>
      </w:r>
      <w:r w:rsidR="00632883">
        <w:t>consultations with professionals</w:t>
      </w:r>
      <w:r w:rsidR="00632883" w:rsidRPr="00C157FC">
        <w:t xml:space="preserve"> with no specialist medical training </w:t>
      </w:r>
      <w:r w:rsidR="00632883">
        <w:t xml:space="preserve">(for example, </w:t>
      </w:r>
      <w:r w:rsidR="00632883" w:rsidRPr="00C157FC">
        <w:t>chiropractor</w:t>
      </w:r>
      <w:r w:rsidR="00632883">
        <w:t>s).</w:t>
      </w:r>
      <w:r w:rsidR="00A76743" w:rsidRPr="00C33C0B">
        <w:rPr>
          <w:lang w:val="en-GB"/>
        </w:rPr>
        <w:t xml:space="preserve"> </w:t>
      </w:r>
    </w:p>
    <w:p w14:paraId="61599786" w14:textId="77777777" w:rsidR="00D661EB" w:rsidRPr="00C33C0B" w:rsidRDefault="00D661EB" w:rsidP="00607BDA">
      <w:pPr>
        <w:pStyle w:val="Bullet-green"/>
        <w:numPr>
          <w:ilvl w:val="0"/>
          <w:numId w:val="0"/>
        </w:numPr>
        <w:rPr>
          <w:lang w:val="en-GB"/>
        </w:rPr>
      </w:pPr>
      <w:r w:rsidRPr="00C33C0B">
        <w:rPr>
          <w:lang w:val="en-GB"/>
        </w:rPr>
        <w:t>Standard attendance it</w:t>
      </w:r>
      <w:r w:rsidR="00F80841" w:rsidRPr="00C33C0B">
        <w:rPr>
          <w:lang w:val="en-GB"/>
        </w:rPr>
        <w:t xml:space="preserve">ems have evolved into a complex, </w:t>
      </w:r>
      <w:r w:rsidR="00143F1F" w:rsidRPr="00C33C0B">
        <w:rPr>
          <w:lang w:val="en-GB"/>
        </w:rPr>
        <w:t>disjointed</w:t>
      </w:r>
      <w:r w:rsidR="00F80841" w:rsidRPr="00C33C0B">
        <w:rPr>
          <w:lang w:val="en-GB"/>
        </w:rPr>
        <w:t xml:space="preserve"> </w:t>
      </w:r>
      <w:r w:rsidRPr="00C33C0B">
        <w:rPr>
          <w:lang w:val="en-GB"/>
        </w:rPr>
        <w:t xml:space="preserve">schedule </w:t>
      </w:r>
      <w:r w:rsidR="00CC4730" w:rsidRPr="00C33C0B">
        <w:rPr>
          <w:lang w:val="en-GB"/>
        </w:rPr>
        <w:t>that</w:t>
      </w:r>
      <w:r w:rsidR="00F80841" w:rsidRPr="00C33C0B">
        <w:rPr>
          <w:lang w:val="en-GB"/>
        </w:rPr>
        <w:t xml:space="preserve"> lacks </w:t>
      </w:r>
      <w:r w:rsidRPr="00C33C0B">
        <w:rPr>
          <w:lang w:val="en-GB"/>
        </w:rPr>
        <w:t>transparency</w:t>
      </w:r>
      <w:r w:rsidR="001B0A0F">
        <w:rPr>
          <w:lang w:val="en-GB"/>
        </w:rPr>
        <w:t xml:space="preserve"> or clarity</w:t>
      </w:r>
      <w:r w:rsidRPr="00C33C0B">
        <w:rPr>
          <w:lang w:val="en-GB"/>
        </w:rPr>
        <w:t xml:space="preserve"> for consumers</w:t>
      </w:r>
      <w:r w:rsidR="000F038B" w:rsidRPr="00C33C0B">
        <w:rPr>
          <w:lang w:val="en-GB"/>
        </w:rPr>
        <w:t xml:space="preserve"> and </w:t>
      </w:r>
      <w:r w:rsidR="002C1916">
        <w:rPr>
          <w:lang w:val="en-GB"/>
        </w:rPr>
        <w:t>contains</w:t>
      </w:r>
      <w:r w:rsidR="002C1916" w:rsidRPr="00C33C0B">
        <w:rPr>
          <w:lang w:val="en-GB"/>
        </w:rPr>
        <w:t xml:space="preserve"> </w:t>
      </w:r>
      <w:r w:rsidR="00CC4730" w:rsidRPr="00C33C0B">
        <w:rPr>
          <w:lang w:val="en-GB"/>
        </w:rPr>
        <w:t xml:space="preserve">duplicative items </w:t>
      </w:r>
      <w:r w:rsidR="000F038B" w:rsidRPr="00C33C0B">
        <w:rPr>
          <w:lang w:val="en-GB"/>
        </w:rPr>
        <w:t>for doctors</w:t>
      </w:r>
      <w:r w:rsidR="00407A3F">
        <w:rPr>
          <w:lang w:val="en-GB"/>
        </w:rPr>
        <w:t>.</w:t>
      </w:r>
    </w:p>
    <w:p w14:paraId="4516CC11" w14:textId="77777777" w:rsidR="00802508" w:rsidRPr="00802508" w:rsidRDefault="00802508" w:rsidP="00607BDA">
      <w:pPr>
        <w:pStyle w:val="Bullet-green"/>
        <w:numPr>
          <w:ilvl w:val="0"/>
          <w:numId w:val="0"/>
        </w:numPr>
        <w:rPr>
          <w:lang w:val="en-GB"/>
        </w:rPr>
      </w:pPr>
      <w:r w:rsidRPr="00802508">
        <w:rPr>
          <w:lang w:val="en-GB"/>
        </w:rPr>
        <w:t>There is a lack of transparency in what consumers are paying for, and there is not a clear rati</w:t>
      </w:r>
      <w:r>
        <w:rPr>
          <w:lang w:val="en-GB"/>
        </w:rPr>
        <w:t xml:space="preserve">onale to explain </w:t>
      </w:r>
      <w:r w:rsidR="001B0A0F">
        <w:rPr>
          <w:lang w:val="en-GB"/>
        </w:rPr>
        <w:t xml:space="preserve">to consumers </w:t>
      </w:r>
      <w:r w:rsidRPr="00802508">
        <w:rPr>
          <w:lang w:val="en-GB"/>
        </w:rPr>
        <w:t xml:space="preserve">why there are different rebates for services </w:t>
      </w:r>
      <w:r w:rsidR="001B0A0F">
        <w:rPr>
          <w:lang w:val="en-GB"/>
        </w:rPr>
        <w:t>that appear</w:t>
      </w:r>
      <w:r w:rsidRPr="00802508">
        <w:rPr>
          <w:lang w:val="en-GB"/>
        </w:rPr>
        <w:t xml:space="preserve"> to be the same or similar in nature and value to them</w:t>
      </w:r>
      <w:r w:rsidR="0001226A">
        <w:rPr>
          <w:lang w:val="en-GB"/>
        </w:rPr>
        <w:t xml:space="preserve"> (Figure 4</w:t>
      </w:r>
      <w:r w:rsidR="00C17B92">
        <w:rPr>
          <w:lang w:val="en-GB"/>
        </w:rPr>
        <w:t>)</w:t>
      </w:r>
      <w:r w:rsidRPr="00802508">
        <w:rPr>
          <w:lang w:val="en-GB"/>
        </w:rPr>
        <w:t>.</w:t>
      </w:r>
    </w:p>
    <w:p w14:paraId="169F8098" w14:textId="77777777" w:rsidR="00802508" w:rsidRDefault="00961FAE" w:rsidP="00607BDA">
      <w:pPr>
        <w:pStyle w:val="Bullet-green"/>
        <w:numPr>
          <w:ilvl w:val="0"/>
          <w:numId w:val="0"/>
        </w:numPr>
        <w:rPr>
          <w:lang w:val="en-GB"/>
        </w:rPr>
      </w:pPr>
      <w:r w:rsidRPr="00C33C0B">
        <w:rPr>
          <w:lang w:val="en-GB"/>
        </w:rPr>
        <w:t>New items have been generated for certain specialties (</w:t>
      </w:r>
      <w:r w:rsidR="00091C81">
        <w:rPr>
          <w:lang w:val="en-GB"/>
        </w:rPr>
        <w:t>for example,</w:t>
      </w:r>
      <w:r w:rsidRPr="00C33C0B">
        <w:rPr>
          <w:lang w:val="en-GB"/>
        </w:rPr>
        <w:t xml:space="preserve"> pain medicine and palliative medicine attendance items) </w:t>
      </w:r>
      <w:r w:rsidR="00603D51">
        <w:rPr>
          <w:lang w:val="en-GB"/>
        </w:rPr>
        <w:t>because</w:t>
      </w:r>
      <w:r w:rsidR="00603D51" w:rsidRPr="00C33C0B">
        <w:rPr>
          <w:lang w:val="en-GB"/>
        </w:rPr>
        <w:t xml:space="preserve"> </w:t>
      </w:r>
      <w:r w:rsidR="00143F1F" w:rsidRPr="00C33C0B">
        <w:rPr>
          <w:lang w:val="en-GB"/>
        </w:rPr>
        <w:t>l</w:t>
      </w:r>
      <w:r w:rsidR="00786207" w:rsidRPr="00C33C0B">
        <w:rPr>
          <w:lang w:val="en-GB"/>
        </w:rPr>
        <w:t xml:space="preserve">egislation prevents </w:t>
      </w:r>
      <w:r w:rsidR="00A659FB">
        <w:rPr>
          <w:lang w:val="en-GB"/>
        </w:rPr>
        <w:t>s</w:t>
      </w:r>
      <w:r w:rsidR="00097FF5" w:rsidRPr="00C33C0B">
        <w:rPr>
          <w:lang w:val="en-GB"/>
        </w:rPr>
        <w:t>pecial</w:t>
      </w:r>
      <w:r w:rsidR="00B72324" w:rsidRPr="00C33C0B">
        <w:rPr>
          <w:lang w:val="en-GB"/>
        </w:rPr>
        <w:t xml:space="preserve">ists from billing Group A4 </w:t>
      </w:r>
      <w:r w:rsidR="00407A3F">
        <w:rPr>
          <w:lang w:val="en-GB"/>
        </w:rPr>
        <w:t>c</w:t>
      </w:r>
      <w:r w:rsidR="00B72324" w:rsidRPr="00C33C0B">
        <w:rPr>
          <w:lang w:val="en-GB"/>
        </w:rPr>
        <w:t xml:space="preserve">onsultant </w:t>
      </w:r>
      <w:r w:rsidR="00407A3F">
        <w:rPr>
          <w:lang w:val="en-GB"/>
        </w:rPr>
        <w:t>p</w:t>
      </w:r>
      <w:r w:rsidR="00097FF5" w:rsidRPr="00C33C0B">
        <w:rPr>
          <w:lang w:val="en-GB"/>
        </w:rPr>
        <w:t>hysician attendance items</w:t>
      </w:r>
      <w:r w:rsidR="007F2F48">
        <w:rPr>
          <w:lang w:val="en-GB"/>
        </w:rPr>
        <w:t>.</w:t>
      </w:r>
    </w:p>
    <w:p w14:paraId="00150796" w14:textId="77777777" w:rsidR="005C59EC" w:rsidRPr="00802508" w:rsidRDefault="00802508" w:rsidP="00607BDA">
      <w:pPr>
        <w:pStyle w:val="Bullet-green"/>
        <w:numPr>
          <w:ilvl w:val="0"/>
          <w:numId w:val="0"/>
        </w:numPr>
        <w:rPr>
          <w:lang w:val="en-GB"/>
        </w:rPr>
      </w:pPr>
      <w:r w:rsidRPr="00802508">
        <w:rPr>
          <w:lang w:val="en-GB"/>
        </w:rPr>
        <w:t xml:space="preserve">Diagnostics are currently claimed at the same time as attendances, creating a financial incentive to perform more diagnostics as doing so generates additional payment within the same time </w:t>
      </w:r>
      <w:r w:rsidR="001B0A0F" w:rsidRPr="00802508">
        <w:rPr>
          <w:lang w:val="en-GB"/>
        </w:rPr>
        <w:t>period.</w:t>
      </w:r>
    </w:p>
    <w:p w14:paraId="41D0BA18" w14:textId="77777777" w:rsidR="00C279BB" w:rsidRDefault="00C279BB">
      <w:pPr>
        <w:spacing w:before="0" w:after="0" w:line="240" w:lineRule="auto"/>
        <w:rPr>
          <w:rFonts w:cstheme="minorHAnsi"/>
          <w:b/>
          <w:sz w:val="20"/>
          <w:szCs w:val="20"/>
          <w:lang w:val="en-GB" w:eastAsia="en-US"/>
        </w:rPr>
      </w:pPr>
      <w:r>
        <w:rPr>
          <w:rFonts w:cstheme="minorHAnsi"/>
          <w:b/>
          <w:caps/>
          <w:sz w:val="20"/>
          <w:lang w:val="en-GB"/>
        </w:rPr>
        <w:br w:type="page"/>
      </w:r>
    </w:p>
    <w:p w14:paraId="7F7FF1D3" w14:textId="77777777" w:rsidR="00DE5F82" w:rsidRPr="00576EFD" w:rsidRDefault="00576EFD" w:rsidP="00204EE2">
      <w:pPr>
        <w:pStyle w:val="60exhnormal"/>
        <w:rPr>
          <w:rFonts w:asciiTheme="minorHAnsi" w:hAnsiTheme="minorHAnsi" w:cstheme="minorHAnsi"/>
          <w:b/>
          <w:sz w:val="20"/>
          <w:lang w:val="en-GB"/>
        </w:rPr>
      </w:pPr>
      <w:bookmarkStart w:id="114" w:name="_Toc529028437"/>
      <w:r>
        <w:rPr>
          <w:rFonts w:asciiTheme="minorHAnsi" w:hAnsiTheme="minorHAnsi" w:cstheme="minorHAnsi"/>
          <w:b/>
          <w:caps w:val="0"/>
          <w:sz w:val="20"/>
          <w:lang w:val="en-GB"/>
        </w:rPr>
        <w:t>Figure</w:t>
      </w:r>
      <w:r w:rsidR="00EB71CD" w:rsidRPr="00576EFD">
        <w:rPr>
          <w:rFonts w:asciiTheme="minorHAnsi" w:hAnsiTheme="minorHAnsi" w:cstheme="minorHAnsi"/>
          <w:b/>
          <w:sz w:val="20"/>
          <w:lang w:val="en-GB"/>
        </w:rPr>
        <w:t xml:space="preserve"> </w:t>
      </w:r>
      <w:r w:rsidR="0001226A">
        <w:rPr>
          <w:rFonts w:asciiTheme="minorHAnsi" w:hAnsiTheme="minorHAnsi" w:cstheme="minorHAnsi"/>
          <w:b/>
          <w:sz w:val="20"/>
          <w:lang w:val="en-GB"/>
        </w:rPr>
        <w:t>3</w:t>
      </w:r>
      <w:r w:rsidR="00EB71CD" w:rsidRPr="00576EFD">
        <w:rPr>
          <w:rFonts w:asciiTheme="minorHAnsi" w:hAnsiTheme="minorHAnsi" w:cstheme="minorHAnsi"/>
          <w:b/>
          <w:caps w:val="0"/>
          <w:sz w:val="20"/>
          <w:lang w:val="en-GB"/>
        </w:rPr>
        <w:t xml:space="preserve">: </w:t>
      </w:r>
      <w:r w:rsidR="00EF52C8" w:rsidRPr="00576EFD">
        <w:rPr>
          <w:rFonts w:asciiTheme="minorHAnsi" w:hAnsiTheme="minorHAnsi" w:cstheme="minorHAnsi"/>
          <w:b/>
          <w:caps w:val="0"/>
          <w:sz w:val="20"/>
          <w:lang w:val="en-GB"/>
        </w:rPr>
        <w:t xml:space="preserve">Percentage MBS income from </w:t>
      </w:r>
      <w:r w:rsidR="00E018C5" w:rsidRPr="00576EFD">
        <w:rPr>
          <w:rFonts w:asciiTheme="minorHAnsi" w:hAnsiTheme="minorHAnsi" w:cstheme="minorHAnsi"/>
          <w:b/>
          <w:caps w:val="0"/>
          <w:sz w:val="20"/>
          <w:lang w:val="en-GB"/>
        </w:rPr>
        <w:t>s</w:t>
      </w:r>
      <w:r w:rsidR="00EF52C8" w:rsidRPr="00576EFD">
        <w:rPr>
          <w:rFonts w:asciiTheme="minorHAnsi" w:hAnsiTheme="minorHAnsi" w:cstheme="minorHAnsi"/>
          <w:b/>
          <w:caps w:val="0"/>
          <w:sz w:val="20"/>
          <w:lang w:val="en-GB"/>
        </w:rPr>
        <w:t xml:space="preserve">tandard </w:t>
      </w:r>
      <w:r w:rsidR="00E018C5" w:rsidRPr="00576EFD">
        <w:rPr>
          <w:rFonts w:asciiTheme="minorHAnsi" w:hAnsiTheme="minorHAnsi" w:cstheme="minorHAnsi"/>
          <w:b/>
          <w:caps w:val="0"/>
          <w:sz w:val="20"/>
          <w:lang w:val="en-GB"/>
        </w:rPr>
        <w:t>a</w:t>
      </w:r>
      <w:r w:rsidR="00EF52C8" w:rsidRPr="00576EFD">
        <w:rPr>
          <w:rFonts w:asciiTheme="minorHAnsi" w:hAnsiTheme="minorHAnsi" w:cstheme="minorHAnsi"/>
          <w:b/>
          <w:caps w:val="0"/>
          <w:sz w:val="20"/>
          <w:lang w:val="en-GB"/>
        </w:rPr>
        <w:t xml:space="preserve">ttendance </w:t>
      </w:r>
      <w:r w:rsidR="00E018C5" w:rsidRPr="00576EFD">
        <w:rPr>
          <w:rFonts w:asciiTheme="minorHAnsi" w:hAnsiTheme="minorHAnsi" w:cstheme="minorHAnsi"/>
          <w:b/>
          <w:caps w:val="0"/>
          <w:sz w:val="20"/>
          <w:lang w:val="en-GB"/>
        </w:rPr>
        <w:t>i</w:t>
      </w:r>
      <w:r w:rsidR="00EF52C8" w:rsidRPr="00576EFD">
        <w:rPr>
          <w:rFonts w:asciiTheme="minorHAnsi" w:hAnsiTheme="minorHAnsi" w:cstheme="minorHAnsi"/>
          <w:b/>
          <w:caps w:val="0"/>
          <w:sz w:val="20"/>
          <w:lang w:val="en-GB"/>
        </w:rPr>
        <w:t>tems</w:t>
      </w:r>
      <w:r w:rsidR="00E018C5" w:rsidRPr="00576EFD">
        <w:rPr>
          <w:rFonts w:asciiTheme="minorHAnsi" w:hAnsiTheme="minorHAnsi" w:cstheme="minorHAnsi"/>
          <w:b/>
          <w:caps w:val="0"/>
          <w:sz w:val="20"/>
          <w:lang w:val="en-GB"/>
        </w:rPr>
        <w:t>, c</w:t>
      </w:r>
      <w:r w:rsidR="003E21C5" w:rsidRPr="00576EFD">
        <w:rPr>
          <w:rFonts w:asciiTheme="minorHAnsi" w:hAnsiTheme="minorHAnsi" w:cstheme="minorHAnsi"/>
          <w:b/>
          <w:caps w:val="0"/>
          <w:sz w:val="20"/>
          <w:lang w:val="en-GB"/>
        </w:rPr>
        <w:t xml:space="preserve">onsultant </w:t>
      </w:r>
      <w:r w:rsidR="00E018C5" w:rsidRPr="00576EFD">
        <w:rPr>
          <w:rFonts w:asciiTheme="minorHAnsi" w:hAnsiTheme="minorHAnsi" w:cstheme="minorHAnsi"/>
          <w:b/>
          <w:caps w:val="0"/>
          <w:sz w:val="20"/>
          <w:lang w:val="en-GB"/>
        </w:rPr>
        <w:t>p</w:t>
      </w:r>
      <w:r w:rsidR="003E21C5" w:rsidRPr="00576EFD">
        <w:rPr>
          <w:rFonts w:asciiTheme="minorHAnsi" w:hAnsiTheme="minorHAnsi" w:cstheme="minorHAnsi"/>
          <w:b/>
          <w:caps w:val="0"/>
          <w:sz w:val="20"/>
          <w:lang w:val="en-GB"/>
        </w:rPr>
        <w:t>hysicians v</w:t>
      </w:r>
      <w:r w:rsidR="00E04C14">
        <w:rPr>
          <w:rFonts w:asciiTheme="minorHAnsi" w:hAnsiTheme="minorHAnsi" w:cstheme="minorHAnsi"/>
          <w:b/>
          <w:caps w:val="0"/>
          <w:sz w:val="20"/>
          <w:lang w:val="en-GB"/>
        </w:rPr>
        <w:t>ersus</w:t>
      </w:r>
      <w:r w:rsidR="006814F7" w:rsidRPr="00576EFD">
        <w:rPr>
          <w:rFonts w:asciiTheme="minorHAnsi" w:hAnsiTheme="minorHAnsi" w:cstheme="minorHAnsi"/>
          <w:b/>
          <w:caps w:val="0"/>
          <w:sz w:val="20"/>
          <w:lang w:val="en-GB"/>
        </w:rPr>
        <w:t xml:space="preserve"> </w:t>
      </w:r>
      <w:r w:rsidR="00E018C5" w:rsidRPr="00576EFD">
        <w:rPr>
          <w:rFonts w:asciiTheme="minorHAnsi" w:hAnsiTheme="minorHAnsi" w:cstheme="minorHAnsi"/>
          <w:b/>
          <w:caps w:val="0"/>
          <w:sz w:val="20"/>
          <w:lang w:val="en-GB"/>
        </w:rPr>
        <w:t>s</w:t>
      </w:r>
      <w:r w:rsidR="006814F7" w:rsidRPr="00576EFD">
        <w:rPr>
          <w:rFonts w:asciiTheme="minorHAnsi" w:hAnsiTheme="minorHAnsi" w:cstheme="minorHAnsi"/>
          <w:b/>
          <w:caps w:val="0"/>
          <w:sz w:val="20"/>
          <w:lang w:val="en-GB"/>
        </w:rPr>
        <w:t>pecialists (</w:t>
      </w:r>
      <w:r w:rsidR="00BB7286" w:rsidRPr="00576EFD">
        <w:rPr>
          <w:rFonts w:asciiTheme="minorHAnsi" w:hAnsiTheme="minorHAnsi" w:cstheme="minorHAnsi"/>
          <w:b/>
          <w:caps w:val="0"/>
          <w:sz w:val="20"/>
          <w:lang w:val="en-GB"/>
        </w:rPr>
        <w:t>%</w:t>
      </w:r>
      <w:r w:rsidR="006814F7" w:rsidRPr="00576EFD">
        <w:rPr>
          <w:rFonts w:asciiTheme="minorHAnsi" w:hAnsiTheme="minorHAnsi" w:cstheme="minorHAnsi"/>
          <w:b/>
          <w:caps w:val="0"/>
          <w:sz w:val="20"/>
          <w:lang w:val="en-GB"/>
        </w:rPr>
        <w:t>)</w:t>
      </w:r>
      <w:bookmarkEnd w:id="114"/>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DE5F82" w:rsidRPr="00C33C0B" w14:paraId="77AE7418" w14:textId="77777777" w:rsidTr="00204EE2">
        <w:trPr>
          <w:cantSplit/>
        </w:trPr>
        <w:tc>
          <w:tcPr>
            <w:tcW w:w="5000" w:type="pct"/>
          </w:tcPr>
          <w:p w14:paraId="6A6D2196" w14:textId="77777777" w:rsidR="00DE5F82" w:rsidRPr="00C33C0B" w:rsidRDefault="00EC679E">
            <w:pPr>
              <w:pStyle w:val="70exhtblnormal"/>
              <w:rPr>
                <w:lang w:val="en-GB"/>
              </w:rPr>
            </w:pPr>
            <w:r w:rsidRPr="00EC679E">
              <w:rPr>
                <w:noProof/>
                <w:lang w:val="en-AU" w:eastAsia="en-AU"/>
              </w:rPr>
              <w:drawing>
                <wp:inline distT="0" distB="0" distL="0" distR="0" wp14:anchorId="0343646F" wp14:editId="4B3B87C9">
                  <wp:extent cx="5276850" cy="3962400"/>
                  <wp:effectExtent l="0" t="0" r="0" b="0"/>
                  <wp:docPr id="18" name="Picture 18" descr="A bar graph showing the percentage MBS income from standard attendance items, consultant physicians versus special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ar graph showing the percentage MBS income from standard attendance items, consultant physicians versus specialist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6850" cy="3962400"/>
                          </a:xfrm>
                          <a:prstGeom prst="rect">
                            <a:avLst/>
                          </a:prstGeom>
                          <a:noFill/>
                          <a:ln>
                            <a:noFill/>
                          </a:ln>
                        </pic:spPr>
                      </pic:pic>
                    </a:graphicData>
                  </a:graphic>
                </wp:inline>
              </w:drawing>
            </w:r>
          </w:p>
        </w:tc>
      </w:tr>
    </w:tbl>
    <w:p w14:paraId="7AA8BF8A" w14:textId="77777777" w:rsidR="00272419" w:rsidRPr="00272419" w:rsidRDefault="00272419" w:rsidP="00C035DF">
      <w:pPr>
        <w:pStyle w:val="60exhnormal"/>
        <w:keepNext/>
        <w:rPr>
          <w:rFonts w:asciiTheme="minorHAnsi" w:hAnsiTheme="minorHAnsi" w:cstheme="minorHAnsi"/>
          <w:b/>
          <w:sz w:val="20"/>
        </w:rPr>
      </w:pPr>
      <w:bookmarkStart w:id="115" w:name="ExhibitNum"/>
      <w:bookmarkStart w:id="116" w:name="_Toc529028438"/>
      <w:bookmarkEnd w:id="115"/>
      <w:r w:rsidRPr="00272419">
        <w:rPr>
          <w:rFonts w:asciiTheme="minorHAnsi" w:hAnsiTheme="minorHAnsi" w:cstheme="minorHAnsi"/>
          <w:b/>
          <w:caps w:val="0"/>
          <w:sz w:val="20"/>
        </w:rPr>
        <w:t>F</w:t>
      </w:r>
      <w:r>
        <w:rPr>
          <w:rFonts w:asciiTheme="minorHAnsi" w:hAnsiTheme="minorHAnsi" w:cstheme="minorHAnsi"/>
          <w:b/>
          <w:caps w:val="0"/>
          <w:sz w:val="20"/>
        </w:rPr>
        <w:t xml:space="preserve">igure </w:t>
      </w:r>
      <w:r w:rsidR="0001226A">
        <w:rPr>
          <w:rFonts w:asciiTheme="minorHAnsi" w:hAnsiTheme="minorHAnsi" w:cstheme="minorHAnsi"/>
          <w:b/>
          <w:caps w:val="0"/>
          <w:sz w:val="20"/>
        </w:rPr>
        <w:t>4</w:t>
      </w:r>
      <w:r>
        <w:rPr>
          <w:rFonts w:asciiTheme="minorHAnsi" w:hAnsiTheme="minorHAnsi" w:cstheme="minorHAnsi"/>
          <w:b/>
          <w:caps w:val="0"/>
          <w:sz w:val="20"/>
        </w:rPr>
        <w:t>: A</w:t>
      </w:r>
      <w:r w:rsidRPr="00272419">
        <w:rPr>
          <w:rFonts w:asciiTheme="minorHAnsi" w:hAnsiTheme="minorHAnsi" w:cstheme="minorHAnsi"/>
          <w:b/>
          <w:caps w:val="0"/>
          <w:sz w:val="20"/>
        </w:rPr>
        <w:t>verage patient out-of-pocket cost for an initial attendance, consultant physicians versus specialists ($)</w:t>
      </w:r>
      <w:bookmarkEnd w:id="116"/>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272419" w14:paraId="5B855829" w14:textId="77777777" w:rsidTr="00AA385B">
        <w:trPr>
          <w:cantSplit/>
        </w:trPr>
        <w:tc>
          <w:tcPr>
            <w:tcW w:w="5000" w:type="pct"/>
          </w:tcPr>
          <w:p w14:paraId="36C91708" w14:textId="77777777" w:rsidR="00272419" w:rsidRDefault="00EC679E" w:rsidP="00C035DF">
            <w:pPr>
              <w:pStyle w:val="70exhtblnormal"/>
              <w:keepNext/>
            </w:pPr>
            <w:r w:rsidRPr="00EC679E">
              <w:rPr>
                <w:noProof/>
                <w:lang w:val="en-AU" w:eastAsia="en-AU"/>
              </w:rPr>
              <w:drawing>
                <wp:inline distT="0" distB="0" distL="0" distR="0" wp14:anchorId="3A7722EF" wp14:editId="051E3612">
                  <wp:extent cx="5276850" cy="3962400"/>
                  <wp:effectExtent l="0" t="0" r="0" b="0"/>
                  <wp:docPr id="24" name="Picture 24" descr="A bar graph showing the average patient out-of-pocket cost for an initial attendance, consultant physicians versus speciali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ar graph showing the average patient out-of-pocket cost for an initial attendance, consultant physicians versus specialists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3962400"/>
                          </a:xfrm>
                          <a:prstGeom prst="rect">
                            <a:avLst/>
                          </a:prstGeom>
                          <a:noFill/>
                          <a:ln>
                            <a:noFill/>
                          </a:ln>
                        </pic:spPr>
                      </pic:pic>
                    </a:graphicData>
                  </a:graphic>
                </wp:inline>
              </w:drawing>
            </w:r>
          </w:p>
        </w:tc>
      </w:tr>
    </w:tbl>
    <w:p w14:paraId="2593F6F6" w14:textId="77777777" w:rsidR="009E1838" w:rsidRDefault="00DE449F" w:rsidP="00BF2C12">
      <w:pPr>
        <w:pStyle w:val="Heading2"/>
        <w:spacing w:before="360"/>
        <w:ind w:left="578" w:hanging="578"/>
      </w:pPr>
      <w:bookmarkStart w:id="117" w:name="_Toc24544687"/>
      <w:r>
        <w:t>Guiding p</w:t>
      </w:r>
      <w:r w:rsidR="009E1838">
        <w:t>rinciples for standard attendance items in the MBS</w:t>
      </w:r>
      <w:bookmarkEnd w:id="117"/>
    </w:p>
    <w:p w14:paraId="3875FB95" w14:textId="77777777" w:rsidR="00D661EB" w:rsidRPr="00A16657" w:rsidRDefault="005C3E0A" w:rsidP="00581273">
      <w:pPr>
        <w:pStyle w:val="BoldTextStyle3"/>
        <w:rPr>
          <w:b w:val="0"/>
          <w:lang w:val="en-GB"/>
        </w:rPr>
      </w:pPr>
      <w:r>
        <w:rPr>
          <w:b w:val="0"/>
          <w:lang w:val="en-GB"/>
        </w:rPr>
        <w:t>To assist the Committee in assessing an improved and best practice approach to standard attendance, t</w:t>
      </w:r>
      <w:r w:rsidR="00D661EB" w:rsidRPr="00A16657">
        <w:rPr>
          <w:b w:val="0"/>
          <w:lang w:val="en-GB"/>
        </w:rPr>
        <w:t>he Committee defined the following principles</w:t>
      </w:r>
      <w:r>
        <w:rPr>
          <w:b w:val="0"/>
          <w:lang w:val="en-GB"/>
        </w:rPr>
        <w:t>:</w:t>
      </w:r>
    </w:p>
    <w:p w14:paraId="21415028" w14:textId="77777777" w:rsidR="00427683" w:rsidRPr="00C33C0B" w:rsidRDefault="00167A0E" w:rsidP="000831A1">
      <w:pPr>
        <w:pStyle w:val="Numbering"/>
        <w:numPr>
          <w:ilvl w:val="0"/>
          <w:numId w:val="72"/>
        </w:numPr>
      </w:pPr>
      <w:bookmarkStart w:id="118" w:name="_Hlk523831684"/>
      <w:bookmarkStart w:id="119" w:name="_Hlk524087175"/>
      <w:r w:rsidRPr="00C33C0B">
        <w:t xml:space="preserve">Attendance </w:t>
      </w:r>
      <w:r w:rsidR="00AB28F3">
        <w:t xml:space="preserve">schedule fees </w:t>
      </w:r>
      <w:r w:rsidRPr="00C33C0B">
        <w:t xml:space="preserve">should be the same per unit of time for all </w:t>
      </w:r>
      <w:r w:rsidR="00477917">
        <w:t xml:space="preserve">in scope </w:t>
      </w:r>
      <w:r w:rsidR="00AA329D">
        <w:t>consultant specialist</w:t>
      </w:r>
      <w:r w:rsidRPr="00C33C0B">
        <w:t>s</w:t>
      </w:r>
      <w:r w:rsidR="005E0AD2">
        <w:t>,</w:t>
      </w:r>
      <w:r w:rsidRPr="00C33C0B">
        <w:t xml:space="preserve"> regardless of </w:t>
      </w:r>
      <w:r w:rsidR="00B045B8">
        <w:t>specialty</w:t>
      </w:r>
      <w:r w:rsidR="005C3E0A">
        <w:t>.</w:t>
      </w:r>
    </w:p>
    <w:bookmarkEnd w:id="118"/>
    <w:p w14:paraId="61ACDDE1" w14:textId="77777777" w:rsidR="005E2F0D" w:rsidRPr="00C33C0B" w:rsidRDefault="005E2F0D" w:rsidP="000831A1">
      <w:pPr>
        <w:pStyle w:val="Numbering"/>
        <w:numPr>
          <w:ilvl w:val="0"/>
          <w:numId w:val="72"/>
        </w:numPr>
      </w:pPr>
      <w:r w:rsidRPr="00C33C0B">
        <w:t xml:space="preserve">All </w:t>
      </w:r>
      <w:r w:rsidR="008C78CE">
        <w:t>consultant specialists</w:t>
      </w:r>
      <w:r w:rsidRPr="00C33C0B">
        <w:t xml:space="preserve"> should have access to the same standard attendance items</w:t>
      </w:r>
      <w:r w:rsidR="003E30FE">
        <w:t>.</w:t>
      </w:r>
    </w:p>
    <w:p w14:paraId="3FC8E84A" w14:textId="77777777" w:rsidR="001B62CC" w:rsidRPr="00C33C0B" w:rsidRDefault="00737E7E" w:rsidP="000831A1">
      <w:pPr>
        <w:pStyle w:val="Numbering"/>
        <w:numPr>
          <w:ilvl w:val="0"/>
          <w:numId w:val="72"/>
        </w:numPr>
      </w:pPr>
      <w:bookmarkStart w:id="120" w:name="_Hlk524087246"/>
      <w:r>
        <w:t xml:space="preserve">Time is a partial </w:t>
      </w:r>
      <w:r w:rsidR="00D9608F">
        <w:t>indicator</w:t>
      </w:r>
      <w:r w:rsidR="001B62CC" w:rsidRPr="00C33C0B">
        <w:t xml:space="preserve"> for the depth of care delivered in an attendance</w:t>
      </w:r>
      <w:r w:rsidR="00C13B43">
        <w:t>.</w:t>
      </w:r>
    </w:p>
    <w:bookmarkEnd w:id="120"/>
    <w:p w14:paraId="198439C6" w14:textId="77777777" w:rsidR="003E6A42" w:rsidRPr="00C33C0B" w:rsidRDefault="003E6A42" w:rsidP="000831A1">
      <w:pPr>
        <w:pStyle w:val="Numbering"/>
        <w:numPr>
          <w:ilvl w:val="0"/>
          <w:numId w:val="72"/>
        </w:numPr>
      </w:pPr>
      <w:r w:rsidRPr="00C33C0B">
        <w:t xml:space="preserve">Standard attendance item descriptors should reflect both the </w:t>
      </w:r>
      <w:r w:rsidR="00117B4E">
        <w:t>duration of an</w:t>
      </w:r>
      <w:r w:rsidRPr="00C33C0B">
        <w:t xml:space="preserve"> attendance and the complexity of that attendance</w:t>
      </w:r>
      <w:r w:rsidR="00117B4E">
        <w:t>.</w:t>
      </w:r>
    </w:p>
    <w:p w14:paraId="00A92113" w14:textId="77777777" w:rsidR="00D661EB" w:rsidRPr="00C33C0B" w:rsidRDefault="00D661EB" w:rsidP="000831A1">
      <w:pPr>
        <w:pStyle w:val="Numbering"/>
        <w:numPr>
          <w:ilvl w:val="0"/>
          <w:numId w:val="72"/>
        </w:numPr>
      </w:pPr>
      <w:r w:rsidRPr="00C33C0B">
        <w:t xml:space="preserve">The complexity of an attendance </w:t>
      </w:r>
      <w:r w:rsidR="00915033" w:rsidRPr="00C33C0B">
        <w:t xml:space="preserve">reflects </w:t>
      </w:r>
      <w:r w:rsidRPr="00C33C0B">
        <w:t xml:space="preserve">the specific activities performed and </w:t>
      </w:r>
      <w:r w:rsidR="00477917">
        <w:t xml:space="preserve">the impact of </w:t>
      </w:r>
      <w:r w:rsidRPr="00C33C0B">
        <w:t xml:space="preserve">specific patient </w:t>
      </w:r>
      <w:r w:rsidR="00477917">
        <w:t>interaction factors on the attendance</w:t>
      </w:r>
      <w:r w:rsidR="006E7B93">
        <w:t>.</w:t>
      </w:r>
    </w:p>
    <w:p w14:paraId="73667598" w14:textId="77777777" w:rsidR="00D661EB" w:rsidRPr="00C33C0B" w:rsidRDefault="006E7B93" w:rsidP="000831A1">
      <w:pPr>
        <w:pStyle w:val="Numbering"/>
        <w:numPr>
          <w:ilvl w:val="0"/>
          <w:numId w:val="72"/>
        </w:numPr>
      </w:pPr>
      <w:r>
        <w:t>Total</w:t>
      </w:r>
      <w:r w:rsidR="00D661EB" w:rsidRPr="00C33C0B">
        <w:t xml:space="preserve"> attendance time should </w:t>
      </w:r>
      <w:r w:rsidR="0089050A">
        <w:t>be</w:t>
      </w:r>
      <w:r w:rsidR="00ED54F0">
        <w:t xml:space="preserve"> determined</w:t>
      </w:r>
      <w:r w:rsidR="0089050A">
        <w:t xml:space="preserve"> based on</w:t>
      </w:r>
      <w:r w:rsidR="0089050A" w:rsidRPr="00C33C0B">
        <w:t xml:space="preserve"> </w:t>
      </w:r>
      <w:r w:rsidR="00D661EB" w:rsidRPr="00C33C0B">
        <w:t>the</w:t>
      </w:r>
      <w:r w:rsidR="00D61717">
        <w:t xml:space="preserve"> amount of time spent by the</w:t>
      </w:r>
      <w:r w:rsidR="00D661EB" w:rsidRPr="00C33C0B">
        <w:t xml:space="preserve"> </w:t>
      </w:r>
      <w:r w:rsidR="00AA329D">
        <w:t>consultant specialist</w:t>
      </w:r>
      <w:r w:rsidR="00D661EB" w:rsidRPr="00C33C0B">
        <w:t xml:space="preserve"> and</w:t>
      </w:r>
      <w:r w:rsidR="0089050A">
        <w:t xml:space="preserve"> should</w:t>
      </w:r>
      <w:r w:rsidR="00D661EB" w:rsidRPr="00C33C0B">
        <w:t xml:space="preserve"> not be delegated to other health professionals</w:t>
      </w:r>
      <w:r w:rsidR="000823C5">
        <w:t>.</w:t>
      </w:r>
      <w:r w:rsidR="00D661EB" w:rsidRPr="00C33C0B">
        <w:t xml:space="preserve"> </w:t>
      </w:r>
    </w:p>
    <w:p w14:paraId="3CBA420E" w14:textId="77777777" w:rsidR="00D661EB" w:rsidRPr="00C33C0B" w:rsidRDefault="000823C5" w:rsidP="000831A1">
      <w:pPr>
        <w:pStyle w:val="Numbering"/>
        <w:numPr>
          <w:ilvl w:val="0"/>
          <w:numId w:val="72"/>
        </w:numPr>
      </w:pPr>
      <w:r>
        <w:t>Total</w:t>
      </w:r>
      <w:r w:rsidR="00D661EB" w:rsidRPr="00C33C0B">
        <w:t xml:space="preserve"> attendance time should not include time spent on a procedure or </w:t>
      </w:r>
      <w:r w:rsidR="00321A5A">
        <w:t xml:space="preserve">a </w:t>
      </w:r>
      <w:r w:rsidR="00D661EB" w:rsidRPr="00C33C0B">
        <w:t>diagnostic test; these activities sho</w:t>
      </w:r>
      <w:r w:rsidR="001A6C49" w:rsidRPr="00C33C0B">
        <w:t>uld be accounted for separately</w:t>
      </w:r>
      <w:r w:rsidR="001544CD">
        <w:t>.</w:t>
      </w:r>
    </w:p>
    <w:p w14:paraId="5084DF70" w14:textId="77777777" w:rsidR="001B05B0" w:rsidRPr="00C33C0B" w:rsidRDefault="00746EBF" w:rsidP="000831A1">
      <w:pPr>
        <w:pStyle w:val="Numbering"/>
        <w:numPr>
          <w:ilvl w:val="0"/>
          <w:numId w:val="72"/>
        </w:numPr>
      </w:pPr>
      <w:r>
        <w:t>Total</w:t>
      </w:r>
      <w:r w:rsidR="001B05B0" w:rsidRPr="00C33C0B">
        <w:t xml:space="preserve"> attendance time should not include non-patient</w:t>
      </w:r>
      <w:r w:rsidR="00B213E7">
        <w:t>-</w:t>
      </w:r>
      <w:r w:rsidR="001B05B0" w:rsidRPr="00C33C0B">
        <w:t>facing time</w:t>
      </w:r>
      <w:r w:rsidR="00B213E7">
        <w:t>.</w:t>
      </w:r>
    </w:p>
    <w:p w14:paraId="147CA90D" w14:textId="77777777" w:rsidR="005E2710" w:rsidRDefault="00D661EB" w:rsidP="000831A1">
      <w:pPr>
        <w:pStyle w:val="Numbering"/>
        <w:numPr>
          <w:ilvl w:val="0"/>
          <w:numId w:val="72"/>
        </w:numPr>
      </w:pPr>
      <w:r w:rsidRPr="00C33C0B">
        <w:t xml:space="preserve">The </w:t>
      </w:r>
      <w:r w:rsidR="00AB28F3">
        <w:t>schedule fee</w:t>
      </w:r>
      <w:r w:rsidRPr="00C33C0B">
        <w:t xml:space="preserve"> structure for attendance items should </w:t>
      </w:r>
      <w:r w:rsidR="009D26D2">
        <w:t>reflect</w:t>
      </w:r>
      <w:r w:rsidR="009D26D2" w:rsidRPr="00C33C0B">
        <w:t xml:space="preserve"> </w:t>
      </w:r>
      <w:r w:rsidRPr="00C33C0B">
        <w:t>appropriate clinical practi</w:t>
      </w:r>
      <w:r w:rsidR="009D26D2">
        <w:t>s</w:t>
      </w:r>
      <w:r w:rsidRPr="00C33C0B">
        <w:t>e</w:t>
      </w:r>
      <w:r w:rsidR="006A55FB">
        <w:t>.</w:t>
      </w:r>
      <w:r w:rsidRPr="00C33C0B">
        <w:t xml:space="preserve"> </w:t>
      </w:r>
    </w:p>
    <w:p w14:paraId="0D6E17A4" w14:textId="77777777" w:rsidR="00674199" w:rsidRPr="00C33C0B" w:rsidRDefault="00674199" w:rsidP="000831A1">
      <w:pPr>
        <w:pStyle w:val="Numbering"/>
        <w:numPr>
          <w:ilvl w:val="0"/>
          <w:numId w:val="72"/>
        </w:numPr>
      </w:pPr>
      <w:r>
        <w:t>The schedule fee structure should implicitly include a set component for non</w:t>
      </w:r>
      <w:r>
        <w:noBreakHyphen/>
        <w:t>patient facing time.</w:t>
      </w:r>
    </w:p>
    <w:bookmarkEnd w:id="119"/>
    <w:p w14:paraId="538D9FBB" w14:textId="77777777" w:rsidR="00D661EB" w:rsidRPr="00C33C0B" w:rsidRDefault="00D661EB" w:rsidP="00581273">
      <w:pPr>
        <w:rPr>
          <w:lang w:val="en-GB"/>
        </w:rPr>
      </w:pPr>
      <w:r w:rsidRPr="00C33C0B">
        <w:rPr>
          <w:lang w:val="en-GB"/>
        </w:rPr>
        <w:t xml:space="preserve">The Committee recognises that these principles have the following implications </w:t>
      </w:r>
      <w:r w:rsidR="00CE434A">
        <w:rPr>
          <w:lang w:val="en-GB"/>
        </w:rPr>
        <w:t>for</w:t>
      </w:r>
      <w:r w:rsidR="00CE434A" w:rsidRPr="00C33C0B">
        <w:rPr>
          <w:lang w:val="en-GB"/>
        </w:rPr>
        <w:t xml:space="preserve"> </w:t>
      </w:r>
      <w:r w:rsidRPr="00C33C0B">
        <w:rPr>
          <w:lang w:val="en-GB"/>
        </w:rPr>
        <w:t>the structure of standard attendance items</w:t>
      </w:r>
      <w:r w:rsidR="00510E92">
        <w:rPr>
          <w:lang w:val="en-GB"/>
        </w:rPr>
        <w:t xml:space="preserve"> in the MBS</w:t>
      </w:r>
      <w:r w:rsidRPr="00C33C0B">
        <w:rPr>
          <w:lang w:val="en-GB"/>
        </w:rPr>
        <w:t>:</w:t>
      </w:r>
    </w:p>
    <w:p w14:paraId="7B35A8C3" w14:textId="77777777" w:rsidR="00D661EB" w:rsidRPr="00C33C0B" w:rsidRDefault="00D661EB" w:rsidP="00581273">
      <w:pPr>
        <w:pStyle w:val="Bullet-green"/>
        <w:rPr>
          <w:lang w:val="en-GB"/>
        </w:rPr>
      </w:pPr>
      <w:r w:rsidRPr="00C33C0B">
        <w:rPr>
          <w:lang w:val="en-GB"/>
        </w:rPr>
        <w:t>The removal of the distinction between initial and subsequent attendance items</w:t>
      </w:r>
      <w:r w:rsidR="0008284E">
        <w:rPr>
          <w:lang w:val="en-GB"/>
        </w:rPr>
        <w:t>.</w:t>
      </w:r>
    </w:p>
    <w:p w14:paraId="54984D41" w14:textId="77777777" w:rsidR="00D661EB" w:rsidRPr="00C33C0B" w:rsidRDefault="00D661EB" w:rsidP="00581273">
      <w:pPr>
        <w:pStyle w:val="Bullet-green"/>
        <w:rPr>
          <w:lang w:val="en-GB"/>
        </w:rPr>
      </w:pPr>
      <w:r w:rsidRPr="00C33C0B">
        <w:rPr>
          <w:lang w:val="en-GB"/>
        </w:rPr>
        <w:t>The remo</w:t>
      </w:r>
      <w:r w:rsidR="005B3ABE" w:rsidRPr="00C33C0B">
        <w:rPr>
          <w:lang w:val="en-GB"/>
        </w:rPr>
        <w:t xml:space="preserve">val of the distinction between </w:t>
      </w:r>
      <w:r w:rsidR="00FD0B17">
        <w:rPr>
          <w:lang w:val="en-GB"/>
        </w:rPr>
        <w:t>s</w:t>
      </w:r>
      <w:r w:rsidRPr="00C33C0B">
        <w:rPr>
          <w:lang w:val="en-GB"/>
        </w:rPr>
        <w:t xml:space="preserve">pecialists and </w:t>
      </w:r>
      <w:r w:rsidR="00FD0B17">
        <w:rPr>
          <w:lang w:val="en-GB"/>
        </w:rPr>
        <w:t>con</w:t>
      </w:r>
      <w:r w:rsidRPr="00C33C0B">
        <w:rPr>
          <w:lang w:val="en-GB"/>
        </w:rPr>
        <w:t xml:space="preserve">sultant </w:t>
      </w:r>
      <w:r w:rsidR="00FD0B17">
        <w:rPr>
          <w:lang w:val="en-GB"/>
        </w:rPr>
        <w:t>p</w:t>
      </w:r>
      <w:r w:rsidRPr="00C33C0B">
        <w:rPr>
          <w:lang w:val="en-GB"/>
        </w:rPr>
        <w:t>hysicians for standard attendance items</w:t>
      </w:r>
      <w:r w:rsidR="00A67453">
        <w:rPr>
          <w:lang w:val="en-GB"/>
        </w:rPr>
        <w:t>.</w:t>
      </w:r>
    </w:p>
    <w:p w14:paraId="71D89FBC" w14:textId="77777777" w:rsidR="00D661EB" w:rsidRDefault="00D661EB" w:rsidP="00581273">
      <w:pPr>
        <w:pStyle w:val="Bullet-green"/>
        <w:rPr>
          <w:lang w:val="en-GB"/>
        </w:rPr>
      </w:pPr>
      <w:r w:rsidRPr="00C33C0B">
        <w:rPr>
          <w:lang w:val="en-GB"/>
        </w:rPr>
        <w:t xml:space="preserve">The removal of many unique items that have been created for certain </w:t>
      </w:r>
      <w:r w:rsidR="00AA329D">
        <w:rPr>
          <w:lang w:val="en-GB"/>
        </w:rPr>
        <w:t>consultant specialist</w:t>
      </w:r>
      <w:r w:rsidR="001B0A0F">
        <w:rPr>
          <w:lang w:val="en-GB"/>
        </w:rPr>
        <w:t xml:space="preserve"> groups</w:t>
      </w:r>
      <w:r w:rsidR="008B01F6">
        <w:rPr>
          <w:lang w:val="en-GB"/>
        </w:rPr>
        <w:t>.</w:t>
      </w:r>
    </w:p>
    <w:p w14:paraId="1E74E96F" w14:textId="77777777" w:rsidR="005C3E0A" w:rsidRPr="00C33C0B" w:rsidRDefault="005C3E0A" w:rsidP="00607BDA">
      <w:pPr>
        <w:pStyle w:val="Bullet-green"/>
        <w:numPr>
          <w:ilvl w:val="0"/>
          <w:numId w:val="0"/>
        </w:numPr>
        <w:rPr>
          <w:lang w:val="en-GB"/>
        </w:rPr>
      </w:pPr>
      <w:r>
        <w:rPr>
          <w:lang w:val="en-GB"/>
        </w:rPr>
        <w:t>The Committee and the relevant working group/s examined options for standard attendance items. This examination resulted in the recommended framework below. The main alternative option is set out in Section 4.7.1.</w:t>
      </w:r>
    </w:p>
    <w:p w14:paraId="062BFDCD" w14:textId="77777777" w:rsidR="00D661EB" w:rsidRPr="00C33C0B" w:rsidRDefault="00611C95" w:rsidP="003C5D5A">
      <w:pPr>
        <w:pStyle w:val="Heading2"/>
      </w:pPr>
      <w:bookmarkStart w:id="121" w:name="_Toc521442204"/>
      <w:bookmarkStart w:id="122" w:name="_Toc24544688"/>
      <w:bookmarkStart w:id="123" w:name="_Hlk529009421"/>
      <w:bookmarkEnd w:id="104"/>
      <w:r w:rsidRPr="00C33C0B">
        <w:t>Recommendation 1</w:t>
      </w:r>
      <w:bookmarkEnd w:id="121"/>
      <w:r w:rsidR="005A1EEC">
        <w:t xml:space="preserve"> - </w:t>
      </w:r>
      <w:r w:rsidR="005A1EEC">
        <w:rPr>
          <w:lang w:val="en-GB"/>
        </w:rPr>
        <w:t>Introduce attendance items</w:t>
      </w:r>
      <w:r w:rsidR="00674199">
        <w:rPr>
          <w:lang w:val="en-GB"/>
        </w:rPr>
        <w:t xml:space="preserve"> based on attendance duration and patient complexity factors</w:t>
      </w:r>
      <w:bookmarkEnd w:id="122"/>
    </w:p>
    <w:p w14:paraId="60B456F8" w14:textId="77777777" w:rsidR="005A1EEC" w:rsidRDefault="005A1EEC" w:rsidP="005A1EEC">
      <w:pPr>
        <w:pStyle w:val="Bullet-green"/>
        <w:numPr>
          <w:ilvl w:val="0"/>
          <w:numId w:val="0"/>
        </w:numPr>
        <w:rPr>
          <w:lang w:val="en-GB"/>
        </w:rPr>
      </w:pPr>
      <w:r>
        <w:rPr>
          <w:lang w:val="en-GB"/>
        </w:rPr>
        <w:t>The Committee recommends:</w:t>
      </w:r>
    </w:p>
    <w:p w14:paraId="01795C76" w14:textId="77777777" w:rsidR="00D661EB" w:rsidRPr="00C33C0B" w:rsidRDefault="005A1EEC" w:rsidP="000831A1">
      <w:pPr>
        <w:pStyle w:val="Bullet-green"/>
        <w:numPr>
          <w:ilvl w:val="0"/>
          <w:numId w:val="66"/>
        </w:numPr>
        <w:rPr>
          <w:lang w:val="en-GB"/>
        </w:rPr>
      </w:pPr>
      <w:r>
        <w:rPr>
          <w:lang w:val="en-GB"/>
        </w:rPr>
        <w:t>i</w:t>
      </w:r>
      <w:r w:rsidR="005E20D5">
        <w:rPr>
          <w:lang w:val="en-GB"/>
        </w:rPr>
        <w:t>ntroduc</w:t>
      </w:r>
      <w:r>
        <w:rPr>
          <w:lang w:val="en-GB"/>
        </w:rPr>
        <w:t>ing</w:t>
      </w:r>
      <w:r w:rsidR="005E20D5">
        <w:rPr>
          <w:lang w:val="en-GB"/>
        </w:rPr>
        <w:t xml:space="preserve"> time-tiered attendance items to</w:t>
      </w:r>
      <w:r w:rsidR="007B10AC" w:rsidRPr="00C33C0B">
        <w:rPr>
          <w:lang w:val="en-GB"/>
        </w:rPr>
        <w:t xml:space="preserve"> replace most of the </w:t>
      </w:r>
      <w:r w:rsidR="00D661EB" w:rsidRPr="00C33C0B">
        <w:rPr>
          <w:lang w:val="en-GB"/>
        </w:rPr>
        <w:t xml:space="preserve">current </w:t>
      </w:r>
      <w:r w:rsidR="00691BBA">
        <w:rPr>
          <w:lang w:val="en-GB"/>
        </w:rPr>
        <w:t xml:space="preserve">standard </w:t>
      </w:r>
      <w:r w:rsidR="00D661EB" w:rsidRPr="00C33C0B">
        <w:rPr>
          <w:lang w:val="en-GB"/>
        </w:rPr>
        <w:t>attendance items</w:t>
      </w:r>
      <w:r w:rsidR="006549E9">
        <w:rPr>
          <w:lang w:val="en-GB"/>
        </w:rPr>
        <w:t>;</w:t>
      </w:r>
    </w:p>
    <w:p w14:paraId="27DCD1B7" w14:textId="77777777" w:rsidR="00D661EB" w:rsidRDefault="005A1EEC" w:rsidP="000831A1">
      <w:pPr>
        <w:pStyle w:val="Bullet-green"/>
        <w:numPr>
          <w:ilvl w:val="0"/>
          <w:numId w:val="66"/>
        </w:numPr>
        <w:rPr>
          <w:lang w:val="en-GB"/>
        </w:rPr>
      </w:pPr>
      <w:r>
        <w:rPr>
          <w:lang w:val="en-GB"/>
        </w:rPr>
        <w:t>r</w:t>
      </w:r>
      <w:r w:rsidR="008045DB" w:rsidRPr="00607BDA">
        <w:rPr>
          <w:lang w:val="en-GB"/>
        </w:rPr>
        <w:t>emov</w:t>
      </w:r>
      <w:r>
        <w:rPr>
          <w:lang w:val="en-GB"/>
        </w:rPr>
        <w:t>ing</w:t>
      </w:r>
      <w:r w:rsidR="008045DB" w:rsidRPr="00607BDA">
        <w:rPr>
          <w:lang w:val="en-GB"/>
        </w:rPr>
        <w:t xml:space="preserve"> </w:t>
      </w:r>
      <w:r w:rsidR="00AD3756" w:rsidRPr="00607BDA">
        <w:rPr>
          <w:lang w:val="en-GB"/>
        </w:rPr>
        <w:t xml:space="preserve">standard attendance items from </w:t>
      </w:r>
      <w:r w:rsidR="002F1377" w:rsidRPr="00607BDA">
        <w:rPr>
          <w:lang w:val="en-GB"/>
        </w:rPr>
        <w:t>Group</w:t>
      </w:r>
      <w:r w:rsidR="00AD3756" w:rsidRPr="00607BDA">
        <w:rPr>
          <w:lang w:val="en-GB"/>
        </w:rPr>
        <w:t>s</w:t>
      </w:r>
      <w:r w:rsidR="002F1377" w:rsidRPr="00607BDA">
        <w:rPr>
          <w:lang w:val="en-GB"/>
        </w:rPr>
        <w:t xml:space="preserve"> A3, A4, A12, A24, A26</w:t>
      </w:r>
      <w:r w:rsidR="00F06599" w:rsidRPr="00607BDA">
        <w:rPr>
          <w:lang w:val="en-GB"/>
        </w:rPr>
        <w:t>, A31 and A32</w:t>
      </w:r>
      <w:r w:rsidR="006549E9">
        <w:rPr>
          <w:lang w:val="en-GB"/>
        </w:rPr>
        <w:t>;</w:t>
      </w:r>
    </w:p>
    <w:p w14:paraId="5D6631D2" w14:textId="77777777" w:rsidR="005A1EEC" w:rsidRDefault="005A1EEC" w:rsidP="005A1EEC">
      <w:pPr>
        <w:pStyle w:val="Bullet-green"/>
        <w:numPr>
          <w:ilvl w:val="0"/>
          <w:numId w:val="0"/>
        </w:numPr>
        <w:ind w:left="720"/>
        <w:rPr>
          <w:i/>
        </w:rPr>
      </w:pPr>
      <w:r w:rsidRPr="00607BDA">
        <w:rPr>
          <w:i/>
          <w:lang w:val="en-GB"/>
        </w:rPr>
        <w:t xml:space="preserve">Note: </w:t>
      </w:r>
      <w:r w:rsidRPr="00607BDA">
        <w:rPr>
          <w:i/>
        </w:rPr>
        <w:t>See Appendix A.1. for a full list of attendance items that are recommended for removal.</w:t>
      </w:r>
    </w:p>
    <w:p w14:paraId="3492308D" w14:textId="77777777" w:rsidR="005A1EEC" w:rsidRPr="00607BDA" w:rsidRDefault="000207BA" w:rsidP="000831A1">
      <w:pPr>
        <w:pStyle w:val="Bullet-green"/>
        <w:numPr>
          <w:ilvl w:val="0"/>
          <w:numId w:val="66"/>
        </w:numPr>
        <w:rPr>
          <w:lang w:val="en-GB"/>
        </w:rPr>
      </w:pPr>
      <w:r>
        <w:t>a</w:t>
      </w:r>
      <w:r w:rsidR="005A1EEC" w:rsidRPr="005A1EEC">
        <w:t>dd</w:t>
      </w:r>
      <w:r>
        <w:t>ing</w:t>
      </w:r>
      <w:r w:rsidR="005A1EEC" w:rsidRPr="005A1EEC">
        <w:t xml:space="preserve"> 10 new time-tiered attendance items with the follow</w:t>
      </w:r>
      <w:r w:rsidR="0001226A">
        <w:t>ing characteristics (see Table 4</w:t>
      </w:r>
      <w:r w:rsidR="005A1EEC" w:rsidRPr="005A1EEC">
        <w:t>):</w:t>
      </w:r>
    </w:p>
    <w:p w14:paraId="675D588D" w14:textId="77777777" w:rsidR="0047733E" w:rsidRPr="0046418D" w:rsidRDefault="006549E9" w:rsidP="000831A1">
      <w:pPr>
        <w:pStyle w:val="BulletStyle3"/>
        <w:numPr>
          <w:ilvl w:val="0"/>
          <w:numId w:val="67"/>
        </w:numPr>
        <w:rPr>
          <w:lang w:val="en-GB"/>
        </w:rPr>
      </w:pPr>
      <w:r>
        <w:rPr>
          <w:lang w:val="en-GB"/>
        </w:rPr>
        <w:t>i</w:t>
      </w:r>
      <w:r w:rsidR="0047733E" w:rsidRPr="0046418D">
        <w:rPr>
          <w:lang w:val="en-GB"/>
        </w:rPr>
        <w:t xml:space="preserve">tem descriptors should specify </w:t>
      </w:r>
      <w:r w:rsidR="0047733E">
        <w:rPr>
          <w:lang w:val="en-GB"/>
        </w:rPr>
        <w:t xml:space="preserve">required </w:t>
      </w:r>
      <w:r w:rsidR="0047733E" w:rsidRPr="0046418D">
        <w:rPr>
          <w:lang w:val="en-GB"/>
        </w:rPr>
        <w:t>attendance time, and standard activities performed (to indicate complexity)</w:t>
      </w:r>
      <w:r>
        <w:rPr>
          <w:lang w:val="en-GB"/>
        </w:rPr>
        <w:t>;</w:t>
      </w:r>
    </w:p>
    <w:p w14:paraId="031B166F" w14:textId="77777777" w:rsidR="0047733E" w:rsidRPr="0046418D" w:rsidRDefault="006549E9" w:rsidP="000831A1">
      <w:pPr>
        <w:pStyle w:val="BulletStyle3"/>
        <w:numPr>
          <w:ilvl w:val="0"/>
          <w:numId w:val="67"/>
        </w:numPr>
        <w:rPr>
          <w:lang w:val="en-GB"/>
        </w:rPr>
      </w:pPr>
      <w:r>
        <w:rPr>
          <w:lang w:val="en-GB"/>
        </w:rPr>
        <w:t>t</w:t>
      </w:r>
      <w:r w:rsidR="0047733E" w:rsidRPr="0046418D">
        <w:rPr>
          <w:lang w:val="en-GB"/>
        </w:rPr>
        <w:t>he duration of the time tiers should be the same as those recommended by the</w:t>
      </w:r>
      <w:r w:rsidR="0047733E">
        <w:rPr>
          <w:lang w:val="en-GB"/>
        </w:rPr>
        <w:t xml:space="preserve"> </w:t>
      </w:r>
      <w:r w:rsidR="00266606">
        <w:rPr>
          <w:lang w:val="en-GB"/>
        </w:rPr>
        <w:t>General Practice and Primary Care Clinical Committee (</w:t>
      </w:r>
      <w:r w:rsidR="0047733E" w:rsidRPr="0046418D">
        <w:rPr>
          <w:lang w:val="en-GB"/>
        </w:rPr>
        <w:t>GPPCCC</w:t>
      </w:r>
      <w:r w:rsidR="00266606">
        <w:rPr>
          <w:lang w:val="en-GB"/>
        </w:rPr>
        <w:t>)</w:t>
      </w:r>
      <w:r>
        <w:rPr>
          <w:lang w:val="en-GB"/>
        </w:rPr>
        <w:t xml:space="preserve">; </w:t>
      </w:r>
      <w:r w:rsidR="0047733E">
        <w:rPr>
          <w:lang w:val="en-GB"/>
        </w:rPr>
        <w:t>and</w:t>
      </w:r>
    </w:p>
    <w:p w14:paraId="41384171" w14:textId="77777777" w:rsidR="0047733E" w:rsidRDefault="006549E9" w:rsidP="000831A1">
      <w:pPr>
        <w:pStyle w:val="BulletStyle3"/>
        <w:numPr>
          <w:ilvl w:val="0"/>
          <w:numId w:val="67"/>
        </w:numPr>
        <w:rPr>
          <w:lang w:val="en-GB"/>
        </w:rPr>
      </w:pPr>
      <w:r>
        <w:rPr>
          <w:lang w:val="en-GB"/>
        </w:rPr>
        <w:t>p</w:t>
      </w:r>
      <w:r w:rsidR="0047733E" w:rsidRPr="0046418D">
        <w:rPr>
          <w:lang w:val="en-GB"/>
        </w:rPr>
        <w:t>arallel items should continue to exist for attendances that occur in a consulting room or hospital, and elsewhere (five items each).</w:t>
      </w:r>
    </w:p>
    <w:p w14:paraId="263370D5" w14:textId="77777777" w:rsidR="0047733E" w:rsidRPr="00607BDA" w:rsidRDefault="000207BA" w:rsidP="000831A1">
      <w:pPr>
        <w:pStyle w:val="Bullet-green"/>
        <w:numPr>
          <w:ilvl w:val="0"/>
          <w:numId w:val="66"/>
        </w:numPr>
      </w:pPr>
      <w:r>
        <w:t>adding e</w:t>
      </w:r>
      <w:r w:rsidR="0047733E" w:rsidRPr="00607BDA">
        <w:t xml:space="preserve">xplanatory notes for these items </w:t>
      </w:r>
      <w:r>
        <w:t>that</w:t>
      </w:r>
      <w:r w:rsidR="0047733E" w:rsidRPr="00607BDA">
        <w:t xml:space="preserve"> state that:</w:t>
      </w:r>
    </w:p>
    <w:p w14:paraId="1E7C71A0" w14:textId="77777777" w:rsidR="0047733E" w:rsidRDefault="0047733E" w:rsidP="000831A1">
      <w:pPr>
        <w:pStyle w:val="Squarebullet"/>
        <w:numPr>
          <w:ilvl w:val="0"/>
          <w:numId w:val="68"/>
        </w:numPr>
      </w:pPr>
      <w:r>
        <w:t>Specific features of the patient interaction may contribute to the duration of the attendance. This may include c</w:t>
      </w:r>
      <w:r w:rsidRPr="00923113">
        <w:t>ommunication</w:t>
      </w:r>
      <w:r w:rsidRPr="00C376B2">
        <w:t xml:space="preserve"> or comprehension factors that result in more time needed to take a medical history or to take informed consent (e.g., using an interpreter to take a medical history, taking informed consent for an intrusive examination of a child)</w:t>
      </w:r>
      <w:r w:rsidRPr="00923113">
        <w:t xml:space="preserve"> </w:t>
      </w:r>
      <w:r>
        <w:t>and m</w:t>
      </w:r>
      <w:r w:rsidRPr="00923113">
        <w:t>obility factors resulting in more time needed to perform a clinical examination (e.g., the need for an assistant or assistive device to transfer a patient)</w:t>
      </w:r>
      <w:r w:rsidR="006549E9">
        <w:t>.</w:t>
      </w:r>
    </w:p>
    <w:p w14:paraId="271FBD3A" w14:textId="77777777" w:rsidR="0047733E" w:rsidRDefault="0047733E" w:rsidP="000831A1">
      <w:pPr>
        <w:pStyle w:val="Squarebullet"/>
        <w:numPr>
          <w:ilvl w:val="0"/>
          <w:numId w:val="68"/>
        </w:numPr>
      </w:pPr>
      <w:r>
        <w:t xml:space="preserve">Non-patient-facing time </w:t>
      </w:r>
      <w:r w:rsidR="00674199">
        <w:t xml:space="preserve">related to the attendance </w:t>
      </w:r>
      <w:r>
        <w:t xml:space="preserve">should not </w:t>
      </w:r>
      <w:r w:rsidR="00674199">
        <w:t xml:space="preserve">be included in deriving the </w:t>
      </w:r>
      <w:r>
        <w:t>duration of the attendance</w:t>
      </w:r>
      <w:r w:rsidR="006D55C7">
        <w:t xml:space="preserve"> </w:t>
      </w:r>
      <w:r w:rsidR="00E5557E">
        <w:t xml:space="preserve">as defined in the item descriptors, but is regarded as an integral part of the attendance and should factor in the calculation of the schedule fees. </w:t>
      </w:r>
    </w:p>
    <w:p w14:paraId="07AB1318" w14:textId="77777777" w:rsidR="0047733E" w:rsidRDefault="0047733E" w:rsidP="000831A1">
      <w:pPr>
        <w:pStyle w:val="Squarebullet"/>
        <w:numPr>
          <w:ilvl w:val="0"/>
          <w:numId w:val="68"/>
        </w:numPr>
      </w:pPr>
      <w:r>
        <w:t>Time spent with other health professionals should not contribute</w:t>
      </w:r>
      <w:r w:rsidR="006549E9">
        <w:t xml:space="preserve"> the duration of the attendance.</w:t>
      </w:r>
    </w:p>
    <w:p w14:paraId="49083BF6" w14:textId="77777777" w:rsidR="0047733E" w:rsidRDefault="0047733E" w:rsidP="000831A1">
      <w:pPr>
        <w:pStyle w:val="Squarebullet"/>
        <w:numPr>
          <w:ilvl w:val="0"/>
          <w:numId w:val="68"/>
        </w:numPr>
      </w:pPr>
      <w:r>
        <w:t>Time spent on a procedure or a diagnostic test should not contribute to the duration of the attendance.</w:t>
      </w:r>
    </w:p>
    <w:p w14:paraId="5BF127B4" w14:textId="77777777" w:rsidR="00D661EB" w:rsidRPr="00C33C0B" w:rsidRDefault="000207BA" w:rsidP="000831A1">
      <w:pPr>
        <w:pStyle w:val="Bullet-green"/>
        <w:numPr>
          <w:ilvl w:val="0"/>
          <w:numId w:val="66"/>
        </w:numPr>
      </w:pPr>
      <w:r>
        <w:t>k</w:t>
      </w:r>
      <w:r w:rsidR="00A86DB2" w:rsidRPr="00C33C0B">
        <w:t xml:space="preserve">eep </w:t>
      </w:r>
      <w:r w:rsidR="00C26DD0" w:rsidRPr="00C33C0B">
        <w:t xml:space="preserve">Group A5 </w:t>
      </w:r>
      <w:r w:rsidR="00583729">
        <w:t>p</w:t>
      </w:r>
      <w:r w:rsidR="00A86DB2" w:rsidRPr="00C33C0B">
        <w:t xml:space="preserve">rolonged </w:t>
      </w:r>
      <w:r w:rsidR="00583729">
        <w:t>a</w:t>
      </w:r>
      <w:r w:rsidR="00C26DD0" w:rsidRPr="00C33C0B">
        <w:t xml:space="preserve">ttendance </w:t>
      </w:r>
      <w:r w:rsidR="00501593">
        <w:t>i</w:t>
      </w:r>
      <w:r w:rsidR="00D661EB" w:rsidRPr="00C33C0B">
        <w:t>tems</w:t>
      </w:r>
      <w:r w:rsidR="00C26DD0" w:rsidRPr="00C33C0B">
        <w:t xml:space="preserve">, which </w:t>
      </w:r>
      <w:r w:rsidR="00D661EB" w:rsidRPr="00C33C0B">
        <w:t xml:space="preserve">have </w:t>
      </w:r>
      <w:r w:rsidR="00C26DD0" w:rsidRPr="00C33C0B">
        <w:t>a specific allowance for patients in imminent danger of death</w:t>
      </w:r>
      <w:r w:rsidR="00CA46A4">
        <w:t xml:space="preserve"> (</w:t>
      </w:r>
      <w:r w:rsidR="00CA46A4" w:rsidRPr="00607BDA">
        <w:rPr>
          <w:i/>
        </w:rPr>
        <w:t>refer to Recommendation 2</w:t>
      </w:r>
      <w:r w:rsidR="00CA46A4">
        <w:t>).</w:t>
      </w:r>
    </w:p>
    <w:p w14:paraId="4D8D0E57" w14:textId="77777777" w:rsidR="00D661EB" w:rsidRPr="00C33C0B" w:rsidRDefault="00D661EB" w:rsidP="00581273">
      <w:pPr>
        <w:pStyle w:val="TableCaption"/>
        <w:rPr>
          <w:lang w:val="en-GB"/>
        </w:rPr>
      </w:pPr>
      <w:bookmarkStart w:id="124" w:name="_Toc520323413"/>
      <w:bookmarkStart w:id="125" w:name="_Toc529028296"/>
      <w:r w:rsidRPr="00C33C0B">
        <w:rPr>
          <w:lang w:val="en-GB"/>
        </w:rPr>
        <w:t xml:space="preserve">Table </w:t>
      </w:r>
      <w:r w:rsidR="0001226A">
        <w:rPr>
          <w:lang w:val="en-GB"/>
        </w:rPr>
        <w:t>4</w:t>
      </w:r>
      <w:r w:rsidRPr="00C33C0B">
        <w:rPr>
          <w:lang w:val="en-GB"/>
        </w:rPr>
        <w:t>: Recommended item descriptors for time-tiered attendance item</w:t>
      </w:r>
      <w:bookmarkEnd w:id="124"/>
      <w:r w:rsidRPr="00C33C0B">
        <w:rPr>
          <w:lang w:val="en-GB"/>
        </w:rPr>
        <w:t>s</w:t>
      </w:r>
      <w:bookmarkEnd w:id="12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able 2: Recommended item descriptors for time-tiered attendance items"/>
        <w:tblDescription w:val="Table 2 contains 4 columns. Column 1 is the item level. Column 2 is the item descriptor. Column 3 is the location where the item takes places. Column 4 is the duration of the attendance item. "/>
      </w:tblPr>
      <w:tblGrid>
        <w:gridCol w:w="741"/>
        <w:gridCol w:w="5088"/>
        <w:gridCol w:w="1352"/>
        <w:gridCol w:w="1121"/>
      </w:tblGrid>
      <w:tr w:rsidR="00AF72A8" w:rsidRPr="00C33C0B" w14:paraId="4892D683" w14:textId="77777777" w:rsidTr="00581273">
        <w:trPr>
          <w:tblHeader/>
        </w:trPr>
        <w:tc>
          <w:tcPr>
            <w:tcW w:w="784" w:type="dxa"/>
            <w:shd w:val="clear" w:color="auto" w:fill="01653F"/>
            <w:vAlign w:val="bottom"/>
          </w:tcPr>
          <w:p w14:paraId="376BF34D" w14:textId="77777777" w:rsidR="00581273" w:rsidRPr="00C33C0B" w:rsidRDefault="000B1484" w:rsidP="00581273">
            <w:pPr>
              <w:spacing w:before="20" w:after="20" w:line="240" w:lineRule="auto"/>
              <w:rPr>
                <w:b/>
                <w:bCs/>
                <w:color w:val="FFFFFF" w:themeColor="background1"/>
                <w:szCs w:val="22"/>
                <w:lang w:val="en-GB"/>
              </w:rPr>
            </w:pPr>
            <w:r w:rsidRPr="00C33C0B">
              <w:rPr>
                <w:b/>
                <w:bCs/>
                <w:color w:val="FFFFFF" w:themeColor="background1"/>
                <w:szCs w:val="22"/>
                <w:lang w:val="en-GB"/>
              </w:rPr>
              <w:t>Level (</w:t>
            </w:r>
            <w:r w:rsidR="000C098B">
              <w:rPr>
                <w:b/>
                <w:bCs/>
                <w:color w:val="FFFFFF" w:themeColor="background1"/>
                <w:szCs w:val="22"/>
                <w:lang w:val="en-GB"/>
              </w:rPr>
              <w:t>i</w:t>
            </w:r>
            <w:r w:rsidR="00581273" w:rsidRPr="00C33C0B">
              <w:rPr>
                <w:b/>
                <w:bCs/>
                <w:color w:val="FFFFFF" w:themeColor="background1"/>
                <w:szCs w:val="22"/>
                <w:lang w:val="en-GB"/>
              </w:rPr>
              <w:t>tem</w:t>
            </w:r>
            <w:r w:rsidR="002468E7">
              <w:rPr>
                <w:b/>
                <w:bCs/>
                <w:color w:val="FFFFFF" w:themeColor="background1"/>
                <w:szCs w:val="22"/>
                <w:lang w:val="en-GB"/>
              </w:rPr>
              <w:t>)</w:t>
            </w:r>
            <w:r w:rsidR="00581273" w:rsidRPr="00C33C0B">
              <w:rPr>
                <w:rStyle w:val="FootnoteReference"/>
                <w:b/>
                <w:bCs/>
                <w:color w:val="FFFFFF" w:themeColor="background1"/>
                <w:szCs w:val="22"/>
                <w:lang w:val="en-GB"/>
              </w:rPr>
              <w:footnoteReference w:id="4"/>
            </w:r>
          </w:p>
        </w:tc>
        <w:tc>
          <w:tcPr>
            <w:tcW w:w="7243" w:type="dxa"/>
            <w:shd w:val="clear" w:color="auto" w:fill="01653F"/>
            <w:vAlign w:val="bottom"/>
          </w:tcPr>
          <w:p w14:paraId="4361A6B1" w14:textId="77777777" w:rsidR="00581273" w:rsidRPr="00C33C0B" w:rsidRDefault="00581273" w:rsidP="00581273">
            <w:pPr>
              <w:spacing w:before="20" w:after="20" w:line="240" w:lineRule="auto"/>
              <w:rPr>
                <w:b/>
                <w:color w:val="FFFFFF" w:themeColor="background1"/>
                <w:szCs w:val="22"/>
                <w:lang w:val="en-GB"/>
              </w:rPr>
            </w:pPr>
            <w:r w:rsidRPr="00C33C0B">
              <w:rPr>
                <w:b/>
                <w:bCs/>
                <w:color w:val="FFFFFF" w:themeColor="background1"/>
                <w:szCs w:val="22"/>
                <w:lang w:val="en-GB"/>
              </w:rPr>
              <w:t xml:space="preserve">Item descriptor </w:t>
            </w:r>
          </w:p>
        </w:tc>
        <w:tc>
          <w:tcPr>
            <w:tcW w:w="1553" w:type="dxa"/>
            <w:shd w:val="clear" w:color="auto" w:fill="01653F"/>
            <w:vAlign w:val="bottom"/>
          </w:tcPr>
          <w:p w14:paraId="1444A65A" w14:textId="77777777" w:rsidR="00581273" w:rsidRPr="00C33C0B" w:rsidRDefault="00581273" w:rsidP="00581273">
            <w:pPr>
              <w:spacing w:before="20" w:after="20" w:line="240" w:lineRule="auto"/>
              <w:rPr>
                <w:b/>
                <w:bCs/>
                <w:color w:val="FFFFFF" w:themeColor="background1"/>
                <w:szCs w:val="22"/>
                <w:lang w:val="en-GB"/>
              </w:rPr>
            </w:pPr>
            <w:r w:rsidRPr="00C33C0B">
              <w:rPr>
                <w:b/>
                <w:bCs/>
                <w:color w:val="FFFFFF" w:themeColor="background1"/>
                <w:szCs w:val="22"/>
                <w:lang w:val="en-GB"/>
              </w:rPr>
              <w:t>Location</w:t>
            </w:r>
          </w:p>
        </w:tc>
        <w:tc>
          <w:tcPr>
            <w:tcW w:w="1319" w:type="dxa"/>
            <w:shd w:val="clear" w:color="auto" w:fill="01653F"/>
            <w:vAlign w:val="bottom"/>
          </w:tcPr>
          <w:p w14:paraId="28AE7A34" w14:textId="77777777" w:rsidR="00581273" w:rsidRPr="00C33C0B" w:rsidRDefault="00581273" w:rsidP="00581273">
            <w:pPr>
              <w:spacing w:before="20" w:after="20" w:line="240" w:lineRule="auto"/>
              <w:rPr>
                <w:b/>
                <w:bCs/>
                <w:color w:val="FFFFFF" w:themeColor="background1"/>
                <w:szCs w:val="22"/>
                <w:lang w:val="en-GB"/>
              </w:rPr>
            </w:pPr>
            <w:r w:rsidRPr="00C33C0B">
              <w:rPr>
                <w:b/>
                <w:bCs/>
                <w:color w:val="FFFFFF" w:themeColor="background1"/>
                <w:szCs w:val="22"/>
                <w:lang w:val="en-GB"/>
              </w:rPr>
              <w:t>Duration</w:t>
            </w:r>
          </w:p>
        </w:tc>
      </w:tr>
      <w:tr w:rsidR="00AF72A8" w:rsidRPr="00C33C0B" w14:paraId="3246C37B" w14:textId="77777777" w:rsidTr="00581273">
        <w:tc>
          <w:tcPr>
            <w:tcW w:w="784" w:type="dxa"/>
            <w:shd w:val="clear" w:color="auto" w:fill="auto"/>
          </w:tcPr>
          <w:p w14:paraId="443C2D37" w14:textId="77777777" w:rsidR="000B1484" w:rsidRPr="00C33C0B" w:rsidRDefault="000B1484" w:rsidP="00581273">
            <w:pPr>
              <w:spacing w:before="20" w:after="20" w:line="240" w:lineRule="auto"/>
              <w:rPr>
                <w:b/>
                <w:szCs w:val="22"/>
                <w:lang w:val="en-GB"/>
              </w:rPr>
            </w:pPr>
            <w:r w:rsidRPr="00C33C0B">
              <w:rPr>
                <w:b/>
                <w:szCs w:val="22"/>
                <w:lang w:val="en-GB"/>
              </w:rPr>
              <w:t>Level A</w:t>
            </w:r>
          </w:p>
          <w:p w14:paraId="539F77B6" w14:textId="77777777" w:rsidR="00581273" w:rsidRPr="00C33C0B" w:rsidRDefault="000B1484" w:rsidP="00581273">
            <w:pPr>
              <w:spacing w:before="20" w:after="20" w:line="240" w:lineRule="auto"/>
              <w:rPr>
                <w:szCs w:val="22"/>
                <w:lang w:val="en-GB"/>
              </w:rPr>
            </w:pPr>
            <w:r w:rsidRPr="00C33C0B">
              <w:rPr>
                <w:szCs w:val="22"/>
                <w:lang w:val="en-GB"/>
              </w:rPr>
              <w:t>(</w:t>
            </w:r>
            <w:r w:rsidR="00581273" w:rsidRPr="00C33C0B">
              <w:rPr>
                <w:szCs w:val="22"/>
                <w:lang w:val="en-GB"/>
              </w:rPr>
              <w:t>XX1A</w:t>
            </w:r>
            <w:r w:rsidRPr="00C33C0B">
              <w:rPr>
                <w:szCs w:val="22"/>
                <w:lang w:val="en-GB"/>
              </w:rPr>
              <w:t>)</w:t>
            </w:r>
          </w:p>
        </w:tc>
        <w:tc>
          <w:tcPr>
            <w:tcW w:w="7243" w:type="dxa"/>
            <w:vMerge w:val="restart"/>
            <w:shd w:val="clear" w:color="auto" w:fill="auto"/>
          </w:tcPr>
          <w:p w14:paraId="27C06E11" w14:textId="77777777" w:rsidR="00581273" w:rsidRPr="00C33C0B" w:rsidRDefault="00581273" w:rsidP="00581273">
            <w:pPr>
              <w:spacing w:before="20" w:after="20" w:line="240" w:lineRule="auto"/>
              <w:rPr>
                <w:szCs w:val="22"/>
                <w:lang w:val="en-GB"/>
              </w:rPr>
            </w:pPr>
            <w:r w:rsidRPr="00C33C0B">
              <w:rPr>
                <w:szCs w:val="22"/>
                <w:lang w:val="en-GB"/>
              </w:rPr>
              <w:t xml:space="preserve">Professional attendance of </w:t>
            </w:r>
            <w:r w:rsidR="00CC5E74">
              <w:rPr>
                <w:b/>
                <w:szCs w:val="22"/>
                <w:lang w:val="en-GB"/>
              </w:rPr>
              <w:t xml:space="preserve">5 </w:t>
            </w:r>
            <w:r w:rsidRPr="00C33C0B">
              <w:rPr>
                <w:b/>
                <w:szCs w:val="22"/>
                <w:lang w:val="en-GB"/>
              </w:rPr>
              <w:t>minutes</w:t>
            </w:r>
            <w:r w:rsidRPr="00C33C0B">
              <w:rPr>
                <w:szCs w:val="22"/>
                <w:lang w:val="en-GB"/>
              </w:rPr>
              <w:t xml:space="preserve"> </w:t>
            </w:r>
            <w:r w:rsidR="00CC5E74" w:rsidRPr="00CC5E74">
              <w:rPr>
                <w:b/>
                <w:szCs w:val="22"/>
                <w:lang w:val="en-GB"/>
              </w:rPr>
              <w:t>or less</w:t>
            </w:r>
            <w:r w:rsidR="00CC5E74">
              <w:rPr>
                <w:szCs w:val="22"/>
                <w:lang w:val="en-GB"/>
              </w:rPr>
              <w:t xml:space="preserve"> </w:t>
            </w:r>
            <w:r w:rsidRPr="00C33C0B">
              <w:rPr>
                <w:szCs w:val="22"/>
                <w:lang w:val="en-GB"/>
              </w:rPr>
              <w:t xml:space="preserve">by a </w:t>
            </w:r>
            <w:r w:rsidR="00AA329D">
              <w:rPr>
                <w:szCs w:val="22"/>
                <w:lang w:val="en-GB"/>
              </w:rPr>
              <w:t>consultant specialist</w:t>
            </w:r>
            <w:r w:rsidRPr="00C33C0B">
              <w:rPr>
                <w:szCs w:val="22"/>
                <w:lang w:val="en-GB"/>
              </w:rPr>
              <w:t xml:space="preserve"> in the practice of his or her speciality following patient referral for an obvious problem with a straightforward task</w:t>
            </w:r>
            <w:r w:rsidR="00092E2A" w:rsidRPr="00C33C0B">
              <w:rPr>
                <w:szCs w:val="22"/>
                <w:lang w:val="en-GB"/>
              </w:rPr>
              <w:t>,</w:t>
            </w:r>
            <w:r w:rsidRPr="00C33C0B">
              <w:rPr>
                <w:szCs w:val="22"/>
                <w:lang w:val="en-GB"/>
              </w:rPr>
              <w:t xml:space="preserve"> </w:t>
            </w:r>
            <w:r w:rsidR="005E2710" w:rsidRPr="00C33C0B">
              <w:rPr>
                <w:szCs w:val="22"/>
                <w:lang w:val="en-GB"/>
              </w:rPr>
              <w:t>including any of the following that are clinically relevant</w:t>
            </w:r>
            <w:r w:rsidRPr="00C33C0B">
              <w:rPr>
                <w:szCs w:val="22"/>
                <w:lang w:val="en-GB"/>
              </w:rPr>
              <w:t>:</w:t>
            </w:r>
          </w:p>
          <w:p w14:paraId="1C4B39B3" w14:textId="77777777" w:rsidR="00581273" w:rsidRPr="00C33C0B" w:rsidRDefault="00581273" w:rsidP="000831A1">
            <w:pPr>
              <w:pStyle w:val="ListParagraph"/>
              <w:numPr>
                <w:ilvl w:val="0"/>
                <w:numId w:val="18"/>
              </w:numPr>
              <w:spacing w:before="20" w:after="20" w:line="240" w:lineRule="auto"/>
              <w:ind w:left="357" w:hanging="357"/>
              <w:rPr>
                <w:szCs w:val="22"/>
                <w:lang w:val="en-GB"/>
              </w:rPr>
            </w:pPr>
            <w:r w:rsidRPr="00C33C0B">
              <w:rPr>
                <w:szCs w:val="22"/>
                <w:lang w:val="en-GB"/>
              </w:rPr>
              <w:t>a short patient history and, if required, limited examination and management</w:t>
            </w:r>
          </w:p>
          <w:p w14:paraId="0CF1525C" w14:textId="77777777" w:rsidR="00581273" w:rsidRPr="00C33C0B" w:rsidRDefault="00581273" w:rsidP="000831A1">
            <w:pPr>
              <w:pStyle w:val="ListParagraph"/>
              <w:numPr>
                <w:ilvl w:val="0"/>
                <w:numId w:val="18"/>
              </w:numPr>
              <w:spacing w:before="20" w:after="20" w:line="240" w:lineRule="auto"/>
              <w:ind w:left="357" w:hanging="357"/>
              <w:rPr>
                <w:szCs w:val="22"/>
                <w:lang w:val="en-GB"/>
              </w:rPr>
            </w:pPr>
            <w:r w:rsidRPr="00C33C0B">
              <w:rPr>
                <w:szCs w:val="22"/>
                <w:lang w:val="en-GB"/>
              </w:rPr>
              <w:t>outcomes</w:t>
            </w:r>
            <w:r w:rsidR="00AF72A8" w:rsidRPr="00C33C0B">
              <w:rPr>
                <w:szCs w:val="22"/>
                <w:lang w:val="en-GB"/>
              </w:rPr>
              <w:t xml:space="preserve"> documented and</w:t>
            </w:r>
            <w:r w:rsidRPr="00C33C0B">
              <w:rPr>
                <w:szCs w:val="22"/>
                <w:lang w:val="en-GB"/>
              </w:rPr>
              <w:t xml:space="preserve"> communicated in writing to the referring practitioner</w:t>
            </w:r>
            <w:r w:rsidR="00DB7681" w:rsidRPr="00C33C0B">
              <w:rPr>
                <w:szCs w:val="22"/>
                <w:lang w:val="en-GB"/>
              </w:rPr>
              <w:t xml:space="preserve"> </w:t>
            </w:r>
          </w:p>
          <w:p w14:paraId="20F14E18" w14:textId="77777777" w:rsidR="003119FF" w:rsidRDefault="0054050D" w:rsidP="00902578">
            <w:pPr>
              <w:spacing w:before="20" w:after="20" w:line="240" w:lineRule="auto"/>
              <w:rPr>
                <w:szCs w:val="22"/>
                <w:lang w:val="en-GB"/>
              </w:rPr>
            </w:pPr>
            <w:r w:rsidRPr="00C33C0B">
              <w:rPr>
                <w:szCs w:val="22"/>
                <w:lang w:val="en-GB"/>
              </w:rPr>
              <w:t>Other than</w:t>
            </w:r>
            <w:r w:rsidR="00581273" w:rsidRPr="00C33C0B">
              <w:rPr>
                <w:szCs w:val="22"/>
                <w:lang w:val="en-GB"/>
              </w:rPr>
              <w:t xml:space="preserve"> a service to which another Category 1</w:t>
            </w:r>
            <w:r w:rsidR="00902578" w:rsidRPr="00C33C0B">
              <w:rPr>
                <w:szCs w:val="22"/>
                <w:lang w:val="en-GB"/>
              </w:rPr>
              <w:t xml:space="preserve">, Group T1, Group </w:t>
            </w:r>
            <w:r w:rsidR="00581273" w:rsidRPr="00C33C0B">
              <w:rPr>
                <w:szCs w:val="22"/>
                <w:lang w:val="en-GB"/>
              </w:rPr>
              <w:t xml:space="preserve">T4 or </w:t>
            </w:r>
            <w:r w:rsidR="00902578" w:rsidRPr="00C33C0B">
              <w:rPr>
                <w:szCs w:val="22"/>
                <w:lang w:val="en-GB"/>
              </w:rPr>
              <w:t xml:space="preserve">Group </w:t>
            </w:r>
            <w:r w:rsidR="00581273" w:rsidRPr="00C33C0B">
              <w:rPr>
                <w:szCs w:val="22"/>
                <w:lang w:val="en-GB"/>
              </w:rPr>
              <w:t xml:space="preserve">T6 </w:t>
            </w:r>
            <w:r w:rsidR="00902578" w:rsidRPr="00C33C0B">
              <w:rPr>
                <w:szCs w:val="22"/>
                <w:lang w:val="en-GB"/>
              </w:rPr>
              <w:t xml:space="preserve">professional attendance item </w:t>
            </w:r>
            <w:r w:rsidR="00622D1E" w:rsidRPr="00C33C0B">
              <w:rPr>
                <w:szCs w:val="22"/>
                <w:lang w:val="en-GB"/>
              </w:rPr>
              <w:t>applies.</w:t>
            </w:r>
            <w:r w:rsidR="003119FF">
              <w:rPr>
                <w:szCs w:val="22"/>
                <w:lang w:val="en-GB"/>
              </w:rPr>
              <w:t xml:space="preserve"> </w:t>
            </w:r>
          </w:p>
          <w:p w14:paraId="644DAACF" w14:textId="77777777" w:rsidR="001B15DF" w:rsidRDefault="00C376B2" w:rsidP="00902578">
            <w:pPr>
              <w:spacing w:before="20" w:after="20" w:line="240" w:lineRule="auto"/>
              <w:rPr>
                <w:szCs w:val="22"/>
                <w:lang w:val="en-GB"/>
              </w:rPr>
            </w:pPr>
            <w:r>
              <w:rPr>
                <w:szCs w:val="22"/>
                <w:lang w:val="en-GB"/>
              </w:rPr>
              <w:t>Only to</w:t>
            </w:r>
            <w:r w:rsidR="00D10459">
              <w:rPr>
                <w:szCs w:val="22"/>
                <w:lang w:val="en-GB"/>
              </w:rPr>
              <w:t xml:space="preserve"> </w:t>
            </w:r>
            <w:r w:rsidR="003119FF" w:rsidRPr="003119FF">
              <w:rPr>
                <w:szCs w:val="22"/>
                <w:lang w:val="en-GB"/>
              </w:rPr>
              <w:t>be claimed with a Group T8</w:t>
            </w:r>
            <w:r w:rsidR="00F73D97">
              <w:rPr>
                <w:szCs w:val="22"/>
                <w:lang w:val="en-GB"/>
              </w:rPr>
              <w:t xml:space="preserve"> procedure</w:t>
            </w:r>
            <w:r w:rsidR="003119FF" w:rsidRPr="003119FF">
              <w:rPr>
                <w:szCs w:val="22"/>
                <w:lang w:val="en-GB"/>
              </w:rPr>
              <w:t xml:space="preserve"> </w:t>
            </w:r>
            <w:r w:rsidR="00C47353">
              <w:rPr>
                <w:szCs w:val="22"/>
                <w:lang w:val="en-GB"/>
              </w:rPr>
              <w:t>item</w:t>
            </w:r>
            <w:r w:rsidR="001B15DF">
              <w:rPr>
                <w:szCs w:val="22"/>
                <w:lang w:val="en-GB"/>
              </w:rPr>
              <w:t>:</w:t>
            </w:r>
          </w:p>
          <w:p w14:paraId="129EBAF7" w14:textId="77777777" w:rsidR="001B15DF" w:rsidRDefault="001B15DF" w:rsidP="000831A1">
            <w:pPr>
              <w:pStyle w:val="ListParagraph"/>
              <w:numPr>
                <w:ilvl w:val="0"/>
                <w:numId w:val="33"/>
              </w:numPr>
              <w:spacing w:before="20" w:after="20" w:line="240" w:lineRule="auto"/>
              <w:rPr>
                <w:szCs w:val="22"/>
                <w:lang w:val="en-GB"/>
              </w:rPr>
            </w:pPr>
            <w:r>
              <w:rPr>
                <w:szCs w:val="22"/>
                <w:lang w:val="en-GB"/>
              </w:rPr>
              <w:t xml:space="preserve">where </w:t>
            </w:r>
            <w:r w:rsidR="002C37B8" w:rsidRPr="001B15DF">
              <w:rPr>
                <w:szCs w:val="22"/>
                <w:lang w:val="en-GB"/>
              </w:rPr>
              <w:t>the procedure has a s</w:t>
            </w:r>
            <w:r>
              <w:rPr>
                <w:szCs w:val="22"/>
                <w:lang w:val="en-GB"/>
              </w:rPr>
              <w:t>chedule fee of less than $300; or</w:t>
            </w:r>
            <w:r w:rsidR="002C37B8" w:rsidRPr="001B15DF">
              <w:rPr>
                <w:szCs w:val="22"/>
                <w:lang w:val="en-GB"/>
              </w:rPr>
              <w:t xml:space="preserve"> </w:t>
            </w:r>
          </w:p>
          <w:p w14:paraId="6E77618E" w14:textId="77777777" w:rsidR="00622D1E" w:rsidRPr="001B15DF" w:rsidRDefault="001B15DF" w:rsidP="000831A1">
            <w:pPr>
              <w:pStyle w:val="ListParagraph"/>
              <w:numPr>
                <w:ilvl w:val="0"/>
                <w:numId w:val="33"/>
              </w:numPr>
              <w:spacing w:before="20" w:after="20" w:line="240" w:lineRule="auto"/>
              <w:rPr>
                <w:szCs w:val="22"/>
                <w:lang w:val="en-GB"/>
              </w:rPr>
            </w:pPr>
            <w:r>
              <w:rPr>
                <w:szCs w:val="22"/>
                <w:lang w:val="en-GB"/>
              </w:rPr>
              <w:t xml:space="preserve">where </w:t>
            </w:r>
            <w:r w:rsidR="003119FF" w:rsidRPr="001B15DF">
              <w:rPr>
                <w:szCs w:val="22"/>
                <w:lang w:val="en-GB"/>
              </w:rPr>
              <w:t>the need for the procedure is identified during the consultation, has not otherwise been scheduled, is performed on the same day as the attendance</w:t>
            </w:r>
            <w:r w:rsidR="00C47353" w:rsidRPr="001B15DF">
              <w:rPr>
                <w:szCs w:val="22"/>
                <w:lang w:val="en-GB"/>
              </w:rPr>
              <w:t>, and where the procedure has a schedule fee of $300 or more</w:t>
            </w:r>
            <w:r w:rsidR="00815F2F" w:rsidRPr="001B15DF">
              <w:rPr>
                <w:szCs w:val="22"/>
                <w:lang w:val="en-GB"/>
              </w:rPr>
              <w:t>.</w:t>
            </w:r>
          </w:p>
        </w:tc>
        <w:tc>
          <w:tcPr>
            <w:tcW w:w="1553" w:type="dxa"/>
            <w:shd w:val="clear" w:color="auto" w:fill="auto"/>
          </w:tcPr>
          <w:p w14:paraId="74E67DE4" w14:textId="77777777" w:rsidR="00581273" w:rsidRPr="00C33C0B" w:rsidRDefault="00581273" w:rsidP="00581273">
            <w:pPr>
              <w:spacing w:before="20" w:after="20" w:line="240" w:lineRule="auto"/>
              <w:rPr>
                <w:szCs w:val="22"/>
                <w:lang w:val="en-GB"/>
              </w:rPr>
            </w:pPr>
            <w:r w:rsidRPr="00C33C0B">
              <w:rPr>
                <w:szCs w:val="22"/>
                <w:lang w:val="en-GB"/>
              </w:rPr>
              <w:t>Attendance at consulting room or hospital</w:t>
            </w:r>
          </w:p>
        </w:tc>
        <w:tc>
          <w:tcPr>
            <w:tcW w:w="1319" w:type="dxa"/>
            <w:shd w:val="clear" w:color="auto" w:fill="auto"/>
          </w:tcPr>
          <w:p w14:paraId="49789707" w14:textId="77777777" w:rsidR="00581273" w:rsidRPr="00C33C0B" w:rsidRDefault="00CC5E74" w:rsidP="00581273">
            <w:pPr>
              <w:spacing w:before="20" w:after="20" w:line="240" w:lineRule="auto"/>
              <w:rPr>
                <w:szCs w:val="22"/>
                <w:lang w:val="en-GB"/>
              </w:rPr>
            </w:pPr>
            <w:r>
              <w:rPr>
                <w:szCs w:val="22"/>
                <w:lang w:val="en-GB"/>
              </w:rPr>
              <w:t>5 minutes or less</w:t>
            </w:r>
          </w:p>
        </w:tc>
      </w:tr>
      <w:tr w:rsidR="00AF72A8" w:rsidRPr="00C33C0B" w14:paraId="180D6F04" w14:textId="77777777" w:rsidTr="00581273">
        <w:tc>
          <w:tcPr>
            <w:tcW w:w="784" w:type="dxa"/>
            <w:shd w:val="clear" w:color="auto" w:fill="auto"/>
          </w:tcPr>
          <w:p w14:paraId="5FC61AA7" w14:textId="77777777" w:rsidR="000B1484" w:rsidRPr="00C33C0B" w:rsidRDefault="000B1484" w:rsidP="000B1484">
            <w:pPr>
              <w:spacing w:before="20" w:after="20" w:line="240" w:lineRule="auto"/>
              <w:rPr>
                <w:b/>
                <w:szCs w:val="22"/>
                <w:lang w:val="en-GB"/>
              </w:rPr>
            </w:pPr>
            <w:r w:rsidRPr="00C33C0B">
              <w:rPr>
                <w:b/>
                <w:szCs w:val="22"/>
                <w:lang w:val="en-GB"/>
              </w:rPr>
              <w:t>Level A</w:t>
            </w:r>
          </w:p>
          <w:p w14:paraId="4DF951C2" w14:textId="77777777" w:rsidR="00581273" w:rsidRPr="00C33C0B" w:rsidRDefault="000B1484" w:rsidP="00581273">
            <w:pPr>
              <w:spacing w:before="20" w:after="20" w:line="240" w:lineRule="auto"/>
              <w:rPr>
                <w:szCs w:val="22"/>
                <w:lang w:val="en-GB"/>
              </w:rPr>
            </w:pPr>
            <w:r w:rsidRPr="00C33C0B">
              <w:rPr>
                <w:szCs w:val="22"/>
                <w:lang w:val="en-GB"/>
              </w:rPr>
              <w:t>(XX2A)</w:t>
            </w:r>
          </w:p>
        </w:tc>
        <w:tc>
          <w:tcPr>
            <w:tcW w:w="7243" w:type="dxa"/>
            <w:vMerge/>
            <w:shd w:val="clear" w:color="auto" w:fill="auto"/>
          </w:tcPr>
          <w:p w14:paraId="70C25830" w14:textId="77777777" w:rsidR="00581273" w:rsidRPr="00C33C0B" w:rsidRDefault="00581273" w:rsidP="00581273">
            <w:pPr>
              <w:spacing w:before="20" w:after="20" w:line="240" w:lineRule="auto"/>
              <w:rPr>
                <w:szCs w:val="22"/>
                <w:lang w:val="en-GB"/>
              </w:rPr>
            </w:pPr>
          </w:p>
        </w:tc>
        <w:tc>
          <w:tcPr>
            <w:tcW w:w="1553" w:type="dxa"/>
            <w:shd w:val="clear" w:color="auto" w:fill="auto"/>
          </w:tcPr>
          <w:p w14:paraId="6ABE2C09" w14:textId="77777777" w:rsidR="00581273" w:rsidRPr="00C33C0B" w:rsidRDefault="00581273" w:rsidP="00581273">
            <w:pPr>
              <w:spacing w:before="20" w:after="20" w:line="240" w:lineRule="auto"/>
              <w:rPr>
                <w:szCs w:val="22"/>
                <w:lang w:val="en-GB"/>
              </w:rPr>
            </w:pPr>
            <w:r w:rsidRPr="00C33C0B">
              <w:rPr>
                <w:szCs w:val="22"/>
                <w:lang w:val="en-GB"/>
              </w:rPr>
              <w:t>Attendance in a location other than consulting room or hospital</w:t>
            </w:r>
          </w:p>
        </w:tc>
        <w:tc>
          <w:tcPr>
            <w:tcW w:w="1319" w:type="dxa"/>
            <w:shd w:val="clear" w:color="auto" w:fill="auto"/>
          </w:tcPr>
          <w:p w14:paraId="1CAC4630" w14:textId="77777777" w:rsidR="00581273" w:rsidRPr="00C33C0B" w:rsidRDefault="002468CD" w:rsidP="00581273">
            <w:pPr>
              <w:spacing w:before="20" w:after="20" w:line="240" w:lineRule="auto"/>
              <w:rPr>
                <w:szCs w:val="22"/>
                <w:lang w:val="en-GB"/>
              </w:rPr>
            </w:pPr>
            <w:r>
              <w:rPr>
                <w:szCs w:val="22"/>
                <w:lang w:val="en-GB"/>
              </w:rPr>
              <w:t>5 minutes or less</w:t>
            </w:r>
          </w:p>
        </w:tc>
      </w:tr>
      <w:tr w:rsidR="00AF72A8" w:rsidRPr="00C33C0B" w14:paraId="1AAF58E3" w14:textId="77777777" w:rsidTr="00581273">
        <w:tc>
          <w:tcPr>
            <w:tcW w:w="784" w:type="dxa"/>
            <w:shd w:val="clear" w:color="auto" w:fill="auto"/>
          </w:tcPr>
          <w:p w14:paraId="56689C2E" w14:textId="77777777" w:rsidR="000B1484" w:rsidRPr="00C33C0B" w:rsidRDefault="000B1484" w:rsidP="00581273">
            <w:pPr>
              <w:spacing w:before="20" w:after="20" w:line="240" w:lineRule="auto"/>
              <w:rPr>
                <w:b/>
                <w:szCs w:val="22"/>
                <w:lang w:val="en-GB"/>
              </w:rPr>
            </w:pPr>
            <w:r w:rsidRPr="00C33C0B">
              <w:rPr>
                <w:b/>
                <w:szCs w:val="22"/>
                <w:lang w:val="en-GB"/>
              </w:rPr>
              <w:t>Level B</w:t>
            </w:r>
          </w:p>
          <w:p w14:paraId="063C859A" w14:textId="77777777" w:rsidR="00581273" w:rsidRPr="00C33C0B" w:rsidRDefault="000B1484" w:rsidP="00581273">
            <w:pPr>
              <w:spacing w:before="20" w:after="20" w:line="240" w:lineRule="auto"/>
              <w:rPr>
                <w:szCs w:val="22"/>
                <w:lang w:val="en-GB"/>
              </w:rPr>
            </w:pPr>
            <w:r w:rsidRPr="00C33C0B">
              <w:rPr>
                <w:szCs w:val="22"/>
                <w:lang w:val="en-GB"/>
              </w:rPr>
              <w:t>(XX1B)</w:t>
            </w:r>
          </w:p>
        </w:tc>
        <w:tc>
          <w:tcPr>
            <w:tcW w:w="7243" w:type="dxa"/>
            <w:vMerge w:val="restart"/>
            <w:shd w:val="clear" w:color="auto" w:fill="auto"/>
          </w:tcPr>
          <w:p w14:paraId="5ADE2635" w14:textId="77777777" w:rsidR="00581273" w:rsidRPr="00C33C0B" w:rsidRDefault="00581273" w:rsidP="00581273">
            <w:pPr>
              <w:spacing w:before="20" w:after="20" w:line="240" w:lineRule="auto"/>
              <w:rPr>
                <w:szCs w:val="22"/>
                <w:lang w:val="en-GB"/>
              </w:rPr>
            </w:pPr>
            <w:r w:rsidRPr="00C33C0B">
              <w:rPr>
                <w:szCs w:val="22"/>
                <w:lang w:val="en-GB"/>
              </w:rPr>
              <w:t xml:space="preserve">Professional attendance of </w:t>
            </w:r>
            <w:r w:rsidR="002468CD">
              <w:rPr>
                <w:b/>
                <w:szCs w:val="22"/>
                <w:lang w:val="en-GB"/>
              </w:rPr>
              <w:t xml:space="preserve">more than 5 minutes but not more than 20 minutes </w:t>
            </w:r>
            <w:r w:rsidRPr="00C33C0B">
              <w:rPr>
                <w:szCs w:val="22"/>
                <w:lang w:val="en-GB"/>
              </w:rPr>
              <w:t xml:space="preserve">by a </w:t>
            </w:r>
            <w:r w:rsidR="00AA329D">
              <w:rPr>
                <w:szCs w:val="22"/>
                <w:lang w:val="en-GB"/>
              </w:rPr>
              <w:t>consultant specialist</w:t>
            </w:r>
            <w:r w:rsidRPr="00C33C0B">
              <w:rPr>
                <w:szCs w:val="22"/>
                <w:lang w:val="en-GB"/>
              </w:rPr>
              <w:t xml:space="preserve"> in the practice of his or her speciality following patient referral, </w:t>
            </w:r>
            <w:r w:rsidR="005E2710" w:rsidRPr="00C33C0B">
              <w:rPr>
                <w:szCs w:val="22"/>
                <w:lang w:val="en-GB"/>
              </w:rPr>
              <w:t>including any of the following that are clinically relevant</w:t>
            </w:r>
            <w:r w:rsidRPr="00C33C0B">
              <w:rPr>
                <w:szCs w:val="22"/>
                <w:lang w:val="en-GB"/>
              </w:rPr>
              <w:t>:</w:t>
            </w:r>
          </w:p>
          <w:p w14:paraId="176CA11D" w14:textId="77777777" w:rsidR="00581273" w:rsidRPr="00C33C0B" w:rsidRDefault="00581273" w:rsidP="000831A1">
            <w:pPr>
              <w:pStyle w:val="ListParagraph"/>
              <w:numPr>
                <w:ilvl w:val="0"/>
                <w:numId w:val="17"/>
              </w:numPr>
              <w:spacing w:before="20" w:after="20" w:line="240" w:lineRule="auto"/>
              <w:ind w:left="357" w:hanging="357"/>
              <w:rPr>
                <w:szCs w:val="22"/>
                <w:lang w:val="en-GB"/>
              </w:rPr>
            </w:pPr>
            <w:r w:rsidRPr="00C33C0B">
              <w:rPr>
                <w:szCs w:val="22"/>
                <w:lang w:val="en-GB"/>
              </w:rPr>
              <w:t>focused patient history and, if required, focused examination and management</w:t>
            </w:r>
          </w:p>
          <w:p w14:paraId="3D6D918E" w14:textId="77777777" w:rsidR="00902578" w:rsidRPr="00C33C0B" w:rsidRDefault="00581273" w:rsidP="000831A1">
            <w:pPr>
              <w:pStyle w:val="ListParagraph"/>
              <w:numPr>
                <w:ilvl w:val="0"/>
                <w:numId w:val="17"/>
              </w:numPr>
              <w:spacing w:before="20" w:after="20" w:line="240" w:lineRule="auto"/>
              <w:ind w:left="360"/>
              <w:rPr>
                <w:szCs w:val="22"/>
                <w:lang w:val="en-GB"/>
              </w:rPr>
            </w:pPr>
            <w:r w:rsidRPr="00C33C0B">
              <w:rPr>
                <w:szCs w:val="22"/>
                <w:lang w:val="en-GB"/>
              </w:rPr>
              <w:t xml:space="preserve">outcomes </w:t>
            </w:r>
            <w:r w:rsidR="00AF72A8" w:rsidRPr="00C33C0B">
              <w:rPr>
                <w:szCs w:val="22"/>
                <w:lang w:val="en-GB"/>
              </w:rPr>
              <w:t xml:space="preserve">documented and </w:t>
            </w:r>
            <w:r w:rsidRPr="00C33C0B">
              <w:rPr>
                <w:szCs w:val="22"/>
                <w:lang w:val="en-GB"/>
              </w:rPr>
              <w:t>communicated in writing to the referring practitioner</w:t>
            </w:r>
            <w:r w:rsidR="0078621B" w:rsidRPr="00C33C0B">
              <w:rPr>
                <w:szCs w:val="22"/>
                <w:lang w:val="en-GB"/>
              </w:rPr>
              <w:t xml:space="preserve"> </w:t>
            </w:r>
          </w:p>
          <w:p w14:paraId="2F75BB05" w14:textId="77777777" w:rsidR="00622D1E" w:rsidRDefault="00902578" w:rsidP="00902578">
            <w:pPr>
              <w:spacing w:before="20" w:after="20" w:line="240" w:lineRule="auto"/>
              <w:rPr>
                <w:szCs w:val="22"/>
                <w:lang w:val="en-GB"/>
              </w:rPr>
            </w:pPr>
            <w:r w:rsidRPr="00C33C0B">
              <w:rPr>
                <w:szCs w:val="22"/>
                <w:lang w:val="en-GB"/>
              </w:rPr>
              <w:t xml:space="preserve">Other than a service to which another Category 1, Group T1, Group T4 or Group T6 professional attendance item </w:t>
            </w:r>
            <w:r w:rsidR="00622D1E" w:rsidRPr="00C33C0B">
              <w:rPr>
                <w:szCs w:val="22"/>
                <w:lang w:val="en-GB"/>
              </w:rPr>
              <w:t>applies.</w:t>
            </w:r>
          </w:p>
          <w:p w14:paraId="52947EC4" w14:textId="77777777" w:rsidR="001B15DF" w:rsidRDefault="00C376B2" w:rsidP="001B15DF">
            <w:pPr>
              <w:spacing w:before="20" w:after="20" w:line="240" w:lineRule="auto"/>
              <w:rPr>
                <w:szCs w:val="22"/>
                <w:lang w:val="en-GB"/>
              </w:rPr>
            </w:pPr>
            <w:r>
              <w:rPr>
                <w:szCs w:val="22"/>
                <w:lang w:val="en-GB"/>
              </w:rPr>
              <w:t xml:space="preserve">Only to </w:t>
            </w:r>
            <w:r w:rsidR="001B15DF" w:rsidRPr="003119FF">
              <w:rPr>
                <w:szCs w:val="22"/>
                <w:lang w:val="en-GB"/>
              </w:rPr>
              <w:t>be claimed with a Group T8</w:t>
            </w:r>
            <w:r w:rsidR="001B15DF">
              <w:rPr>
                <w:szCs w:val="22"/>
                <w:lang w:val="en-GB"/>
              </w:rPr>
              <w:t xml:space="preserve"> procedure</w:t>
            </w:r>
            <w:r w:rsidR="001B15DF" w:rsidRPr="003119FF">
              <w:rPr>
                <w:szCs w:val="22"/>
                <w:lang w:val="en-GB"/>
              </w:rPr>
              <w:t xml:space="preserve"> </w:t>
            </w:r>
            <w:r w:rsidR="001B15DF">
              <w:rPr>
                <w:szCs w:val="22"/>
                <w:lang w:val="en-GB"/>
              </w:rPr>
              <w:t>item:</w:t>
            </w:r>
          </w:p>
          <w:p w14:paraId="25CFF7C7" w14:textId="77777777" w:rsidR="001B15DF" w:rsidRDefault="001B15DF" w:rsidP="000831A1">
            <w:pPr>
              <w:pStyle w:val="ListParagraph"/>
              <w:numPr>
                <w:ilvl w:val="0"/>
                <w:numId w:val="34"/>
              </w:numPr>
              <w:spacing w:before="20" w:after="20" w:line="240" w:lineRule="auto"/>
              <w:rPr>
                <w:szCs w:val="22"/>
                <w:lang w:val="en-GB"/>
              </w:rPr>
            </w:pPr>
            <w:r>
              <w:rPr>
                <w:szCs w:val="22"/>
                <w:lang w:val="en-GB"/>
              </w:rPr>
              <w:t xml:space="preserve">where </w:t>
            </w:r>
            <w:r w:rsidRPr="001B15DF">
              <w:rPr>
                <w:szCs w:val="22"/>
                <w:lang w:val="en-GB"/>
              </w:rPr>
              <w:t>the procedure has a s</w:t>
            </w:r>
            <w:r>
              <w:rPr>
                <w:szCs w:val="22"/>
                <w:lang w:val="en-GB"/>
              </w:rPr>
              <w:t>chedule fee of less than $300; or</w:t>
            </w:r>
            <w:r w:rsidRPr="001B15DF">
              <w:rPr>
                <w:szCs w:val="22"/>
                <w:lang w:val="en-GB"/>
              </w:rPr>
              <w:t xml:space="preserve"> </w:t>
            </w:r>
          </w:p>
          <w:p w14:paraId="36614737" w14:textId="77777777" w:rsidR="00815F2F" w:rsidRPr="001B15DF" w:rsidRDefault="001B15DF" w:rsidP="000831A1">
            <w:pPr>
              <w:pStyle w:val="ListParagraph"/>
              <w:numPr>
                <w:ilvl w:val="0"/>
                <w:numId w:val="34"/>
              </w:numPr>
              <w:spacing w:before="20" w:after="20" w:line="240" w:lineRule="auto"/>
              <w:rPr>
                <w:szCs w:val="22"/>
                <w:lang w:val="en-GB"/>
              </w:rPr>
            </w:pPr>
            <w:r w:rsidRPr="001B15DF">
              <w:rPr>
                <w:szCs w:val="22"/>
                <w:lang w:val="en-GB"/>
              </w:rPr>
              <w:t>where the need for the procedure is identified during the consultation, has not otherwise been scheduled, is performed on the same day as the attendance, and where the procedure has a schedule fee of $300 or more.</w:t>
            </w:r>
          </w:p>
        </w:tc>
        <w:tc>
          <w:tcPr>
            <w:tcW w:w="1553" w:type="dxa"/>
            <w:shd w:val="clear" w:color="auto" w:fill="auto"/>
          </w:tcPr>
          <w:p w14:paraId="4CF5CC1E" w14:textId="77777777" w:rsidR="00581273" w:rsidRPr="00C33C0B" w:rsidRDefault="00581273" w:rsidP="00581273">
            <w:pPr>
              <w:spacing w:before="20" w:after="20" w:line="240" w:lineRule="auto"/>
              <w:rPr>
                <w:szCs w:val="22"/>
                <w:lang w:val="en-GB"/>
              </w:rPr>
            </w:pPr>
            <w:r w:rsidRPr="00C33C0B">
              <w:rPr>
                <w:szCs w:val="22"/>
                <w:lang w:val="en-GB"/>
              </w:rPr>
              <w:t>Attendance at consulting room or hospital</w:t>
            </w:r>
          </w:p>
        </w:tc>
        <w:tc>
          <w:tcPr>
            <w:tcW w:w="1319" w:type="dxa"/>
            <w:shd w:val="clear" w:color="auto" w:fill="auto"/>
          </w:tcPr>
          <w:p w14:paraId="0CA46B26" w14:textId="77777777" w:rsidR="00581273" w:rsidRPr="00C33C0B" w:rsidRDefault="00581273" w:rsidP="00581273">
            <w:pPr>
              <w:spacing w:before="20" w:after="20" w:line="240" w:lineRule="auto"/>
              <w:rPr>
                <w:szCs w:val="22"/>
                <w:lang w:val="en-GB"/>
              </w:rPr>
            </w:pPr>
            <w:r w:rsidRPr="00C33C0B">
              <w:rPr>
                <w:szCs w:val="22"/>
                <w:lang w:val="en-GB"/>
              </w:rPr>
              <w:t>6</w:t>
            </w:r>
            <w:r w:rsidR="001005C1">
              <w:rPr>
                <w:szCs w:val="22"/>
                <w:lang w:val="en-GB"/>
              </w:rPr>
              <w:t>–</w:t>
            </w:r>
            <w:r w:rsidRPr="00C33C0B">
              <w:rPr>
                <w:szCs w:val="22"/>
                <w:lang w:val="en-GB"/>
              </w:rPr>
              <w:t>20</w:t>
            </w:r>
            <w:r w:rsidR="001005C1">
              <w:rPr>
                <w:szCs w:val="22"/>
                <w:lang w:val="en-GB"/>
              </w:rPr>
              <w:t xml:space="preserve"> </w:t>
            </w:r>
            <w:r w:rsidRPr="00C33C0B">
              <w:rPr>
                <w:szCs w:val="22"/>
                <w:lang w:val="en-GB"/>
              </w:rPr>
              <w:t>min</w:t>
            </w:r>
            <w:r w:rsidR="001005C1">
              <w:rPr>
                <w:szCs w:val="22"/>
                <w:lang w:val="en-GB"/>
              </w:rPr>
              <w:t>ute</w:t>
            </w:r>
            <w:r w:rsidRPr="00C33C0B">
              <w:rPr>
                <w:szCs w:val="22"/>
                <w:lang w:val="en-GB"/>
              </w:rPr>
              <w:t>s</w:t>
            </w:r>
          </w:p>
        </w:tc>
      </w:tr>
      <w:tr w:rsidR="00AF72A8" w:rsidRPr="00C33C0B" w14:paraId="2D66E797" w14:textId="77777777" w:rsidTr="00581273">
        <w:tc>
          <w:tcPr>
            <w:tcW w:w="784" w:type="dxa"/>
            <w:shd w:val="clear" w:color="auto" w:fill="auto"/>
          </w:tcPr>
          <w:p w14:paraId="53F1CC43" w14:textId="77777777" w:rsidR="000B1484" w:rsidRPr="00C33C0B" w:rsidRDefault="000B1484" w:rsidP="00581273">
            <w:pPr>
              <w:spacing w:before="20" w:after="20" w:line="240" w:lineRule="auto"/>
              <w:rPr>
                <w:b/>
                <w:szCs w:val="22"/>
                <w:lang w:val="en-GB"/>
              </w:rPr>
            </w:pPr>
            <w:r w:rsidRPr="00C33C0B">
              <w:rPr>
                <w:b/>
                <w:szCs w:val="22"/>
                <w:lang w:val="en-GB"/>
              </w:rPr>
              <w:t>Level B</w:t>
            </w:r>
          </w:p>
          <w:p w14:paraId="7E361155" w14:textId="77777777" w:rsidR="00581273" w:rsidRPr="00C33C0B" w:rsidRDefault="000B1484" w:rsidP="00581273">
            <w:pPr>
              <w:spacing w:before="20" w:after="20" w:line="240" w:lineRule="auto"/>
              <w:rPr>
                <w:szCs w:val="22"/>
                <w:lang w:val="en-GB"/>
              </w:rPr>
            </w:pPr>
            <w:r w:rsidRPr="00C33C0B">
              <w:rPr>
                <w:szCs w:val="22"/>
                <w:lang w:val="en-GB"/>
              </w:rPr>
              <w:t>(</w:t>
            </w:r>
            <w:r w:rsidR="00581273" w:rsidRPr="00C33C0B">
              <w:rPr>
                <w:szCs w:val="22"/>
                <w:lang w:val="en-GB"/>
              </w:rPr>
              <w:t>XX2B</w:t>
            </w:r>
            <w:r w:rsidRPr="00C33C0B">
              <w:rPr>
                <w:szCs w:val="22"/>
                <w:lang w:val="en-GB"/>
              </w:rPr>
              <w:t>)</w:t>
            </w:r>
          </w:p>
        </w:tc>
        <w:tc>
          <w:tcPr>
            <w:tcW w:w="7243" w:type="dxa"/>
            <w:vMerge/>
            <w:shd w:val="clear" w:color="auto" w:fill="auto"/>
          </w:tcPr>
          <w:p w14:paraId="7B43F8C4" w14:textId="77777777" w:rsidR="00581273" w:rsidRPr="00C33C0B" w:rsidRDefault="00581273" w:rsidP="00581273">
            <w:pPr>
              <w:spacing w:before="20" w:after="20" w:line="240" w:lineRule="auto"/>
              <w:rPr>
                <w:szCs w:val="22"/>
                <w:lang w:val="en-GB"/>
              </w:rPr>
            </w:pPr>
          </w:p>
        </w:tc>
        <w:tc>
          <w:tcPr>
            <w:tcW w:w="1553" w:type="dxa"/>
            <w:shd w:val="clear" w:color="auto" w:fill="auto"/>
          </w:tcPr>
          <w:p w14:paraId="79AB6006" w14:textId="77777777" w:rsidR="00581273" w:rsidRPr="00C33C0B" w:rsidRDefault="00581273" w:rsidP="00581273">
            <w:pPr>
              <w:spacing w:before="20" w:after="20" w:line="240" w:lineRule="auto"/>
              <w:rPr>
                <w:szCs w:val="22"/>
                <w:lang w:val="en-GB"/>
              </w:rPr>
            </w:pPr>
            <w:r w:rsidRPr="00C33C0B">
              <w:rPr>
                <w:szCs w:val="22"/>
                <w:lang w:val="en-GB"/>
              </w:rPr>
              <w:t>Attendance in a location other than consulting room or hospital</w:t>
            </w:r>
          </w:p>
        </w:tc>
        <w:tc>
          <w:tcPr>
            <w:tcW w:w="1319" w:type="dxa"/>
            <w:shd w:val="clear" w:color="auto" w:fill="auto"/>
          </w:tcPr>
          <w:p w14:paraId="3E8FCAE1" w14:textId="77777777" w:rsidR="00581273" w:rsidRPr="00C33C0B" w:rsidRDefault="00581273" w:rsidP="00581273">
            <w:pPr>
              <w:spacing w:before="20" w:after="20" w:line="240" w:lineRule="auto"/>
              <w:rPr>
                <w:szCs w:val="22"/>
                <w:lang w:val="en-GB"/>
              </w:rPr>
            </w:pPr>
            <w:r w:rsidRPr="00C33C0B">
              <w:rPr>
                <w:szCs w:val="22"/>
                <w:lang w:val="en-GB"/>
              </w:rPr>
              <w:t>6</w:t>
            </w:r>
            <w:r w:rsidR="001005C1">
              <w:rPr>
                <w:szCs w:val="22"/>
                <w:lang w:val="en-GB"/>
              </w:rPr>
              <w:t>–</w:t>
            </w:r>
            <w:r w:rsidRPr="00C33C0B">
              <w:rPr>
                <w:szCs w:val="22"/>
                <w:lang w:val="en-GB"/>
              </w:rPr>
              <w:t>20</w:t>
            </w:r>
            <w:r w:rsidR="001005C1">
              <w:rPr>
                <w:szCs w:val="22"/>
                <w:lang w:val="en-GB"/>
              </w:rPr>
              <w:t xml:space="preserve"> </w:t>
            </w:r>
            <w:r w:rsidRPr="00C33C0B">
              <w:rPr>
                <w:szCs w:val="22"/>
                <w:lang w:val="en-GB"/>
              </w:rPr>
              <w:t>min</w:t>
            </w:r>
            <w:r w:rsidR="001005C1">
              <w:rPr>
                <w:szCs w:val="22"/>
                <w:lang w:val="en-GB"/>
              </w:rPr>
              <w:t>ute</w:t>
            </w:r>
            <w:r w:rsidRPr="00C33C0B">
              <w:rPr>
                <w:szCs w:val="22"/>
                <w:lang w:val="en-GB"/>
              </w:rPr>
              <w:t>s</w:t>
            </w:r>
          </w:p>
        </w:tc>
      </w:tr>
      <w:tr w:rsidR="00AF72A8" w:rsidRPr="00C33C0B" w14:paraId="629E841D" w14:textId="77777777" w:rsidTr="00581273">
        <w:tc>
          <w:tcPr>
            <w:tcW w:w="784" w:type="dxa"/>
            <w:shd w:val="clear" w:color="auto" w:fill="auto"/>
          </w:tcPr>
          <w:p w14:paraId="5FCF5B21" w14:textId="77777777" w:rsidR="000B1484" w:rsidRPr="00C33C0B" w:rsidRDefault="000B1484" w:rsidP="00581273">
            <w:pPr>
              <w:spacing w:before="20" w:after="20" w:line="240" w:lineRule="auto"/>
              <w:rPr>
                <w:b/>
                <w:szCs w:val="22"/>
                <w:lang w:val="en-GB"/>
              </w:rPr>
            </w:pPr>
            <w:r w:rsidRPr="00C33C0B">
              <w:rPr>
                <w:b/>
                <w:szCs w:val="22"/>
                <w:lang w:val="en-GB"/>
              </w:rPr>
              <w:t>Level C</w:t>
            </w:r>
          </w:p>
          <w:p w14:paraId="30E7E192" w14:textId="77777777" w:rsidR="00581273" w:rsidRPr="00C33C0B" w:rsidRDefault="000B1484" w:rsidP="00581273">
            <w:pPr>
              <w:spacing w:before="20" w:after="20" w:line="240" w:lineRule="auto"/>
              <w:rPr>
                <w:szCs w:val="22"/>
                <w:lang w:val="en-GB"/>
              </w:rPr>
            </w:pPr>
            <w:r w:rsidRPr="00C33C0B">
              <w:rPr>
                <w:szCs w:val="22"/>
                <w:lang w:val="en-GB"/>
              </w:rPr>
              <w:t>(XX1C)</w:t>
            </w:r>
          </w:p>
        </w:tc>
        <w:tc>
          <w:tcPr>
            <w:tcW w:w="7243" w:type="dxa"/>
            <w:vMerge w:val="restart"/>
            <w:shd w:val="clear" w:color="auto" w:fill="auto"/>
          </w:tcPr>
          <w:p w14:paraId="4AC57D0C" w14:textId="77777777" w:rsidR="00581273" w:rsidRPr="00C33C0B" w:rsidRDefault="00581273" w:rsidP="00581273">
            <w:pPr>
              <w:spacing w:before="20" w:after="20" w:line="240" w:lineRule="auto"/>
              <w:rPr>
                <w:szCs w:val="22"/>
                <w:lang w:val="en-GB"/>
              </w:rPr>
            </w:pPr>
            <w:r w:rsidRPr="00C33C0B">
              <w:rPr>
                <w:szCs w:val="22"/>
                <w:lang w:val="en-GB"/>
              </w:rPr>
              <w:t>Professional attendance</w:t>
            </w:r>
            <w:r w:rsidR="002E7957">
              <w:rPr>
                <w:szCs w:val="22"/>
                <w:lang w:val="en-GB"/>
              </w:rPr>
              <w:t xml:space="preserve"> of</w:t>
            </w:r>
            <w:r w:rsidRPr="00C33C0B">
              <w:rPr>
                <w:szCs w:val="22"/>
                <w:lang w:val="en-GB"/>
              </w:rPr>
              <w:t xml:space="preserve"> </w:t>
            </w:r>
            <w:r w:rsidR="002468CD">
              <w:rPr>
                <w:b/>
                <w:szCs w:val="22"/>
                <w:lang w:val="en-GB"/>
              </w:rPr>
              <w:t>more than 20 minutes but not more than 40 minutes</w:t>
            </w:r>
            <w:r w:rsidR="002468CD" w:rsidRPr="00C33C0B">
              <w:rPr>
                <w:szCs w:val="22"/>
                <w:lang w:val="en-GB"/>
              </w:rPr>
              <w:t xml:space="preserve"> </w:t>
            </w:r>
            <w:r w:rsidRPr="00C33C0B">
              <w:rPr>
                <w:szCs w:val="22"/>
                <w:lang w:val="en-GB"/>
              </w:rPr>
              <w:t xml:space="preserve">by a </w:t>
            </w:r>
            <w:r w:rsidR="00AA329D">
              <w:rPr>
                <w:szCs w:val="22"/>
                <w:lang w:val="en-GB"/>
              </w:rPr>
              <w:t>consultant specialist</w:t>
            </w:r>
            <w:r w:rsidRPr="00C33C0B">
              <w:rPr>
                <w:szCs w:val="22"/>
                <w:lang w:val="en-GB"/>
              </w:rPr>
              <w:t xml:space="preserve"> in the practice of his or her speciality following patient referral, </w:t>
            </w:r>
            <w:r w:rsidR="005E2710" w:rsidRPr="00C33C0B">
              <w:rPr>
                <w:szCs w:val="22"/>
                <w:lang w:val="en-GB"/>
              </w:rPr>
              <w:t>including any of the following that are clinically relevant</w:t>
            </w:r>
            <w:r w:rsidRPr="00C33C0B">
              <w:rPr>
                <w:szCs w:val="22"/>
                <w:lang w:val="en-GB"/>
              </w:rPr>
              <w:t>:</w:t>
            </w:r>
          </w:p>
          <w:p w14:paraId="155B1B7D" w14:textId="77777777" w:rsidR="00581273" w:rsidRPr="00C33C0B" w:rsidRDefault="00581273" w:rsidP="000831A1">
            <w:pPr>
              <w:pStyle w:val="ListParagraph"/>
              <w:numPr>
                <w:ilvl w:val="3"/>
                <w:numId w:val="16"/>
              </w:numPr>
              <w:spacing w:before="20" w:after="20" w:line="240" w:lineRule="auto"/>
              <w:ind w:left="360"/>
              <w:rPr>
                <w:szCs w:val="22"/>
                <w:lang w:val="en-GB"/>
              </w:rPr>
            </w:pPr>
            <w:r w:rsidRPr="00C33C0B">
              <w:rPr>
                <w:szCs w:val="22"/>
                <w:lang w:val="en-GB"/>
              </w:rPr>
              <w:t xml:space="preserve">detailed patient history of </w:t>
            </w:r>
            <w:r w:rsidR="00DE1224" w:rsidRPr="00C33C0B">
              <w:rPr>
                <w:szCs w:val="22"/>
                <w:lang w:val="en-GB"/>
              </w:rPr>
              <w:t xml:space="preserve">a major </w:t>
            </w:r>
            <w:r w:rsidRPr="00C33C0B">
              <w:rPr>
                <w:szCs w:val="22"/>
                <w:lang w:val="en-GB"/>
              </w:rPr>
              <w:t>single or multiple minor conditions</w:t>
            </w:r>
          </w:p>
          <w:p w14:paraId="633A53FD" w14:textId="77777777" w:rsidR="00581273" w:rsidRPr="00C33C0B" w:rsidRDefault="00581273" w:rsidP="000831A1">
            <w:pPr>
              <w:pStyle w:val="ListParagraph"/>
              <w:numPr>
                <w:ilvl w:val="3"/>
                <w:numId w:val="16"/>
              </w:numPr>
              <w:spacing w:before="20" w:after="20" w:line="240" w:lineRule="auto"/>
              <w:ind w:left="360"/>
              <w:rPr>
                <w:szCs w:val="22"/>
                <w:lang w:val="en-GB"/>
              </w:rPr>
            </w:pPr>
            <w:r w:rsidRPr="00C33C0B">
              <w:rPr>
                <w:szCs w:val="22"/>
                <w:lang w:val="en-GB"/>
              </w:rPr>
              <w:t>comprehensive examin</w:t>
            </w:r>
            <w:r w:rsidR="00E268A5" w:rsidRPr="00C33C0B">
              <w:rPr>
                <w:szCs w:val="22"/>
                <w:lang w:val="en-GB"/>
              </w:rPr>
              <w:t>ation of single system OR multi-</w:t>
            </w:r>
            <w:r w:rsidRPr="00C33C0B">
              <w:rPr>
                <w:szCs w:val="22"/>
                <w:lang w:val="en-GB"/>
              </w:rPr>
              <w:t xml:space="preserve">system </w:t>
            </w:r>
            <w:r w:rsidR="00E268A5" w:rsidRPr="00C33C0B">
              <w:rPr>
                <w:szCs w:val="22"/>
                <w:lang w:val="en-GB"/>
              </w:rPr>
              <w:t>focused</w:t>
            </w:r>
            <w:r w:rsidRPr="00C33C0B">
              <w:rPr>
                <w:szCs w:val="22"/>
                <w:lang w:val="en-GB"/>
              </w:rPr>
              <w:t xml:space="preserve"> examination</w:t>
            </w:r>
          </w:p>
          <w:p w14:paraId="4FB4F8FC" w14:textId="77777777" w:rsidR="00581273" w:rsidRPr="00C33C0B" w:rsidRDefault="00581273" w:rsidP="000831A1">
            <w:pPr>
              <w:pStyle w:val="ListParagraph"/>
              <w:numPr>
                <w:ilvl w:val="3"/>
                <w:numId w:val="16"/>
              </w:numPr>
              <w:spacing w:before="20" w:after="20" w:line="240" w:lineRule="auto"/>
              <w:ind w:left="360"/>
              <w:rPr>
                <w:szCs w:val="22"/>
                <w:lang w:val="en-GB"/>
              </w:rPr>
            </w:pPr>
            <w:r w:rsidRPr="00C33C0B">
              <w:rPr>
                <w:szCs w:val="22"/>
                <w:lang w:val="en-GB"/>
              </w:rPr>
              <w:t>single or multiple minor diagnostic problems considered</w:t>
            </w:r>
          </w:p>
          <w:p w14:paraId="6CC0C0D9" w14:textId="77777777" w:rsidR="00581273" w:rsidRPr="00C33C0B" w:rsidRDefault="005B03CB" w:rsidP="000831A1">
            <w:pPr>
              <w:pStyle w:val="ListParagraph"/>
              <w:numPr>
                <w:ilvl w:val="3"/>
                <w:numId w:val="16"/>
              </w:numPr>
              <w:spacing w:before="20" w:after="20" w:line="240" w:lineRule="auto"/>
              <w:ind w:left="360"/>
              <w:rPr>
                <w:szCs w:val="22"/>
                <w:lang w:val="en-GB"/>
              </w:rPr>
            </w:pPr>
            <w:r w:rsidRPr="00C33C0B">
              <w:rPr>
                <w:szCs w:val="22"/>
                <w:lang w:val="en-GB"/>
              </w:rPr>
              <w:t>a</w:t>
            </w:r>
            <w:r w:rsidR="00581273" w:rsidRPr="00C33C0B">
              <w:rPr>
                <w:szCs w:val="22"/>
                <w:lang w:val="en-GB"/>
              </w:rPr>
              <w:t xml:space="preserve"> </w:t>
            </w:r>
            <w:r w:rsidRPr="00C33C0B">
              <w:rPr>
                <w:szCs w:val="22"/>
                <w:lang w:val="en-GB"/>
              </w:rPr>
              <w:t>non-complex</w:t>
            </w:r>
            <w:r w:rsidR="00581273" w:rsidRPr="00C33C0B">
              <w:rPr>
                <w:szCs w:val="22"/>
                <w:lang w:val="en-GB"/>
              </w:rPr>
              <w:t xml:space="preserve"> management plan </w:t>
            </w:r>
          </w:p>
          <w:p w14:paraId="39B334DA" w14:textId="77777777" w:rsidR="00581273" w:rsidRPr="00C33C0B" w:rsidRDefault="00581273" w:rsidP="000831A1">
            <w:pPr>
              <w:pStyle w:val="ListParagraph"/>
              <w:numPr>
                <w:ilvl w:val="3"/>
                <w:numId w:val="16"/>
              </w:numPr>
              <w:spacing w:before="20" w:after="20" w:line="240" w:lineRule="auto"/>
              <w:ind w:left="360"/>
              <w:rPr>
                <w:szCs w:val="22"/>
                <w:lang w:val="en-GB"/>
              </w:rPr>
            </w:pPr>
            <w:r w:rsidRPr="00C33C0B">
              <w:rPr>
                <w:szCs w:val="22"/>
                <w:lang w:val="en-GB"/>
              </w:rPr>
              <w:t>a management plan communicated in writing to the referring practitioner and, if required;</w:t>
            </w:r>
          </w:p>
          <w:p w14:paraId="2AFF57F4" w14:textId="77777777" w:rsidR="00581273" w:rsidRPr="00C33C0B" w:rsidRDefault="00581273" w:rsidP="000831A1">
            <w:pPr>
              <w:pStyle w:val="ListParagraph"/>
              <w:numPr>
                <w:ilvl w:val="3"/>
                <w:numId w:val="16"/>
              </w:numPr>
              <w:spacing w:before="20" w:after="20" w:line="240" w:lineRule="auto"/>
              <w:ind w:left="360"/>
              <w:rPr>
                <w:szCs w:val="22"/>
                <w:lang w:val="en-GB"/>
              </w:rPr>
            </w:pPr>
            <w:r w:rsidRPr="00C33C0B">
              <w:rPr>
                <w:szCs w:val="22"/>
                <w:lang w:val="en-GB"/>
              </w:rPr>
              <w:t>discussion of multiple treatment options available, including;</w:t>
            </w:r>
          </w:p>
          <w:p w14:paraId="20DDED6E" w14:textId="77777777" w:rsidR="0078621B" w:rsidRPr="00C33C0B" w:rsidRDefault="0078621B" w:rsidP="0078621B">
            <w:pPr>
              <w:spacing w:before="20" w:after="20" w:line="240" w:lineRule="auto"/>
              <w:ind w:left="331"/>
              <w:rPr>
                <w:szCs w:val="22"/>
                <w:lang w:val="en-GB"/>
              </w:rPr>
            </w:pPr>
            <w:r w:rsidRPr="00C33C0B">
              <w:rPr>
                <w:szCs w:val="22"/>
                <w:lang w:val="en-GB"/>
              </w:rPr>
              <w:t>i. Discussion of treatment options to assess pros and cons of each option given patient characteristics and medical history</w:t>
            </w:r>
          </w:p>
          <w:p w14:paraId="7CEA5ADE" w14:textId="77777777" w:rsidR="0078621B" w:rsidRPr="00C33C0B" w:rsidRDefault="0078621B" w:rsidP="0078621B">
            <w:pPr>
              <w:spacing w:before="20" w:after="20" w:line="240" w:lineRule="auto"/>
              <w:ind w:left="331"/>
              <w:rPr>
                <w:szCs w:val="22"/>
                <w:lang w:val="en-GB"/>
              </w:rPr>
            </w:pPr>
            <w:r w:rsidRPr="00C33C0B">
              <w:rPr>
                <w:szCs w:val="22"/>
                <w:lang w:val="en-GB"/>
              </w:rPr>
              <w:t>ii. Consideration and discussion of necessary referrals to other health professionals</w:t>
            </w:r>
          </w:p>
          <w:p w14:paraId="45ACE28C" w14:textId="77777777" w:rsidR="0078621B" w:rsidRPr="00C33C0B" w:rsidRDefault="0078621B" w:rsidP="0078621B">
            <w:pPr>
              <w:spacing w:before="20" w:after="20" w:line="240" w:lineRule="auto"/>
              <w:ind w:left="331"/>
              <w:rPr>
                <w:szCs w:val="22"/>
                <w:lang w:val="en-GB"/>
              </w:rPr>
            </w:pPr>
            <w:r w:rsidRPr="00C33C0B">
              <w:rPr>
                <w:szCs w:val="22"/>
                <w:lang w:val="en-GB"/>
              </w:rPr>
              <w:t>iii. Written documentation</w:t>
            </w:r>
            <w:r w:rsidR="00124833" w:rsidRPr="00C33C0B">
              <w:rPr>
                <w:szCs w:val="22"/>
                <w:lang w:val="en-GB"/>
              </w:rPr>
              <w:t xml:space="preserve"> made available</w:t>
            </w:r>
            <w:r w:rsidRPr="00C33C0B">
              <w:rPr>
                <w:szCs w:val="22"/>
                <w:lang w:val="en-GB"/>
              </w:rPr>
              <w:t xml:space="preserve"> for the patient </w:t>
            </w:r>
            <w:r w:rsidR="00124833" w:rsidRPr="00C33C0B">
              <w:rPr>
                <w:szCs w:val="22"/>
                <w:lang w:val="en-GB"/>
              </w:rPr>
              <w:t xml:space="preserve">and/or carer </w:t>
            </w:r>
            <w:r w:rsidRPr="00C33C0B">
              <w:rPr>
                <w:szCs w:val="22"/>
                <w:lang w:val="en-GB"/>
              </w:rPr>
              <w:t>that outlines treatment options and information on associated risks and benefits</w:t>
            </w:r>
          </w:p>
          <w:p w14:paraId="147BDDEB" w14:textId="77777777" w:rsidR="0078621B" w:rsidRPr="00C33C0B" w:rsidRDefault="00CB086C" w:rsidP="000831A1">
            <w:pPr>
              <w:pStyle w:val="ListParagraph"/>
              <w:numPr>
                <w:ilvl w:val="3"/>
                <w:numId w:val="16"/>
              </w:numPr>
              <w:spacing w:before="20" w:after="20" w:line="240" w:lineRule="auto"/>
              <w:ind w:left="360"/>
              <w:rPr>
                <w:szCs w:val="22"/>
                <w:lang w:val="en-GB"/>
              </w:rPr>
            </w:pPr>
            <w:r w:rsidRPr="00C33C0B">
              <w:rPr>
                <w:szCs w:val="22"/>
                <w:lang w:val="en-GB"/>
              </w:rPr>
              <w:t>o</w:t>
            </w:r>
            <w:r w:rsidR="0078621B" w:rsidRPr="00C33C0B">
              <w:rPr>
                <w:szCs w:val="22"/>
                <w:lang w:val="en-GB"/>
              </w:rPr>
              <w:t xml:space="preserve">utcomes </w:t>
            </w:r>
            <w:r w:rsidR="00AF72A8" w:rsidRPr="00C33C0B">
              <w:rPr>
                <w:szCs w:val="22"/>
                <w:lang w:val="en-GB"/>
              </w:rPr>
              <w:t xml:space="preserve">documented and </w:t>
            </w:r>
            <w:r w:rsidR="0078621B" w:rsidRPr="00C33C0B">
              <w:rPr>
                <w:szCs w:val="22"/>
                <w:lang w:val="en-GB"/>
              </w:rPr>
              <w:t xml:space="preserve">communicated in writing to the referring practitioner </w:t>
            </w:r>
          </w:p>
          <w:p w14:paraId="6EFD37AA" w14:textId="77777777" w:rsidR="00622D1E" w:rsidRDefault="00902578" w:rsidP="00254616">
            <w:pPr>
              <w:pStyle w:val="01squarebullet"/>
              <w:numPr>
                <w:ilvl w:val="0"/>
                <w:numId w:val="0"/>
              </w:numPr>
              <w:spacing w:before="20" w:after="20"/>
              <w:rPr>
                <w:szCs w:val="22"/>
                <w:lang w:val="en-GB"/>
              </w:rPr>
            </w:pPr>
            <w:r w:rsidRPr="00C33C0B">
              <w:rPr>
                <w:szCs w:val="22"/>
                <w:lang w:val="en-GB"/>
              </w:rPr>
              <w:t xml:space="preserve">Other than a service to which another Category 1, Group T1, Group T4 or Group T6 professional attendance item </w:t>
            </w:r>
            <w:r w:rsidR="00622D1E" w:rsidRPr="00C33C0B">
              <w:rPr>
                <w:szCs w:val="22"/>
                <w:lang w:val="en-GB"/>
              </w:rPr>
              <w:t>applies</w:t>
            </w:r>
            <w:r w:rsidR="00815F2F">
              <w:rPr>
                <w:szCs w:val="22"/>
                <w:lang w:val="en-GB"/>
              </w:rPr>
              <w:t>.</w:t>
            </w:r>
          </w:p>
          <w:p w14:paraId="034D76EA" w14:textId="77777777" w:rsidR="001B15DF" w:rsidRDefault="00C376B2" w:rsidP="001B15DF">
            <w:pPr>
              <w:spacing w:before="20" w:after="20" w:line="240" w:lineRule="auto"/>
              <w:rPr>
                <w:szCs w:val="22"/>
                <w:lang w:val="en-GB"/>
              </w:rPr>
            </w:pPr>
            <w:r>
              <w:rPr>
                <w:szCs w:val="22"/>
                <w:lang w:val="en-GB"/>
              </w:rPr>
              <w:t>Only to</w:t>
            </w:r>
            <w:r w:rsidR="001B15DF">
              <w:rPr>
                <w:szCs w:val="22"/>
                <w:lang w:val="en-GB"/>
              </w:rPr>
              <w:t xml:space="preserve"> </w:t>
            </w:r>
            <w:r w:rsidR="001B15DF" w:rsidRPr="003119FF">
              <w:rPr>
                <w:szCs w:val="22"/>
                <w:lang w:val="en-GB"/>
              </w:rPr>
              <w:t>be claimed with a Group T8</w:t>
            </w:r>
            <w:r w:rsidR="001B15DF">
              <w:rPr>
                <w:szCs w:val="22"/>
                <w:lang w:val="en-GB"/>
              </w:rPr>
              <w:t xml:space="preserve"> procedure</w:t>
            </w:r>
            <w:r w:rsidR="001B15DF" w:rsidRPr="003119FF">
              <w:rPr>
                <w:szCs w:val="22"/>
                <w:lang w:val="en-GB"/>
              </w:rPr>
              <w:t xml:space="preserve"> </w:t>
            </w:r>
            <w:r w:rsidR="001B15DF">
              <w:rPr>
                <w:szCs w:val="22"/>
                <w:lang w:val="en-GB"/>
              </w:rPr>
              <w:t>item:</w:t>
            </w:r>
          </w:p>
          <w:p w14:paraId="4DD78FC0" w14:textId="77777777" w:rsidR="001B15DF" w:rsidRDefault="001B15DF" w:rsidP="000831A1">
            <w:pPr>
              <w:pStyle w:val="ListParagraph"/>
              <w:numPr>
                <w:ilvl w:val="0"/>
                <w:numId w:val="35"/>
              </w:numPr>
              <w:spacing w:before="20" w:after="20" w:line="240" w:lineRule="auto"/>
              <w:rPr>
                <w:szCs w:val="22"/>
                <w:lang w:val="en-GB"/>
              </w:rPr>
            </w:pPr>
            <w:r>
              <w:rPr>
                <w:szCs w:val="22"/>
                <w:lang w:val="en-GB"/>
              </w:rPr>
              <w:t xml:space="preserve">where </w:t>
            </w:r>
            <w:r w:rsidRPr="001B15DF">
              <w:rPr>
                <w:szCs w:val="22"/>
                <w:lang w:val="en-GB"/>
              </w:rPr>
              <w:t>the procedure has a s</w:t>
            </w:r>
            <w:r>
              <w:rPr>
                <w:szCs w:val="22"/>
                <w:lang w:val="en-GB"/>
              </w:rPr>
              <w:t>chedule fee of less than $300; or</w:t>
            </w:r>
            <w:r w:rsidRPr="001B15DF">
              <w:rPr>
                <w:szCs w:val="22"/>
                <w:lang w:val="en-GB"/>
              </w:rPr>
              <w:t xml:space="preserve"> </w:t>
            </w:r>
          </w:p>
          <w:p w14:paraId="61B2A10D" w14:textId="77777777" w:rsidR="00815F2F" w:rsidRPr="001B15DF" w:rsidRDefault="001B15DF" w:rsidP="000831A1">
            <w:pPr>
              <w:pStyle w:val="ListParagraph"/>
              <w:numPr>
                <w:ilvl w:val="0"/>
                <w:numId w:val="35"/>
              </w:numPr>
              <w:spacing w:before="20" w:after="20" w:line="240" w:lineRule="auto"/>
              <w:rPr>
                <w:szCs w:val="22"/>
                <w:lang w:val="en-GB"/>
              </w:rPr>
            </w:pPr>
            <w:r w:rsidRPr="001B15DF">
              <w:rPr>
                <w:szCs w:val="22"/>
                <w:lang w:val="en-GB"/>
              </w:rPr>
              <w:t>where the need for the procedure is identified during the consultation, has not otherwise been scheduled, is performed on the same day as the attendance, and where the procedure has a schedule fee of $300 or more.</w:t>
            </w:r>
          </w:p>
        </w:tc>
        <w:tc>
          <w:tcPr>
            <w:tcW w:w="1553" w:type="dxa"/>
            <w:shd w:val="clear" w:color="auto" w:fill="auto"/>
          </w:tcPr>
          <w:p w14:paraId="1CD95A93" w14:textId="77777777" w:rsidR="00581273" w:rsidRPr="00C33C0B" w:rsidRDefault="00581273" w:rsidP="00581273">
            <w:pPr>
              <w:spacing w:before="20" w:after="20" w:line="240" w:lineRule="auto"/>
              <w:rPr>
                <w:szCs w:val="22"/>
                <w:lang w:val="en-GB"/>
              </w:rPr>
            </w:pPr>
            <w:r w:rsidRPr="00C33C0B">
              <w:rPr>
                <w:szCs w:val="22"/>
                <w:lang w:val="en-GB"/>
              </w:rPr>
              <w:t>Attendance at consulting room or hospital</w:t>
            </w:r>
          </w:p>
        </w:tc>
        <w:tc>
          <w:tcPr>
            <w:tcW w:w="1319" w:type="dxa"/>
            <w:shd w:val="clear" w:color="auto" w:fill="auto"/>
          </w:tcPr>
          <w:p w14:paraId="59746DA0" w14:textId="77777777" w:rsidR="00581273" w:rsidRPr="00C33C0B" w:rsidRDefault="002468CD" w:rsidP="00581273">
            <w:pPr>
              <w:spacing w:before="20" w:after="20" w:line="240" w:lineRule="auto"/>
              <w:rPr>
                <w:szCs w:val="22"/>
                <w:lang w:val="en-GB"/>
              </w:rPr>
            </w:pPr>
            <w:r>
              <w:rPr>
                <w:szCs w:val="22"/>
                <w:lang w:val="en-GB"/>
              </w:rPr>
              <w:t>21</w:t>
            </w:r>
            <w:r w:rsidR="003B2804">
              <w:rPr>
                <w:szCs w:val="22"/>
                <w:lang w:val="en-GB"/>
              </w:rPr>
              <w:t>–</w:t>
            </w:r>
            <w:r w:rsidR="00581273" w:rsidRPr="00C33C0B">
              <w:rPr>
                <w:szCs w:val="22"/>
                <w:lang w:val="en-GB"/>
              </w:rPr>
              <w:t>40</w:t>
            </w:r>
            <w:r w:rsidR="00DD58AE">
              <w:rPr>
                <w:szCs w:val="22"/>
                <w:lang w:val="en-GB"/>
              </w:rPr>
              <w:t xml:space="preserve"> </w:t>
            </w:r>
            <w:r w:rsidR="00581273" w:rsidRPr="00C33C0B">
              <w:rPr>
                <w:szCs w:val="22"/>
                <w:lang w:val="en-GB"/>
              </w:rPr>
              <w:t>min</w:t>
            </w:r>
            <w:r w:rsidR="00DD58AE">
              <w:rPr>
                <w:szCs w:val="22"/>
                <w:lang w:val="en-GB"/>
              </w:rPr>
              <w:t>ute</w:t>
            </w:r>
            <w:r w:rsidR="00581273" w:rsidRPr="00C33C0B">
              <w:rPr>
                <w:szCs w:val="22"/>
                <w:lang w:val="en-GB"/>
              </w:rPr>
              <w:t>s</w:t>
            </w:r>
          </w:p>
        </w:tc>
      </w:tr>
      <w:tr w:rsidR="00AF72A8" w:rsidRPr="00C33C0B" w14:paraId="7B125663" w14:textId="77777777" w:rsidTr="00581273">
        <w:tc>
          <w:tcPr>
            <w:tcW w:w="784" w:type="dxa"/>
            <w:shd w:val="clear" w:color="auto" w:fill="auto"/>
          </w:tcPr>
          <w:p w14:paraId="763F4970" w14:textId="77777777" w:rsidR="000B1484" w:rsidRPr="00C33C0B" w:rsidRDefault="000B1484" w:rsidP="00581273">
            <w:pPr>
              <w:spacing w:before="20" w:after="20" w:line="240" w:lineRule="auto"/>
              <w:rPr>
                <w:b/>
                <w:szCs w:val="22"/>
                <w:lang w:val="en-GB"/>
              </w:rPr>
            </w:pPr>
            <w:r w:rsidRPr="00C33C0B">
              <w:rPr>
                <w:b/>
                <w:szCs w:val="22"/>
                <w:lang w:val="en-GB"/>
              </w:rPr>
              <w:t>Level C</w:t>
            </w:r>
          </w:p>
          <w:p w14:paraId="74F14605" w14:textId="77777777" w:rsidR="00581273" w:rsidRPr="00C33C0B" w:rsidRDefault="000B1484" w:rsidP="00581273">
            <w:pPr>
              <w:spacing w:before="20" w:after="20" w:line="240" w:lineRule="auto"/>
              <w:rPr>
                <w:szCs w:val="22"/>
                <w:lang w:val="en-GB"/>
              </w:rPr>
            </w:pPr>
            <w:r w:rsidRPr="00C33C0B">
              <w:rPr>
                <w:szCs w:val="22"/>
                <w:lang w:val="en-GB"/>
              </w:rPr>
              <w:t>(XX2C)</w:t>
            </w:r>
          </w:p>
        </w:tc>
        <w:tc>
          <w:tcPr>
            <w:tcW w:w="7243" w:type="dxa"/>
            <w:vMerge/>
            <w:shd w:val="clear" w:color="auto" w:fill="auto"/>
          </w:tcPr>
          <w:p w14:paraId="6718233A" w14:textId="77777777" w:rsidR="00581273" w:rsidRPr="00C33C0B" w:rsidRDefault="00581273" w:rsidP="00581273">
            <w:pPr>
              <w:spacing w:before="20" w:after="20" w:line="240" w:lineRule="auto"/>
              <w:rPr>
                <w:szCs w:val="22"/>
                <w:lang w:val="en-GB"/>
              </w:rPr>
            </w:pPr>
          </w:p>
        </w:tc>
        <w:tc>
          <w:tcPr>
            <w:tcW w:w="1553" w:type="dxa"/>
            <w:shd w:val="clear" w:color="auto" w:fill="auto"/>
          </w:tcPr>
          <w:p w14:paraId="240C5A30" w14:textId="77777777" w:rsidR="00581273" w:rsidRPr="00C33C0B" w:rsidRDefault="00581273" w:rsidP="00581273">
            <w:pPr>
              <w:spacing w:before="20" w:after="20" w:line="240" w:lineRule="auto"/>
              <w:rPr>
                <w:szCs w:val="22"/>
                <w:lang w:val="en-GB"/>
              </w:rPr>
            </w:pPr>
            <w:r w:rsidRPr="00C33C0B">
              <w:rPr>
                <w:szCs w:val="22"/>
                <w:lang w:val="en-GB"/>
              </w:rPr>
              <w:t>Attendance in a location other than consulting room or hospital</w:t>
            </w:r>
          </w:p>
        </w:tc>
        <w:tc>
          <w:tcPr>
            <w:tcW w:w="1319" w:type="dxa"/>
            <w:shd w:val="clear" w:color="auto" w:fill="auto"/>
          </w:tcPr>
          <w:p w14:paraId="08ECAF6B" w14:textId="77777777" w:rsidR="00581273" w:rsidRPr="00C33C0B" w:rsidRDefault="002468CD" w:rsidP="00581273">
            <w:pPr>
              <w:spacing w:before="20" w:after="20" w:line="240" w:lineRule="auto"/>
              <w:rPr>
                <w:szCs w:val="22"/>
                <w:lang w:val="en-GB"/>
              </w:rPr>
            </w:pPr>
            <w:r>
              <w:rPr>
                <w:szCs w:val="22"/>
                <w:lang w:val="en-GB"/>
              </w:rPr>
              <w:t>21</w:t>
            </w:r>
            <w:r w:rsidR="003B2804">
              <w:rPr>
                <w:szCs w:val="22"/>
                <w:lang w:val="en-GB"/>
              </w:rPr>
              <w:t>–</w:t>
            </w:r>
            <w:r w:rsidR="00581273" w:rsidRPr="00C33C0B">
              <w:rPr>
                <w:szCs w:val="22"/>
                <w:lang w:val="en-GB"/>
              </w:rPr>
              <w:t>40</w:t>
            </w:r>
            <w:r w:rsidR="00DD58AE">
              <w:rPr>
                <w:szCs w:val="22"/>
                <w:lang w:val="en-GB"/>
              </w:rPr>
              <w:t xml:space="preserve"> </w:t>
            </w:r>
            <w:r w:rsidR="00581273" w:rsidRPr="00C33C0B">
              <w:rPr>
                <w:szCs w:val="22"/>
                <w:lang w:val="en-GB"/>
              </w:rPr>
              <w:t>min</w:t>
            </w:r>
            <w:r w:rsidR="00DD58AE">
              <w:rPr>
                <w:szCs w:val="22"/>
                <w:lang w:val="en-GB"/>
              </w:rPr>
              <w:t>ute</w:t>
            </w:r>
            <w:r w:rsidR="00581273" w:rsidRPr="00C33C0B">
              <w:rPr>
                <w:szCs w:val="22"/>
                <w:lang w:val="en-GB"/>
              </w:rPr>
              <w:t>s</w:t>
            </w:r>
          </w:p>
        </w:tc>
      </w:tr>
      <w:tr w:rsidR="00AF72A8" w:rsidRPr="00C33C0B" w14:paraId="754D8975" w14:textId="77777777" w:rsidTr="00581273">
        <w:tc>
          <w:tcPr>
            <w:tcW w:w="784" w:type="dxa"/>
            <w:shd w:val="clear" w:color="auto" w:fill="auto"/>
          </w:tcPr>
          <w:p w14:paraId="09890EDA" w14:textId="77777777" w:rsidR="000B1484" w:rsidRPr="00C33C0B" w:rsidRDefault="000B1484" w:rsidP="00581273">
            <w:pPr>
              <w:spacing w:before="20" w:after="20" w:line="240" w:lineRule="auto"/>
              <w:rPr>
                <w:b/>
                <w:szCs w:val="22"/>
                <w:lang w:val="en-GB"/>
              </w:rPr>
            </w:pPr>
            <w:r w:rsidRPr="00C33C0B">
              <w:rPr>
                <w:b/>
                <w:szCs w:val="22"/>
                <w:lang w:val="en-GB"/>
              </w:rPr>
              <w:t>Level D</w:t>
            </w:r>
          </w:p>
          <w:p w14:paraId="6A0B7079" w14:textId="77777777" w:rsidR="00581273" w:rsidRPr="00C33C0B" w:rsidRDefault="000B1484" w:rsidP="00581273">
            <w:pPr>
              <w:spacing w:before="20" w:after="20" w:line="240" w:lineRule="auto"/>
              <w:rPr>
                <w:szCs w:val="22"/>
                <w:lang w:val="en-GB"/>
              </w:rPr>
            </w:pPr>
            <w:r w:rsidRPr="00C33C0B">
              <w:rPr>
                <w:szCs w:val="22"/>
                <w:lang w:val="en-GB"/>
              </w:rPr>
              <w:t>(XX1D)</w:t>
            </w:r>
          </w:p>
        </w:tc>
        <w:tc>
          <w:tcPr>
            <w:tcW w:w="7243" w:type="dxa"/>
            <w:vMerge w:val="restart"/>
            <w:shd w:val="clear" w:color="auto" w:fill="auto"/>
          </w:tcPr>
          <w:p w14:paraId="53E6C366" w14:textId="77777777" w:rsidR="00581273" w:rsidRPr="00C33C0B" w:rsidRDefault="00581273" w:rsidP="00581273">
            <w:pPr>
              <w:spacing w:before="20" w:after="20" w:line="240" w:lineRule="auto"/>
              <w:rPr>
                <w:szCs w:val="22"/>
                <w:lang w:val="en-GB"/>
              </w:rPr>
            </w:pPr>
            <w:r w:rsidRPr="00C33C0B">
              <w:rPr>
                <w:szCs w:val="22"/>
                <w:lang w:val="en-GB"/>
              </w:rPr>
              <w:t xml:space="preserve">Professional attendance of </w:t>
            </w:r>
            <w:r w:rsidR="002468CD">
              <w:rPr>
                <w:b/>
                <w:szCs w:val="22"/>
                <w:lang w:val="en-GB"/>
              </w:rPr>
              <w:t>more than 40 minutes but not more than 60 minutes</w:t>
            </w:r>
            <w:r w:rsidR="002468CD" w:rsidRPr="00C33C0B">
              <w:rPr>
                <w:szCs w:val="22"/>
                <w:lang w:val="en-GB"/>
              </w:rPr>
              <w:t xml:space="preserve"> </w:t>
            </w:r>
            <w:r w:rsidRPr="00C33C0B">
              <w:rPr>
                <w:szCs w:val="22"/>
                <w:lang w:val="en-GB"/>
              </w:rPr>
              <w:t xml:space="preserve">by a </w:t>
            </w:r>
            <w:r w:rsidR="00AA329D">
              <w:rPr>
                <w:szCs w:val="22"/>
                <w:lang w:val="en-GB"/>
              </w:rPr>
              <w:t>consultant specialist</w:t>
            </w:r>
            <w:r w:rsidRPr="00C33C0B">
              <w:rPr>
                <w:szCs w:val="22"/>
                <w:lang w:val="en-GB"/>
              </w:rPr>
              <w:t xml:space="preserve"> in the practice of his or her speciality following patient referral, </w:t>
            </w:r>
            <w:r w:rsidR="005E2710" w:rsidRPr="00C33C0B">
              <w:rPr>
                <w:szCs w:val="22"/>
                <w:lang w:val="en-GB"/>
              </w:rPr>
              <w:t>including any of the following that are clinically relevant</w:t>
            </w:r>
            <w:r w:rsidRPr="00C33C0B">
              <w:rPr>
                <w:szCs w:val="22"/>
                <w:lang w:val="en-GB"/>
              </w:rPr>
              <w:t>:</w:t>
            </w:r>
          </w:p>
          <w:p w14:paraId="56E2FA0B" w14:textId="77777777" w:rsidR="00581273" w:rsidRPr="00C33C0B" w:rsidRDefault="00581273" w:rsidP="000831A1">
            <w:pPr>
              <w:pStyle w:val="ListParagraph"/>
              <w:numPr>
                <w:ilvl w:val="0"/>
                <w:numId w:val="19"/>
              </w:numPr>
              <w:spacing w:before="20" w:after="20" w:line="240" w:lineRule="auto"/>
              <w:ind w:left="357" w:hanging="357"/>
              <w:rPr>
                <w:szCs w:val="22"/>
                <w:lang w:val="en-GB"/>
              </w:rPr>
            </w:pPr>
            <w:r w:rsidRPr="00C33C0B">
              <w:rPr>
                <w:szCs w:val="22"/>
                <w:lang w:val="en-GB"/>
              </w:rPr>
              <w:t>comprehensive patient history of multiple conditions or a complex single condition</w:t>
            </w:r>
          </w:p>
          <w:p w14:paraId="5C9F579A" w14:textId="77777777" w:rsidR="00581273" w:rsidRPr="00C33C0B" w:rsidRDefault="00581273" w:rsidP="000831A1">
            <w:pPr>
              <w:pStyle w:val="ListParagraph"/>
              <w:numPr>
                <w:ilvl w:val="0"/>
                <w:numId w:val="19"/>
              </w:numPr>
              <w:spacing w:before="20" w:after="20" w:line="240" w:lineRule="auto"/>
              <w:ind w:left="357" w:hanging="357"/>
              <w:rPr>
                <w:szCs w:val="22"/>
                <w:lang w:val="en-GB"/>
              </w:rPr>
            </w:pPr>
            <w:r w:rsidRPr="00C33C0B">
              <w:rPr>
                <w:szCs w:val="22"/>
                <w:lang w:val="en-GB"/>
              </w:rPr>
              <w:t xml:space="preserve">comprehensive multi-system examination </w:t>
            </w:r>
          </w:p>
          <w:p w14:paraId="67F0A674" w14:textId="77777777" w:rsidR="00581273" w:rsidRPr="00C33C0B" w:rsidRDefault="00581273" w:rsidP="000831A1">
            <w:pPr>
              <w:pStyle w:val="ListParagraph"/>
              <w:numPr>
                <w:ilvl w:val="0"/>
                <w:numId w:val="19"/>
              </w:numPr>
              <w:spacing w:before="20" w:after="20" w:line="240" w:lineRule="auto"/>
              <w:ind w:left="357" w:hanging="357"/>
              <w:rPr>
                <w:szCs w:val="22"/>
                <w:lang w:val="en-GB"/>
              </w:rPr>
            </w:pPr>
            <w:r w:rsidRPr="00C33C0B">
              <w:rPr>
                <w:szCs w:val="22"/>
                <w:lang w:val="en-GB"/>
              </w:rPr>
              <w:t xml:space="preserve">multiple </w:t>
            </w:r>
            <w:r w:rsidR="0010672D" w:rsidRPr="00C33C0B">
              <w:rPr>
                <w:szCs w:val="22"/>
                <w:lang w:val="en-GB"/>
              </w:rPr>
              <w:t>diagnostic problems</w:t>
            </w:r>
            <w:r w:rsidRPr="00C33C0B">
              <w:rPr>
                <w:szCs w:val="22"/>
                <w:lang w:val="en-GB"/>
              </w:rPr>
              <w:t xml:space="preserve"> considered</w:t>
            </w:r>
          </w:p>
          <w:p w14:paraId="162EA57B" w14:textId="77777777" w:rsidR="00581273" w:rsidRPr="00C33C0B" w:rsidRDefault="005B03CB" w:rsidP="000831A1">
            <w:pPr>
              <w:pStyle w:val="ListParagraph"/>
              <w:numPr>
                <w:ilvl w:val="0"/>
                <w:numId w:val="19"/>
              </w:numPr>
              <w:spacing w:before="20" w:after="20" w:line="240" w:lineRule="auto"/>
              <w:ind w:left="357" w:hanging="357"/>
              <w:rPr>
                <w:szCs w:val="22"/>
                <w:lang w:val="en-GB"/>
              </w:rPr>
            </w:pPr>
            <w:r w:rsidRPr="00C33C0B">
              <w:rPr>
                <w:szCs w:val="22"/>
                <w:lang w:val="en-GB"/>
              </w:rPr>
              <w:t>a</w:t>
            </w:r>
            <w:r w:rsidR="00581273" w:rsidRPr="00C33C0B">
              <w:rPr>
                <w:szCs w:val="22"/>
                <w:lang w:val="en-GB"/>
              </w:rPr>
              <w:t xml:space="preserve"> </w:t>
            </w:r>
            <w:r w:rsidR="00BB2B29" w:rsidRPr="00C33C0B">
              <w:rPr>
                <w:szCs w:val="22"/>
                <w:lang w:val="en-GB"/>
              </w:rPr>
              <w:t>comprehensive</w:t>
            </w:r>
            <w:r w:rsidR="0010672D" w:rsidRPr="00C33C0B">
              <w:rPr>
                <w:szCs w:val="22"/>
                <w:lang w:val="en-GB"/>
              </w:rPr>
              <w:t xml:space="preserve"> management plan</w:t>
            </w:r>
          </w:p>
          <w:p w14:paraId="168F2465" w14:textId="77777777" w:rsidR="00581273" w:rsidRPr="00C33C0B" w:rsidRDefault="00581273" w:rsidP="000831A1">
            <w:pPr>
              <w:pStyle w:val="ListParagraph"/>
              <w:numPr>
                <w:ilvl w:val="0"/>
                <w:numId w:val="19"/>
              </w:numPr>
              <w:spacing w:before="20" w:after="20" w:line="240" w:lineRule="auto"/>
              <w:ind w:left="357" w:hanging="357"/>
              <w:rPr>
                <w:szCs w:val="22"/>
                <w:lang w:val="en-GB"/>
              </w:rPr>
            </w:pPr>
            <w:r w:rsidRPr="00C33C0B">
              <w:rPr>
                <w:szCs w:val="22"/>
                <w:lang w:val="en-GB"/>
              </w:rPr>
              <w:t>the management plan communicated in writing to the referring practitioner and, if required;</w:t>
            </w:r>
          </w:p>
          <w:p w14:paraId="0C73FFD3" w14:textId="77777777" w:rsidR="00581273" w:rsidRPr="00C33C0B" w:rsidRDefault="00581273" w:rsidP="000831A1">
            <w:pPr>
              <w:pStyle w:val="ListParagraph"/>
              <w:numPr>
                <w:ilvl w:val="0"/>
                <w:numId w:val="19"/>
              </w:numPr>
              <w:spacing w:before="20" w:after="20" w:line="240" w:lineRule="auto"/>
              <w:ind w:left="357" w:hanging="357"/>
              <w:rPr>
                <w:szCs w:val="22"/>
                <w:lang w:val="en-GB"/>
              </w:rPr>
            </w:pPr>
            <w:r w:rsidRPr="00C33C0B">
              <w:rPr>
                <w:szCs w:val="22"/>
                <w:lang w:val="en-GB"/>
              </w:rPr>
              <w:t>discussion of multiple treatment options available, including:</w:t>
            </w:r>
          </w:p>
          <w:p w14:paraId="5929FFEB" w14:textId="77777777" w:rsidR="007E1EF8" w:rsidRPr="00C33C0B" w:rsidRDefault="007E1EF8" w:rsidP="000831A1">
            <w:pPr>
              <w:pStyle w:val="ListParagraph"/>
              <w:numPr>
                <w:ilvl w:val="2"/>
                <w:numId w:val="19"/>
              </w:numPr>
              <w:spacing w:before="20" w:after="20" w:line="240" w:lineRule="auto"/>
              <w:ind w:left="755" w:right="142"/>
              <w:contextualSpacing w:val="0"/>
              <w:rPr>
                <w:szCs w:val="22"/>
                <w:lang w:val="en-GB"/>
              </w:rPr>
            </w:pPr>
            <w:r w:rsidRPr="00C33C0B">
              <w:rPr>
                <w:szCs w:val="22"/>
                <w:lang w:val="en-GB"/>
              </w:rPr>
              <w:t>Discussion of treatment options to assess pros and cons of each option given patient characteristics and medical history</w:t>
            </w:r>
          </w:p>
          <w:p w14:paraId="3B4BB20A" w14:textId="77777777" w:rsidR="007E1EF8" w:rsidRPr="00C33C0B" w:rsidRDefault="007E1EF8" w:rsidP="000831A1">
            <w:pPr>
              <w:pStyle w:val="ListParagraph"/>
              <w:numPr>
                <w:ilvl w:val="2"/>
                <w:numId w:val="19"/>
              </w:numPr>
              <w:spacing w:before="20" w:after="20" w:line="240" w:lineRule="auto"/>
              <w:ind w:left="755" w:right="142"/>
              <w:contextualSpacing w:val="0"/>
              <w:rPr>
                <w:szCs w:val="22"/>
                <w:lang w:val="en-GB"/>
              </w:rPr>
            </w:pPr>
            <w:r w:rsidRPr="00C33C0B">
              <w:rPr>
                <w:szCs w:val="22"/>
                <w:lang w:val="en-GB"/>
              </w:rPr>
              <w:t>Consideration and discussion of necessary referrals to other health professionals</w:t>
            </w:r>
          </w:p>
          <w:p w14:paraId="61F9F10A" w14:textId="77777777" w:rsidR="007E1EF8" w:rsidRPr="00C33C0B" w:rsidRDefault="007E1EF8" w:rsidP="000831A1">
            <w:pPr>
              <w:pStyle w:val="ListParagraph"/>
              <w:numPr>
                <w:ilvl w:val="2"/>
                <w:numId w:val="19"/>
              </w:numPr>
              <w:spacing w:before="20" w:after="20" w:line="240" w:lineRule="auto"/>
              <w:ind w:left="755" w:right="142"/>
              <w:contextualSpacing w:val="0"/>
              <w:rPr>
                <w:szCs w:val="22"/>
                <w:lang w:val="en-GB"/>
              </w:rPr>
            </w:pPr>
            <w:r w:rsidRPr="00C33C0B">
              <w:rPr>
                <w:szCs w:val="22"/>
                <w:lang w:val="en-GB"/>
              </w:rPr>
              <w:t xml:space="preserve">Written documentation </w:t>
            </w:r>
            <w:r w:rsidR="00124833" w:rsidRPr="00C33C0B">
              <w:rPr>
                <w:szCs w:val="22"/>
                <w:lang w:val="en-GB"/>
              </w:rPr>
              <w:t xml:space="preserve">made available for the patient and/or carer </w:t>
            </w:r>
            <w:r w:rsidRPr="00C33C0B">
              <w:rPr>
                <w:szCs w:val="22"/>
                <w:lang w:val="en-GB"/>
              </w:rPr>
              <w:t>that outlines treatment options and information on associated risks and benefits</w:t>
            </w:r>
          </w:p>
          <w:p w14:paraId="4CA0EA71" w14:textId="77777777" w:rsidR="007E1EF8" w:rsidRPr="00C33C0B" w:rsidRDefault="00CB086C" w:rsidP="000831A1">
            <w:pPr>
              <w:pStyle w:val="ListParagraph"/>
              <w:numPr>
                <w:ilvl w:val="0"/>
                <w:numId w:val="19"/>
              </w:numPr>
              <w:spacing w:before="20" w:after="20" w:line="240" w:lineRule="auto"/>
              <w:ind w:left="357" w:hanging="357"/>
              <w:rPr>
                <w:szCs w:val="22"/>
                <w:lang w:val="en-GB"/>
              </w:rPr>
            </w:pPr>
            <w:r w:rsidRPr="00C33C0B">
              <w:rPr>
                <w:szCs w:val="22"/>
                <w:lang w:val="en-GB"/>
              </w:rPr>
              <w:t xml:space="preserve">outcomes </w:t>
            </w:r>
            <w:r w:rsidR="00AF72A8" w:rsidRPr="00C33C0B">
              <w:rPr>
                <w:szCs w:val="22"/>
                <w:lang w:val="en-GB"/>
              </w:rPr>
              <w:t xml:space="preserve">documented and </w:t>
            </w:r>
            <w:r w:rsidRPr="00C33C0B">
              <w:rPr>
                <w:szCs w:val="22"/>
                <w:lang w:val="en-GB"/>
              </w:rPr>
              <w:t>communic</w:t>
            </w:r>
            <w:r w:rsidR="007E1EF8" w:rsidRPr="00C33C0B">
              <w:rPr>
                <w:szCs w:val="22"/>
                <w:lang w:val="en-GB"/>
              </w:rPr>
              <w:t>a</w:t>
            </w:r>
            <w:r w:rsidRPr="00C33C0B">
              <w:rPr>
                <w:szCs w:val="22"/>
                <w:lang w:val="en-GB"/>
              </w:rPr>
              <w:t>t</w:t>
            </w:r>
            <w:r w:rsidR="007E1EF8" w:rsidRPr="00C33C0B">
              <w:rPr>
                <w:szCs w:val="22"/>
                <w:lang w:val="en-GB"/>
              </w:rPr>
              <w:t>ed</w:t>
            </w:r>
            <w:r w:rsidRPr="00C33C0B">
              <w:rPr>
                <w:szCs w:val="22"/>
                <w:lang w:val="en-GB"/>
              </w:rPr>
              <w:t xml:space="preserve"> in writing to the referring practitioner </w:t>
            </w:r>
          </w:p>
          <w:p w14:paraId="544EDAC6" w14:textId="77777777" w:rsidR="00622D1E" w:rsidRDefault="000D7D7F" w:rsidP="0091053E">
            <w:pPr>
              <w:spacing w:before="20" w:after="20" w:line="240" w:lineRule="auto"/>
              <w:rPr>
                <w:szCs w:val="22"/>
                <w:lang w:val="en-GB"/>
              </w:rPr>
            </w:pPr>
            <w:r w:rsidRPr="0004705F">
              <w:rPr>
                <w:szCs w:val="22"/>
                <w:lang w:val="en-GB"/>
              </w:rPr>
              <w:t>O</w:t>
            </w:r>
            <w:r w:rsidR="00902578" w:rsidRPr="0004705F">
              <w:rPr>
                <w:szCs w:val="22"/>
                <w:lang w:val="en-GB"/>
              </w:rPr>
              <w:t>ther than a service to which another Category 1, Group T1, Group T4 or Group T6 profess</w:t>
            </w:r>
            <w:r w:rsidR="00622D1E" w:rsidRPr="0004705F">
              <w:rPr>
                <w:szCs w:val="22"/>
                <w:lang w:val="en-GB"/>
              </w:rPr>
              <w:t>ional attendance item applies.</w:t>
            </w:r>
          </w:p>
          <w:p w14:paraId="702BC315" w14:textId="77777777" w:rsidR="001B15DF" w:rsidRDefault="00C376B2" w:rsidP="001B15DF">
            <w:pPr>
              <w:spacing w:before="20" w:after="20" w:line="240" w:lineRule="auto"/>
              <w:rPr>
                <w:szCs w:val="22"/>
                <w:lang w:val="en-GB"/>
              </w:rPr>
            </w:pPr>
            <w:r>
              <w:rPr>
                <w:szCs w:val="22"/>
                <w:lang w:val="en-GB"/>
              </w:rPr>
              <w:t>Only to</w:t>
            </w:r>
            <w:r w:rsidR="001B15DF">
              <w:rPr>
                <w:szCs w:val="22"/>
                <w:lang w:val="en-GB"/>
              </w:rPr>
              <w:t xml:space="preserve"> </w:t>
            </w:r>
            <w:r w:rsidR="001B15DF" w:rsidRPr="003119FF">
              <w:rPr>
                <w:szCs w:val="22"/>
                <w:lang w:val="en-GB"/>
              </w:rPr>
              <w:t>be claimed with a Group T8</w:t>
            </w:r>
            <w:r w:rsidR="001B15DF">
              <w:rPr>
                <w:szCs w:val="22"/>
                <w:lang w:val="en-GB"/>
              </w:rPr>
              <w:t xml:space="preserve"> procedure</w:t>
            </w:r>
            <w:r w:rsidR="001B15DF" w:rsidRPr="003119FF">
              <w:rPr>
                <w:szCs w:val="22"/>
                <w:lang w:val="en-GB"/>
              </w:rPr>
              <w:t xml:space="preserve"> </w:t>
            </w:r>
            <w:r w:rsidR="001B15DF">
              <w:rPr>
                <w:szCs w:val="22"/>
                <w:lang w:val="en-GB"/>
              </w:rPr>
              <w:t>item:</w:t>
            </w:r>
          </w:p>
          <w:p w14:paraId="59E7DEB5" w14:textId="77777777" w:rsidR="001B15DF" w:rsidRDefault="001B15DF" w:rsidP="000831A1">
            <w:pPr>
              <w:pStyle w:val="ListParagraph"/>
              <w:numPr>
                <w:ilvl w:val="0"/>
                <w:numId w:val="36"/>
              </w:numPr>
              <w:spacing w:before="20" w:after="20" w:line="240" w:lineRule="auto"/>
              <w:rPr>
                <w:szCs w:val="22"/>
                <w:lang w:val="en-GB"/>
              </w:rPr>
            </w:pPr>
            <w:r>
              <w:rPr>
                <w:szCs w:val="22"/>
                <w:lang w:val="en-GB"/>
              </w:rPr>
              <w:t xml:space="preserve">where </w:t>
            </w:r>
            <w:r w:rsidRPr="001B15DF">
              <w:rPr>
                <w:szCs w:val="22"/>
                <w:lang w:val="en-GB"/>
              </w:rPr>
              <w:t>the procedure has a s</w:t>
            </w:r>
            <w:r>
              <w:rPr>
                <w:szCs w:val="22"/>
                <w:lang w:val="en-GB"/>
              </w:rPr>
              <w:t>chedule fee of less than $300; or</w:t>
            </w:r>
            <w:r w:rsidRPr="001B15DF">
              <w:rPr>
                <w:szCs w:val="22"/>
                <w:lang w:val="en-GB"/>
              </w:rPr>
              <w:t xml:space="preserve"> </w:t>
            </w:r>
          </w:p>
          <w:p w14:paraId="2F57BD1E" w14:textId="77777777" w:rsidR="00815F2F" w:rsidRPr="001B15DF" w:rsidRDefault="001B15DF" w:rsidP="000831A1">
            <w:pPr>
              <w:pStyle w:val="ListParagraph"/>
              <w:numPr>
                <w:ilvl w:val="0"/>
                <w:numId w:val="36"/>
              </w:numPr>
              <w:spacing w:before="20" w:after="20" w:line="240" w:lineRule="auto"/>
              <w:rPr>
                <w:szCs w:val="22"/>
                <w:lang w:val="en-GB"/>
              </w:rPr>
            </w:pPr>
            <w:r w:rsidRPr="001B15DF">
              <w:rPr>
                <w:szCs w:val="22"/>
                <w:lang w:val="en-GB"/>
              </w:rPr>
              <w:t>where the need for the procedure is identified during the consultation, has not otherwise been scheduled, is performed on the same day as the attendance, and where the procedure has a schedule fee of $300 or more.</w:t>
            </w:r>
          </w:p>
        </w:tc>
        <w:tc>
          <w:tcPr>
            <w:tcW w:w="1553" w:type="dxa"/>
            <w:shd w:val="clear" w:color="auto" w:fill="auto"/>
          </w:tcPr>
          <w:p w14:paraId="53FEE8EF" w14:textId="77777777" w:rsidR="00581273" w:rsidRPr="00C33C0B" w:rsidRDefault="00581273" w:rsidP="00581273">
            <w:pPr>
              <w:spacing w:before="20" w:after="20" w:line="240" w:lineRule="auto"/>
              <w:rPr>
                <w:szCs w:val="22"/>
                <w:lang w:val="en-GB"/>
              </w:rPr>
            </w:pPr>
            <w:r w:rsidRPr="00C33C0B">
              <w:rPr>
                <w:szCs w:val="22"/>
                <w:lang w:val="en-GB"/>
              </w:rPr>
              <w:t>Attendance at consulting room or hospital</w:t>
            </w:r>
          </w:p>
        </w:tc>
        <w:tc>
          <w:tcPr>
            <w:tcW w:w="1319" w:type="dxa"/>
            <w:shd w:val="clear" w:color="auto" w:fill="auto"/>
          </w:tcPr>
          <w:p w14:paraId="753B0C23" w14:textId="77777777" w:rsidR="00581273" w:rsidRPr="00C33C0B" w:rsidRDefault="002468CD" w:rsidP="00581273">
            <w:pPr>
              <w:spacing w:before="20" w:after="20" w:line="240" w:lineRule="auto"/>
              <w:rPr>
                <w:szCs w:val="22"/>
                <w:lang w:val="en-GB"/>
              </w:rPr>
            </w:pPr>
            <w:r>
              <w:rPr>
                <w:szCs w:val="22"/>
                <w:lang w:val="en-GB"/>
              </w:rPr>
              <w:t>41</w:t>
            </w:r>
            <w:r w:rsidR="006D3D43">
              <w:rPr>
                <w:szCs w:val="22"/>
                <w:lang w:val="en-GB"/>
              </w:rPr>
              <w:t>–</w:t>
            </w:r>
            <w:r w:rsidR="00581273" w:rsidRPr="00C33C0B">
              <w:rPr>
                <w:szCs w:val="22"/>
                <w:lang w:val="en-GB"/>
              </w:rPr>
              <w:t>60</w:t>
            </w:r>
            <w:r w:rsidR="00E9199A">
              <w:rPr>
                <w:szCs w:val="22"/>
                <w:lang w:val="en-GB"/>
              </w:rPr>
              <w:t xml:space="preserve"> </w:t>
            </w:r>
            <w:r w:rsidR="00581273" w:rsidRPr="00C33C0B">
              <w:rPr>
                <w:szCs w:val="22"/>
                <w:lang w:val="en-GB"/>
              </w:rPr>
              <w:t>min</w:t>
            </w:r>
            <w:r w:rsidR="00E9199A">
              <w:rPr>
                <w:szCs w:val="22"/>
                <w:lang w:val="en-GB"/>
              </w:rPr>
              <w:t>ute</w:t>
            </w:r>
            <w:r w:rsidR="00581273" w:rsidRPr="00C33C0B">
              <w:rPr>
                <w:szCs w:val="22"/>
                <w:lang w:val="en-GB"/>
              </w:rPr>
              <w:t>s</w:t>
            </w:r>
          </w:p>
        </w:tc>
      </w:tr>
      <w:tr w:rsidR="00AF72A8" w:rsidRPr="00C33C0B" w14:paraId="7FE79262" w14:textId="77777777" w:rsidTr="00581273">
        <w:tc>
          <w:tcPr>
            <w:tcW w:w="784" w:type="dxa"/>
            <w:shd w:val="clear" w:color="auto" w:fill="auto"/>
          </w:tcPr>
          <w:p w14:paraId="3A9F3954" w14:textId="77777777" w:rsidR="000B1484" w:rsidRPr="00C33C0B" w:rsidRDefault="000B1484" w:rsidP="00581273">
            <w:pPr>
              <w:spacing w:before="20" w:after="20" w:line="240" w:lineRule="auto"/>
              <w:rPr>
                <w:b/>
                <w:szCs w:val="22"/>
                <w:lang w:val="en-GB"/>
              </w:rPr>
            </w:pPr>
            <w:r w:rsidRPr="00C33C0B">
              <w:rPr>
                <w:b/>
                <w:szCs w:val="22"/>
                <w:lang w:val="en-GB"/>
              </w:rPr>
              <w:t>Level D</w:t>
            </w:r>
          </w:p>
          <w:p w14:paraId="09670DAE" w14:textId="77777777" w:rsidR="00581273" w:rsidRPr="00C33C0B" w:rsidRDefault="000B1484" w:rsidP="00581273">
            <w:pPr>
              <w:spacing w:before="20" w:after="20" w:line="240" w:lineRule="auto"/>
              <w:rPr>
                <w:szCs w:val="22"/>
                <w:lang w:val="en-GB"/>
              </w:rPr>
            </w:pPr>
            <w:r w:rsidRPr="00C33C0B">
              <w:rPr>
                <w:szCs w:val="22"/>
                <w:lang w:val="en-GB"/>
              </w:rPr>
              <w:t>(XX2D)</w:t>
            </w:r>
          </w:p>
        </w:tc>
        <w:tc>
          <w:tcPr>
            <w:tcW w:w="7243" w:type="dxa"/>
            <w:vMerge/>
            <w:shd w:val="clear" w:color="auto" w:fill="auto"/>
          </w:tcPr>
          <w:p w14:paraId="51848E99" w14:textId="77777777" w:rsidR="00581273" w:rsidRPr="00C33C0B" w:rsidRDefault="00581273" w:rsidP="00581273">
            <w:pPr>
              <w:spacing w:before="20" w:after="20" w:line="240" w:lineRule="auto"/>
              <w:rPr>
                <w:szCs w:val="22"/>
                <w:lang w:val="en-GB"/>
              </w:rPr>
            </w:pPr>
          </w:p>
        </w:tc>
        <w:tc>
          <w:tcPr>
            <w:tcW w:w="1553" w:type="dxa"/>
            <w:shd w:val="clear" w:color="auto" w:fill="auto"/>
          </w:tcPr>
          <w:p w14:paraId="655F5ADF" w14:textId="77777777" w:rsidR="00581273" w:rsidRPr="00C33C0B" w:rsidRDefault="00581273" w:rsidP="00581273">
            <w:pPr>
              <w:spacing w:before="20" w:after="20" w:line="240" w:lineRule="auto"/>
              <w:rPr>
                <w:szCs w:val="22"/>
                <w:lang w:val="en-GB"/>
              </w:rPr>
            </w:pPr>
            <w:r w:rsidRPr="00C33C0B">
              <w:rPr>
                <w:szCs w:val="22"/>
                <w:lang w:val="en-GB"/>
              </w:rPr>
              <w:t>Attendance in a location other than consulting room or hospital</w:t>
            </w:r>
          </w:p>
        </w:tc>
        <w:tc>
          <w:tcPr>
            <w:tcW w:w="1319" w:type="dxa"/>
            <w:shd w:val="clear" w:color="auto" w:fill="auto"/>
          </w:tcPr>
          <w:p w14:paraId="162E0E4E" w14:textId="77777777" w:rsidR="00581273" w:rsidRPr="00C33C0B" w:rsidRDefault="002468CD" w:rsidP="00581273">
            <w:pPr>
              <w:spacing w:before="20" w:after="20" w:line="240" w:lineRule="auto"/>
              <w:rPr>
                <w:szCs w:val="22"/>
                <w:lang w:val="en-GB"/>
              </w:rPr>
            </w:pPr>
            <w:r>
              <w:rPr>
                <w:szCs w:val="22"/>
                <w:lang w:val="en-GB"/>
              </w:rPr>
              <w:t>41</w:t>
            </w:r>
            <w:r w:rsidR="006D3D43">
              <w:rPr>
                <w:szCs w:val="22"/>
                <w:lang w:val="en-GB"/>
              </w:rPr>
              <w:t>–</w:t>
            </w:r>
            <w:r w:rsidR="00581273" w:rsidRPr="00C33C0B">
              <w:rPr>
                <w:szCs w:val="22"/>
                <w:lang w:val="en-GB"/>
              </w:rPr>
              <w:t>60</w:t>
            </w:r>
            <w:r w:rsidR="00E9199A">
              <w:rPr>
                <w:szCs w:val="22"/>
                <w:lang w:val="en-GB"/>
              </w:rPr>
              <w:t xml:space="preserve"> </w:t>
            </w:r>
            <w:r w:rsidR="00581273" w:rsidRPr="00C33C0B">
              <w:rPr>
                <w:szCs w:val="22"/>
                <w:lang w:val="en-GB"/>
              </w:rPr>
              <w:t>min</w:t>
            </w:r>
            <w:r w:rsidR="00E9199A">
              <w:rPr>
                <w:szCs w:val="22"/>
                <w:lang w:val="en-GB"/>
              </w:rPr>
              <w:t>ute</w:t>
            </w:r>
            <w:r w:rsidR="00581273" w:rsidRPr="00C33C0B">
              <w:rPr>
                <w:szCs w:val="22"/>
                <w:lang w:val="en-GB"/>
              </w:rPr>
              <w:t>s</w:t>
            </w:r>
          </w:p>
        </w:tc>
      </w:tr>
      <w:tr w:rsidR="00AF72A8" w:rsidRPr="00C33C0B" w14:paraId="5449B72A" w14:textId="77777777" w:rsidTr="00581273">
        <w:tc>
          <w:tcPr>
            <w:tcW w:w="784" w:type="dxa"/>
            <w:shd w:val="clear" w:color="auto" w:fill="auto"/>
          </w:tcPr>
          <w:p w14:paraId="71E7C7D0" w14:textId="77777777" w:rsidR="000B1484" w:rsidRPr="00C33C0B" w:rsidRDefault="000B1484" w:rsidP="00581273">
            <w:pPr>
              <w:spacing w:before="20" w:after="20" w:line="240" w:lineRule="auto"/>
              <w:rPr>
                <w:b/>
                <w:szCs w:val="22"/>
                <w:lang w:val="en-GB"/>
              </w:rPr>
            </w:pPr>
            <w:r w:rsidRPr="00C33C0B">
              <w:rPr>
                <w:b/>
                <w:szCs w:val="22"/>
                <w:lang w:val="en-GB"/>
              </w:rPr>
              <w:t>Level E</w:t>
            </w:r>
          </w:p>
          <w:p w14:paraId="63E96D79" w14:textId="77777777" w:rsidR="00581273" w:rsidRPr="00C33C0B" w:rsidRDefault="000B1484" w:rsidP="00581273">
            <w:pPr>
              <w:spacing w:before="20" w:after="20" w:line="240" w:lineRule="auto"/>
              <w:rPr>
                <w:szCs w:val="22"/>
                <w:lang w:val="en-GB"/>
              </w:rPr>
            </w:pPr>
            <w:r w:rsidRPr="00C33C0B">
              <w:rPr>
                <w:szCs w:val="22"/>
                <w:lang w:val="en-GB"/>
              </w:rPr>
              <w:t>(XX1E)</w:t>
            </w:r>
          </w:p>
        </w:tc>
        <w:tc>
          <w:tcPr>
            <w:tcW w:w="7243" w:type="dxa"/>
            <w:vMerge w:val="restart"/>
            <w:shd w:val="clear" w:color="auto" w:fill="auto"/>
          </w:tcPr>
          <w:p w14:paraId="0D199EFD" w14:textId="77777777" w:rsidR="00581273" w:rsidRPr="00C33C0B" w:rsidRDefault="00581273" w:rsidP="00581273">
            <w:pPr>
              <w:spacing w:before="20" w:after="20" w:line="240" w:lineRule="auto"/>
              <w:rPr>
                <w:szCs w:val="22"/>
                <w:lang w:val="en-GB"/>
              </w:rPr>
            </w:pPr>
            <w:r w:rsidRPr="00C33C0B">
              <w:rPr>
                <w:szCs w:val="22"/>
                <w:lang w:val="en-GB"/>
              </w:rPr>
              <w:t xml:space="preserve">Professional attendance of </w:t>
            </w:r>
            <w:r w:rsidR="002468CD">
              <w:rPr>
                <w:b/>
                <w:szCs w:val="22"/>
                <w:lang w:val="en-GB"/>
              </w:rPr>
              <w:t xml:space="preserve">more than </w:t>
            </w:r>
            <w:r w:rsidRPr="00C33C0B">
              <w:rPr>
                <w:b/>
                <w:szCs w:val="22"/>
                <w:lang w:val="en-GB"/>
              </w:rPr>
              <w:t>60 minutes</w:t>
            </w:r>
            <w:r w:rsidRPr="00C33C0B">
              <w:rPr>
                <w:szCs w:val="22"/>
                <w:lang w:val="en-GB"/>
              </w:rPr>
              <w:t xml:space="preserve"> by a </w:t>
            </w:r>
            <w:r w:rsidR="00AA329D">
              <w:rPr>
                <w:szCs w:val="22"/>
                <w:lang w:val="en-GB"/>
              </w:rPr>
              <w:t>consultant specialist</w:t>
            </w:r>
            <w:r w:rsidRPr="00C33C0B">
              <w:rPr>
                <w:szCs w:val="22"/>
                <w:lang w:val="en-GB"/>
              </w:rPr>
              <w:t xml:space="preserve"> in the practice of his or her speciality following patient referral, </w:t>
            </w:r>
            <w:r w:rsidR="005E2710" w:rsidRPr="00C33C0B">
              <w:rPr>
                <w:szCs w:val="22"/>
                <w:lang w:val="en-GB"/>
              </w:rPr>
              <w:t>including any of the following that are clinically relevant</w:t>
            </w:r>
            <w:r w:rsidRPr="00C33C0B">
              <w:rPr>
                <w:szCs w:val="22"/>
                <w:lang w:val="en-GB"/>
              </w:rPr>
              <w:t>:</w:t>
            </w:r>
          </w:p>
          <w:p w14:paraId="2AF51632" w14:textId="77777777" w:rsidR="00581273" w:rsidRPr="00C33C0B" w:rsidRDefault="00581273" w:rsidP="000831A1">
            <w:pPr>
              <w:pStyle w:val="ListParagraph"/>
              <w:numPr>
                <w:ilvl w:val="0"/>
                <w:numId w:val="20"/>
              </w:numPr>
              <w:spacing w:before="20" w:after="20" w:line="240" w:lineRule="auto"/>
              <w:ind w:left="357" w:hanging="357"/>
              <w:rPr>
                <w:szCs w:val="22"/>
                <w:lang w:val="en-GB"/>
              </w:rPr>
            </w:pPr>
            <w:r w:rsidRPr="00C33C0B">
              <w:rPr>
                <w:szCs w:val="22"/>
                <w:lang w:val="en-GB"/>
              </w:rPr>
              <w:t xml:space="preserve">extensive history of multiple complex conditions </w:t>
            </w:r>
          </w:p>
          <w:p w14:paraId="17613E2E" w14:textId="77777777" w:rsidR="00581273" w:rsidRPr="00C33C0B" w:rsidRDefault="00581273" w:rsidP="000831A1">
            <w:pPr>
              <w:pStyle w:val="ListParagraph"/>
              <w:numPr>
                <w:ilvl w:val="0"/>
                <w:numId w:val="20"/>
              </w:numPr>
              <w:spacing w:before="20" w:after="20" w:line="240" w:lineRule="auto"/>
              <w:ind w:left="357" w:hanging="357"/>
              <w:rPr>
                <w:szCs w:val="22"/>
                <w:lang w:val="en-GB"/>
              </w:rPr>
            </w:pPr>
            <w:r w:rsidRPr="00C33C0B">
              <w:rPr>
                <w:szCs w:val="22"/>
                <w:lang w:val="en-GB"/>
              </w:rPr>
              <w:t>extensive multi-system medical examination</w:t>
            </w:r>
          </w:p>
          <w:p w14:paraId="089B1F2A" w14:textId="77777777" w:rsidR="00581273" w:rsidRPr="00C33C0B" w:rsidRDefault="00581273" w:rsidP="000831A1">
            <w:pPr>
              <w:pStyle w:val="ListParagraph"/>
              <w:numPr>
                <w:ilvl w:val="0"/>
                <w:numId w:val="20"/>
              </w:numPr>
              <w:spacing w:before="20" w:after="20" w:line="240" w:lineRule="auto"/>
              <w:ind w:left="357" w:hanging="357"/>
              <w:rPr>
                <w:szCs w:val="22"/>
                <w:lang w:val="en-GB"/>
              </w:rPr>
            </w:pPr>
            <w:r w:rsidRPr="00C33C0B">
              <w:rPr>
                <w:szCs w:val="22"/>
                <w:lang w:val="en-GB"/>
              </w:rPr>
              <w:t>multiple complex diagnoses considered</w:t>
            </w:r>
          </w:p>
          <w:p w14:paraId="4207476E" w14:textId="77777777" w:rsidR="00581273" w:rsidRPr="00C33C0B" w:rsidRDefault="00581273" w:rsidP="000831A1">
            <w:pPr>
              <w:pStyle w:val="ListParagraph"/>
              <w:numPr>
                <w:ilvl w:val="0"/>
                <w:numId w:val="20"/>
              </w:numPr>
              <w:spacing w:before="20" w:after="20" w:line="240" w:lineRule="auto"/>
              <w:ind w:left="357" w:hanging="357"/>
              <w:rPr>
                <w:szCs w:val="22"/>
                <w:lang w:val="en-GB"/>
              </w:rPr>
            </w:pPr>
            <w:r w:rsidRPr="00C33C0B">
              <w:rPr>
                <w:szCs w:val="22"/>
                <w:lang w:val="en-GB"/>
              </w:rPr>
              <w:t>a comprehensive management plan</w:t>
            </w:r>
          </w:p>
          <w:p w14:paraId="2C4C1124" w14:textId="77777777" w:rsidR="00581273" w:rsidRPr="00C33C0B" w:rsidRDefault="00581273" w:rsidP="000831A1">
            <w:pPr>
              <w:pStyle w:val="ListParagraph"/>
              <w:numPr>
                <w:ilvl w:val="0"/>
                <w:numId w:val="20"/>
              </w:numPr>
              <w:spacing w:before="20" w:after="20" w:line="240" w:lineRule="auto"/>
              <w:ind w:left="357" w:hanging="357"/>
              <w:rPr>
                <w:szCs w:val="22"/>
                <w:lang w:val="en-GB"/>
              </w:rPr>
            </w:pPr>
            <w:r w:rsidRPr="00C33C0B">
              <w:rPr>
                <w:szCs w:val="22"/>
                <w:lang w:val="en-GB"/>
              </w:rPr>
              <w:t>the management plan is communicated in writing to the referring practitioner</w:t>
            </w:r>
            <w:bookmarkStart w:id="126" w:name="_Hlk520995906"/>
            <w:r w:rsidRPr="00C33C0B">
              <w:rPr>
                <w:szCs w:val="22"/>
                <w:lang w:val="en-GB"/>
              </w:rPr>
              <w:t xml:space="preserve"> and, if required;</w:t>
            </w:r>
          </w:p>
          <w:p w14:paraId="7D3A652C" w14:textId="77777777" w:rsidR="00581273" w:rsidRPr="00C33C0B" w:rsidRDefault="00581273" w:rsidP="000831A1">
            <w:pPr>
              <w:pStyle w:val="ListParagraph"/>
              <w:numPr>
                <w:ilvl w:val="0"/>
                <w:numId w:val="20"/>
              </w:numPr>
              <w:spacing w:before="20" w:after="20" w:line="240" w:lineRule="auto"/>
              <w:ind w:left="357" w:hanging="357"/>
              <w:rPr>
                <w:szCs w:val="22"/>
                <w:lang w:val="en-GB"/>
              </w:rPr>
            </w:pPr>
            <w:r w:rsidRPr="00C33C0B">
              <w:rPr>
                <w:szCs w:val="22"/>
                <w:lang w:val="en-GB"/>
              </w:rPr>
              <w:t>discussion of multiple treatment options available, including:</w:t>
            </w:r>
          </w:p>
          <w:p w14:paraId="444833AF" w14:textId="77777777" w:rsidR="00CB086C" w:rsidRPr="00C33C0B" w:rsidRDefault="00CB086C" w:rsidP="000831A1">
            <w:pPr>
              <w:pStyle w:val="ListParagraph"/>
              <w:numPr>
                <w:ilvl w:val="0"/>
                <w:numId w:val="26"/>
              </w:numPr>
              <w:spacing w:before="20" w:after="20" w:line="240" w:lineRule="auto"/>
              <w:rPr>
                <w:szCs w:val="22"/>
                <w:lang w:val="en-GB"/>
              </w:rPr>
            </w:pPr>
            <w:r w:rsidRPr="00C33C0B">
              <w:rPr>
                <w:szCs w:val="22"/>
                <w:lang w:val="en-GB"/>
              </w:rPr>
              <w:t>Discussion of treatment options to assess pros and cons of each option given patient characteristics and medical history</w:t>
            </w:r>
          </w:p>
          <w:p w14:paraId="20F38D3A" w14:textId="77777777" w:rsidR="00CB086C" w:rsidRPr="00C33C0B" w:rsidRDefault="00CB086C" w:rsidP="000831A1">
            <w:pPr>
              <w:pStyle w:val="ListParagraph"/>
              <w:numPr>
                <w:ilvl w:val="0"/>
                <w:numId w:val="26"/>
              </w:numPr>
              <w:spacing w:before="20" w:after="20" w:line="240" w:lineRule="auto"/>
              <w:rPr>
                <w:szCs w:val="22"/>
                <w:lang w:val="en-GB"/>
              </w:rPr>
            </w:pPr>
            <w:r w:rsidRPr="00C33C0B">
              <w:rPr>
                <w:szCs w:val="22"/>
                <w:lang w:val="en-GB"/>
              </w:rPr>
              <w:t>Consideration and discussion of necessary referrals to other health professionals</w:t>
            </w:r>
          </w:p>
          <w:p w14:paraId="3A7DBCF1" w14:textId="77777777" w:rsidR="00CB086C" w:rsidRPr="00C33C0B" w:rsidRDefault="00CB086C" w:rsidP="000831A1">
            <w:pPr>
              <w:pStyle w:val="ListParagraph"/>
              <w:numPr>
                <w:ilvl w:val="0"/>
                <w:numId w:val="26"/>
              </w:numPr>
              <w:spacing w:before="20" w:after="20" w:line="240" w:lineRule="auto"/>
              <w:rPr>
                <w:szCs w:val="22"/>
                <w:lang w:val="en-GB"/>
              </w:rPr>
            </w:pPr>
            <w:r w:rsidRPr="00C33C0B">
              <w:rPr>
                <w:szCs w:val="22"/>
                <w:lang w:val="en-GB"/>
              </w:rPr>
              <w:t xml:space="preserve">Written documentation </w:t>
            </w:r>
            <w:r w:rsidR="00124833" w:rsidRPr="00C33C0B">
              <w:rPr>
                <w:szCs w:val="22"/>
                <w:lang w:val="en-GB"/>
              </w:rPr>
              <w:t xml:space="preserve">made available for the patient and/or carer </w:t>
            </w:r>
            <w:r w:rsidRPr="00C33C0B">
              <w:rPr>
                <w:szCs w:val="22"/>
                <w:lang w:val="en-GB"/>
              </w:rPr>
              <w:t>that outlines treatment options and information on associated risks and benefits</w:t>
            </w:r>
          </w:p>
          <w:p w14:paraId="04C63F59" w14:textId="77777777" w:rsidR="00CB086C" w:rsidRPr="00C33C0B" w:rsidRDefault="00CB086C" w:rsidP="000831A1">
            <w:pPr>
              <w:pStyle w:val="ListParagraph"/>
              <w:numPr>
                <w:ilvl w:val="0"/>
                <w:numId w:val="20"/>
              </w:numPr>
              <w:spacing w:before="20" w:after="20" w:line="240" w:lineRule="auto"/>
              <w:ind w:left="360"/>
              <w:rPr>
                <w:szCs w:val="22"/>
                <w:lang w:val="en-GB"/>
              </w:rPr>
            </w:pPr>
            <w:r w:rsidRPr="00C33C0B">
              <w:rPr>
                <w:szCs w:val="22"/>
                <w:lang w:val="en-GB"/>
              </w:rPr>
              <w:t xml:space="preserve">outcomes </w:t>
            </w:r>
            <w:r w:rsidR="00AF72A8" w:rsidRPr="00C33C0B">
              <w:rPr>
                <w:szCs w:val="22"/>
                <w:lang w:val="en-GB"/>
              </w:rPr>
              <w:t xml:space="preserve">documented and </w:t>
            </w:r>
            <w:r w:rsidRPr="00C33C0B">
              <w:rPr>
                <w:szCs w:val="22"/>
                <w:lang w:val="en-GB"/>
              </w:rPr>
              <w:t>communicated in writing to the referring practitioner</w:t>
            </w:r>
          </w:p>
          <w:bookmarkEnd w:id="126"/>
          <w:p w14:paraId="4478EBFC" w14:textId="77777777" w:rsidR="00622D1E" w:rsidRDefault="00902578" w:rsidP="000D7D7F">
            <w:pPr>
              <w:spacing w:before="20" w:after="20" w:line="240" w:lineRule="auto"/>
              <w:rPr>
                <w:szCs w:val="22"/>
                <w:lang w:val="en-GB"/>
              </w:rPr>
            </w:pPr>
            <w:r w:rsidRPr="00C33C0B">
              <w:rPr>
                <w:szCs w:val="22"/>
                <w:lang w:val="en-GB"/>
              </w:rPr>
              <w:t xml:space="preserve">Other than a service to which another Category 1, Group T1, Group T4 or Group T6 professional attendance item </w:t>
            </w:r>
            <w:r w:rsidR="00622D1E" w:rsidRPr="00C33C0B">
              <w:rPr>
                <w:szCs w:val="22"/>
                <w:lang w:val="en-GB"/>
              </w:rPr>
              <w:t>applies</w:t>
            </w:r>
            <w:r w:rsidR="00815F2F">
              <w:rPr>
                <w:szCs w:val="22"/>
                <w:lang w:val="en-GB"/>
              </w:rPr>
              <w:t>.</w:t>
            </w:r>
          </w:p>
          <w:p w14:paraId="6E01F44B" w14:textId="77777777" w:rsidR="001B15DF" w:rsidRDefault="00C376B2" w:rsidP="001B15DF">
            <w:pPr>
              <w:spacing w:before="20" w:after="20" w:line="240" w:lineRule="auto"/>
              <w:rPr>
                <w:szCs w:val="22"/>
                <w:lang w:val="en-GB"/>
              </w:rPr>
            </w:pPr>
            <w:r>
              <w:rPr>
                <w:szCs w:val="22"/>
                <w:lang w:val="en-GB"/>
              </w:rPr>
              <w:t>Only to</w:t>
            </w:r>
            <w:r w:rsidR="001B15DF">
              <w:rPr>
                <w:szCs w:val="22"/>
                <w:lang w:val="en-GB"/>
              </w:rPr>
              <w:t xml:space="preserve"> </w:t>
            </w:r>
            <w:r w:rsidR="001B15DF" w:rsidRPr="003119FF">
              <w:rPr>
                <w:szCs w:val="22"/>
                <w:lang w:val="en-GB"/>
              </w:rPr>
              <w:t>be claimed with a Group T8</w:t>
            </w:r>
            <w:r w:rsidR="001B15DF">
              <w:rPr>
                <w:szCs w:val="22"/>
                <w:lang w:val="en-GB"/>
              </w:rPr>
              <w:t xml:space="preserve"> procedure</w:t>
            </w:r>
            <w:r w:rsidR="001B15DF" w:rsidRPr="003119FF">
              <w:rPr>
                <w:szCs w:val="22"/>
                <w:lang w:val="en-GB"/>
              </w:rPr>
              <w:t xml:space="preserve"> </w:t>
            </w:r>
            <w:r w:rsidR="001B15DF">
              <w:rPr>
                <w:szCs w:val="22"/>
                <w:lang w:val="en-GB"/>
              </w:rPr>
              <w:t>item:</w:t>
            </w:r>
          </w:p>
          <w:p w14:paraId="5C05C19A" w14:textId="77777777" w:rsidR="001B15DF" w:rsidRDefault="001B15DF" w:rsidP="000831A1">
            <w:pPr>
              <w:pStyle w:val="ListParagraph"/>
              <w:numPr>
                <w:ilvl w:val="0"/>
                <w:numId w:val="37"/>
              </w:numPr>
              <w:spacing w:before="20" w:after="20" w:line="240" w:lineRule="auto"/>
              <w:rPr>
                <w:szCs w:val="22"/>
                <w:lang w:val="en-GB"/>
              </w:rPr>
            </w:pPr>
            <w:r>
              <w:rPr>
                <w:szCs w:val="22"/>
                <w:lang w:val="en-GB"/>
              </w:rPr>
              <w:t xml:space="preserve">where </w:t>
            </w:r>
            <w:r w:rsidRPr="001B15DF">
              <w:rPr>
                <w:szCs w:val="22"/>
                <w:lang w:val="en-GB"/>
              </w:rPr>
              <w:t>the procedure has a s</w:t>
            </w:r>
            <w:r>
              <w:rPr>
                <w:szCs w:val="22"/>
                <w:lang w:val="en-GB"/>
              </w:rPr>
              <w:t>chedule fee of less than $300; or</w:t>
            </w:r>
            <w:r w:rsidRPr="001B15DF">
              <w:rPr>
                <w:szCs w:val="22"/>
                <w:lang w:val="en-GB"/>
              </w:rPr>
              <w:t xml:space="preserve"> </w:t>
            </w:r>
          </w:p>
          <w:p w14:paraId="63E12190" w14:textId="77777777" w:rsidR="00815F2F" w:rsidRPr="001B15DF" w:rsidRDefault="001B15DF" w:rsidP="000831A1">
            <w:pPr>
              <w:pStyle w:val="ListParagraph"/>
              <w:numPr>
                <w:ilvl w:val="0"/>
                <w:numId w:val="37"/>
              </w:numPr>
              <w:spacing w:before="20" w:after="20" w:line="240" w:lineRule="auto"/>
              <w:rPr>
                <w:szCs w:val="22"/>
                <w:lang w:val="en-GB"/>
              </w:rPr>
            </w:pPr>
            <w:r w:rsidRPr="001B15DF">
              <w:rPr>
                <w:szCs w:val="22"/>
                <w:lang w:val="en-GB"/>
              </w:rPr>
              <w:t>where the need for the procedure is identified during the consultation, has not otherwise been scheduled, is performed on the same day as the attendance, and where the procedure has a schedule fee of $300 or more.</w:t>
            </w:r>
          </w:p>
        </w:tc>
        <w:tc>
          <w:tcPr>
            <w:tcW w:w="1553" w:type="dxa"/>
            <w:shd w:val="clear" w:color="auto" w:fill="auto"/>
          </w:tcPr>
          <w:p w14:paraId="4ED16B60" w14:textId="77777777" w:rsidR="00581273" w:rsidRPr="00C33C0B" w:rsidRDefault="00581273" w:rsidP="00581273">
            <w:pPr>
              <w:spacing w:before="20" w:after="20" w:line="240" w:lineRule="auto"/>
              <w:rPr>
                <w:szCs w:val="22"/>
                <w:lang w:val="en-GB"/>
              </w:rPr>
            </w:pPr>
            <w:r w:rsidRPr="00C33C0B">
              <w:rPr>
                <w:szCs w:val="22"/>
                <w:lang w:val="en-GB"/>
              </w:rPr>
              <w:t>Attendance at consulting room or hospital</w:t>
            </w:r>
          </w:p>
        </w:tc>
        <w:tc>
          <w:tcPr>
            <w:tcW w:w="1319" w:type="dxa"/>
            <w:shd w:val="clear" w:color="auto" w:fill="auto"/>
          </w:tcPr>
          <w:p w14:paraId="53112873" w14:textId="77777777" w:rsidR="00581273" w:rsidRPr="00C33C0B" w:rsidRDefault="002468CD" w:rsidP="00581273">
            <w:pPr>
              <w:spacing w:before="20" w:after="20" w:line="240" w:lineRule="auto"/>
              <w:rPr>
                <w:szCs w:val="22"/>
                <w:lang w:val="en-GB"/>
              </w:rPr>
            </w:pPr>
            <w:r>
              <w:rPr>
                <w:szCs w:val="22"/>
                <w:lang w:val="en-GB"/>
              </w:rPr>
              <w:t xml:space="preserve">More than 60 </w:t>
            </w:r>
            <w:r w:rsidRPr="00C33C0B">
              <w:rPr>
                <w:szCs w:val="22"/>
                <w:lang w:val="en-GB"/>
              </w:rPr>
              <w:t>min</w:t>
            </w:r>
            <w:r>
              <w:rPr>
                <w:szCs w:val="22"/>
                <w:lang w:val="en-GB"/>
              </w:rPr>
              <w:t>utes</w:t>
            </w:r>
          </w:p>
        </w:tc>
      </w:tr>
      <w:tr w:rsidR="00AF72A8" w:rsidRPr="00C33C0B" w14:paraId="63142B3C" w14:textId="77777777" w:rsidTr="00581273">
        <w:tc>
          <w:tcPr>
            <w:tcW w:w="784" w:type="dxa"/>
            <w:shd w:val="clear" w:color="auto" w:fill="auto"/>
          </w:tcPr>
          <w:p w14:paraId="2B04BBF9" w14:textId="77777777" w:rsidR="000B1484" w:rsidRPr="00C33C0B" w:rsidRDefault="000B1484" w:rsidP="00581273">
            <w:pPr>
              <w:spacing w:before="20" w:after="20" w:line="240" w:lineRule="auto"/>
              <w:rPr>
                <w:b/>
                <w:szCs w:val="22"/>
                <w:lang w:val="en-GB"/>
              </w:rPr>
            </w:pPr>
            <w:r w:rsidRPr="00C33C0B">
              <w:rPr>
                <w:b/>
                <w:szCs w:val="22"/>
                <w:lang w:val="en-GB"/>
              </w:rPr>
              <w:t>Level E</w:t>
            </w:r>
          </w:p>
          <w:p w14:paraId="6FAC00A4" w14:textId="77777777" w:rsidR="00581273" w:rsidRPr="00C33C0B" w:rsidRDefault="000B1484" w:rsidP="00581273">
            <w:pPr>
              <w:spacing w:before="20" w:after="20" w:line="240" w:lineRule="auto"/>
              <w:rPr>
                <w:szCs w:val="22"/>
                <w:lang w:val="en-GB"/>
              </w:rPr>
            </w:pPr>
            <w:r w:rsidRPr="00C33C0B">
              <w:rPr>
                <w:szCs w:val="22"/>
                <w:lang w:val="en-GB"/>
              </w:rPr>
              <w:t>(XX2E)</w:t>
            </w:r>
          </w:p>
        </w:tc>
        <w:tc>
          <w:tcPr>
            <w:tcW w:w="7243" w:type="dxa"/>
            <w:vMerge/>
            <w:shd w:val="clear" w:color="auto" w:fill="auto"/>
          </w:tcPr>
          <w:p w14:paraId="34A194D5" w14:textId="77777777" w:rsidR="00581273" w:rsidRPr="00C33C0B" w:rsidRDefault="00581273" w:rsidP="00581273">
            <w:pPr>
              <w:spacing w:before="20" w:after="20" w:line="240" w:lineRule="auto"/>
              <w:rPr>
                <w:szCs w:val="22"/>
                <w:lang w:val="en-GB"/>
              </w:rPr>
            </w:pPr>
          </w:p>
        </w:tc>
        <w:tc>
          <w:tcPr>
            <w:tcW w:w="1553" w:type="dxa"/>
            <w:shd w:val="clear" w:color="auto" w:fill="auto"/>
          </w:tcPr>
          <w:p w14:paraId="35D76F98" w14:textId="77777777" w:rsidR="00581273" w:rsidRPr="00C33C0B" w:rsidRDefault="00581273" w:rsidP="00581273">
            <w:pPr>
              <w:spacing w:before="20" w:after="20" w:line="240" w:lineRule="auto"/>
              <w:rPr>
                <w:szCs w:val="22"/>
                <w:lang w:val="en-GB"/>
              </w:rPr>
            </w:pPr>
            <w:r w:rsidRPr="00C33C0B">
              <w:rPr>
                <w:szCs w:val="22"/>
                <w:lang w:val="en-GB"/>
              </w:rPr>
              <w:t>Attendance in a location other than consulting room or hospital</w:t>
            </w:r>
          </w:p>
        </w:tc>
        <w:tc>
          <w:tcPr>
            <w:tcW w:w="1319" w:type="dxa"/>
            <w:shd w:val="clear" w:color="auto" w:fill="auto"/>
          </w:tcPr>
          <w:p w14:paraId="24E0E73F" w14:textId="77777777" w:rsidR="00581273" w:rsidRPr="00C33C0B" w:rsidRDefault="002468CD" w:rsidP="00581273">
            <w:pPr>
              <w:spacing w:before="20" w:after="20" w:line="240" w:lineRule="auto"/>
              <w:rPr>
                <w:szCs w:val="22"/>
                <w:lang w:val="en-GB"/>
              </w:rPr>
            </w:pPr>
            <w:r>
              <w:rPr>
                <w:szCs w:val="22"/>
                <w:lang w:val="en-GB"/>
              </w:rPr>
              <w:t>More than 60</w:t>
            </w:r>
            <w:r w:rsidR="00D4682B">
              <w:rPr>
                <w:szCs w:val="22"/>
                <w:lang w:val="en-GB"/>
              </w:rPr>
              <w:t xml:space="preserve"> </w:t>
            </w:r>
            <w:r w:rsidR="00581273" w:rsidRPr="00C33C0B">
              <w:rPr>
                <w:szCs w:val="22"/>
                <w:lang w:val="en-GB"/>
              </w:rPr>
              <w:t>min</w:t>
            </w:r>
            <w:r w:rsidR="00D4682B">
              <w:rPr>
                <w:szCs w:val="22"/>
                <w:lang w:val="en-GB"/>
              </w:rPr>
              <w:t>utes</w:t>
            </w:r>
          </w:p>
        </w:tc>
      </w:tr>
    </w:tbl>
    <w:p w14:paraId="17CB845A" w14:textId="77777777" w:rsidR="00581273" w:rsidRPr="00C33C0B" w:rsidRDefault="00611C95" w:rsidP="003C5D5A">
      <w:pPr>
        <w:pStyle w:val="Heading2"/>
      </w:pPr>
      <w:bookmarkStart w:id="127" w:name="_Toc521442205"/>
      <w:bookmarkStart w:id="128" w:name="_Toc24544689"/>
      <w:bookmarkEnd w:id="123"/>
      <w:r w:rsidRPr="00C33C0B">
        <w:t>Rationale 1</w:t>
      </w:r>
      <w:bookmarkEnd w:id="127"/>
      <w:bookmarkEnd w:id="128"/>
    </w:p>
    <w:p w14:paraId="75A12538" w14:textId="77777777" w:rsidR="00A16657" w:rsidRDefault="00A16657" w:rsidP="00581273">
      <w:pPr>
        <w:rPr>
          <w:lang w:val="en-GB"/>
        </w:rPr>
      </w:pPr>
      <w:r>
        <w:rPr>
          <w:lang w:val="en-GB"/>
        </w:rPr>
        <w:t xml:space="preserve">This recommendation </w:t>
      </w:r>
      <w:r w:rsidR="00FE02ED">
        <w:rPr>
          <w:lang w:val="en-GB"/>
        </w:rPr>
        <w:t xml:space="preserve">focuses on introducing a standard attendance model </w:t>
      </w:r>
      <w:r w:rsidR="001C6790" w:rsidRPr="001C6790">
        <w:rPr>
          <w:lang w:val="en-GB"/>
        </w:rPr>
        <w:t>that is simpl</w:t>
      </w:r>
      <w:r w:rsidR="00FE02ED">
        <w:rPr>
          <w:lang w:val="en-GB"/>
        </w:rPr>
        <w:t>e</w:t>
      </w:r>
      <w:r w:rsidR="001C6790" w:rsidRPr="001C6790">
        <w:rPr>
          <w:lang w:val="en-GB"/>
        </w:rPr>
        <w:t xml:space="preserve">, </w:t>
      </w:r>
      <w:r w:rsidR="00BC4BC9">
        <w:rPr>
          <w:lang w:val="en-GB"/>
        </w:rPr>
        <w:t xml:space="preserve">is </w:t>
      </w:r>
      <w:r w:rsidR="001C6790" w:rsidRPr="001C6790">
        <w:rPr>
          <w:lang w:val="en-GB"/>
        </w:rPr>
        <w:t>more equitable, and enables more consiste</w:t>
      </w:r>
      <w:r w:rsidR="00FE02ED">
        <w:rPr>
          <w:lang w:val="en-GB"/>
        </w:rPr>
        <w:t>nt billing for similar services</w:t>
      </w:r>
      <w:r w:rsidR="001C6790" w:rsidRPr="001C6790">
        <w:rPr>
          <w:lang w:val="en-GB"/>
        </w:rPr>
        <w:t>.</w:t>
      </w:r>
      <w:r w:rsidR="001C6790">
        <w:rPr>
          <w:lang w:val="en-GB"/>
        </w:rPr>
        <w:t xml:space="preserve"> It is based on the following</w:t>
      </w:r>
      <w:r w:rsidR="00CB271F">
        <w:rPr>
          <w:lang w:val="en-GB"/>
        </w:rPr>
        <w:t>:</w:t>
      </w:r>
    </w:p>
    <w:p w14:paraId="421DBBD9" w14:textId="77777777" w:rsidR="00D26D4C" w:rsidRPr="00C33C0B" w:rsidRDefault="00581273" w:rsidP="006E5FB0">
      <w:pPr>
        <w:pStyle w:val="Bullet-green"/>
        <w:rPr>
          <w:lang w:val="en-GB"/>
        </w:rPr>
      </w:pPr>
      <w:r w:rsidRPr="00C33C0B">
        <w:rPr>
          <w:lang w:val="en-GB"/>
        </w:rPr>
        <w:t>The Committee recommends</w:t>
      </w:r>
      <w:r w:rsidR="001E0048" w:rsidRPr="00C33C0B">
        <w:rPr>
          <w:lang w:val="en-GB"/>
        </w:rPr>
        <w:t xml:space="preserve"> </w:t>
      </w:r>
      <w:r w:rsidR="006E3F24">
        <w:rPr>
          <w:lang w:val="en-GB"/>
        </w:rPr>
        <w:t>basing</w:t>
      </w:r>
      <w:r w:rsidR="001E0048" w:rsidRPr="00C33C0B">
        <w:rPr>
          <w:lang w:val="en-GB"/>
        </w:rPr>
        <w:t xml:space="preserve"> attendance </w:t>
      </w:r>
      <w:r w:rsidR="00AB28F3">
        <w:rPr>
          <w:lang w:val="en-GB" w:eastAsia="en-US"/>
        </w:rPr>
        <w:t xml:space="preserve">schedule fees </w:t>
      </w:r>
      <w:r w:rsidR="006E3F24">
        <w:rPr>
          <w:lang w:val="en-GB"/>
        </w:rPr>
        <w:t>on time,</w:t>
      </w:r>
      <w:r w:rsidR="001E0048" w:rsidRPr="00C33C0B">
        <w:rPr>
          <w:lang w:val="en-GB"/>
        </w:rPr>
        <w:t xml:space="preserve"> as the duration of the face-to-face encounter with the patient is </w:t>
      </w:r>
      <w:r w:rsidR="00BC4BC9">
        <w:rPr>
          <w:lang w:val="en-GB"/>
        </w:rPr>
        <w:t>indicative</w:t>
      </w:r>
      <w:r w:rsidR="00BC4BC9" w:rsidRPr="00C33C0B">
        <w:rPr>
          <w:lang w:val="en-GB"/>
        </w:rPr>
        <w:t xml:space="preserve"> </w:t>
      </w:r>
      <w:r w:rsidR="00D26D4C" w:rsidRPr="00C33C0B">
        <w:rPr>
          <w:lang w:val="en-GB"/>
        </w:rPr>
        <w:t>of the total amount of work</w:t>
      </w:r>
      <w:r w:rsidR="001E0048" w:rsidRPr="00C33C0B">
        <w:rPr>
          <w:lang w:val="en-GB"/>
        </w:rPr>
        <w:t xml:space="preserve"> and </w:t>
      </w:r>
      <w:r w:rsidR="00D7410F">
        <w:rPr>
          <w:lang w:val="en-GB"/>
        </w:rPr>
        <w:t xml:space="preserve">promotes </w:t>
      </w:r>
      <w:r w:rsidR="001E0048" w:rsidRPr="00C33C0B">
        <w:rPr>
          <w:lang w:val="en-GB"/>
        </w:rPr>
        <w:t>a more appropriate balance of procedural and consultative work</w:t>
      </w:r>
      <w:r w:rsidR="00D26D4C" w:rsidRPr="00C33C0B">
        <w:rPr>
          <w:lang w:val="en-GB"/>
        </w:rPr>
        <w:t>. Ti</w:t>
      </w:r>
      <w:r w:rsidR="00D7410F">
        <w:rPr>
          <w:lang w:val="en-GB"/>
        </w:rPr>
        <w:t>me</w:t>
      </w:r>
      <w:r w:rsidR="00BC4BC9">
        <w:rPr>
          <w:lang w:val="en-GB"/>
        </w:rPr>
        <w:t>-</w:t>
      </w:r>
      <w:r w:rsidR="00D7410F">
        <w:rPr>
          <w:lang w:val="en-GB"/>
        </w:rPr>
        <w:t>tiering will enable a simple</w:t>
      </w:r>
      <w:r w:rsidR="005A3460">
        <w:rPr>
          <w:lang w:val="en-GB"/>
        </w:rPr>
        <w:t xml:space="preserve"> </w:t>
      </w:r>
      <w:r w:rsidR="00AB28F3">
        <w:rPr>
          <w:lang w:val="en-GB" w:eastAsia="en-US"/>
        </w:rPr>
        <w:t xml:space="preserve">structure </w:t>
      </w:r>
      <w:r w:rsidR="00D26D4C" w:rsidRPr="00C33C0B">
        <w:rPr>
          <w:lang w:val="en-GB"/>
        </w:rPr>
        <w:t xml:space="preserve">for attendance items that </w:t>
      </w:r>
      <w:r w:rsidR="00AF3164" w:rsidRPr="00C33C0B">
        <w:rPr>
          <w:lang w:val="en-GB"/>
        </w:rPr>
        <w:t>enables</w:t>
      </w:r>
      <w:r w:rsidR="00D26D4C" w:rsidRPr="00C33C0B">
        <w:rPr>
          <w:lang w:val="en-GB"/>
        </w:rPr>
        <w:t xml:space="preserve"> more consistent </w:t>
      </w:r>
      <w:r w:rsidR="00AB28F3">
        <w:rPr>
          <w:lang w:val="en-GB"/>
        </w:rPr>
        <w:t xml:space="preserve">rebates for </w:t>
      </w:r>
      <w:r w:rsidR="00D26D4C" w:rsidRPr="00C33C0B">
        <w:rPr>
          <w:lang w:val="en-GB"/>
        </w:rPr>
        <w:t>patients for the same services</w:t>
      </w:r>
      <w:r w:rsidR="00BC4BC9">
        <w:rPr>
          <w:lang w:val="en-GB"/>
        </w:rPr>
        <w:t>, transparency for consumers,</w:t>
      </w:r>
      <w:r w:rsidR="007B533A">
        <w:rPr>
          <w:lang w:val="en-GB"/>
        </w:rPr>
        <w:t xml:space="preserve"> and clarity on informed financial consent</w:t>
      </w:r>
      <w:r w:rsidR="00D26D4C" w:rsidRPr="00C33C0B">
        <w:rPr>
          <w:lang w:val="en-GB"/>
        </w:rPr>
        <w:t>.</w:t>
      </w:r>
    </w:p>
    <w:p w14:paraId="09BC39E5" w14:textId="77777777" w:rsidR="006D55C7" w:rsidRDefault="00D26D4C" w:rsidP="006E5FB0">
      <w:pPr>
        <w:pStyle w:val="Bullet-green"/>
        <w:rPr>
          <w:lang w:val="en-GB"/>
        </w:rPr>
      </w:pPr>
      <w:r w:rsidRPr="00C33C0B">
        <w:rPr>
          <w:lang w:val="en-GB"/>
        </w:rPr>
        <w:t xml:space="preserve">The Committee recommends using </w:t>
      </w:r>
      <w:r w:rsidR="00581273" w:rsidRPr="00C33C0B">
        <w:rPr>
          <w:lang w:val="en-GB"/>
        </w:rPr>
        <w:t>time</w:t>
      </w:r>
      <w:r w:rsidR="00E22B2D">
        <w:rPr>
          <w:lang w:val="en-GB"/>
        </w:rPr>
        <w:t xml:space="preserve"> </w:t>
      </w:r>
      <w:r w:rsidR="00581273" w:rsidRPr="00C33C0B">
        <w:rPr>
          <w:lang w:val="en-GB"/>
        </w:rPr>
        <w:t xml:space="preserve">tiers that </w:t>
      </w:r>
      <w:r w:rsidR="00E22B2D">
        <w:rPr>
          <w:lang w:val="en-GB"/>
        </w:rPr>
        <w:t>align</w:t>
      </w:r>
      <w:r w:rsidR="00581273" w:rsidRPr="00C33C0B">
        <w:rPr>
          <w:lang w:val="en-GB"/>
        </w:rPr>
        <w:t xml:space="preserve"> with those put forward by the</w:t>
      </w:r>
      <w:r w:rsidR="009447FE">
        <w:rPr>
          <w:lang w:val="en-GB"/>
        </w:rPr>
        <w:t xml:space="preserve"> </w:t>
      </w:r>
      <w:r w:rsidR="007B10AC" w:rsidRPr="00C33C0B">
        <w:rPr>
          <w:lang w:val="en-GB"/>
        </w:rPr>
        <w:t xml:space="preserve">GPPCCC </w:t>
      </w:r>
      <w:r w:rsidR="00581273" w:rsidRPr="00C33C0B">
        <w:rPr>
          <w:lang w:val="en-GB"/>
        </w:rPr>
        <w:t xml:space="preserve">to enable consistency of care for those accessing MBS attendance items. There is consensus </w:t>
      </w:r>
      <w:r w:rsidR="007B10AC" w:rsidRPr="00C33C0B">
        <w:rPr>
          <w:lang w:val="en-GB"/>
        </w:rPr>
        <w:t>within</w:t>
      </w:r>
      <w:r w:rsidR="00581273" w:rsidRPr="00C33C0B">
        <w:rPr>
          <w:lang w:val="en-GB"/>
        </w:rPr>
        <w:t xml:space="preserve"> the Committee that these tiers are simple and useable within </w:t>
      </w:r>
      <w:r w:rsidR="00BC4BC9">
        <w:rPr>
          <w:lang w:val="en-GB"/>
        </w:rPr>
        <w:t>standard</w:t>
      </w:r>
      <w:r w:rsidR="00BC4BC9" w:rsidRPr="00C33C0B">
        <w:rPr>
          <w:lang w:val="en-GB"/>
        </w:rPr>
        <w:t xml:space="preserve"> </w:t>
      </w:r>
      <w:r w:rsidR="00581273" w:rsidRPr="00C33C0B">
        <w:rPr>
          <w:lang w:val="en-GB"/>
        </w:rPr>
        <w:t>clinical practice, while accommodating the distinct activities of differing complexity levels</w:t>
      </w:r>
      <w:r w:rsidR="00F964DE">
        <w:rPr>
          <w:lang w:val="en-GB"/>
        </w:rPr>
        <w:t>.</w:t>
      </w:r>
    </w:p>
    <w:p w14:paraId="1505B34D" w14:textId="77777777" w:rsidR="00581273" w:rsidRPr="00C33C0B" w:rsidRDefault="006D55C7" w:rsidP="006E5FB0">
      <w:pPr>
        <w:pStyle w:val="Bullet-green"/>
        <w:rPr>
          <w:lang w:val="en-GB"/>
        </w:rPr>
      </w:pPr>
      <w:r w:rsidRPr="00D90F3D">
        <w:t xml:space="preserve">The Committee </w:t>
      </w:r>
      <w:r w:rsidR="00922AA1">
        <w:t xml:space="preserve">has set a duration length of 5 minutes or less as the Committee considers there are attendances that can be completed in this time frame. </w:t>
      </w:r>
      <w:r w:rsidRPr="00D90F3D">
        <w:t xml:space="preserve">The Committee also noted that this would not exclude a person understanding the time brackets and asking for the full period of time if a clinician is rushing away or requesting to finish an attendance that they may be aware is drifting into a higher </w:t>
      </w:r>
      <w:r>
        <w:t>tier</w:t>
      </w:r>
      <w:r w:rsidRPr="00D90F3D">
        <w:t>.</w:t>
      </w:r>
      <w:r w:rsidR="00581273" w:rsidRPr="00C33C0B">
        <w:rPr>
          <w:lang w:val="en-GB"/>
        </w:rPr>
        <w:t xml:space="preserve"> </w:t>
      </w:r>
    </w:p>
    <w:p w14:paraId="16BC51CA" w14:textId="77777777" w:rsidR="00581273" w:rsidRPr="00C33C0B" w:rsidRDefault="00581273" w:rsidP="006E5FB0">
      <w:pPr>
        <w:pStyle w:val="Bullet-green"/>
        <w:rPr>
          <w:lang w:val="en-GB"/>
        </w:rPr>
      </w:pPr>
      <w:r w:rsidRPr="00C33C0B">
        <w:rPr>
          <w:lang w:val="en-GB"/>
        </w:rPr>
        <w:t>In addition, the introduction of time-tiered attendance items aims to:</w:t>
      </w:r>
    </w:p>
    <w:p w14:paraId="519A6A6E" w14:textId="77777777" w:rsidR="005B3ABE" w:rsidRDefault="005B3ABE">
      <w:pPr>
        <w:pStyle w:val="Bullet2"/>
      </w:pPr>
      <w:r w:rsidRPr="00C33C0B">
        <w:t>Reflect the work effort required for each attendance item</w:t>
      </w:r>
      <w:r w:rsidR="002215A8">
        <w:t>. E</w:t>
      </w:r>
      <w:r w:rsidRPr="00C33C0B">
        <w:t>vidence suggest</w:t>
      </w:r>
      <w:r w:rsidR="002215A8">
        <w:t>s</w:t>
      </w:r>
      <w:r w:rsidRPr="00C33C0B">
        <w:t xml:space="preserve"> that the duration of face-to-face patient attendances is </w:t>
      </w:r>
      <w:r w:rsidR="00CE6920">
        <w:t>indicative</w:t>
      </w:r>
      <w:r w:rsidR="00CE6920" w:rsidRPr="00C33C0B">
        <w:t xml:space="preserve"> </w:t>
      </w:r>
      <w:r w:rsidRPr="00C33C0B">
        <w:t>of the total amount of work performed in that attendance</w:t>
      </w:r>
      <w:r w:rsidR="007F3653">
        <w:t>.</w:t>
      </w:r>
    </w:p>
    <w:p w14:paraId="2BF1D2B5" w14:textId="77777777" w:rsidR="006D55C7" w:rsidRPr="00C33C0B" w:rsidRDefault="006D55C7" w:rsidP="00607BDA">
      <w:pPr>
        <w:pStyle w:val="Bullet2"/>
        <w:numPr>
          <w:ilvl w:val="0"/>
          <w:numId w:val="0"/>
        </w:numPr>
        <w:ind w:left="720"/>
      </w:pPr>
      <w:r w:rsidRPr="00DC2ED9">
        <w:t>An Australian study that examined 101,112 GP consultations and the relationship between consultation length, content and GP choice of attendance item demonstrated that GPs use both time and content when choosing item number, rather than relying only on specified time thresholds</w:t>
      </w:r>
      <w:sdt>
        <w:sdtPr>
          <w:id w:val="1776824164"/>
          <w:citation/>
        </w:sdtPr>
        <w:sdtEndPr/>
        <w:sdtContent>
          <w:r w:rsidR="00B85D72">
            <w:fldChar w:fldCharType="begin"/>
          </w:r>
          <w:r w:rsidR="00B85D72">
            <w:rPr>
              <w:lang w:val="en-AU"/>
            </w:rPr>
            <w:instrText xml:space="preserve"> CITATION Bri04 \l 3081 </w:instrText>
          </w:r>
          <w:r w:rsidR="00B85D72">
            <w:fldChar w:fldCharType="separate"/>
          </w:r>
          <w:r w:rsidR="00B85D72">
            <w:rPr>
              <w:noProof/>
              <w:lang w:val="en-AU"/>
            </w:rPr>
            <w:t xml:space="preserve"> </w:t>
          </w:r>
          <w:r w:rsidR="00B85D72" w:rsidRPr="00B85D72">
            <w:rPr>
              <w:noProof/>
              <w:lang w:val="en-AU"/>
            </w:rPr>
            <w:t>(3)</w:t>
          </w:r>
          <w:r w:rsidR="00B85D72">
            <w:fldChar w:fldCharType="end"/>
          </w:r>
        </w:sdtContent>
      </w:sdt>
      <w:r w:rsidRPr="00DC2ED9">
        <w:t xml:space="preserve">. The study found that the difference in consultation length </w:t>
      </w:r>
      <w:r>
        <w:t>between</w:t>
      </w:r>
      <w:r w:rsidRPr="00DC2ED9">
        <w:t xml:space="preserve"> Level B and Level C attendances was somewhat marginal, but that GPs </w:t>
      </w:r>
      <w:r>
        <w:t xml:space="preserve">were </w:t>
      </w:r>
      <w:r w:rsidRPr="00DC2ED9">
        <w:t>using both time and content appropriately when ch</w:t>
      </w:r>
      <w:r>
        <w:t>oosing attendance item numbers.</w:t>
      </w:r>
    </w:p>
    <w:p w14:paraId="772D2DF0" w14:textId="77777777" w:rsidR="00541393" w:rsidRPr="00C33C0B" w:rsidRDefault="00541393">
      <w:pPr>
        <w:pStyle w:val="Bullet2"/>
      </w:pPr>
      <w:r w:rsidRPr="00C33C0B">
        <w:t>Enable consistent, high</w:t>
      </w:r>
      <w:r w:rsidR="00365539">
        <w:t>-</w:t>
      </w:r>
      <w:r w:rsidRPr="00C33C0B">
        <w:t xml:space="preserve">quality care by specifying both </w:t>
      </w:r>
      <w:r w:rsidR="00252FCB">
        <w:t xml:space="preserve">the </w:t>
      </w:r>
      <w:r w:rsidRPr="00C33C0B">
        <w:t xml:space="preserve">attendance </w:t>
      </w:r>
      <w:r w:rsidR="009513B7">
        <w:t>duration</w:t>
      </w:r>
      <w:r w:rsidR="00FD513E">
        <w:t xml:space="preserve"> required</w:t>
      </w:r>
      <w:r w:rsidRPr="00C33C0B">
        <w:t xml:space="preserve"> and</w:t>
      </w:r>
      <w:r w:rsidR="008304F8">
        <w:t xml:space="preserve"> </w:t>
      </w:r>
      <w:r w:rsidR="00FD513E">
        <w:t>recommended</w:t>
      </w:r>
      <w:r w:rsidRPr="00C33C0B">
        <w:t xml:space="preserve"> activities for each attendance item</w:t>
      </w:r>
      <w:r w:rsidR="00E85DA9">
        <w:t>.</w:t>
      </w:r>
    </w:p>
    <w:p w14:paraId="1B483545" w14:textId="77777777" w:rsidR="00541393" w:rsidRPr="00C33C0B" w:rsidRDefault="00622B51">
      <w:pPr>
        <w:pStyle w:val="Bullet2"/>
      </w:pPr>
      <w:r>
        <w:t xml:space="preserve">Encourage an </w:t>
      </w:r>
      <w:r w:rsidR="00541393" w:rsidRPr="00C33C0B">
        <w:t>approach to care</w:t>
      </w:r>
      <w:r>
        <w:t xml:space="preserve"> that emphasises </w:t>
      </w:r>
      <w:r w:rsidR="00541393" w:rsidRPr="00C33C0B">
        <w:t>shared decision-making, including discussion of available treatment options</w:t>
      </w:r>
      <w:r w:rsidR="00B64415">
        <w:t xml:space="preserve"> and pathways, costs, likely outcomes</w:t>
      </w:r>
      <w:r w:rsidR="007B533A">
        <w:t xml:space="preserve"> and informed consent.</w:t>
      </w:r>
    </w:p>
    <w:p w14:paraId="3C304CE4" w14:textId="77777777" w:rsidR="00045DD2" w:rsidRPr="00C33C0B" w:rsidRDefault="00757424">
      <w:pPr>
        <w:pStyle w:val="Bullet2"/>
      </w:pPr>
      <w:r>
        <w:t>Incorporate</w:t>
      </w:r>
      <w:r w:rsidRPr="00C33C0B">
        <w:t xml:space="preserve"> </w:t>
      </w:r>
      <w:r w:rsidR="0030069F" w:rsidRPr="00C33C0B">
        <w:t>attendance</w:t>
      </w:r>
      <w:r w:rsidR="00045DD2" w:rsidRPr="00C33C0B">
        <w:t xml:space="preserve"> </w:t>
      </w:r>
      <w:r w:rsidR="0030069F" w:rsidRPr="00C33C0B">
        <w:t>items created for exceptional circumstances</w:t>
      </w:r>
      <w:r w:rsidR="00731023">
        <w:t>—</w:t>
      </w:r>
      <w:r w:rsidR="0030069F" w:rsidRPr="00C33C0B">
        <w:t xml:space="preserve">often because the </w:t>
      </w:r>
      <w:r w:rsidR="00731023">
        <w:t>duration of the</w:t>
      </w:r>
      <w:r w:rsidR="0030069F" w:rsidRPr="00C33C0B">
        <w:t xml:space="preserve"> attendance </w:t>
      </w:r>
      <w:r w:rsidR="00731023">
        <w:t>is</w:t>
      </w:r>
      <w:r w:rsidR="00731023" w:rsidRPr="00C33C0B">
        <w:t xml:space="preserve"> </w:t>
      </w:r>
      <w:r w:rsidR="00D20840" w:rsidRPr="00C33C0B">
        <w:t>longer than for other specialtie</w:t>
      </w:r>
      <w:r w:rsidR="00731023">
        <w:t>s—</w:t>
      </w:r>
      <w:r w:rsidR="00045DD2" w:rsidRPr="00C33C0B">
        <w:t>into one simplified structure</w:t>
      </w:r>
      <w:r w:rsidR="00731023">
        <w:t>.</w:t>
      </w:r>
    </w:p>
    <w:p w14:paraId="2402A2D8" w14:textId="77777777" w:rsidR="00581273" w:rsidRPr="00C33C0B" w:rsidRDefault="00581273">
      <w:pPr>
        <w:pStyle w:val="Bullet2"/>
      </w:pPr>
      <w:r w:rsidRPr="00C33C0B">
        <w:t xml:space="preserve">Simplify the attendance item schedule to enable more consistent billing to patients and more equitable </w:t>
      </w:r>
      <w:r w:rsidR="00B64415">
        <w:t xml:space="preserve">MBS reimbursements to patients for the services of </w:t>
      </w:r>
      <w:r w:rsidR="00AA329D">
        <w:t>consultant specialist</w:t>
      </w:r>
      <w:r w:rsidR="006219EB" w:rsidRPr="00C33C0B">
        <w:t>s</w:t>
      </w:r>
      <w:r w:rsidR="00111884">
        <w:t>.</w:t>
      </w:r>
    </w:p>
    <w:p w14:paraId="142DEE0C" w14:textId="77777777" w:rsidR="00555E49" w:rsidRPr="00C33C0B" w:rsidRDefault="00555E49">
      <w:pPr>
        <w:pStyle w:val="Bullet2"/>
      </w:pPr>
      <w:r w:rsidRPr="00C33C0B">
        <w:t xml:space="preserve">Improve access to </w:t>
      </w:r>
      <w:r w:rsidR="00B450F7">
        <w:t>s</w:t>
      </w:r>
      <w:r w:rsidR="00D20840" w:rsidRPr="00C33C0B">
        <w:t>pecialists</w:t>
      </w:r>
      <w:r w:rsidRPr="00C33C0B">
        <w:t xml:space="preserve"> </w:t>
      </w:r>
      <w:r w:rsidR="00B450F7">
        <w:t>who</w:t>
      </w:r>
      <w:r w:rsidR="00B450F7" w:rsidRPr="00C33C0B">
        <w:t xml:space="preserve"> </w:t>
      </w:r>
      <w:r w:rsidRPr="00C33C0B">
        <w:t xml:space="preserve">are highly consultative but </w:t>
      </w:r>
      <w:r w:rsidR="00B64415">
        <w:t xml:space="preserve">whose patients </w:t>
      </w:r>
      <w:r w:rsidRPr="00C33C0B">
        <w:t xml:space="preserve">can currently only access A3 </w:t>
      </w:r>
      <w:r w:rsidR="00B83518">
        <w:t>s</w:t>
      </w:r>
      <w:r w:rsidRPr="00C33C0B">
        <w:t xml:space="preserve">pecialist </w:t>
      </w:r>
      <w:r w:rsidR="00B83518">
        <w:t>a</w:t>
      </w:r>
      <w:r w:rsidRPr="00C33C0B">
        <w:t>ttendance items</w:t>
      </w:r>
      <w:r w:rsidR="001817A3" w:rsidRPr="00C33C0B">
        <w:t xml:space="preserve"> </w:t>
      </w:r>
      <w:r w:rsidRPr="00C33C0B">
        <w:t>(</w:t>
      </w:r>
      <w:r w:rsidR="00D22998">
        <w:t>for example,</w:t>
      </w:r>
      <w:r w:rsidRPr="00C33C0B">
        <w:t xml:space="preserve"> sports</w:t>
      </w:r>
      <w:r w:rsidR="00D20840" w:rsidRPr="00C33C0B">
        <w:t xml:space="preserve"> and exercise</w:t>
      </w:r>
      <w:r w:rsidRPr="00C33C0B">
        <w:t xml:space="preserve"> medicine</w:t>
      </w:r>
      <w:r w:rsidR="00ED787B" w:rsidRPr="00C33C0B">
        <w:t>, dermatology</w:t>
      </w:r>
      <w:r w:rsidRPr="00C33C0B">
        <w:t>)</w:t>
      </w:r>
      <w:r w:rsidR="00EE6475">
        <w:t>.</w:t>
      </w:r>
    </w:p>
    <w:p w14:paraId="4111F0F7" w14:textId="77777777" w:rsidR="00581273" w:rsidRDefault="00581273">
      <w:pPr>
        <w:pStyle w:val="Bullet2"/>
      </w:pPr>
      <w:r w:rsidRPr="00C33C0B">
        <w:t xml:space="preserve">Reduce </w:t>
      </w:r>
      <w:r w:rsidR="00622B51">
        <w:t>the</w:t>
      </w:r>
      <w:r w:rsidR="000A7FE0" w:rsidRPr="00C33C0B">
        <w:t xml:space="preserve"> incentive</w:t>
      </w:r>
      <w:r w:rsidRPr="00C33C0B">
        <w:t xml:space="preserve"> to </w:t>
      </w:r>
      <w:r w:rsidR="007754FB" w:rsidRPr="00C33C0B">
        <w:t xml:space="preserve">inconsistently </w:t>
      </w:r>
      <w:r w:rsidR="00B64415">
        <w:t>itemise</w:t>
      </w:r>
      <w:r w:rsidR="00B64415" w:rsidRPr="00C33C0B">
        <w:t xml:space="preserve"> </w:t>
      </w:r>
      <w:r w:rsidRPr="00C33C0B">
        <w:t xml:space="preserve">initial attendances by </w:t>
      </w:r>
      <w:r w:rsidR="00B64415">
        <w:t xml:space="preserve">providing rebates to patients of </w:t>
      </w:r>
      <w:r w:rsidRPr="00C33C0B">
        <w:t>p</w:t>
      </w:r>
      <w:r w:rsidR="007754FB" w:rsidRPr="00C33C0B">
        <w:t xml:space="preserve">hysicians for longer attendances </w:t>
      </w:r>
      <w:r w:rsidRPr="00C33C0B">
        <w:t>and discussion of availab</w:t>
      </w:r>
      <w:r w:rsidR="00EE0C69" w:rsidRPr="00C33C0B">
        <w:t>le treatment options</w:t>
      </w:r>
      <w:r w:rsidR="00F02610">
        <w:t>.</w:t>
      </w:r>
      <w:r w:rsidR="006D55C7">
        <w:t xml:space="preserve"> </w:t>
      </w:r>
    </w:p>
    <w:p w14:paraId="68560CD1" w14:textId="77777777" w:rsidR="006D55C7" w:rsidRDefault="006D55C7">
      <w:pPr>
        <w:pStyle w:val="Bullet2"/>
      </w:pPr>
      <w:r>
        <w:t>For example, the U</w:t>
      </w:r>
      <w:r w:rsidRPr="00EE0C69">
        <w:t xml:space="preserve">rology </w:t>
      </w:r>
      <w:r>
        <w:t>Clinical C</w:t>
      </w:r>
      <w:r w:rsidRPr="00EE0C69">
        <w:t xml:space="preserve">ommittee </w:t>
      </w:r>
      <w:r>
        <w:t xml:space="preserve">has </w:t>
      </w:r>
      <w:r w:rsidR="00B64415">
        <w:t xml:space="preserve">identified the benefits of longer consultations for patients with prostate cancer </w:t>
      </w:r>
      <w:r>
        <w:t xml:space="preserve">to give </w:t>
      </w:r>
      <w:r w:rsidRPr="00EE0C69">
        <w:t xml:space="preserve">a </w:t>
      </w:r>
      <w:r>
        <w:t>full</w:t>
      </w:r>
      <w:r w:rsidRPr="00EE0C69">
        <w:t xml:space="preserve"> explanation of </w:t>
      </w:r>
      <w:r w:rsidR="00BA5E14">
        <w:t xml:space="preserve">the </w:t>
      </w:r>
      <w:r w:rsidRPr="00EE0C69">
        <w:t xml:space="preserve">treatment options </w:t>
      </w:r>
      <w:r>
        <w:t>available</w:t>
      </w:r>
      <w:r w:rsidR="00BA5E14">
        <w:t xml:space="preserve">. </w:t>
      </w:r>
    </w:p>
    <w:p w14:paraId="4836AD01" w14:textId="77777777" w:rsidR="003C6FAA" w:rsidRDefault="003C6FAA" w:rsidP="003C6FAA">
      <w:pPr>
        <w:pStyle w:val="Bullet-green"/>
      </w:pPr>
      <w:r>
        <w:t>The Committee recommends keeping prolonged attendance items</w:t>
      </w:r>
      <w:r w:rsidR="00DC7CCD">
        <w:t xml:space="preserve"> unchanged</w:t>
      </w:r>
      <w:r>
        <w:t xml:space="preserve"> (Group A5, items 160-164) as these items are for attendances from one to five hours (longer than the recommended time tiers) and are for specific clinical scenarios.</w:t>
      </w:r>
    </w:p>
    <w:p w14:paraId="7497DB99" w14:textId="77777777" w:rsidR="00E5557E" w:rsidRDefault="00A23801" w:rsidP="00B20C96">
      <w:pPr>
        <w:pStyle w:val="Bullet-green"/>
      </w:pPr>
      <w:r>
        <w:t>T</w:t>
      </w:r>
      <w:r w:rsidRPr="001B05B0">
        <w:t xml:space="preserve">he Committee </w:t>
      </w:r>
      <w:r>
        <w:t>recognises</w:t>
      </w:r>
      <w:r w:rsidRPr="00445975">
        <w:t xml:space="preserve"> </w:t>
      </w:r>
      <w:r>
        <w:t xml:space="preserve">that </w:t>
      </w:r>
      <w:r>
        <w:rPr>
          <w:lang w:val="en-GB" w:eastAsia="en-US"/>
        </w:rPr>
        <w:t xml:space="preserve">schedule fees </w:t>
      </w:r>
      <w:r>
        <w:t>for attendance items take non-patient-</w:t>
      </w:r>
      <w:r w:rsidRPr="00445975">
        <w:t>facing time</w:t>
      </w:r>
      <w:r>
        <w:t xml:space="preserve"> into account.</w:t>
      </w:r>
      <w:r w:rsidRPr="00445975">
        <w:t xml:space="preserve"> </w:t>
      </w:r>
      <w:r>
        <w:t xml:space="preserve">This may include making notes, accessing results or contacting peers. </w:t>
      </w:r>
    </w:p>
    <w:p w14:paraId="00D06D6E" w14:textId="77777777" w:rsidR="00A23801" w:rsidRDefault="00A23801" w:rsidP="00B20C96">
      <w:pPr>
        <w:pStyle w:val="Bullet-green"/>
      </w:pPr>
      <w:r>
        <w:t>The methodology for calculating</w:t>
      </w:r>
      <w:r w:rsidRPr="00445975">
        <w:t xml:space="preserve"> </w:t>
      </w:r>
      <w:r>
        <w:t xml:space="preserve">schedule </w:t>
      </w:r>
      <w:r w:rsidRPr="00445975">
        <w:t xml:space="preserve">fees is outside </w:t>
      </w:r>
      <w:r>
        <w:t>the scope of the</w:t>
      </w:r>
      <w:r w:rsidRPr="00445975">
        <w:t xml:space="preserve"> Committee.</w:t>
      </w:r>
    </w:p>
    <w:p w14:paraId="5702B75A" w14:textId="77777777" w:rsidR="000207BA" w:rsidRDefault="006D55C7" w:rsidP="00B20C96">
      <w:pPr>
        <w:pStyle w:val="Bullet-green"/>
      </w:pPr>
      <w:r>
        <w:t>Non-patient-facing time should not contribute to the duration of the attendance</w:t>
      </w:r>
      <w:r w:rsidR="00E5557E">
        <w:t>. However,</w:t>
      </w:r>
      <w:r>
        <w:t xml:space="preserve"> </w:t>
      </w:r>
      <w:r w:rsidR="00E5557E">
        <w:t xml:space="preserve">non-patient facing time should be implicitly included in the </w:t>
      </w:r>
      <w:r>
        <w:t xml:space="preserve">calculation of </w:t>
      </w:r>
      <w:r w:rsidRPr="00923113">
        <w:t>schedule fees for attendance items</w:t>
      </w:r>
      <w:r>
        <w:t xml:space="preserve">. </w:t>
      </w:r>
      <w:r w:rsidR="000207BA">
        <w:t>T</w:t>
      </w:r>
      <w:r w:rsidR="000207BA" w:rsidRPr="00CD6819">
        <w:t xml:space="preserve">he Committee notes that this does not account for differences in non-patient-facing time between specialties, and that </w:t>
      </w:r>
      <w:r w:rsidR="00BA5E14">
        <w:t>clinicians</w:t>
      </w:r>
      <w:r w:rsidR="00BA5E14" w:rsidRPr="00CD6819">
        <w:t xml:space="preserve"> </w:t>
      </w:r>
      <w:r w:rsidR="000207BA" w:rsidRPr="00CD6819">
        <w:t xml:space="preserve">do not always </w:t>
      </w:r>
      <w:r w:rsidR="00BA5E14">
        <w:t>explain</w:t>
      </w:r>
      <w:r w:rsidR="000930A7">
        <w:t xml:space="preserve"> or discuss</w:t>
      </w:r>
      <w:r w:rsidR="00BA5E14">
        <w:t xml:space="preserve"> with consumers the </w:t>
      </w:r>
      <w:r w:rsidR="00AD6FDD">
        <w:t>need for</w:t>
      </w:r>
      <w:r w:rsidR="00BA5E14">
        <w:t>,</w:t>
      </w:r>
      <w:r w:rsidR="00AD6FDD">
        <w:t xml:space="preserve"> or cost of</w:t>
      </w:r>
      <w:r w:rsidR="00BA5E14">
        <w:t>,</w:t>
      </w:r>
      <w:r w:rsidR="00AD6FDD">
        <w:t xml:space="preserve"> </w:t>
      </w:r>
      <w:r w:rsidR="000207BA" w:rsidRPr="00CD6819">
        <w:t>the non-patient-facing component of attendances.</w:t>
      </w:r>
    </w:p>
    <w:p w14:paraId="1E40DFD9" w14:textId="77777777" w:rsidR="00006116" w:rsidRPr="00607BDA" w:rsidRDefault="00006116" w:rsidP="00607BDA">
      <w:pPr>
        <w:pStyle w:val="Heading3"/>
      </w:pPr>
      <w:bookmarkStart w:id="129" w:name="_Toc24544690"/>
      <w:r>
        <w:t>Alternative</w:t>
      </w:r>
      <w:r w:rsidRPr="00C33C0B">
        <w:t xml:space="preserve"> options to time</w:t>
      </w:r>
      <w:r>
        <w:t>-</w:t>
      </w:r>
      <w:r w:rsidRPr="00C33C0B">
        <w:t>tiering</w:t>
      </w:r>
      <w:bookmarkEnd w:id="129"/>
      <w:r w:rsidRPr="00607BDA">
        <w:t xml:space="preserve"> </w:t>
      </w:r>
    </w:p>
    <w:p w14:paraId="39D85934" w14:textId="77777777" w:rsidR="003624B5" w:rsidRPr="00C33C0B" w:rsidRDefault="003624B5" w:rsidP="003624B5">
      <w:pPr>
        <w:pStyle w:val="Bullet-green"/>
        <w:numPr>
          <w:ilvl w:val="0"/>
          <w:numId w:val="0"/>
        </w:numPr>
        <w:rPr>
          <w:lang w:val="en-GB"/>
        </w:rPr>
      </w:pPr>
      <w:r w:rsidRPr="00C33C0B">
        <w:rPr>
          <w:lang w:val="en-GB"/>
        </w:rPr>
        <w:t>The Committee considered introducing three levels of attendance items</w:t>
      </w:r>
      <w:r>
        <w:rPr>
          <w:lang w:val="en-GB"/>
        </w:rPr>
        <w:t>,</w:t>
      </w:r>
      <w:r w:rsidRPr="00C33C0B">
        <w:rPr>
          <w:lang w:val="en-GB"/>
        </w:rPr>
        <w:t xml:space="preserve"> based on the proportion of MBS income derived from attendance items (with Level 1 receiving the lowest </w:t>
      </w:r>
      <w:r>
        <w:rPr>
          <w:lang w:val="en-GB"/>
        </w:rPr>
        <w:t>schedule fee</w:t>
      </w:r>
      <w:r w:rsidRPr="00C33C0B">
        <w:rPr>
          <w:lang w:val="en-GB"/>
        </w:rPr>
        <w:t>):</w:t>
      </w:r>
    </w:p>
    <w:p w14:paraId="3BE303C5" w14:textId="77777777" w:rsidR="003624B5" w:rsidRPr="00C33C0B" w:rsidRDefault="003624B5">
      <w:pPr>
        <w:pStyle w:val="Bullet-green"/>
      </w:pPr>
      <w:r w:rsidRPr="00C33C0B">
        <w:t>Level 1: Less than 40</w:t>
      </w:r>
      <w:r>
        <w:t xml:space="preserve"> per cent of</w:t>
      </w:r>
      <w:r w:rsidRPr="00C33C0B">
        <w:t xml:space="preserve"> income derived from attendances</w:t>
      </w:r>
      <w:r>
        <w:t>.</w:t>
      </w:r>
    </w:p>
    <w:p w14:paraId="0F147B47" w14:textId="77777777" w:rsidR="003624B5" w:rsidRPr="00C33C0B" w:rsidRDefault="003624B5">
      <w:pPr>
        <w:pStyle w:val="Bullet-green"/>
      </w:pPr>
      <w:r w:rsidRPr="00C33C0B">
        <w:t>Level 2: Between 40</w:t>
      </w:r>
      <w:r>
        <w:t xml:space="preserve"> and </w:t>
      </w:r>
      <w:r w:rsidRPr="00C33C0B">
        <w:t>65</w:t>
      </w:r>
      <w:r>
        <w:t xml:space="preserve"> per cent</w:t>
      </w:r>
      <w:r w:rsidRPr="00C33C0B">
        <w:t xml:space="preserve"> of income derived from attendances</w:t>
      </w:r>
      <w:r>
        <w:t>.</w:t>
      </w:r>
    </w:p>
    <w:p w14:paraId="1FCA1D0D" w14:textId="77777777" w:rsidR="003624B5" w:rsidRPr="00C33C0B" w:rsidRDefault="003624B5">
      <w:pPr>
        <w:pStyle w:val="Bullet-green"/>
      </w:pPr>
      <w:r w:rsidRPr="00C33C0B">
        <w:t>Level 3: More than 65</w:t>
      </w:r>
      <w:r>
        <w:t xml:space="preserve"> per cent </w:t>
      </w:r>
      <w:r w:rsidRPr="00C33C0B">
        <w:t>of income derived from attendances</w:t>
      </w:r>
      <w:r>
        <w:t>.</w:t>
      </w:r>
    </w:p>
    <w:p w14:paraId="27C92F6D" w14:textId="77777777" w:rsidR="003624B5" w:rsidRPr="00C33C0B" w:rsidRDefault="003624B5" w:rsidP="003624B5">
      <w:pPr>
        <w:pStyle w:val="Bullet-green"/>
        <w:numPr>
          <w:ilvl w:val="0"/>
          <w:numId w:val="0"/>
        </w:numPr>
        <w:ind w:left="431" w:hanging="431"/>
        <w:rPr>
          <w:lang w:val="en-GB"/>
        </w:rPr>
      </w:pPr>
      <w:r w:rsidRPr="00C33C0B">
        <w:rPr>
          <w:lang w:val="en-GB"/>
        </w:rPr>
        <w:t>The Committee did not endorse this approach for the following reasons:</w:t>
      </w:r>
    </w:p>
    <w:p w14:paraId="6C2D28CF" w14:textId="77777777" w:rsidR="003624B5" w:rsidRPr="00607BDA" w:rsidRDefault="003624B5">
      <w:pPr>
        <w:pStyle w:val="Bullet-green"/>
      </w:pPr>
      <w:r w:rsidRPr="00607BDA">
        <w:t>Specialist groups would need to be categorised based on MBS income derived from attendance items at a single point in time, meaning that future changes in clinical practice would not be reflected in the model.</w:t>
      </w:r>
    </w:p>
    <w:p w14:paraId="1B838097" w14:textId="77777777" w:rsidR="003624B5" w:rsidRPr="00006116" w:rsidRDefault="003624B5">
      <w:pPr>
        <w:pStyle w:val="Bullet-green"/>
      </w:pPr>
      <w:r w:rsidRPr="00006116">
        <w:t>There are large sub-specialty differences in use of attendance items and this approach would not accurately reflect the distinct and variable differences across sub-specialties.</w:t>
      </w:r>
    </w:p>
    <w:p w14:paraId="1EE8F035" w14:textId="77777777" w:rsidR="003624B5" w:rsidRPr="00006116" w:rsidRDefault="003624B5">
      <w:pPr>
        <w:pStyle w:val="Bullet-green"/>
      </w:pPr>
      <w:r w:rsidRPr="00006116">
        <w:t>Such a system is not clear or defensible to consumers, to whom MBS payments are made.</w:t>
      </w:r>
    </w:p>
    <w:p w14:paraId="6953E270" w14:textId="77777777" w:rsidR="00472A1E" w:rsidRPr="00C33C0B" w:rsidRDefault="00472A1E" w:rsidP="003C5D5A">
      <w:pPr>
        <w:pStyle w:val="Heading2"/>
      </w:pPr>
      <w:bookmarkStart w:id="130" w:name="_Toc24544691"/>
      <w:bookmarkStart w:id="131" w:name="_Hlk529009374"/>
      <w:bookmarkEnd w:id="105"/>
      <w:r w:rsidRPr="00C33C0B">
        <w:t>Recommendation 2</w:t>
      </w:r>
      <w:r w:rsidR="00052ADF">
        <w:t xml:space="preserve"> – Introduce new attendance items for acute, urgent and unplanned attendances</w:t>
      </w:r>
      <w:bookmarkEnd w:id="130"/>
    </w:p>
    <w:p w14:paraId="5222E3F0" w14:textId="77777777" w:rsidR="00052ADF" w:rsidRDefault="00052ADF" w:rsidP="00052ADF">
      <w:pPr>
        <w:pStyle w:val="Bullet-green"/>
        <w:numPr>
          <w:ilvl w:val="0"/>
          <w:numId w:val="0"/>
        </w:numPr>
        <w:ind w:left="431" w:hanging="431"/>
        <w:rPr>
          <w:lang w:val="en-GB"/>
        </w:rPr>
      </w:pPr>
      <w:r>
        <w:rPr>
          <w:lang w:val="en-GB"/>
        </w:rPr>
        <w:t>The Committee recommends:</w:t>
      </w:r>
    </w:p>
    <w:p w14:paraId="1F8F54B1" w14:textId="77777777" w:rsidR="00472A1E" w:rsidRDefault="00052ADF" w:rsidP="000831A1">
      <w:pPr>
        <w:pStyle w:val="Bullet-green"/>
        <w:numPr>
          <w:ilvl w:val="0"/>
          <w:numId w:val="65"/>
        </w:numPr>
        <w:rPr>
          <w:lang w:val="en-GB"/>
        </w:rPr>
      </w:pPr>
      <w:r>
        <w:rPr>
          <w:lang w:val="en-GB"/>
        </w:rPr>
        <w:t>c</w:t>
      </w:r>
      <w:r w:rsidR="00472A1E">
        <w:rPr>
          <w:lang w:val="en-GB"/>
        </w:rPr>
        <w:t>reat</w:t>
      </w:r>
      <w:r>
        <w:rPr>
          <w:lang w:val="en-GB"/>
        </w:rPr>
        <w:t>ing</w:t>
      </w:r>
      <w:r w:rsidR="00472A1E" w:rsidRPr="00C33C0B">
        <w:rPr>
          <w:lang w:val="en-GB"/>
        </w:rPr>
        <w:t xml:space="preserve"> </w:t>
      </w:r>
      <w:r w:rsidR="00472A1E">
        <w:rPr>
          <w:lang w:val="en-GB"/>
        </w:rPr>
        <w:t xml:space="preserve">four </w:t>
      </w:r>
      <w:r w:rsidR="00472A1E" w:rsidRPr="00C33C0B">
        <w:rPr>
          <w:lang w:val="en-GB"/>
        </w:rPr>
        <w:t xml:space="preserve">new </w:t>
      </w:r>
      <w:r w:rsidR="00472A1E">
        <w:rPr>
          <w:lang w:val="en-GB"/>
        </w:rPr>
        <w:t>time</w:t>
      </w:r>
      <w:r w:rsidR="00E15B86">
        <w:rPr>
          <w:lang w:val="en-GB"/>
        </w:rPr>
        <w:t>-</w:t>
      </w:r>
      <w:r w:rsidR="00472A1E">
        <w:rPr>
          <w:lang w:val="en-GB"/>
        </w:rPr>
        <w:t xml:space="preserve">tiered </w:t>
      </w:r>
      <w:r w:rsidR="00472A1E" w:rsidRPr="00C33C0B">
        <w:rPr>
          <w:lang w:val="en-GB"/>
        </w:rPr>
        <w:t>attendance item</w:t>
      </w:r>
      <w:r w:rsidR="00472A1E">
        <w:rPr>
          <w:lang w:val="en-GB"/>
        </w:rPr>
        <w:t>s for acute, urgent, and unplanned attendances</w:t>
      </w:r>
      <w:r w:rsidR="006549E9">
        <w:rPr>
          <w:lang w:val="en-GB"/>
        </w:rPr>
        <w:t xml:space="preserve">; </w:t>
      </w:r>
    </w:p>
    <w:p w14:paraId="58B0D05C" w14:textId="77777777" w:rsidR="00472A1E" w:rsidRPr="00607BDA" w:rsidRDefault="00052ADF" w:rsidP="000831A1">
      <w:pPr>
        <w:pStyle w:val="Bullet-green"/>
        <w:numPr>
          <w:ilvl w:val="0"/>
          <w:numId w:val="65"/>
        </w:numPr>
        <w:rPr>
          <w:lang w:val="en-GB"/>
        </w:rPr>
      </w:pPr>
      <w:r>
        <w:rPr>
          <w:lang w:val="en-GB"/>
        </w:rPr>
        <w:t>sp</w:t>
      </w:r>
      <w:r w:rsidR="00472A1E" w:rsidRPr="00607BDA">
        <w:rPr>
          <w:lang w:val="en-GB"/>
        </w:rPr>
        <w:t>ecify</w:t>
      </w:r>
      <w:r>
        <w:rPr>
          <w:lang w:val="en-GB"/>
        </w:rPr>
        <w:t>ing</w:t>
      </w:r>
      <w:r w:rsidR="00472A1E" w:rsidRPr="00607BDA">
        <w:rPr>
          <w:lang w:val="en-GB"/>
        </w:rPr>
        <w:t xml:space="preserve"> that these items are only to be used in specific situations where the attendance is acute, urgent, unplanned, and does not take place in the consultant specialist’s consulting rooms or in the emergency department of a public hospital</w:t>
      </w:r>
      <w:r w:rsidR="006549E9">
        <w:rPr>
          <w:lang w:val="en-GB"/>
        </w:rPr>
        <w:t>;</w:t>
      </w:r>
      <w:r w:rsidR="00472A1E" w:rsidRPr="00607BDA">
        <w:rPr>
          <w:lang w:val="en-GB"/>
        </w:rPr>
        <w:t xml:space="preserve"> </w:t>
      </w:r>
    </w:p>
    <w:p w14:paraId="12362CE5" w14:textId="77777777" w:rsidR="00472A1E" w:rsidRPr="00607BDA" w:rsidRDefault="00052ADF" w:rsidP="000831A1">
      <w:pPr>
        <w:pStyle w:val="Bullet-green"/>
        <w:numPr>
          <w:ilvl w:val="0"/>
          <w:numId w:val="65"/>
        </w:numPr>
        <w:rPr>
          <w:lang w:val="en-GB"/>
        </w:rPr>
      </w:pPr>
      <w:r>
        <w:rPr>
          <w:lang w:val="en-GB"/>
        </w:rPr>
        <w:t>s</w:t>
      </w:r>
      <w:r w:rsidR="00472A1E" w:rsidRPr="00607BDA">
        <w:rPr>
          <w:lang w:val="en-GB"/>
        </w:rPr>
        <w:t>pecify</w:t>
      </w:r>
      <w:r>
        <w:rPr>
          <w:lang w:val="en-GB"/>
        </w:rPr>
        <w:t>ing</w:t>
      </w:r>
      <w:r w:rsidR="00472A1E" w:rsidRPr="00607BDA">
        <w:rPr>
          <w:lang w:val="en-GB"/>
        </w:rPr>
        <w:t xml:space="preserve"> that the duration of these time tiers should be the same as Levels B, C, D, and E used for standard attendance items (</w:t>
      </w:r>
      <w:r w:rsidRPr="00607BDA">
        <w:rPr>
          <w:i/>
          <w:lang w:val="en-GB"/>
        </w:rPr>
        <w:t xml:space="preserve">refer to </w:t>
      </w:r>
      <w:r w:rsidR="00472A1E" w:rsidRPr="00607BDA">
        <w:rPr>
          <w:i/>
          <w:lang w:val="en-GB"/>
        </w:rPr>
        <w:t>Recommendation 1</w:t>
      </w:r>
      <w:r w:rsidR="00472A1E" w:rsidRPr="00607BDA">
        <w:rPr>
          <w:lang w:val="en-GB"/>
        </w:rPr>
        <w:t>)</w:t>
      </w:r>
      <w:r w:rsidR="006549E9">
        <w:rPr>
          <w:lang w:val="en-GB"/>
        </w:rPr>
        <w:t>;</w:t>
      </w:r>
    </w:p>
    <w:p w14:paraId="43650E01" w14:textId="77777777" w:rsidR="00472A1E" w:rsidRPr="00C33C0B" w:rsidRDefault="00472A1E" w:rsidP="000831A1">
      <w:pPr>
        <w:pStyle w:val="Bullet-green"/>
        <w:numPr>
          <w:ilvl w:val="0"/>
          <w:numId w:val="65"/>
        </w:numPr>
        <w:rPr>
          <w:lang w:val="en-GB"/>
        </w:rPr>
      </w:pPr>
      <w:r w:rsidRPr="00C33C0B">
        <w:rPr>
          <w:lang w:val="en-GB"/>
        </w:rPr>
        <w:t>a schedule fee</w:t>
      </w:r>
      <w:r>
        <w:rPr>
          <w:lang w:val="en-GB"/>
        </w:rPr>
        <w:t xml:space="preserve"> for these items </w:t>
      </w:r>
      <w:r w:rsidR="00DC7CCD">
        <w:rPr>
          <w:lang w:val="en-GB"/>
        </w:rPr>
        <w:t xml:space="preserve">that is higher than the schedule fee for </w:t>
      </w:r>
      <w:r w:rsidR="0023319F">
        <w:rPr>
          <w:lang w:val="en-GB"/>
        </w:rPr>
        <w:t>standard time</w:t>
      </w:r>
      <w:r w:rsidR="00E15B86">
        <w:rPr>
          <w:lang w:val="en-GB"/>
        </w:rPr>
        <w:t>-</w:t>
      </w:r>
      <w:r w:rsidR="0023319F">
        <w:rPr>
          <w:lang w:val="en-GB"/>
        </w:rPr>
        <w:t xml:space="preserve">tiered </w:t>
      </w:r>
      <w:r w:rsidR="00DC7CCD">
        <w:rPr>
          <w:lang w:val="en-GB"/>
        </w:rPr>
        <w:t>attendances of equivalent duration</w:t>
      </w:r>
      <w:r w:rsidR="006549E9">
        <w:rPr>
          <w:lang w:val="en-GB"/>
        </w:rPr>
        <w:t>;</w:t>
      </w:r>
      <w:r w:rsidR="00052ADF">
        <w:rPr>
          <w:lang w:val="en-GB"/>
        </w:rPr>
        <w:t xml:space="preserve"> and</w:t>
      </w:r>
      <w:r w:rsidR="00466F00">
        <w:rPr>
          <w:lang w:val="en-GB"/>
        </w:rPr>
        <w:t xml:space="preserve"> </w:t>
      </w:r>
    </w:p>
    <w:p w14:paraId="16D71AC7" w14:textId="77777777" w:rsidR="00472A1E" w:rsidRPr="00C33C0B" w:rsidRDefault="00052ADF" w:rsidP="000831A1">
      <w:pPr>
        <w:pStyle w:val="Bullet-green"/>
        <w:numPr>
          <w:ilvl w:val="0"/>
          <w:numId w:val="65"/>
        </w:numPr>
        <w:rPr>
          <w:lang w:val="en-GB"/>
        </w:rPr>
      </w:pPr>
      <w:r>
        <w:rPr>
          <w:lang w:val="en-GB"/>
        </w:rPr>
        <w:t>that t</w:t>
      </w:r>
      <w:r w:rsidR="00472A1E">
        <w:rPr>
          <w:lang w:val="en-GB"/>
        </w:rPr>
        <w:t>hese items</w:t>
      </w:r>
      <w:r w:rsidR="00472A1E" w:rsidRPr="00C33C0B">
        <w:rPr>
          <w:lang w:val="en-GB"/>
        </w:rPr>
        <w:t xml:space="preserve"> should </w:t>
      </w:r>
      <w:r w:rsidR="00472A1E">
        <w:rPr>
          <w:lang w:val="en-GB"/>
        </w:rPr>
        <w:t xml:space="preserve">be restricted from being </w:t>
      </w:r>
      <w:r w:rsidR="00472A1E" w:rsidRPr="00C33C0B">
        <w:rPr>
          <w:lang w:val="en-GB"/>
        </w:rPr>
        <w:t xml:space="preserve">claimed </w:t>
      </w:r>
      <w:r w:rsidR="00E15B86">
        <w:rPr>
          <w:lang w:val="en-GB"/>
        </w:rPr>
        <w:t>alongside</w:t>
      </w:r>
      <w:r w:rsidR="00E15B86" w:rsidRPr="00C33C0B">
        <w:rPr>
          <w:lang w:val="en-GB"/>
        </w:rPr>
        <w:t xml:space="preserve"> </w:t>
      </w:r>
      <w:r w:rsidR="00472A1E" w:rsidRPr="00C33C0B">
        <w:rPr>
          <w:lang w:val="en-GB"/>
        </w:rPr>
        <w:t>prolonged attendance item</w:t>
      </w:r>
      <w:r w:rsidR="00472A1E">
        <w:rPr>
          <w:lang w:val="en-GB"/>
        </w:rPr>
        <w:t xml:space="preserve">s 160-164 </w:t>
      </w:r>
      <w:r w:rsidR="00472A1E" w:rsidRPr="00C33C0B">
        <w:rPr>
          <w:lang w:val="en-GB"/>
        </w:rPr>
        <w:t>where the patient is in imminent danger of death.</w:t>
      </w:r>
    </w:p>
    <w:p w14:paraId="552AF2AC" w14:textId="77777777" w:rsidR="00F13F89" w:rsidRDefault="00F13F89" w:rsidP="00F13F89">
      <w:pPr>
        <w:pStyle w:val="Caption"/>
      </w:pPr>
      <w:bookmarkStart w:id="132" w:name="_Toc529028297"/>
      <w:r>
        <w:t xml:space="preserve">Table </w:t>
      </w:r>
      <w:r w:rsidR="0001226A">
        <w:rPr>
          <w:noProof/>
        </w:rPr>
        <w:t>5</w:t>
      </w:r>
      <w:r>
        <w:t xml:space="preserve">: </w:t>
      </w:r>
      <w:r w:rsidRPr="00F13F89">
        <w:t>Acute attendance item descriptors</w:t>
      </w:r>
      <w:bookmarkEnd w:id="13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able 3: Acute attendance item descriptors"/>
        <w:tblDescription w:val="Table 3 is a 3 column table. Column 1 is the item. Column 2 is the duration of the item. Column 3 is the item descriptor. "/>
      </w:tblPr>
      <w:tblGrid>
        <w:gridCol w:w="613"/>
        <w:gridCol w:w="874"/>
        <w:gridCol w:w="6815"/>
      </w:tblGrid>
      <w:tr w:rsidR="00472A1E" w:rsidRPr="00C33C0B" w14:paraId="02828450" w14:textId="77777777" w:rsidTr="00F13F89">
        <w:trPr>
          <w:tblHeader/>
        </w:trPr>
        <w:tc>
          <w:tcPr>
            <w:tcW w:w="615" w:type="dxa"/>
            <w:shd w:val="clear" w:color="auto" w:fill="306244"/>
            <w:vAlign w:val="bottom"/>
          </w:tcPr>
          <w:p w14:paraId="6BAC9B08" w14:textId="77777777" w:rsidR="00472A1E" w:rsidRPr="00C33C0B" w:rsidRDefault="00472A1E" w:rsidP="00472A1E">
            <w:pPr>
              <w:spacing w:before="20" w:after="20" w:line="240" w:lineRule="auto"/>
              <w:rPr>
                <w:b/>
                <w:bCs/>
                <w:color w:val="FFFFFF" w:themeColor="background1"/>
                <w:lang w:val="en-GB"/>
              </w:rPr>
            </w:pPr>
            <w:r w:rsidRPr="00C33C0B">
              <w:rPr>
                <w:b/>
                <w:bCs/>
                <w:color w:val="FFFFFF" w:themeColor="background1"/>
                <w:lang w:val="en-GB"/>
              </w:rPr>
              <w:t>Item</w:t>
            </w:r>
          </w:p>
        </w:tc>
        <w:tc>
          <w:tcPr>
            <w:tcW w:w="874" w:type="dxa"/>
            <w:shd w:val="clear" w:color="auto" w:fill="306244"/>
          </w:tcPr>
          <w:p w14:paraId="57C466FC" w14:textId="77777777" w:rsidR="00472A1E" w:rsidRPr="00C33C0B" w:rsidRDefault="00472A1E" w:rsidP="00472A1E">
            <w:pPr>
              <w:spacing w:before="20" w:after="20" w:line="240" w:lineRule="auto"/>
              <w:rPr>
                <w:b/>
                <w:bCs/>
                <w:color w:val="FFFFFF" w:themeColor="background1"/>
                <w:lang w:val="en-GB"/>
              </w:rPr>
            </w:pPr>
            <w:r>
              <w:rPr>
                <w:b/>
                <w:bCs/>
                <w:color w:val="FFFFFF" w:themeColor="background1"/>
                <w:lang w:val="en-GB"/>
              </w:rPr>
              <w:t>Duration</w:t>
            </w:r>
          </w:p>
        </w:tc>
        <w:tc>
          <w:tcPr>
            <w:tcW w:w="6879" w:type="dxa"/>
            <w:shd w:val="clear" w:color="auto" w:fill="306244"/>
            <w:vAlign w:val="bottom"/>
          </w:tcPr>
          <w:p w14:paraId="24AFACBD" w14:textId="77777777" w:rsidR="00472A1E" w:rsidRPr="00C33C0B" w:rsidRDefault="00472A1E" w:rsidP="00472A1E">
            <w:pPr>
              <w:spacing w:before="20" w:after="20" w:line="240" w:lineRule="auto"/>
              <w:rPr>
                <w:b/>
                <w:color w:val="FFFFFF" w:themeColor="background1"/>
                <w:lang w:val="en-GB"/>
              </w:rPr>
            </w:pPr>
            <w:r w:rsidRPr="00C33C0B">
              <w:rPr>
                <w:b/>
                <w:bCs/>
                <w:color w:val="FFFFFF" w:themeColor="background1"/>
                <w:lang w:val="en-GB"/>
              </w:rPr>
              <w:t xml:space="preserve">Item descriptor </w:t>
            </w:r>
          </w:p>
        </w:tc>
      </w:tr>
      <w:tr w:rsidR="00472A1E" w:rsidRPr="00C33C0B" w14:paraId="65313701" w14:textId="77777777" w:rsidTr="00F13F89">
        <w:tc>
          <w:tcPr>
            <w:tcW w:w="615" w:type="dxa"/>
            <w:shd w:val="clear" w:color="auto" w:fill="auto"/>
          </w:tcPr>
          <w:p w14:paraId="641AA6A2" w14:textId="77777777" w:rsidR="00472A1E" w:rsidRPr="00C33C0B" w:rsidRDefault="00472A1E" w:rsidP="00472A1E">
            <w:pPr>
              <w:spacing w:before="20" w:after="20" w:line="240" w:lineRule="auto"/>
              <w:rPr>
                <w:bCs/>
                <w:lang w:val="en-GB"/>
              </w:rPr>
            </w:pPr>
            <w:r w:rsidRPr="00C33C0B">
              <w:rPr>
                <w:bCs/>
                <w:lang w:val="en-GB"/>
              </w:rPr>
              <w:t>XY1</w:t>
            </w:r>
          </w:p>
        </w:tc>
        <w:tc>
          <w:tcPr>
            <w:tcW w:w="874" w:type="dxa"/>
          </w:tcPr>
          <w:p w14:paraId="6D77902F" w14:textId="77777777" w:rsidR="00472A1E" w:rsidRPr="00C33C0B" w:rsidRDefault="00472A1E" w:rsidP="00472A1E">
            <w:pPr>
              <w:spacing w:before="20" w:after="20" w:line="240" w:lineRule="auto"/>
              <w:rPr>
                <w:bCs/>
                <w:lang w:val="en-GB"/>
              </w:rPr>
            </w:pPr>
            <w:r>
              <w:rPr>
                <w:bCs/>
                <w:lang w:val="en-GB"/>
              </w:rPr>
              <w:t>5-20 minutes</w:t>
            </w:r>
          </w:p>
        </w:tc>
        <w:tc>
          <w:tcPr>
            <w:tcW w:w="6879" w:type="dxa"/>
            <w:vMerge w:val="restart"/>
            <w:shd w:val="clear" w:color="auto" w:fill="auto"/>
          </w:tcPr>
          <w:p w14:paraId="1EE34B2B" w14:textId="77777777" w:rsidR="00472A1E" w:rsidRPr="00C33C0B" w:rsidRDefault="00472A1E" w:rsidP="00472A1E">
            <w:pPr>
              <w:spacing w:before="20" w:after="20" w:line="240" w:lineRule="auto"/>
              <w:rPr>
                <w:bCs/>
                <w:lang w:val="en-GB"/>
              </w:rPr>
            </w:pPr>
            <w:r w:rsidRPr="00C33C0B">
              <w:rPr>
                <w:bCs/>
                <w:lang w:val="en-GB"/>
              </w:rPr>
              <w:t xml:space="preserve">Professional attendance </w:t>
            </w:r>
            <w:r>
              <w:rPr>
                <w:bCs/>
                <w:lang w:val="en-GB"/>
              </w:rPr>
              <w:t xml:space="preserve">of more than [X] minutes but not more than [X] minutes </w:t>
            </w:r>
            <w:r w:rsidRPr="00C33C0B">
              <w:rPr>
                <w:bCs/>
                <w:lang w:val="en-GB"/>
              </w:rPr>
              <w:t xml:space="preserve">by a </w:t>
            </w:r>
            <w:r>
              <w:rPr>
                <w:bCs/>
                <w:lang w:val="en-GB"/>
              </w:rPr>
              <w:t xml:space="preserve">consultant specialist that is acute, </w:t>
            </w:r>
            <w:r w:rsidRPr="00C33C0B">
              <w:rPr>
                <w:bCs/>
                <w:lang w:val="en-GB"/>
              </w:rPr>
              <w:t>urgent,</w:t>
            </w:r>
            <w:r>
              <w:rPr>
                <w:bCs/>
                <w:lang w:val="en-GB"/>
              </w:rPr>
              <w:t xml:space="preserve"> unplanned, and </w:t>
            </w:r>
            <w:r w:rsidRPr="002E7957">
              <w:rPr>
                <w:bCs/>
                <w:lang w:val="en-GB"/>
              </w:rPr>
              <w:t>does not take place in consulting rooms or in the emergency department of a public hospital</w:t>
            </w:r>
            <w:r>
              <w:rPr>
                <w:bCs/>
                <w:lang w:val="en-GB"/>
              </w:rPr>
              <w:t xml:space="preserve">, and where </w:t>
            </w:r>
            <w:r w:rsidRPr="00C33C0B">
              <w:rPr>
                <w:bCs/>
                <w:lang w:val="en-GB"/>
              </w:rPr>
              <w:t>the patient is:</w:t>
            </w:r>
          </w:p>
          <w:p w14:paraId="10C78046" w14:textId="77777777" w:rsidR="00472A1E" w:rsidRPr="00C33C0B" w:rsidRDefault="00472A1E" w:rsidP="000831A1">
            <w:pPr>
              <w:pStyle w:val="ListParagraph"/>
              <w:numPr>
                <w:ilvl w:val="0"/>
                <w:numId w:val="21"/>
              </w:numPr>
              <w:spacing w:before="20" w:after="20" w:line="240" w:lineRule="auto"/>
              <w:rPr>
                <w:bCs/>
                <w:lang w:val="en-GB"/>
              </w:rPr>
            </w:pPr>
            <w:r w:rsidRPr="00C33C0B">
              <w:rPr>
                <w:bCs/>
                <w:lang w:val="en-GB"/>
              </w:rPr>
              <w:t>at risk of serious morbidity or mortality requiring urgent assessment and resuscitation; or</w:t>
            </w:r>
          </w:p>
          <w:p w14:paraId="5090B420" w14:textId="77777777" w:rsidR="00472A1E" w:rsidRPr="00C33C0B" w:rsidRDefault="00472A1E" w:rsidP="000831A1">
            <w:pPr>
              <w:pStyle w:val="ListParagraph"/>
              <w:numPr>
                <w:ilvl w:val="0"/>
                <w:numId w:val="21"/>
              </w:numPr>
              <w:spacing w:before="20" w:after="20" w:line="240" w:lineRule="auto"/>
              <w:rPr>
                <w:bCs/>
                <w:lang w:val="en-GB"/>
              </w:rPr>
            </w:pPr>
            <w:r w:rsidRPr="00C33C0B">
              <w:rPr>
                <w:bCs/>
                <w:lang w:val="en-GB"/>
              </w:rPr>
              <w:t>suffering from suspected acute organ or system failure; or</w:t>
            </w:r>
          </w:p>
          <w:p w14:paraId="5A5B2064" w14:textId="77777777" w:rsidR="00472A1E" w:rsidRPr="00C33C0B" w:rsidRDefault="00472A1E" w:rsidP="000831A1">
            <w:pPr>
              <w:pStyle w:val="ListParagraph"/>
              <w:numPr>
                <w:ilvl w:val="0"/>
                <w:numId w:val="21"/>
              </w:numPr>
              <w:spacing w:before="20" w:after="20" w:line="240" w:lineRule="auto"/>
              <w:rPr>
                <w:bCs/>
                <w:lang w:val="en-GB"/>
              </w:rPr>
            </w:pPr>
            <w:r w:rsidRPr="00C33C0B">
              <w:rPr>
                <w:bCs/>
                <w:lang w:val="en-GB"/>
              </w:rPr>
              <w:t>suffering from an illness or injury where the viability or function of a body part or organ is acutely threatened; or</w:t>
            </w:r>
          </w:p>
          <w:p w14:paraId="74F68453" w14:textId="77777777" w:rsidR="00472A1E" w:rsidRPr="00C33C0B" w:rsidRDefault="00472A1E" w:rsidP="000831A1">
            <w:pPr>
              <w:pStyle w:val="ListParagraph"/>
              <w:numPr>
                <w:ilvl w:val="0"/>
                <w:numId w:val="21"/>
              </w:numPr>
              <w:spacing w:before="20" w:after="20" w:line="240" w:lineRule="auto"/>
              <w:rPr>
                <w:bCs/>
                <w:lang w:val="en-GB"/>
              </w:rPr>
            </w:pPr>
            <w:r w:rsidRPr="00C33C0B">
              <w:rPr>
                <w:bCs/>
                <w:lang w:val="en-GB"/>
              </w:rPr>
              <w:t>suffering from a potentially life-threatening complication of an infection (i.e., sepsis)</w:t>
            </w:r>
          </w:p>
          <w:p w14:paraId="303F68DA" w14:textId="77777777" w:rsidR="00472A1E" w:rsidRPr="00C33C0B" w:rsidRDefault="00472A1E" w:rsidP="000831A1">
            <w:pPr>
              <w:pStyle w:val="ListParagraph"/>
              <w:numPr>
                <w:ilvl w:val="0"/>
                <w:numId w:val="21"/>
              </w:numPr>
              <w:spacing w:before="20" w:after="20" w:line="240" w:lineRule="auto"/>
              <w:rPr>
                <w:bCs/>
                <w:lang w:val="en-GB"/>
              </w:rPr>
            </w:pPr>
            <w:r w:rsidRPr="00C33C0B">
              <w:rPr>
                <w:bCs/>
                <w:lang w:val="en-GB"/>
              </w:rPr>
              <w:t>suffering from a drug overdose, toxic substance or toxin effect; or</w:t>
            </w:r>
          </w:p>
          <w:p w14:paraId="0BA6410D" w14:textId="77777777" w:rsidR="00472A1E" w:rsidRPr="00C33C0B" w:rsidRDefault="00472A1E" w:rsidP="000831A1">
            <w:pPr>
              <w:pStyle w:val="ListParagraph"/>
              <w:numPr>
                <w:ilvl w:val="0"/>
                <w:numId w:val="21"/>
              </w:numPr>
              <w:spacing w:before="20" w:after="20" w:line="240" w:lineRule="auto"/>
              <w:rPr>
                <w:bCs/>
                <w:lang w:val="en-GB"/>
              </w:rPr>
            </w:pPr>
            <w:r w:rsidRPr="00C33C0B">
              <w:rPr>
                <w:bCs/>
                <w:lang w:val="en-GB"/>
              </w:rPr>
              <w:t>experiencing severe psychiatric disturbance whereby the health of the patient or other people is at immediate risk; or</w:t>
            </w:r>
          </w:p>
          <w:p w14:paraId="041A38A3" w14:textId="77777777" w:rsidR="00472A1E" w:rsidRPr="00C33C0B" w:rsidRDefault="00472A1E" w:rsidP="000831A1">
            <w:pPr>
              <w:pStyle w:val="ListParagraph"/>
              <w:numPr>
                <w:ilvl w:val="0"/>
                <w:numId w:val="21"/>
              </w:numPr>
              <w:spacing w:before="20" w:after="20" w:line="240" w:lineRule="auto"/>
              <w:rPr>
                <w:bCs/>
                <w:lang w:val="en-GB"/>
              </w:rPr>
            </w:pPr>
            <w:r w:rsidRPr="00C33C0B">
              <w:rPr>
                <w:bCs/>
                <w:lang w:val="en-GB"/>
              </w:rPr>
              <w:t>suffering acute severe pain where the viability or function of a body part or organ is suspected to be acutely threatened; or</w:t>
            </w:r>
          </w:p>
          <w:p w14:paraId="7CFB7F6E" w14:textId="77777777" w:rsidR="00472A1E" w:rsidRPr="00C33C0B" w:rsidRDefault="00472A1E" w:rsidP="000831A1">
            <w:pPr>
              <w:pStyle w:val="ListParagraph"/>
              <w:numPr>
                <w:ilvl w:val="0"/>
                <w:numId w:val="21"/>
              </w:numPr>
              <w:spacing w:before="20" w:after="20" w:line="240" w:lineRule="auto"/>
              <w:rPr>
                <w:bCs/>
                <w:lang w:val="en-GB"/>
              </w:rPr>
            </w:pPr>
            <w:r w:rsidRPr="00C33C0B">
              <w:rPr>
                <w:bCs/>
                <w:lang w:val="en-GB"/>
              </w:rPr>
              <w:t>suffering acute significant haemorrhage requiring urgent assessment and treatment</w:t>
            </w:r>
          </w:p>
          <w:p w14:paraId="5754A455" w14:textId="77777777" w:rsidR="00472A1E" w:rsidRPr="00C33C0B" w:rsidRDefault="00472A1E" w:rsidP="00472A1E">
            <w:pPr>
              <w:spacing w:before="20" w:after="20" w:line="240" w:lineRule="auto"/>
              <w:rPr>
                <w:bCs/>
                <w:lang w:val="en-GB"/>
              </w:rPr>
            </w:pPr>
            <w:r w:rsidRPr="00C33C0B">
              <w:rPr>
                <w:bCs/>
                <w:lang w:val="en-GB"/>
              </w:rPr>
              <w:t>Not to be claimed with prolonged attendance items 160, 161, 162, 163, or 164</w:t>
            </w:r>
            <w:r>
              <w:rPr>
                <w:bCs/>
                <w:lang w:val="en-GB"/>
              </w:rPr>
              <w:t xml:space="preserve"> </w:t>
            </w:r>
          </w:p>
        </w:tc>
      </w:tr>
      <w:bookmarkEnd w:id="131"/>
      <w:tr w:rsidR="00472A1E" w:rsidRPr="00C33C0B" w14:paraId="37B22F6F" w14:textId="77777777" w:rsidTr="00F13F89">
        <w:tc>
          <w:tcPr>
            <w:tcW w:w="615" w:type="dxa"/>
            <w:shd w:val="clear" w:color="auto" w:fill="auto"/>
          </w:tcPr>
          <w:p w14:paraId="2C18114F" w14:textId="77777777" w:rsidR="00472A1E" w:rsidRPr="00C33C0B" w:rsidRDefault="00472A1E" w:rsidP="00472A1E">
            <w:pPr>
              <w:spacing w:before="20" w:after="20" w:line="240" w:lineRule="auto"/>
              <w:rPr>
                <w:bCs/>
                <w:lang w:val="en-GB"/>
              </w:rPr>
            </w:pPr>
            <w:r>
              <w:rPr>
                <w:bCs/>
                <w:lang w:val="en-GB"/>
              </w:rPr>
              <w:t>XY2</w:t>
            </w:r>
          </w:p>
        </w:tc>
        <w:tc>
          <w:tcPr>
            <w:tcW w:w="874" w:type="dxa"/>
          </w:tcPr>
          <w:p w14:paraId="325CC56A" w14:textId="77777777" w:rsidR="00472A1E" w:rsidRPr="00C33C0B" w:rsidRDefault="00472A1E" w:rsidP="00472A1E">
            <w:pPr>
              <w:spacing w:before="20" w:after="20" w:line="240" w:lineRule="auto"/>
              <w:rPr>
                <w:bCs/>
                <w:lang w:val="en-GB"/>
              </w:rPr>
            </w:pPr>
            <w:r>
              <w:rPr>
                <w:bCs/>
                <w:lang w:val="en-GB"/>
              </w:rPr>
              <w:t>21-40 minutes</w:t>
            </w:r>
          </w:p>
        </w:tc>
        <w:tc>
          <w:tcPr>
            <w:tcW w:w="6879" w:type="dxa"/>
            <w:vMerge/>
            <w:shd w:val="clear" w:color="auto" w:fill="auto"/>
          </w:tcPr>
          <w:p w14:paraId="2C0E3273" w14:textId="77777777" w:rsidR="00472A1E" w:rsidRPr="00C33C0B" w:rsidRDefault="00472A1E" w:rsidP="00472A1E">
            <w:pPr>
              <w:spacing w:before="20" w:after="20" w:line="240" w:lineRule="auto"/>
              <w:rPr>
                <w:bCs/>
                <w:lang w:val="en-GB"/>
              </w:rPr>
            </w:pPr>
          </w:p>
        </w:tc>
      </w:tr>
      <w:tr w:rsidR="00472A1E" w:rsidRPr="00C33C0B" w14:paraId="4B7D18FD" w14:textId="77777777" w:rsidTr="00F13F89">
        <w:tc>
          <w:tcPr>
            <w:tcW w:w="615" w:type="dxa"/>
            <w:shd w:val="clear" w:color="auto" w:fill="auto"/>
          </w:tcPr>
          <w:p w14:paraId="49D27E01" w14:textId="77777777" w:rsidR="00472A1E" w:rsidRPr="00C33C0B" w:rsidRDefault="00472A1E" w:rsidP="00472A1E">
            <w:pPr>
              <w:spacing w:before="20" w:after="20" w:line="240" w:lineRule="auto"/>
              <w:rPr>
                <w:bCs/>
                <w:lang w:val="en-GB"/>
              </w:rPr>
            </w:pPr>
            <w:r>
              <w:rPr>
                <w:bCs/>
                <w:lang w:val="en-GB"/>
              </w:rPr>
              <w:t>XY3</w:t>
            </w:r>
          </w:p>
        </w:tc>
        <w:tc>
          <w:tcPr>
            <w:tcW w:w="874" w:type="dxa"/>
          </w:tcPr>
          <w:p w14:paraId="2B38CD8C" w14:textId="77777777" w:rsidR="00472A1E" w:rsidRPr="00C33C0B" w:rsidRDefault="00472A1E" w:rsidP="00472A1E">
            <w:pPr>
              <w:spacing w:before="20" w:after="20" w:line="240" w:lineRule="auto"/>
              <w:rPr>
                <w:bCs/>
                <w:lang w:val="en-GB"/>
              </w:rPr>
            </w:pPr>
            <w:r>
              <w:rPr>
                <w:bCs/>
                <w:lang w:val="en-GB"/>
              </w:rPr>
              <w:t>41-60 minutes</w:t>
            </w:r>
          </w:p>
        </w:tc>
        <w:tc>
          <w:tcPr>
            <w:tcW w:w="6879" w:type="dxa"/>
            <w:vMerge/>
            <w:shd w:val="clear" w:color="auto" w:fill="auto"/>
          </w:tcPr>
          <w:p w14:paraId="3D323DE4" w14:textId="77777777" w:rsidR="00472A1E" w:rsidRPr="00C33C0B" w:rsidRDefault="00472A1E" w:rsidP="00472A1E">
            <w:pPr>
              <w:spacing w:before="20" w:after="20" w:line="240" w:lineRule="auto"/>
              <w:rPr>
                <w:bCs/>
                <w:lang w:val="en-GB"/>
              </w:rPr>
            </w:pPr>
          </w:p>
        </w:tc>
      </w:tr>
      <w:tr w:rsidR="00472A1E" w:rsidRPr="00C33C0B" w14:paraId="0C5E3277" w14:textId="77777777" w:rsidTr="00F13F89">
        <w:tc>
          <w:tcPr>
            <w:tcW w:w="615" w:type="dxa"/>
            <w:shd w:val="clear" w:color="auto" w:fill="auto"/>
          </w:tcPr>
          <w:p w14:paraId="19346E7D" w14:textId="77777777" w:rsidR="00472A1E" w:rsidRPr="00C33C0B" w:rsidRDefault="00472A1E" w:rsidP="00472A1E">
            <w:pPr>
              <w:spacing w:before="20" w:after="20" w:line="240" w:lineRule="auto"/>
              <w:rPr>
                <w:bCs/>
                <w:lang w:val="en-GB"/>
              </w:rPr>
            </w:pPr>
            <w:r>
              <w:rPr>
                <w:bCs/>
                <w:lang w:val="en-GB"/>
              </w:rPr>
              <w:t>XY4</w:t>
            </w:r>
          </w:p>
        </w:tc>
        <w:tc>
          <w:tcPr>
            <w:tcW w:w="874" w:type="dxa"/>
          </w:tcPr>
          <w:p w14:paraId="0B7F7D51" w14:textId="77777777" w:rsidR="00472A1E" w:rsidRPr="00C33C0B" w:rsidRDefault="00472A1E" w:rsidP="00472A1E">
            <w:pPr>
              <w:spacing w:before="20" w:after="20" w:line="240" w:lineRule="auto"/>
              <w:rPr>
                <w:bCs/>
                <w:lang w:val="en-GB"/>
              </w:rPr>
            </w:pPr>
            <w:r>
              <w:rPr>
                <w:bCs/>
                <w:lang w:val="en-GB"/>
              </w:rPr>
              <w:t>More than 60 minutes</w:t>
            </w:r>
          </w:p>
        </w:tc>
        <w:tc>
          <w:tcPr>
            <w:tcW w:w="6879" w:type="dxa"/>
            <w:vMerge/>
            <w:shd w:val="clear" w:color="auto" w:fill="auto"/>
          </w:tcPr>
          <w:p w14:paraId="34F73FFA" w14:textId="77777777" w:rsidR="00472A1E" w:rsidRPr="00C33C0B" w:rsidRDefault="00472A1E" w:rsidP="00472A1E">
            <w:pPr>
              <w:spacing w:before="20" w:after="20" w:line="240" w:lineRule="auto"/>
              <w:rPr>
                <w:bCs/>
                <w:lang w:val="en-GB"/>
              </w:rPr>
            </w:pPr>
          </w:p>
        </w:tc>
      </w:tr>
    </w:tbl>
    <w:p w14:paraId="14C2AE23" w14:textId="77777777" w:rsidR="00175794" w:rsidRPr="00C33C0B" w:rsidRDefault="00175794" w:rsidP="003C5D5A">
      <w:pPr>
        <w:pStyle w:val="Heading2"/>
      </w:pPr>
      <w:bookmarkStart w:id="133" w:name="_Toc24544692"/>
      <w:r w:rsidRPr="00C33C0B">
        <w:t>Rationale 2</w:t>
      </w:r>
      <w:bookmarkEnd w:id="133"/>
    </w:p>
    <w:p w14:paraId="0B9F4351" w14:textId="77777777" w:rsidR="00175794" w:rsidRDefault="00175794" w:rsidP="00175794">
      <w:pPr>
        <w:rPr>
          <w:lang w:val="en-GB"/>
        </w:rPr>
      </w:pPr>
      <w:bookmarkStart w:id="134" w:name="_Hlk528946769"/>
      <w:r>
        <w:rPr>
          <w:lang w:val="en-GB"/>
        </w:rPr>
        <w:t>This recommendation focuses on reimbursing acute, urgent, and unplanned attendances through the introduction of new attendance items. It is based on the following</w:t>
      </w:r>
      <w:r w:rsidR="00CB271F">
        <w:rPr>
          <w:lang w:val="en-GB"/>
        </w:rPr>
        <w:t>:</w:t>
      </w:r>
    </w:p>
    <w:bookmarkEnd w:id="134"/>
    <w:p w14:paraId="77E642A7" w14:textId="77777777" w:rsidR="00175794" w:rsidRPr="00C33C0B" w:rsidRDefault="00175794" w:rsidP="00175794">
      <w:pPr>
        <w:pStyle w:val="Bullet-green"/>
        <w:rPr>
          <w:lang w:val="en-GB"/>
        </w:rPr>
      </w:pPr>
      <w:r w:rsidRPr="00C33C0B">
        <w:rPr>
          <w:lang w:val="en-GB"/>
        </w:rPr>
        <w:t xml:space="preserve">The Committee </w:t>
      </w:r>
      <w:r>
        <w:rPr>
          <w:lang w:val="en-GB"/>
        </w:rPr>
        <w:t>notes</w:t>
      </w:r>
      <w:r w:rsidRPr="00C33C0B">
        <w:rPr>
          <w:lang w:val="en-GB"/>
        </w:rPr>
        <w:t xml:space="preserve"> that acute attendances are different to other standard attendances</w:t>
      </w:r>
      <w:r>
        <w:rPr>
          <w:lang w:val="en-GB"/>
        </w:rPr>
        <w:t>,</w:t>
      </w:r>
      <w:r w:rsidRPr="00C33C0B">
        <w:rPr>
          <w:lang w:val="en-GB"/>
        </w:rPr>
        <w:t xml:space="preserve"> in that they:</w:t>
      </w:r>
    </w:p>
    <w:p w14:paraId="579804C4" w14:textId="77777777" w:rsidR="00175794" w:rsidRPr="001810DB" w:rsidRDefault="0016086D" w:rsidP="00175794">
      <w:pPr>
        <w:pStyle w:val="Bullet2"/>
      </w:pPr>
      <w:r>
        <w:t>a</w:t>
      </w:r>
      <w:r w:rsidRPr="00C024E6">
        <w:t xml:space="preserve">re </w:t>
      </w:r>
      <w:r w:rsidR="00175794">
        <w:t xml:space="preserve">acute, urgent, and </w:t>
      </w:r>
      <w:r w:rsidR="00175794" w:rsidRPr="00C024E6">
        <w:t xml:space="preserve">unplanned </w:t>
      </w:r>
      <w:r w:rsidR="00175794">
        <w:t xml:space="preserve">in nature </w:t>
      </w:r>
      <w:r w:rsidR="00175794" w:rsidRPr="00C024E6">
        <w:t xml:space="preserve">and may </w:t>
      </w:r>
      <w:r w:rsidR="00175794">
        <w:t xml:space="preserve">result in </w:t>
      </w:r>
      <w:r w:rsidR="00175794" w:rsidRPr="00C024E6">
        <w:t xml:space="preserve">a </w:t>
      </w:r>
      <w:r w:rsidR="00175794">
        <w:t>consultant specialist</w:t>
      </w:r>
      <w:r w:rsidR="00175794" w:rsidRPr="006923B9">
        <w:t xml:space="preserve"> </w:t>
      </w:r>
      <w:r w:rsidR="00123F01">
        <w:t xml:space="preserve">postponing or cancelling </w:t>
      </w:r>
      <w:r w:rsidR="00175794" w:rsidRPr="006923B9">
        <w:t xml:space="preserve">a </w:t>
      </w:r>
      <w:r w:rsidR="00175794" w:rsidRPr="00793027">
        <w:t>previously scheduled procedural list, theatre list</w:t>
      </w:r>
      <w:r w:rsidR="00175794" w:rsidRPr="000970B9">
        <w:t xml:space="preserve"> or attendances in consulting rooms</w:t>
      </w:r>
      <w:r w:rsidR="006549E9">
        <w:t>;</w:t>
      </w:r>
      <w:r>
        <w:t xml:space="preserve"> and</w:t>
      </w:r>
    </w:p>
    <w:p w14:paraId="7DFBB608" w14:textId="77777777" w:rsidR="00175794" w:rsidRPr="00C024E6" w:rsidRDefault="0016086D" w:rsidP="00175794">
      <w:pPr>
        <w:pStyle w:val="Bullet2"/>
      </w:pPr>
      <w:r>
        <w:t>o</w:t>
      </w:r>
      <w:r w:rsidR="00175794">
        <w:t xml:space="preserve">ften </w:t>
      </w:r>
      <w:r w:rsidR="00C8435D">
        <w:t>i</w:t>
      </w:r>
      <w:r w:rsidR="00175794" w:rsidRPr="002B506F">
        <w:t xml:space="preserve">nvolve multiple face-to-face patient </w:t>
      </w:r>
      <w:r w:rsidR="00EC0BDD">
        <w:t>interactions</w:t>
      </w:r>
      <w:r w:rsidR="00175794" w:rsidRPr="003E5BE4">
        <w:t>,</w:t>
      </w:r>
      <w:r w:rsidR="00175794" w:rsidRPr="0067229E">
        <w:t xml:space="preserve"> as well as conversations with </w:t>
      </w:r>
      <w:r w:rsidR="00175794" w:rsidRPr="00C024E6">
        <w:t xml:space="preserve">multiple other medical professionals (for example, </w:t>
      </w:r>
      <w:r w:rsidR="000930A7">
        <w:t xml:space="preserve">locating </w:t>
      </w:r>
      <w:r w:rsidR="00175794" w:rsidRPr="00C024E6">
        <w:t>results of investigations ordered at the initial touchpoint wit</w:t>
      </w:r>
      <w:r w:rsidR="00123F01">
        <w:t>h the patient) and liaising with carers to access patient information.</w:t>
      </w:r>
    </w:p>
    <w:p w14:paraId="3C834126" w14:textId="77777777" w:rsidR="00175794" w:rsidRPr="00607BDA" w:rsidRDefault="00A74C08" w:rsidP="00607BDA">
      <w:pPr>
        <w:pStyle w:val="Bullet-green"/>
        <w:rPr>
          <w:lang w:val="en-GB"/>
        </w:rPr>
      </w:pPr>
      <w:r w:rsidRPr="00A74C08">
        <w:rPr>
          <w:lang w:val="en-GB"/>
        </w:rPr>
        <w:t>The Committee</w:t>
      </w:r>
      <w:r>
        <w:rPr>
          <w:lang w:val="en-GB"/>
        </w:rPr>
        <w:t xml:space="preserve"> therefore</w:t>
      </w:r>
      <w:r w:rsidRPr="00A74C08">
        <w:rPr>
          <w:lang w:val="en-GB"/>
        </w:rPr>
        <w:t xml:space="preserve"> recommends a schedule fee for these items that is higher than the schedule fee for standard time</w:t>
      </w:r>
      <w:r w:rsidR="00E15B86">
        <w:rPr>
          <w:lang w:val="en-GB"/>
        </w:rPr>
        <w:t>-</w:t>
      </w:r>
      <w:r w:rsidRPr="00A74C08">
        <w:rPr>
          <w:lang w:val="en-GB"/>
        </w:rPr>
        <w:t>tiered attendances of equivalent duration</w:t>
      </w:r>
      <w:r>
        <w:rPr>
          <w:lang w:val="en-GB"/>
        </w:rPr>
        <w:t>.</w:t>
      </w:r>
    </w:p>
    <w:p w14:paraId="12672C8B" w14:textId="77777777" w:rsidR="00175794" w:rsidRDefault="00175794" w:rsidP="0016086D">
      <w:pPr>
        <w:pStyle w:val="Bullet-green"/>
        <w:rPr>
          <w:lang w:val="en-GB"/>
        </w:rPr>
      </w:pPr>
      <w:r w:rsidRPr="00607BDA">
        <w:rPr>
          <w:lang w:val="en-GB"/>
        </w:rPr>
        <w:t xml:space="preserve">The Committee has attempted to be as comprehensive as possible in drafting a list of clinical scenarios for appropriate use of these items to prevent potential misuse. </w:t>
      </w:r>
    </w:p>
    <w:p w14:paraId="1B248CE4" w14:textId="77777777" w:rsidR="00184BDA" w:rsidRPr="00C33C0B" w:rsidRDefault="00B20C96" w:rsidP="003C5D5A">
      <w:pPr>
        <w:pStyle w:val="Heading2"/>
      </w:pPr>
      <w:bookmarkStart w:id="135" w:name="_Toc24544693"/>
      <w:bookmarkStart w:id="136" w:name="_Hlk529009310"/>
      <w:r>
        <w:t xml:space="preserve">Recommendation 3 - </w:t>
      </w:r>
      <w:r w:rsidR="00184BDA" w:rsidRPr="00C33C0B">
        <w:t>Further considerations when implementing time</w:t>
      </w:r>
      <w:r w:rsidR="00E5557E">
        <w:noBreakHyphen/>
      </w:r>
      <w:r w:rsidR="00184BDA" w:rsidRPr="00C33C0B">
        <w:t>tiering</w:t>
      </w:r>
      <w:bookmarkEnd w:id="135"/>
    </w:p>
    <w:p w14:paraId="643DC9BD" w14:textId="77777777" w:rsidR="00184BDA" w:rsidRPr="00C33C0B" w:rsidRDefault="00B20C96" w:rsidP="00607BDA">
      <w:pPr>
        <w:pStyle w:val="Bullet-green"/>
        <w:numPr>
          <w:ilvl w:val="0"/>
          <w:numId w:val="0"/>
        </w:numPr>
        <w:rPr>
          <w:lang w:val="en-GB"/>
        </w:rPr>
      </w:pPr>
      <w:r>
        <w:rPr>
          <w:lang w:val="en-GB"/>
        </w:rPr>
        <w:t>T</w:t>
      </w:r>
      <w:r w:rsidR="00184BDA" w:rsidRPr="00C33C0B">
        <w:rPr>
          <w:lang w:val="en-GB"/>
        </w:rPr>
        <w:t>he Committee recommends</w:t>
      </w:r>
      <w:r w:rsidR="00184BDA">
        <w:rPr>
          <w:lang w:val="en-GB"/>
        </w:rPr>
        <w:t xml:space="preserve"> </w:t>
      </w:r>
      <w:r w:rsidR="00184BDA" w:rsidRPr="00C33C0B">
        <w:rPr>
          <w:lang w:val="en-GB"/>
        </w:rPr>
        <w:t xml:space="preserve">the </w:t>
      </w:r>
      <w:r w:rsidR="00E5557E">
        <w:rPr>
          <w:lang w:val="en-GB"/>
        </w:rPr>
        <w:t xml:space="preserve">Government works closely with peak organisations, clinicians and consumers to refine the detail of implementation, and ensure an effective and sustainable transition. In particular, the </w:t>
      </w:r>
      <w:r w:rsidR="00184BDA" w:rsidRPr="00C33C0B">
        <w:rPr>
          <w:lang w:val="en-GB"/>
        </w:rPr>
        <w:t xml:space="preserve">following </w:t>
      </w:r>
      <w:r w:rsidR="00E5557E">
        <w:rPr>
          <w:lang w:val="en-GB"/>
        </w:rPr>
        <w:t xml:space="preserve">should </w:t>
      </w:r>
      <w:r>
        <w:rPr>
          <w:lang w:val="en-GB"/>
        </w:rPr>
        <w:t xml:space="preserve">be considered </w:t>
      </w:r>
      <w:r w:rsidR="00184BDA" w:rsidRPr="00C33C0B">
        <w:rPr>
          <w:lang w:val="en-GB"/>
        </w:rPr>
        <w:t>when moving towards implementation:</w:t>
      </w:r>
    </w:p>
    <w:p w14:paraId="3171395E" w14:textId="77777777" w:rsidR="00184BDA" w:rsidRPr="00C33C0B" w:rsidRDefault="00864030" w:rsidP="000831A1">
      <w:pPr>
        <w:pStyle w:val="Bullet2"/>
        <w:numPr>
          <w:ilvl w:val="0"/>
          <w:numId w:val="69"/>
        </w:numPr>
      </w:pPr>
      <w:r>
        <w:t>c</w:t>
      </w:r>
      <w:r w:rsidR="00184BDA" w:rsidRPr="00C33C0B">
        <w:t>ollect</w:t>
      </w:r>
      <w:r w:rsidR="00B20C96">
        <w:t>ing</w:t>
      </w:r>
      <w:r w:rsidR="00184BDA" w:rsidRPr="00C33C0B">
        <w:t xml:space="preserve"> data on the duration of attendances across specialties, and the activities performed during these attendances, </w:t>
      </w:r>
      <w:r w:rsidR="00184BDA">
        <w:t>similar to the</w:t>
      </w:r>
      <w:r w:rsidR="00184BDA" w:rsidRPr="00C33C0B">
        <w:t xml:space="preserve"> data </w:t>
      </w:r>
      <w:r w:rsidR="00E5557E">
        <w:t xml:space="preserve">previously </w:t>
      </w:r>
      <w:r w:rsidR="00184BDA" w:rsidRPr="00C33C0B">
        <w:t xml:space="preserve">collected from GPs </w:t>
      </w:r>
      <w:r w:rsidR="00184BDA">
        <w:t>through</w:t>
      </w:r>
      <w:r w:rsidR="00184BDA" w:rsidRPr="00C33C0B">
        <w:t xml:space="preserve"> the </w:t>
      </w:r>
      <w:r w:rsidR="00184BDA" w:rsidRPr="00C33C0B">
        <w:rPr>
          <w:i/>
        </w:rPr>
        <w:t>Better</w:t>
      </w:r>
      <w:r w:rsidR="00184BDA">
        <w:rPr>
          <w:i/>
        </w:rPr>
        <w:t>ing the</w:t>
      </w:r>
      <w:r w:rsidR="00184BDA" w:rsidRPr="00C33C0B">
        <w:rPr>
          <w:i/>
        </w:rPr>
        <w:t xml:space="preserve"> Evaluation and Care of Health</w:t>
      </w:r>
      <w:r w:rsidR="00184BDA" w:rsidRPr="00C33C0B">
        <w:t xml:space="preserve"> program (BEACH data)</w:t>
      </w:r>
      <w:r w:rsidR="006549E9">
        <w:t>;</w:t>
      </w:r>
    </w:p>
    <w:p w14:paraId="5FB29F97" w14:textId="77777777" w:rsidR="00184BDA" w:rsidRPr="00C33C0B" w:rsidRDefault="00864030" w:rsidP="000831A1">
      <w:pPr>
        <w:pStyle w:val="Bullet2"/>
        <w:numPr>
          <w:ilvl w:val="0"/>
          <w:numId w:val="69"/>
        </w:numPr>
      </w:pPr>
      <w:r>
        <w:t>us</w:t>
      </w:r>
      <w:r w:rsidR="00B20C96">
        <w:t xml:space="preserve">ing </w:t>
      </w:r>
      <w:r w:rsidR="00184BDA">
        <w:t>the</w:t>
      </w:r>
      <w:r w:rsidR="00184BDA" w:rsidRPr="00C33C0B">
        <w:t xml:space="preserve"> data to accurately model the impact of time</w:t>
      </w:r>
      <w:r w:rsidR="00B20C96">
        <w:t>-</w:t>
      </w:r>
      <w:r w:rsidR="00184BDA" w:rsidRPr="00C33C0B">
        <w:t>tiering on service volume and benefits</w:t>
      </w:r>
      <w:r w:rsidR="006549E9">
        <w:t>;</w:t>
      </w:r>
    </w:p>
    <w:p w14:paraId="62A158E4" w14:textId="77777777" w:rsidR="00184BDA" w:rsidRPr="00C33C0B" w:rsidRDefault="00864030" w:rsidP="000831A1">
      <w:pPr>
        <w:pStyle w:val="Bullet2"/>
        <w:numPr>
          <w:ilvl w:val="0"/>
          <w:numId w:val="69"/>
        </w:numPr>
      </w:pPr>
      <w:r>
        <w:t>i</w:t>
      </w:r>
      <w:r w:rsidR="00184BDA" w:rsidRPr="00C33C0B">
        <w:t>nvest</w:t>
      </w:r>
      <w:r w:rsidR="00B20C96">
        <w:t>ing</w:t>
      </w:r>
      <w:r w:rsidR="00184BDA" w:rsidRPr="00C33C0B">
        <w:t xml:space="preserve"> in change management to facilitate </w:t>
      </w:r>
      <w:r w:rsidR="00184BDA">
        <w:t xml:space="preserve">the </w:t>
      </w:r>
      <w:r w:rsidR="00184BDA" w:rsidRPr="00C33C0B">
        <w:t>transition</w:t>
      </w:r>
      <w:r w:rsidR="00184BDA">
        <w:t xml:space="preserve"> to the new items</w:t>
      </w:r>
      <w:r w:rsidR="00184BDA" w:rsidRPr="00C33C0B">
        <w:t xml:space="preserve"> and </w:t>
      </w:r>
      <w:r w:rsidR="00184BDA">
        <w:t xml:space="preserve">build </w:t>
      </w:r>
      <w:r w:rsidR="00184BDA" w:rsidRPr="00C33C0B">
        <w:t>understanding of the benefits of the time-tiering model</w:t>
      </w:r>
      <w:r w:rsidR="006549E9">
        <w:t>;</w:t>
      </w:r>
    </w:p>
    <w:p w14:paraId="62DC1864" w14:textId="77777777" w:rsidR="00184BDA" w:rsidRDefault="00864030" w:rsidP="000831A1">
      <w:pPr>
        <w:pStyle w:val="Bullet2"/>
        <w:numPr>
          <w:ilvl w:val="0"/>
          <w:numId w:val="69"/>
        </w:numPr>
      </w:pPr>
      <w:r>
        <w:t>m</w:t>
      </w:r>
      <w:r w:rsidR="00184BDA" w:rsidRPr="00C33C0B">
        <w:t>ak</w:t>
      </w:r>
      <w:r w:rsidR="00B20C96">
        <w:t>ing</w:t>
      </w:r>
      <w:r w:rsidR="00184BDA" w:rsidRPr="00C33C0B">
        <w:t xml:space="preserve"> the model </w:t>
      </w:r>
      <w:r w:rsidR="001948EE">
        <w:t>clear</w:t>
      </w:r>
      <w:r w:rsidR="001948EE" w:rsidRPr="00C33C0B">
        <w:t xml:space="preserve"> </w:t>
      </w:r>
      <w:r w:rsidR="00184BDA" w:rsidRPr="00C33C0B">
        <w:t xml:space="preserve">to provide transparency and consistency for </w:t>
      </w:r>
      <w:r w:rsidR="001948EE">
        <w:t>clin</w:t>
      </w:r>
      <w:r w:rsidR="000930A7">
        <w:t>i</w:t>
      </w:r>
      <w:r w:rsidR="001948EE">
        <w:t>cians</w:t>
      </w:r>
      <w:r w:rsidR="001948EE" w:rsidRPr="00C33C0B">
        <w:t xml:space="preserve"> </w:t>
      </w:r>
      <w:r w:rsidR="00184BDA" w:rsidRPr="00C33C0B">
        <w:t>and consumers</w:t>
      </w:r>
      <w:r w:rsidR="006549E9">
        <w:t>;</w:t>
      </w:r>
    </w:p>
    <w:p w14:paraId="30A08DF2" w14:textId="77777777" w:rsidR="00184BDA" w:rsidRPr="00C33C0B" w:rsidRDefault="00184BDA" w:rsidP="000831A1">
      <w:pPr>
        <w:pStyle w:val="Bullet2"/>
        <w:numPr>
          <w:ilvl w:val="0"/>
          <w:numId w:val="69"/>
        </w:numPr>
      </w:pPr>
      <w:r>
        <w:t>adding a longer time tier (i.e. Level F) should the need be identified. If introduced, this should accompany an estimate of ser</w:t>
      </w:r>
      <w:r w:rsidR="006549E9">
        <w:t>vices claimed through this tier;</w:t>
      </w:r>
    </w:p>
    <w:p w14:paraId="1A7239AF" w14:textId="77777777" w:rsidR="00184BDA" w:rsidRDefault="00864030" w:rsidP="000831A1">
      <w:pPr>
        <w:pStyle w:val="Bullet2"/>
        <w:numPr>
          <w:ilvl w:val="0"/>
          <w:numId w:val="69"/>
        </w:numPr>
      </w:pPr>
      <w:r>
        <w:t>e</w:t>
      </w:r>
      <w:r w:rsidR="00184BDA">
        <w:t>nsur</w:t>
      </w:r>
      <w:r>
        <w:t>ing</w:t>
      </w:r>
      <w:r w:rsidR="00184BDA">
        <w:t xml:space="preserve"> early, active, and regular reviews of attendance items post implementation of time-tiering, including:</w:t>
      </w:r>
    </w:p>
    <w:p w14:paraId="2B1BADF7" w14:textId="77777777" w:rsidR="00184BDA" w:rsidRDefault="006549E9" w:rsidP="000831A1">
      <w:pPr>
        <w:pStyle w:val="BulletStyle3"/>
        <w:numPr>
          <w:ilvl w:val="0"/>
          <w:numId w:val="70"/>
        </w:numPr>
      </w:pPr>
      <w:r>
        <w:t>p</w:t>
      </w:r>
      <w:r w:rsidR="00184BDA">
        <w:t>otential impac</w:t>
      </w:r>
      <w:r>
        <w:t xml:space="preserve">t on out-of-pocket patient </w:t>
      </w:r>
      <w:r w:rsidR="001948EE">
        <w:t>costs</w:t>
      </w:r>
      <w:r>
        <w:t>;</w:t>
      </w:r>
    </w:p>
    <w:p w14:paraId="5FEDA9D4" w14:textId="77777777" w:rsidR="00E5557E" w:rsidRDefault="006549E9" w:rsidP="000831A1">
      <w:pPr>
        <w:pStyle w:val="BulletStyle3"/>
        <w:numPr>
          <w:ilvl w:val="0"/>
          <w:numId w:val="70"/>
        </w:numPr>
      </w:pPr>
      <w:r>
        <w:t>p</w:t>
      </w:r>
      <w:r w:rsidR="00184BDA">
        <w:t xml:space="preserve">otential impact on patient waiting lists, either as a result of longer attendances being performed or as a result of consultant specialists </w:t>
      </w:r>
      <w:r w:rsidR="001948EE">
        <w:t xml:space="preserve">accepting fewer </w:t>
      </w:r>
      <w:r>
        <w:t>new patients</w:t>
      </w:r>
      <w:r w:rsidR="001948EE">
        <w:t>/referrals</w:t>
      </w:r>
      <w:r>
        <w:t xml:space="preserve">; </w:t>
      </w:r>
    </w:p>
    <w:p w14:paraId="3B9926B2" w14:textId="77777777" w:rsidR="00184BDA" w:rsidRDefault="00E5557E" w:rsidP="000831A1">
      <w:pPr>
        <w:pStyle w:val="BulletStyle3"/>
        <w:numPr>
          <w:ilvl w:val="0"/>
          <w:numId w:val="70"/>
        </w:numPr>
      </w:pPr>
      <w:r>
        <w:t xml:space="preserve">potential uncertainty for consumers on the cost of a consultation and ensuring there is robust informed financial consent; </w:t>
      </w:r>
      <w:r w:rsidR="006549E9">
        <w:t>and</w:t>
      </w:r>
    </w:p>
    <w:p w14:paraId="7D6E5E17" w14:textId="77777777" w:rsidR="00184BDA" w:rsidRPr="00C33C0B" w:rsidRDefault="006549E9" w:rsidP="000831A1">
      <w:pPr>
        <w:pStyle w:val="BulletStyle3"/>
        <w:numPr>
          <w:ilvl w:val="0"/>
          <w:numId w:val="70"/>
        </w:numPr>
      </w:pPr>
      <w:r>
        <w:t>p</w:t>
      </w:r>
      <w:r w:rsidR="00184BDA">
        <w:t xml:space="preserve">atient-reported experience and outcomes. </w:t>
      </w:r>
    </w:p>
    <w:p w14:paraId="0E1C99FC" w14:textId="77777777" w:rsidR="00184BDA" w:rsidRDefault="00864030" w:rsidP="000831A1">
      <w:pPr>
        <w:pStyle w:val="Bullet2"/>
        <w:numPr>
          <w:ilvl w:val="0"/>
          <w:numId w:val="69"/>
        </w:numPr>
      </w:pPr>
      <w:r>
        <w:t>m</w:t>
      </w:r>
      <w:r w:rsidR="00184BDA" w:rsidRPr="00C33C0B">
        <w:t>ak</w:t>
      </w:r>
      <w:r>
        <w:t>ing</w:t>
      </w:r>
      <w:r w:rsidR="00184BDA" w:rsidRPr="00C33C0B">
        <w:t xml:space="preserve"> the item descriptors sufficiently detailed to enable auditing through </w:t>
      </w:r>
      <w:r w:rsidR="00184BDA">
        <w:t xml:space="preserve">the </w:t>
      </w:r>
      <w:r w:rsidR="00184BDA" w:rsidRPr="00C33C0B">
        <w:t xml:space="preserve">review of clinical notes, allowing verification that activities of sufficient complexity </w:t>
      </w:r>
      <w:r w:rsidR="00184BDA">
        <w:t xml:space="preserve">were performed, </w:t>
      </w:r>
      <w:r w:rsidR="00184BDA" w:rsidRPr="00C33C0B">
        <w:t xml:space="preserve">as stated in </w:t>
      </w:r>
      <w:r w:rsidR="00184BDA">
        <w:t xml:space="preserve">the </w:t>
      </w:r>
      <w:r w:rsidR="00184BDA" w:rsidRPr="00C33C0B">
        <w:t>descriptor</w:t>
      </w:r>
      <w:r w:rsidR="006549E9">
        <w:t>s;</w:t>
      </w:r>
    </w:p>
    <w:p w14:paraId="7A4C154F" w14:textId="77777777" w:rsidR="00184BDA" w:rsidRPr="00C33C0B" w:rsidRDefault="00184BDA" w:rsidP="000831A1">
      <w:pPr>
        <w:pStyle w:val="Bullet2"/>
        <w:numPr>
          <w:ilvl w:val="0"/>
          <w:numId w:val="69"/>
        </w:numPr>
      </w:pPr>
      <w:r w:rsidRPr="00C33C0B">
        <w:t>harmonising all attendance time</w:t>
      </w:r>
      <w:r>
        <w:t xml:space="preserve"> </w:t>
      </w:r>
      <w:r w:rsidRPr="00C33C0B">
        <w:t xml:space="preserve">tiers in the MBS that apply to other </w:t>
      </w:r>
      <w:r>
        <w:t>consultant specialist</w:t>
      </w:r>
      <w:r w:rsidRPr="00C33C0B">
        <w:t>s (including psychiatry, obstetrics, anaesthesia, intensive care</w:t>
      </w:r>
      <w:r>
        <w:t>,</w:t>
      </w:r>
      <w:r w:rsidRPr="00C33C0B">
        <w:t xml:space="preserve"> </w:t>
      </w:r>
      <w:r w:rsidR="001948EE">
        <w:t xml:space="preserve">general practice </w:t>
      </w:r>
      <w:r w:rsidRPr="00C33C0B">
        <w:t>and emergency medicine)</w:t>
      </w:r>
      <w:r w:rsidR="006549E9">
        <w:t xml:space="preserve">; </w:t>
      </w:r>
      <w:r w:rsidR="00864030">
        <w:t>and</w:t>
      </w:r>
    </w:p>
    <w:p w14:paraId="53DA83D0" w14:textId="77777777" w:rsidR="00184BDA" w:rsidRPr="00C33C0B" w:rsidRDefault="00184BDA" w:rsidP="000831A1">
      <w:pPr>
        <w:pStyle w:val="Bullet2"/>
        <w:numPr>
          <w:ilvl w:val="0"/>
          <w:numId w:val="69"/>
        </w:numPr>
      </w:pPr>
      <w:r w:rsidRPr="00C33C0B">
        <w:t>set</w:t>
      </w:r>
      <w:r w:rsidR="00864030">
        <w:t>ting</w:t>
      </w:r>
      <w:r w:rsidRPr="00C33C0B">
        <w:t xml:space="preserve"> time</w:t>
      </w:r>
      <w:r w:rsidR="00864030">
        <w:t>-</w:t>
      </w:r>
      <w:r w:rsidRPr="00C33C0B">
        <w:t xml:space="preserve">tiers that </w:t>
      </w:r>
      <w:r w:rsidR="00676C1D">
        <w:t xml:space="preserve">have the most common attendance times near the middle of each tier, to support fair and reasonable practice. </w:t>
      </w:r>
    </w:p>
    <w:p w14:paraId="00FFB62E" w14:textId="77777777" w:rsidR="00B47BFB" w:rsidRPr="00C33C0B" w:rsidRDefault="00B47BFB" w:rsidP="003C5D5A">
      <w:pPr>
        <w:pStyle w:val="Heading2"/>
      </w:pPr>
      <w:bookmarkStart w:id="137" w:name="_Toc24544694"/>
      <w:bookmarkEnd w:id="136"/>
      <w:r>
        <w:t>Recommendation 4 – Approach to fee setting</w:t>
      </w:r>
      <w:bookmarkEnd w:id="137"/>
    </w:p>
    <w:p w14:paraId="6CFCC099" w14:textId="77777777" w:rsidR="00184BDA" w:rsidRPr="00C33C0B" w:rsidRDefault="00184BDA" w:rsidP="00607BDA">
      <w:pPr>
        <w:pStyle w:val="Bullet-green"/>
        <w:numPr>
          <w:ilvl w:val="0"/>
          <w:numId w:val="0"/>
        </w:numPr>
        <w:rPr>
          <w:lang w:val="en-GB"/>
        </w:rPr>
      </w:pPr>
      <w:r w:rsidRPr="00C33C0B">
        <w:rPr>
          <w:lang w:val="en-GB"/>
        </w:rPr>
        <w:t xml:space="preserve">The Committee recommends </w:t>
      </w:r>
      <w:r>
        <w:rPr>
          <w:lang w:val="en-GB"/>
        </w:rPr>
        <w:t>consideration of</w:t>
      </w:r>
      <w:r w:rsidRPr="00C33C0B">
        <w:rPr>
          <w:lang w:val="en-GB"/>
        </w:rPr>
        <w:t xml:space="preserve"> </w:t>
      </w:r>
      <w:r>
        <w:rPr>
          <w:lang w:val="en-GB"/>
        </w:rPr>
        <w:t xml:space="preserve">the </w:t>
      </w:r>
      <w:r w:rsidRPr="00C33C0B">
        <w:rPr>
          <w:lang w:val="en-GB"/>
        </w:rPr>
        <w:t xml:space="preserve">following </w:t>
      </w:r>
      <w:r>
        <w:rPr>
          <w:lang w:val="en-GB"/>
        </w:rPr>
        <w:t>with regard to</w:t>
      </w:r>
      <w:r w:rsidRPr="00C33C0B">
        <w:rPr>
          <w:lang w:val="en-GB"/>
        </w:rPr>
        <w:t xml:space="preserve"> </w:t>
      </w:r>
      <w:r>
        <w:rPr>
          <w:lang w:val="en-GB"/>
        </w:rPr>
        <w:t xml:space="preserve">schedule </w:t>
      </w:r>
      <w:r w:rsidRPr="00C33C0B">
        <w:rPr>
          <w:lang w:val="en-GB"/>
        </w:rPr>
        <w:t>fees</w:t>
      </w:r>
      <w:r w:rsidR="00B47BFB">
        <w:rPr>
          <w:lang w:val="en-GB"/>
        </w:rPr>
        <w:t xml:space="preserve"> (</w:t>
      </w:r>
      <w:r w:rsidR="00B47BFB" w:rsidRPr="00C33C0B">
        <w:rPr>
          <w:lang w:val="en-GB"/>
        </w:rPr>
        <w:t>recognis</w:t>
      </w:r>
      <w:r w:rsidR="00B47BFB">
        <w:rPr>
          <w:lang w:val="en-GB"/>
        </w:rPr>
        <w:t>ing</w:t>
      </w:r>
      <w:r w:rsidR="00B47BFB" w:rsidRPr="00C33C0B">
        <w:rPr>
          <w:lang w:val="en-GB"/>
        </w:rPr>
        <w:t xml:space="preserve"> that fee-setting is </w:t>
      </w:r>
      <w:r w:rsidR="00B47BFB">
        <w:rPr>
          <w:lang w:val="en-GB"/>
        </w:rPr>
        <w:t>out of</w:t>
      </w:r>
      <w:r w:rsidR="00B47BFB" w:rsidRPr="00C33C0B">
        <w:rPr>
          <w:lang w:val="en-GB"/>
        </w:rPr>
        <w:t xml:space="preserve"> </w:t>
      </w:r>
      <w:r w:rsidR="00B41D29">
        <w:rPr>
          <w:lang w:val="en-GB"/>
        </w:rPr>
        <w:t xml:space="preserve">the Committee’s </w:t>
      </w:r>
      <w:r w:rsidR="00B47BFB">
        <w:rPr>
          <w:lang w:val="en-GB"/>
        </w:rPr>
        <w:t>scope)</w:t>
      </w:r>
      <w:r w:rsidRPr="00C33C0B">
        <w:rPr>
          <w:lang w:val="en-GB"/>
        </w:rPr>
        <w:t>:</w:t>
      </w:r>
    </w:p>
    <w:p w14:paraId="3775AF23" w14:textId="77777777" w:rsidR="00184BDA" w:rsidRPr="00C33C0B" w:rsidRDefault="00B47BFB" w:rsidP="000831A1">
      <w:pPr>
        <w:pStyle w:val="Bullet2"/>
        <w:numPr>
          <w:ilvl w:val="0"/>
          <w:numId w:val="71"/>
        </w:numPr>
      </w:pPr>
      <w:r>
        <w:t>b</w:t>
      </w:r>
      <w:r w:rsidR="00184BDA" w:rsidRPr="00C33C0B">
        <w:t>uild</w:t>
      </w:r>
      <w:r>
        <w:t>ing</w:t>
      </w:r>
      <w:r w:rsidR="00184BDA" w:rsidRPr="00C33C0B">
        <w:t xml:space="preserve"> support among peak bodies, </w:t>
      </w:r>
      <w:r w:rsidR="00184BDA">
        <w:t>clinicians</w:t>
      </w:r>
      <w:r w:rsidR="00184BDA" w:rsidRPr="00C33C0B">
        <w:t xml:space="preserve"> and consumers for </w:t>
      </w:r>
      <w:r w:rsidR="00184BDA">
        <w:t xml:space="preserve">the </w:t>
      </w:r>
      <w:r w:rsidR="00184BDA" w:rsidRPr="00C33C0B">
        <w:t>principles of time</w:t>
      </w:r>
      <w:r w:rsidR="00184BDA">
        <w:t>-</w:t>
      </w:r>
      <w:r w:rsidR="00184BDA" w:rsidRPr="00C33C0B">
        <w:t xml:space="preserve">tiering before introducing </w:t>
      </w:r>
      <w:r w:rsidR="00184BDA">
        <w:t xml:space="preserve">schedule </w:t>
      </w:r>
      <w:r w:rsidR="00184BDA" w:rsidRPr="00C33C0B">
        <w:t>fees</w:t>
      </w:r>
      <w:r w:rsidR="006D683C">
        <w:t>;</w:t>
      </w:r>
    </w:p>
    <w:p w14:paraId="38CC92FA" w14:textId="77777777" w:rsidR="00184BDA" w:rsidRPr="00C33C0B" w:rsidRDefault="00B47BFB" w:rsidP="000831A1">
      <w:pPr>
        <w:pStyle w:val="Bullet2"/>
        <w:numPr>
          <w:ilvl w:val="0"/>
          <w:numId w:val="71"/>
        </w:numPr>
      </w:pPr>
      <w:r>
        <w:t>e</w:t>
      </w:r>
      <w:r w:rsidR="00184BDA">
        <w:t>nsur</w:t>
      </w:r>
      <w:r>
        <w:t>ing</w:t>
      </w:r>
      <w:r w:rsidR="00184BDA" w:rsidRPr="00C33C0B">
        <w:t xml:space="preserve"> a linear relationship between attendance time</w:t>
      </w:r>
      <w:r w:rsidR="00184BDA">
        <w:t xml:space="preserve"> </w:t>
      </w:r>
      <w:r w:rsidR="00184BDA" w:rsidRPr="00C33C0B">
        <w:t xml:space="preserve">tiers and schedule fees </w:t>
      </w:r>
      <w:r w:rsidR="00184BDA">
        <w:t>from</w:t>
      </w:r>
      <w:r w:rsidR="00184BDA" w:rsidRPr="00C33C0B">
        <w:t xml:space="preserve"> the outset</w:t>
      </w:r>
      <w:r w:rsidR="006D683C">
        <w:t>;</w:t>
      </w:r>
    </w:p>
    <w:p w14:paraId="1B2F62AE" w14:textId="77777777" w:rsidR="00184BDA" w:rsidRDefault="00AD23FF" w:rsidP="000831A1">
      <w:pPr>
        <w:pStyle w:val="Bullet2"/>
        <w:numPr>
          <w:ilvl w:val="0"/>
          <w:numId w:val="71"/>
        </w:numPr>
      </w:pPr>
      <w:r>
        <w:t>ensuring non</w:t>
      </w:r>
      <w:r>
        <w:noBreakHyphen/>
        <w:t>patient facing time is factored into the new fee structure</w:t>
      </w:r>
      <w:r w:rsidR="00A6186B">
        <w:t xml:space="preserve"> and ensuring that this fact is well communicated</w:t>
      </w:r>
      <w:r w:rsidR="006D683C">
        <w:t>;</w:t>
      </w:r>
      <w:r w:rsidR="00B47BFB">
        <w:t xml:space="preserve"> and</w:t>
      </w:r>
      <w:r w:rsidR="00184BDA" w:rsidRPr="00C33C0B">
        <w:t xml:space="preserve"> </w:t>
      </w:r>
    </w:p>
    <w:p w14:paraId="03E9693C" w14:textId="77777777" w:rsidR="00B20C96" w:rsidRDefault="00B47BFB" w:rsidP="000831A1">
      <w:pPr>
        <w:pStyle w:val="Bullet2"/>
        <w:numPr>
          <w:ilvl w:val="0"/>
          <w:numId w:val="71"/>
        </w:numPr>
      </w:pPr>
      <w:r>
        <w:t>recognising</w:t>
      </w:r>
      <w:r w:rsidR="00B20C96">
        <w:t xml:space="preserve"> that there is a lack</w:t>
      </w:r>
      <w:r w:rsidR="00B20C96" w:rsidRPr="00C33C0B">
        <w:t xml:space="preserve"> of data on the current duration of </w:t>
      </w:r>
      <w:r w:rsidR="00B20C96">
        <w:t>consultant specialist</w:t>
      </w:r>
      <w:r w:rsidR="00B20C96" w:rsidRPr="00C33C0B">
        <w:t xml:space="preserve"> attendance times and the activities performed in these attendances</w:t>
      </w:r>
      <w:r w:rsidR="00B20C96">
        <w:t xml:space="preserve">. </w:t>
      </w:r>
    </w:p>
    <w:p w14:paraId="2C76C2DE" w14:textId="77777777" w:rsidR="00B47BFB" w:rsidRDefault="00B47BFB" w:rsidP="003C5D5A">
      <w:pPr>
        <w:pStyle w:val="Heading2"/>
      </w:pPr>
      <w:bookmarkStart w:id="138" w:name="_Toc24544695"/>
      <w:r>
        <w:t>Rationale 4</w:t>
      </w:r>
      <w:bookmarkEnd w:id="138"/>
    </w:p>
    <w:p w14:paraId="631E8E98" w14:textId="77777777" w:rsidR="002A00C2" w:rsidRDefault="002A00C2" w:rsidP="002A00C2">
      <w:pPr>
        <w:rPr>
          <w:lang w:val="en-GB"/>
        </w:rPr>
      </w:pPr>
      <w:r>
        <w:rPr>
          <w:lang w:val="en-GB"/>
        </w:rPr>
        <w:t>This recommendation focuses on assisting the fee setting process to set appropriate fees. It is based on the following:</w:t>
      </w:r>
    </w:p>
    <w:p w14:paraId="26515628" w14:textId="77777777" w:rsidR="00F43999" w:rsidRDefault="00F43999" w:rsidP="002A00C2">
      <w:pPr>
        <w:pStyle w:val="Bullet-green"/>
        <w:rPr>
          <w:lang w:val="en-GB"/>
        </w:rPr>
      </w:pPr>
      <w:r>
        <w:rPr>
          <w:lang w:val="en-GB"/>
        </w:rPr>
        <w:t xml:space="preserve">The Committee agreed that it was going to be necessary to work closely with providers </w:t>
      </w:r>
      <w:r w:rsidR="000930A7">
        <w:rPr>
          <w:lang w:val="en-GB"/>
        </w:rPr>
        <w:t xml:space="preserve">and consumers </w:t>
      </w:r>
      <w:r>
        <w:rPr>
          <w:lang w:val="en-GB"/>
        </w:rPr>
        <w:t>in order to achieve effective and sustainable outcomes.</w:t>
      </w:r>
    </w:p>
    <w:p w14:paraId="1962F674" w14:textId="77777777" w:rsidR="00B20C96" w:rsidRPr="00607BDA" w:rsidRDefault="00B47BFB" w:rsidP="00607BDA">
      <w:pPr>
        <w:pStyle w:val="Bullet-green"/>
        <w:rPr>
          <w:lang w:val="en-GB"/>
        </w:rPr>
      </w:pPr>
      <w:r w:rsidRPr="00607BDA">
        <w:rPr>
          <w:lang w:val="en-GB"/>
        </w:rPr>
        <w:t>The Committee recognises that there is no single “optimum attendance time”, given the wide variation that exists both between and within specialties. Attempting to structure schedule fees to incentivise an optimum attendance time is not recommended.</w:t>
      </w:r>
    </w:p>
    <w:p w14:paraId="04958348" w14:textId="77777777" w:rsidR="002A00C2" w:rsidRDefault="002A00C2" w:rsidP="002A00C2">
      <w:pPr>
        <w:pStyle w:val="Bullet-green"/>
        <w:rPr>
          <w:lang w:val="en-GB"/>
        </w:rPr>
      </w:pPr>
      <w:r>
        <w:rPr>
          <w:lang w:val="en-GB"/>
        </w:rPr>
        <w:t xml:space="preserve">The Committee notes </w:t>
      </w:r>
      <w:r w:rsidRPr="00C33C0B">
        <w:t>that significant non-patient</w:t>
      </w:r>
      <w:r>
        <w:t>-</w:t>
      </w:r>
      <w:r w:rsidRPr="00C33C0B">
        <w:t>facing time is spent on each attendance</w:t>
      </w:r>
      <w:r>
        <w:rPr>
          <w:lang w:val="en-GB"/>
        </w:rPr>
        <w:t xml:space="preserve">, </w:t>
      </w:r>
      <w:r w:rsidR="00B47BFB" w:rsidRPr="00607BDA">
        <w:rPr>
          <w:lang w:val="en-GB"/>
        </w:rPr>
        <w:t xml:space="preserve">for example, reviewing results prior to seeing patients, writing to the referring doctor, writing management plans. </w:t>
      </w:r>
    </w:p>
    <w:p w14:paraId="76DA0B0A" w14:textId="77777777" w:rsidR="00B47BFB" w:rsidRPr="00607BDA" w:rsidRDefault="00B47BFB" w:rsidP="00607BDA">
      <w:pPr>
        <w:pStyle w:val="Bullet-green"/>
        <w:rPr>
          <w:lang w:val="en-GB"/>
        </w:rPr>
      </w:pPr>
      <w:r w:rsidRPr="00607BDA">
        <w:rPr>
          <w:lang w:val="en-GB"/>
        </w:rPr>
        <w:t>The Provider Benefits Integrity Division (PBID) has explained to the Committee that non-patient-facing time is included in the calculation of schedule fees for MBS items, and has recommended that non-patient-facing time is not specified in item descriptors, as this is difficult to audit, and again will vary across different specialist groups.</w:t>
      </w:r>
    </w:p>
    <w:p w14:paraId="25E66D14" w14:textId="77777777" w:rsidR="00B47BFB" w:rsidRPr="00607BDA" w:rsidRDefault="002A00C2" w:rsidP="00607BDA">
      <w:pPr>
        <w:pStyle w:val="Bullet-green"/>
        <w:rPr>
          <w:lang w:val="en-GB"/>
        </w:rPr>
      </w:pPr>
      <w:r w:rsidRPr="00607BDA">
        <w:rPr>
          <w:lang w:val="en-GB"/>
        </w:rPr>
        <w:t>The Committee notes that there is a lack of data on the current duration of consultant specialist attendance times and the activities performed in these attendances</w:t>
      </w:r>
      <w:r w:rsidR="00A6186B">
        <w:rPr>
          <w:lang w:val="en-GB"/>
        </w:rPr>
        <w:t>.</w:t>
      </w:r>
      <w:r w:rsidRPr="00607BDA">
        <w:rPr>
          <w:lang w:val="en-GB"/>
        </w:rPr>
        <w:t xml:space="preserve"> </w:t>
      </w:r>
      <w:r w:rsidR="00B47BFB" w:rsidRPr="00607BDA">
        <w:rPr>
          <w:lang w:val="en-GB"/>
        </w:rPr>
        <w:t xml:space="preserve">This </w:t>
      </w:r>
      <w:r w:rsidRPr="00607BDA">
        <w:rPr>
          <w:lang w:val="en-GB"/>
        </w:rPr>
        <w:t xml:space="preserve">lack of data </w:t>
      </w:r>
      <w:r w:rsidR="00B47BFB" w:rsidRPr="00607BDA">
        <w:rPr>
          <w:lang w:val="en-GB"/>
        </w:rPr>
        <w:t>reduces the ability to accurately set time tiers and schedule fees, and to predict the impact of these recommendations on individual specialties.</w:t>
      </w:r>
    </w:p>
    <w:p w14:paraId="13F36838" w14:textId="77777777" w:rsidR="003D361C" w:rsidRPr="00E01DFE" w:rsidRDefault="003D361C" w:rsidP="003D361C">
      <w:pPr>
        <w:pStyle w:val="Heading2"/>
      </w:pPr>
      <w:bookmarkStart w:id="139" w:name="_Toc22893986"/>
      <w:bookmarkStart w:id="140" w:name="_Toc24544696"/>
      <w:r w:rsidRPr="00230AEE">
        <w:t>Recommendation 5</w:t>
      </w:r>
      <w:r>
        <w:t xml:space="preserve"> – Impact of time</w:t>
      </w:r>
      <w:r>
        <w:noBreakHyphen/>
        <w:t>tiering on distant outreach services</w:t>
      </w:r>
      <w:bookmarkEnd w:id="139"/>
      <w:bookmarkEnd w:id="140"/>
    </w:p>
    <w:p w14:paraId="7BF1D88C" w14:textId="77777777" w:rsidR="003D361C" w:rsidRDefault="003D361C" w:rsidP="003D361C">
      <w:r>
        <w:t>The Committee recommends that to address the potential concerns of time-</w:t>
      </w:r>
      <w:r>
        <w:softHyphen/>
        <w:t>tiering on distant outreach services the following steps will need to be considered:</w:t>
      </w:r>
    </w:p>
    <w:p w14:paraId="080D7982" w14:textId="77777777" w:rsidR="003D361C" w:rsidRDefault="003D361C" w:rsidP="003D361C">
      <w:pPr>
        <w:pStyle w:val="ListParagraph"/>
        <w:numPr>
          <w:ilvl w:val="0"/>
          <w:numId w:val="113"/>
        </w:numPr>
        <w:spacing w:before="0" w:after="160"/>
        <w:ind w:left="714" w:hanging="357"/>
      </w:pPr>
      <w:r>
        <w:t>Data will need to be collected on this practice, if possible from MBS data or other sources;</w:t>
      </w:r>
    </w:p>
    <w:p w14:paraId="07FB3371" w14:textId="77777777" w:rsidR="003D361C" w:rsidRDefault="003D361C" w:rsidP="003D361C">
      <w:pPr>
        <w:pStyle w:val="ListParagraph"/>
        <w:numPr>
          <w:ilvl w:val="0"/>
          <w:numId w:val="113"/>
        </w:numPr>
        <w:spacing w:before="0" w:after="160"/>
        <w:ind w:left="714" w:hanging="357"/>
      </w:pPr>
      <w:r>
        <w:t xml:space="preserve">If such a problem does exist, a non MBS process will need to be developed to address the issue; </w:t>
      </w:r>
    </w:p>
    <w:p w14:paraId="4AF126E7" w14:textId="77777777" w:rsidR="003D361C" w:rsidRDefault="003D361C" w:rsidP="003D361C">
      <w:pPr>
        <w:pStyle w:val="ListParagraph"/>
        <w:numPr>
          <w:ilvl w:val="0"/>
          <w:numId w:val="113"/>
        </w:numPr>
        <w:spacing w:before="0" w:after="160"/>
        <w:ind w:left="714" w:hanging="357"/>
      </w:pPr>
      <w:r>
        <w:t xml:space="preserve">Any such process should continue to support patient access to local services where </w:t>
      </w:r>
      <w:r w:rsidR="000930A7">
        <w:t>needed</w:t>
      </w:r>
      <w:r>
        <w:t>; and</w:t>
      </w:r>
    </w:p>
    <w:p w14:paraId="206E563E" w14:textId="77777777" w:rsidR="003D361C" w:rsidRDefault="003D361C" w:rsidP="003D361C">
      <w:pPr>
        <w:pStyle w:val="ListParagraph"/>
        <w:numPr>
          <w:ilvl w:val="0"/>
          <w:numId w:val="113"/>
        </w:numPr>
        <w:spacing w:before="0" w:after="160"/>
        <w:ind w:left="714" w:hanging="357"/>
      </w:pPr>
      <w:r>
        <w:t xml:space="preserve">A community need must be demonstrated in order to justify a non-MBS solution. </w:t>
      </w:r>
    </w:p>
    <w:p w14:paraId="43EF58B2" w14:textId="77777777" w:rsidR="003D361C" w:rsidRDefault="003D361C" w:rsidP="003D361C">
      <w:pPr>
        <w:pStyle w:val="Heading2"/>
      </w:pPr>
      <w:bookmarkStart w:id="141" w:name="_Toc22893987"/>
      <w:bookmarkStart w:id="142" w:name="_Toc24544697"/>
      <w:r w:rsidRPr="00E01DFE">
        <w:t>Rationale 5</w:t>
      </w:r>
      <w:bookmarkEnd w:id="141"/>
      <w:bookmarkEnd w:id="142"/>
    </w:p>
    <w:p w14:paraId="502A8C24" w14:textId="77777777" w:rsidR="003D361C" w:rsidRDefault="003D361C" w:rsidP="003D361C">
      <w:r>
        <w:t xml:space="preserve">It has been argued that the viability of some outreach services will suffer if time-tiering replaces fee for service, in so doing removing local access to essential services from patients in rural and remote regions. </w:t>
      </w:r>
      <w:r w:rsidR="00856FC5">
        <w:t xml:space="preserve"> The existing disparity in rebate of initial vs subsequent consultations may have led to remunerative structures that have a significant dependence on initial consultations to maintain viability</w:t>
      </w:r>
      <w:r>
        <w:t xml:space="preserve"> </w:t>
      </w:r>
    </w:p>
    <w:p w14:paraId="0B4F1500" w14:textId="77777777" w:rsidR="003D361C" w:rsidRPr="00755840" w:rsidRDefault="001D2CD1" w:rsidP="003D361C">
      <w:r>
        <w:t>It is accepted that in some rural, regional and remote areas, there is not a critical population mass (or infrastructure) to attract or retain some consultant specialists by relying on the MBS alone.</w:t>
      </w:r>
      <w:r w:rsidR="00856FC5">
        <w:t xml:space="preserve"> </w:t>
      </w:r>
      <w:r w:rsidR="003D361C">
        <w:t xml:space="preserve">From a strategic perspective it is intended that all Australians have timely and appropriate access to high quality medical and surgical services </w:t>
      </w:r>
      <w:r w:rsidR="000930A7">
        <w:t xml:space="preserve">as </w:t>
      </w:r>
      <w:r w:rsidR="003D361C">
        <w:t>needed. This can be best achieved by the development of local service</w:t>
      </w:r>
      <w:r w:rsidR="000930A7">
        <w:t xml:space="preserve"> models</w:t>
      </w:r>
      <w:r>
        <w:t xml:space="preserve"> that may require both MBS and non MBS support</w:t>
      </w:r>
      <w:r w:rsidR="003D361C">
        <w:t xml:space="preserve">. </w:t>
      </w:r>
    </w:p>
    <w:p w14:paraId="73E56542" w14:textId="77777777" w:rsidR="00006116" w:rsidRPr="0019507E" w:rsidRDefault="00006116" w:rsidP="00607BDA"/>
    <w:p w14:paraId="426A8106" w14:textId="77777777" w:rsidR="00175794" w:rsidRPr="00C33C0B" w:rsidRDefault="00175794" w:rsidP="00607BDA">
      <w:pPr>
        <w:rPr>
          <w:rFonts w:eastAsiaTheme="minorHAnsi"/>
          <w:lang w:val="en-GB" w:eastAsia="en-US"/>
        </w:rPr>
      </w:pPr>
      <w:r w:rsidRPr="00C33C0B">
        <w:rPr>
          <w:lang w:val="en-GB"/>
        </w:rPr>
        <w:br w:type="page"/>
      </w:r>
    </w:p>
    <w:p w14:paraId="0AE49A53" w14:textId="77777777" w:rsidR="0063055E" w:rsidRPr="00C33C0B" w:rsidRDefault="0063055E" w:rsidP="0063055E">
      <w:pPr>
        <w:pStyle w:val="Heading1"/>
      </w:pPr>
      <w:bookmarkStart w:id="143" w:name="_Toc24544698"/>
      <w:r w:rsidRPr="00C33C0B">
        <w:t>Complex plan</w:t>
      </w:r>
      <w:r>
        <w:t xml:space="preserve"> recommendations</w:t>
      </w:r>
      <w:bookmarkEnd w:id="143"/>
    </w:p>
    <w:p w14:paraId="7F011F24" w14:textId="77777777" w:rsidR="002C2B9B" w:rsidRPr="00607BDA" w:rsidRDefault="006E6B20" w:rsidP="003C5D5A">
      <w:pPr>
        <w:pStyle w:val="Heading2"/>
      </w:pPr>
      <w:bookmarkStart w:id="144" w:name="_Toc24544699"/>
      <w:r w:rsidRPr="00607BDA">
        <w:t xml:space="preserve">The </w:t>
      </w:r>
      <w:r>
        <w:t>c</w:t>
      </w:r>
      <w:r w:rsidRPr="00607BDA">
        <w:t>omplex plan context</w:t>
      </w:r>
      <w:bookmarkEnd w:id="144"/>
    </w:p>
    <w:p w14:paraId="6914A2BC" w14:textId="77777777" w:rsidR="0063055E" w:rsidRPr="00C33C0B" w:rsidRDefault="0063055E" w:rsidP="0063055E">
      <w:pPr>
        <w:rPr>
          <w:lang w:val="en-GB"/>
        </w:rPr>
      </w:pPr>
      <w:r w:rsidRPr="00C33C0B">
        <w:rPr>
          <w:lang w:val="en-GB"/>
        </w:rPr>
        <w:t xml:space="preserve">The MBS has </w:t>
      </w:r>
      <w:r>
        <w:rPr>
          <w:lang w:val="en-GB"/>
        </w:rPr>
        <w:t>eight</w:t>
      </w:r>
      <w:r w:rsidRPr="00C33C0B">
        <w:rPr>
          <w:lang w:val="en-GB"/>
        </w:rPr>
        <w:t xml:space="preserve"> items related to the development of complex plans</w:t>
      </w:r>
      <w:r>
        <w:rPr>
          <w:lang w:val="en-GB"/>
        </w:rPr>
        <w:t>.</w:t>
      </w:r>
      <w:r w:rsidRPr="00C33C0B">
        <w:rPr>
          <w:rStyle w:val="FootnoteReference"/>
          <w:lang w:val="en-GB"/>
        </w:rPr>
        <w:footnoteReference w:id="5"/>
      </w:r>
      <w:r>
        <w:rPr>
          <w:lang w:val="en-GB"/>
        </w:rPr>
        <w:t xml:space="preserve"> These items accounted for</w:t>
      </w:r>
      <w:r w:rsidR="00277440">
        <w:rPr>
          <w:lang w:val="en-GB"/>
        </w:rPr>
        <w:t xml:space="preserve"> 1.7 million services and $3</w:t>
      </w:r>
      <w:r w:rsidRPr="00C33C0B">
        <w:rPr>
          <w:lang w:val="en-GB"/>
        </w:rPr>
        <w:t>18</w:t>
      </w:r>
      <w:r>
        <w:rPr>
          <w:lang w:val="en-GB"/>
        </w:rPr>
        <w:t xml:space="preserve"> million</w:t>
      </w:r>
      <w:r w:rsidRPr="00C33C0B">
        <w:rPr>
          <w:lang w:val="en-GB"/>
        </w:rPr>
        <w:t xml:space="preserve"> in benefits in 2016/17. </w:t>
      </w:r>
      <w:r w:rsidR="00DF3AC6">
        <w:rPr>
          <w:lang w:val="en-GB"/>
        </w:rPr>
        <w:t xml:space="preserve">The majority of </w:t>
      </w:r>
      <w:r w:rsidR="004A5331">
        <w:rPr>
          <w:lang w:val="en-GB"/>
        </w:rPr>
        <w:t xml:space="preserve">complex plan </w:t>
      </w:r>
      <w:r w:rsidR="00DF3AC6">
        <w:rPr>
          <w:lang w:val="en-GB"/>
        </w:rPr>
        <w:t xml:space="preserve">benefits and services </w:t>
      </w:r>
      <w:r w:rsidR="0038490A">
        <w:rPr>
          <w:lang w:val="en-GB"/>
        </w:rPr>
        <w:t xml:space="preserve">relate </w:t>
      </w:r>
      <w:r w:rsidR="004A5331">
        <w:rPr>
          <w:lang w:val="en-GB"/>
        </w:rPr>
        <w:t>to consultant physician items 132 and 133 (93% of benefits, 96% of services).</w:t>
      </w:r>
    </w:p>
    <w:p w14:paraId="57B3ED79" w14:textId="77777777" w:rsidR="0063055E" w:rsidRPr="00C33C0B" w:rsidRDefault="0063055E" w:rsidP="0063055E">
      <w:pPr>
        <w:rPr>
          <w:lang w:val="en-GB"/>
        </w:rPr>
      </w:pPr>
      <w:r w:rsidRPr="00C33C0B">
        <w:rPr>
          <w:lang w:val="en-GB"/>
        </w:rPr>
        <w:t>Complex plan items specify the assessment, diagnos</w:t>
      </w:r>
      <w:r w:rsidR="009B5FE0">
        <w:rPr>
          <w:lang w:val="en-GB"/>
        </w:rPr>
        <w:t>i</w:t>
      </w:r>
      <w:r w:rsidRPr="00C33C0B">
        <w:rPr>
          <w:lang w:val="en-GB"/>
        </w:rPr>
        <w:t xml:space="preserve">s and development of a comprehensive </w:t>
      </w:r>
      <w:r w:rsidR="005635EA">
        <w:rPr>
          <w:lang w:val="en-GB"/>
        </w:rPr>
        <w:t xml:space="preserve">patient </w:t>
      </w:r>
      <w:r w:rsidRPr="00C33C0B">
        <w:rPr>
          <w:lang w:val="en-GB"/>
        </w:rPr>
        <w:t>management plan</w:t>
      </w:r>
      <w:r w:rsidR="007868F4">
        <w:rPr>
          <w:lang w:val="en-GB"/>
        </w:rPr>
        <w:t xml:space="preserve"> and </w:t>
      </w:r>
      <w:r w:rsidR="007868F4" w:rsidRPr="007868F4">
        <w:rPr>
          <w:lang w:val="en-GB"/>
        </w:rPr>
        <w:t>enable the referring clinician and the patient to bett</w:t>
      </w:r>
      <w:r w:rsidR="007868F4">
        <w:rPr>
          <w:lang w:val="en-GB"/>
        </w:rPr>
        <w:t>er manage everyday health care.</w:t>
      </w:r>
      <w:r w:rsidR="006E6B20">
        <w:rPr>
          <w:lang w:val="en-GB"/>
        </w:rPr>
        <w:t xml:space="preserve"> The items cover:</w:t>
      </w:r>
    </w:p>
    <w:p w14:paraId="2CAA195E" w14:textId="77777777" w:rsidR="0063055E" w:rsidRPr="00607BDA" w:rsidRDefault="0063055E" w:rsidP="00607BDA">
      <w:pPr>
        <w:pStyle w:val="Bullet-green"/>
        <w:rPr>
          <w:lang w:val="en-GB"/>
        </w:rPr>
      </w:pPr>
      <w:r w:rsidRPr="006E6B20">
        <w:rPr>
          <w:lang w:val="en-GB"/>
        </w:rPr>
        <w:t xml:space="preserve">Consultant physician complex plan </w:t>
      </w:r>
      <w:r w:rsidR="006E6B20" w:rsidRPr="006E6B20">
        <w:rPr>
          <w:lang w:val="en-GB"/>
        </w:rPr>
        <w:t>(</w:t>
      </w:r>
      <w:r w:rsidRPr="006E6B20">
        <w:rPr>
          <w:lang w:val="en-GB"/>
        </w:rPr>
        <w:t>items 132 and 133</w:t>
      </w:r>
      <w:r w:rsidR="006E6B20" w:rsidRPr="006E6B20">
        <w:rPr>
          <w:lang w:val="en-GB"/>
        </w:rPr>
        <w:t xml:space="preserve">) - </w:t>
      </w:r>
      <w:r w:rsidR="006E6B20" w:rsidRPr="00607BDA">
        <w:rPr>
          <w:lang w:val="en-GB"/>
        </w:rPr>
        <w:t>a</w:t>
      </w:r>
      <w:r w:rsidRPr="00607BDA">
        <w:rPr>
          <w:lang w:val="en-GB"/>
        </w:rPr>
        <w:t>ttendances of</w:t>
      </w:r>
      <w:r w:rsidR="002C01EB" w:rsidRPr="00607BDA">
        <w:rPr>
          <w:lang w:val="en-GB"/>
        </w:rPr>
        <w:t xml:space="preserve"> at least</w:t>
      </w:r>
      <w:r w:rsidRPr="00607BDA">
        <w:rPr>
          <w:lang w:val="en-GB"/>
        </w:rPr>
        <w:t xml:space="preserve"> 45 minutes and 20 minutes, respectively, for the creation and review of a complex plan.</w:t>
      </w:r>
    </w:p>
    <w:p w14:paraId="149BFFE5" w14:textId="77777777" w:rsidR="006E6B20" w:rsidRDefault="0063055E" w:rsidP="00607BDA">
      <w:pPr>
        <w:pStyle w:val="Bullet-green"/>
        <w:rPr>
          <w:lang w:val="en-GB"/>
        </w:rPr>
      </w:pPr>
      <w:r w:rsidRPr="006E6B20">
        <w:rPr>
          <w:lang w:val="en-GB"/>
        </w:rPr>
        <w:t xml:space="preserve">Paediatric complex plan </w:t>
      </w:r>
      <w:r w:rsidR="006E6B20" w:rsidRPr="006E6B20">
        <w:rPr>
          <w:lang w:val="en-GB"/>
        </w:rPr>
        <w:t>(</w:t>
      </w:r>
      <w:r w:rsidRPr="006E6B20">
        <w:rPr>
          <w:lang w:val="en-GB"/>
        </w:rPr>
        <w:t>items 135 and 137</w:t>
      </w:r>
      <w:r w:rsidR="006E6B20" w:rsidRPr="006E6B20">
        <w:rPr>
          <w:lang w:val="en-GB"/>
        </w:rPr>
        <w:t xml:space="preserve">) - </w:t>
      </w:r>
      <w:r w:rsidR="006E6B20" w:rsidRPr="00607BDA">
        <w:rPr>
          <w:lang w:val="en-GB"/>
        </w:rPr>
        <w:t>a</w:t>
      </w:r>
      <w:r w:rsidRPr="00607BDA">
        <w:rPr>
          <w:lang w:val="en-GB"/>
        </w:rPr>
        <w:t xml:space="preserve">ttendances of at least 45 minutes for a child aged under 13 years with autism or another pervasive developmental disorder (item 135) or </w:t>
      </w:r>
      <w:r w:rsidRPr="006E6B20">
        <w:rPr>
          <w:lang w:val="en-GB"/>
        </w:rPr>
        <w:t>an eligible disability (item 137).</w:t>
      </w:r>
      <w:r w:rsidR="006E6B20" w:rsidRPr="006E6B20">
        <w:rPr>
          <w:lang w:val="en-GB"/>
        </w:rPr>
        <w:t xml:space="preserve"> </w:t>
      </w:r>
    </w:p>
    <w:p w14:paraId="3FB4B860" w14:textId="77777777" w:rsidR="0063055E" w:rsidRPr="006E6B20" w:rsidRDefault="0063055E" w:rsidP="00607BDA">
      <w:pPr>
        <w:pStyle w:val="Bullet-green"/>
        <w:numPr>
          <w:ilvl w:val="0"/>
          <w:numId w:val="0"/>
        </w:numPr>
        <w:ind w:left="431"/>
        <w:rPr>
          <w:lang w:val="en-GB"/>
        </w:rPr>
      </w:pPr>
      <w:r w:rsidRPr="006E6B20">
        <w:rPr>
          <w:lang w:val="en-GB"/>
        </w:rPr>
        <w:t xml:space="preserve">These items </w:t>
      </w:r>
      <w:r w:rsidR="005635EA">
        <w:rPr>
          <w:lang w:val="en-GB"/>
        </w:rPr>
        <w:t xml:space="preserve">enable assessment of the need and eligibility </w:t>
      </w:r>
      <w:r w:rsidRPr="006E6B20">
        <w:rPr>
          <w:lang w:val="en-GB"/>
        </w:rPr>
        <w:t>for a package of</w:t>
      </w:r>
      <w:r w:rsidR="004A5331" w:rsidRPr="006E6B20">
        <w:rPr>
          <w:lang w:val="en-GB"/>
        </w:rPr>
        <w:t xml:space="preserve"> </w:t>
      </w:r>
      <w:r w:rsidRPr="006E6B20">
        <w:rPr>
          <w:lang w:val="en-GB"/>
        </w:rPr>
        <w:t xml:space="preserve">allied health professional </w:t>
      </w:r>
      <w:r w:rsidR="000943EE" w:rsidRPr="006E6B20">
        <w:rPr>
          <w:lang w:val="en-GB"/>
        </w:rPr>
        <w:t>services</w:t>
      </w:r>
      <w:r w:rsidR="006E6B20">
        <w:rPr>
          <w:lang w:val="en-GB"/>
        </w:rPr>
        <w:t xml:space="preserve"> including </w:t>
      </w:r>
      <w:r w:rsidR="006E6B20">
        <w:t>four allied health assessment services and 20 allied health treatment services per eligible child</w:t>
      </w:r>
      <w:r w:rsidRPr="006E6B20">
        <w:rPr>
          <w:lang w:val="en-GB"/>
        </w:rPr>
        <w:t>.</w:t>
      </w:r>
    </w:p>
    <w:p w14:paraId="13121FF5" w14:textId="77777777" w:rsidR="0063055E" w:rsidRPr="006E6B20" w:rsidRDefault="0063055E" w:rsidP="00607BDA">
      <w:pPr>
        <w:pStyle w:val="Bullet-green"/>
        <w:rPr>
          <w:lang w:val="en-GB"/>
        </w:rPr>
      </w:pPr>
      <w:r w:rsidRPr="006E6B20">
        <w:rPr>
          <w:lang w:val="en-GB"/>
        </w:rPr>
        <w:t>Geriatric complex plan</w:t>
      </w:r>
      <w:r w:rsidR="009D18C0">
        <w:rPr>
          <w:lang w:val="en-GB"/>
        </w:rPr>
        <w:t xml:space="preserve"> </w:t>
      </w:r>
      <w:r w:rsidR="006E6B20" w:rsidRPr="006E6B20">
        <w:rPr>
          <w:lang w:val="en-GB"/>
        </w:rPr>
        <w:t>(</w:t>
      </w:r>
      <w:r w:rsidRPr="006E6B20">
        <w:rPr>
          <w:lang w:val="en-GB"/>
        </w:rPr>
        <w:t>items 141, 143, 145 and 147</w:t>
      </w:r>
      <w:r w:rsidR="006E6B20" w:rsidRPr="006E6B20">
        <w:rPr>
          <w:lang w:val="en-GB"/>
        </w:rPr>
        <w:t xml:space="preserve">) - </w:t>
      </w:r>
      <w:r w:rsidR="006E6B20">
        <w:rPr>
          <w:lang w:val="en-GB"/>
        </w:rPr>
        <w:t>a</w:t>
      </w:r>
      <w:r w:rsidRPr="00607BDA">
        <w:rPr>
          <w:lang w:val="en-GB"/>
        </w:rPr>
        <w:t xml:space="preserve">ttendances of </w:t>
      </w:r>
      <w:r w:rsidR="0025591E" w:rsidRPr="00607BDA">
        <w:rPr>
          <w:lang w:val="en-GB"/>
        </w:rPr>
        <w:t xml:space="preserve">more than </w:t>
      </w:r>
      <w:r w:rsidRPr="00607BDA">
        <w:rPr>
          <w:lang w:val="en-GB"/>
        </w:rPr>
        <w:t>60</w:t>
      </w:r>
      <w:r w:rsidR="006E6B20">
        <w:rPr>
          <w:lang w:val="en-GB"/>
        </w:rPr>
        <w:t> </w:t>
      </w:r>
      <w:r w:rsidRPr="00607BDA">
        <w:rPr>
          <w:lang w:val="en-GB"/>
        </w:rPr>
        <w:t xml:space="preserve">minutes and 30 minutes, respectively, for </w:t>
      </w:r>
      <w:r w:rsidRPr="006E6B20">
        <w:rPr>
          <w:lang w:val="en-GB"/>
        </w:rPr>
        <w:t>the creation and review of a complex plan (two items each for attendances at consulting rooms/hospital or elsewhere).</w:t>
      </w:r>
    </w:p>
    <w:p w14:paraId="3960AEC1" w14:textId="77777777" w:rsidR="0063055E" w:rsidRPr="00607BDA" w:rsidRDefault="0063055E" w:rsidP="00607BDA">
      <w:pPr>
        <w:pStyle w:val="Bullet-green"/>
        <w:rPr>
          <w:lang w:val="en-GB"/>
        </w:rPr>
      </w:pPr>
      <w:r w:rsidRPr="006E6B20">
        <w:rPr>
          <w:lang w:val="en-GB"/>
        </w:rPr>
        <w:t xml:space="preserve">Addiction medicine complex plan </w:t>
      </w:r>
      <w:r w:rsidR="006E6B20" w:rsidRPr="006E6B20">
        <w:rPr>
          <w:lang w:val="en-GB"/>
        </w:rPr>
        <w:t>(</w:t>
      </w:r>
      <w:r w:rsidRPr="006E6B20">
        <w:rPr>
          <w:lang w:val="en-GB"/>
        </w:rPr>
        <w:t>items 6023 and 6024</w:t>
      </w:r>
      <w:r w:rsidR="006E6B20" w:rsidRPr="006E6B20">
        <w:rPr>
          <w:lang w:val="en-GB"/>
        </w:rPr>
        <w:t xml:space="preserve">) - </w:t>
      </w:r>
      <w:r w:rsidR="006E6B20">
        <w:rPr>
          <w:lang w:val="en-GB"/>
        </w:rPr>
        <w:t>a</w:t>
      </w:r>
      <w:r w:rsidRPr="00607BDA">
        <w:rPr>
          <w:lang w:val="en-GB"/>
        </w:rPr>
        <w:t>ttendances of</w:t>
      </w:r>
      <w:r w:rsidR="00250B7A" w:rsidRPr="00607BDA">
        <w:rPr>
          <w:lang w:val="en-GB"/>
        </w:rPr>
        <w:t xml:space="preserve"> at least</w:t>
      </w:r>
      <w:r w:rsidRPr="00607BDA">
        <w:rPr>
          <w:lang w:val="en-GB"/>
        </w:rPr>
        <w:t xml:space="preserve"> 45 minutes and 20 minutes, respectively, for the creation and review of a complex plan. </w:t>
      </w:r>
    </w:p>
    <w:p w14:paraId="4D1CF728" w14:textId="77777777" w:rsidR="0063055E" w:rsidRPr="00D559D6" w:rsidRDefault="0063055E" w:rsidP="00607BDA">
      <w:pPr>
        <w:pStyle w:val="Bullet-green"/>
      </w:pPr>
      <w:r w:rsidRPr="006E6B20">
        <w:rPr>
          <w:lang w:val="en-GB"/>
        </w:rPr>
        <w:t xml:space="preserve">Sexual health medicine complex plan </w:t>
      </w:r>
      <w:r w:rsidR="006E6B20" w:rsidRPr="006E6B20">
        <w:rPr>
          <w:lang w:val="en-GB"/>
        </w:rPr>
        <w:t>(</w:t>
      </w:r>
      <w:r w:rsidRPr="006E6B20">
        <w:rPr>
          <w:lang w:val="en-GB"/>
        </w:rPr>
        <w:t>items 6057 and 6058</w:t>
      </w:r>
      <w:r w:rsidR="006E6B20" w:rsidRPr="006E6B20">
        <w:rPr>
          <w:lang w:val="en-GB"/>
        </w:rPr>
        <w:t xml:space="preserve">) - </w:t>
      </w:r>
      <w:r w:rsidR="006E6B20">
        <w:t>a</w:t>
      </w:r>
      <w:r w:rsidRPr="00D559D6">
        <w:t xml:space="preserve">ttendances of </w:t>
      </w:r>
      <w:r w:rsidR="003860A4">
        <w:t xml:space="preserve">at least </w:t>
      </w:r>
      <w:r w:rsidRPr="00D559D6">
        <w:t>45 minutes and 20 minutes</w:t>
      </w:r>
      <w:r>
        <w:t>, respectively,</w:t>
      </w:r>
      <w:r w:rsidRPr="00D559D6">
        <w:t xml:space="preserve"> for the creation and review of a complex plan. </w:t>
      </w:r>
    </w:p>
    <w:p w14:paraId="6B429996" w14:textId="77777777" w:rsidR="0063055E" w:rsidRPr="00C33C0B" w:rsidRDefault="00FD5587" w:rsidP="003C5D5A">
      <w:pPr>
        <w:pStyle w:val="Heading2"/>
      </w:pPr>
      <w:bookmarkStart w:id="145" w:name="_Toc24544700"/>
      <w:bookmarkStart w:id="146" w:name="_Hlk529009241"/>
      <w:r>
        <w:t xml:space="preserve">Recommendation </w:t>
      </w:r>
      <w:r w:rsidR="003D361C">
        <w:t>6</w:t>
      </w:r>
      <w:r w:rsidR="0063055E">
        <w:t xml:space="preserve"> </w:t>
      </w:r>
      <w:r w:rsidR="00A42BFB">
        <w:t>- Removing consultant physician, addiction medicine, and sexual health medicine complex plan items</w:t>
      </w:r>
      <w:bookmarkEnd w:id="145"/>
    </w:p>
    <w:p w14:paraId="750B0A72" w14:textId="77777777" w:rsidR="0063055E" w:rsidRPr="00C33C0B" w:rsidRDefault="006E6B20" w:rsidP="00607BDA">
      <w:pPr>
        <w:pStyle w:val="Bullet-green"/>
        <w:numPr>
          <w:ilvl w:val="0"/>
          <w:numId w:val="0"/>
        </w:numPr>
      </w:pPr>
      <w:r>
        <w:t>The Committee recommends r</w:t>
      </w:r>
      <w:r w:rsidR="000943EE">
        <w:t>emov</w:t>
      </w:r>
      <w:r>
        <w:t>ing</w:t>
      </w:r>
      <w:r w:rsidR="000943EE">
        <w:t xml:space="preserve"> consultant physician, addiction medicine, and sexual health medicine complex plan items from the MBS</w:t>
      </w:r>
      <w:r>
        <w:t xml:space="preserve"> (items 132, 133, 6023, 6024, 6057, and 6058)</w:t>
      </w:r>
      <w:r w:rsidR="00A42BFB">
        <w:t>.</w:t>
      </w:r>
    </w:p>
    <w:p w14:paraId="439CBA77" w14:textId="77777777" w:rsidR="0063055E" w:rsidRPr="00C33C0B" w:rsidRDefault="0063055E" w:rsidP="003C5D5A">
      <w:pPr>
        <w:pStyle w:val="Heading2"/>
      </w:pPr>
      <w:bookmarkStart w:id="147" w:name="_Toc24544701"/>
      <w:bookmarkEnd w:id="146"/>
      <w:r w:rsidRPr="00C33C0B">
        <w:t xml:space="preserve">Rationale </w:t>
      </w:r>
      <w:r w:rsidR="003D361C">
        <w:t>6</w:t>
      </w:r>
      <w:bookmarkEnd w:id="147"/>
    </w:p>
    <w:p w14:paraId="6EAA353A" w14:textId="77777777" w:rsidR="0063055E" w:rsidRDefault="0063055E" w:rsidP="0063055E">
      <w:pPr>
        <w:rPr>
          <w:lang w:val="en-GB"/>
        </w:rPr>
      </w:pPr>
      <w:r>
        <w:rPr>
          <w:lang w:val="en-GB"/>
        </w:rPr>
        <w:t>This recommendation focuses on</w:t>
      </w:r>
      <w:r w:rsidR="00C90552">
        <w:rPr>
          <w:lang w:val="en-GB"/>
        </w:rPr>
        <w:t xml:space="preserve"> incorporating the creation of complex plans into standard time</w:t>
      </w:r>
      <w:r w:rsidR="0025414F">
        <w:rPr>
          <w:lang w:val="en-GB"/>
        </w:rPr>
        <w:t>-</w:t>
      </w:r>
      <w:r w:rsidR="00C90552">
        <w:rPr>
          <w:lang w:val="en-GB"/>
        </w:rPr>
        <w:t>tiered attendances</w:t>
      </w:r>
      <w:r w:rsidR="005635EA">
        <w:rPr>
          <w:lang w:val="en-GB"/>
        </w:rPr>
        <w:t xml:space="preserve"> for the following reasons</w:t>
      </w:r>
      <w:r w:rsidR="009A20C2">
        <w:rPr>
          <w:lang w:val="en-GB"/>
        </w:rPr>
        <w:t>:</w:t>
      </w:r>
    </w:p>
    <w:p w14:paraId="12C8F5A6" w14:textId="77777777" w:rsidR="0063055E" w:rsidRPr="00C33C0B" w:rsidRDefault="0063055E" w:rsidP="0063055E">
      <w:pPr>
        <w:pStyle w:val="Bullet-green"/>
        <w:rPr>
          <w:lang w:val="en-GB"/>
        </w:rPr>
      </w:pPr>
      <w:r w:rsidRPr="00C33C0B">
        <w:rPr>
          <w:lang w:val="en-GB"/>
        </w:rPr>
        <w:t>Item 132 was introduced to the MBS in 2007</w:t>
      </w:r>
      <w:r w:rsidR="004F01C2">
        <w:rPr>
          <w:lang w:val="en-GB"/>
        </w:rPr>
        <w:t xml:space="preserve"> with the intention </w:t>
      </w:r>
      <w:r w:rsidR="007A540A">
        <w:rPr>
          <w:lang w:val="en-GB"/>
        </w:rPr>
        <w:t xml:space="preserve">of supporting </w:t>
      </w:r>
      <w:r w:rsidRPr="00C33C0B">
        <w:rPr>
          <w:lang w:val="en-GB"/>
        </w:rPr>
        <w:t>patients with chronic and complex conditions</w:t>
      </w:r>
      <w:r>
        <w:rPr>
          <w:lang w:val="en-GB"/>
        </w:rPr>
        <w:t xml:space="preserve"> through the </w:t>
      </w:r>
      <w:r w:rsidRPr="00C33C0B">
        <w:rPr>
          <w:lang w:val="en-GB"/>
        </w:rPr>
        <w:t xml:space="preserve">creation of a comprehensive management plan by </w:t>
      </w:r>
      <w:r>
        <w:rPr>
          <w:lang w:val="en-GB"/>
        </w:rPr>
        <w:t>c</w:t>
      </w:r>
      <w:r w:rsidRPr="00C33C0B">
        <w:rPr>
          <w:lang w:val="en-GB"/>
        </w:rPr>
        <w:t xml:space="preserve">onsultant </w:t>
      </w:r>
      <w:r w:rsidR="008C78CE">
        <w:rPr>
          <w:lang w:val="en-GB"/>
        </w:rPr>
        <w:t>specialists</w:t>
      </w:r>
      <w:r w:rsidRPr="00C33C0B">
        <w:rPr>
          <w:lang w:val="en-GB"/>
        </w:rPr>
        <w:t xml:space="preserve"> that </w:t>
      </w:r>
      <w:r w:rsidR="007A540A">
        <w:rPr>
          <w:lang w:val="en-GB"/>
        </w:rPr>
        <w:t xml:space="preserve">would enable </w:t>
      </w:r>
      <w:r w:rsidRPr="00C33C0B">
        <w:rPr>
          <w:lang w:val="en-GB"/>
        </w:rPr>
        <w:t xml:space="preserve">ongoing management </w:t>
      </w:r>
      <w:r w:rsidR="007A540A">
        <w:rPr>
          <w:lang w:val="en-GB"/>
        </w:rPr>
        <w:t>by the referring practitioner (usually the patient’s GP).</w:t>
      </w:r>
    </w:p>
    <w:p w14:paraId="42849348" w14:textId="77777777" w:rsidR="0063055E" w:rsidRDefault="0063055E" w:rsidP="0063055E">
      <w:pPr>
        <w:pStyle w:val="Bullet-green"/>
        <w:rPr>
          <w:lang w:val="en-GB"/>
        </w:rPr>
      </w:pPr>
      <w:r w:rsidRPr="00C33C0B">
        <w:rPr>
          <w:lang w:val="en-GB"/>
        </w:rPr>
        <w:t>In the past five years, there has been rapid growth in use of item 132 (12</w:t>
      </w:r>
      <w:r>
        <w:rPr>
          <w:lang w:val="en-GB"/>
        </w:rPr>
        <w:t xml:space="preserve"> per cent</w:t>
      </w:r>
      <w:r w:rsidRPr="00C33C0B">
        <w:rPr>
          <w:lang w:val="en-GB"/>
        </w:rPr>
        <w:t xml:space="preserve"> compound annual growth rate)</w:t>
      </w:r>
      <w:r>
        <w:rPr>
          <w:lang w:val="en-GB"/>
        </w:rPr>
        <w:t>.</w:t>
      </w:r>
      <w:r w:rsidRPr="00C33C0B">
        <w:rPr>
          <w:lang w:val="en-GB"/>
        </w:rPr>
        <w:t xml:space="preserve"> </w:t>
      </w:r>
      <w:r>
        <w:rPr>
          <w:lang w:val="en-GB"/>
        </w:rPr>
        <w:t>E</w:t>
      </w:r>
      <w:r w:rsidRPr="00C33C0B">
        <w:rPr>
          <w:lang w:val="en-GB"/>
        </w:rPr>
        <w:t xml:space="preserve">vidence suggests that the item is </w:t>
      </w:r>
      <w:r w:rsidR="004F01C2">
        <w:rPr>
          <w:lang w:val="en-GB"/>
        </w:rPr>
        <w:t xml:space="preserve">not being used </w:t>
      </w:r>
      <w:r w:rsidRPr="00C33C0B">
        <w:rPr>
          <w:lang w:val="en-GB"/>
        </w:rPr>
        <w:t>for the development of a management plan for</w:t>
      </w:r>
      <w:r w:rsidR="009A20C2">
        <w:rPr>
          <w:lang w:val="en-GB"/>
        </w:rPr>
        <w:t xml:space="preserve"> use by</w:t>
      </w:r>
      <w:r w:rsidRPr="00C33C0B">
        <w:rPr>
          <w:lang w:val="en-GB"/>
        </w:rPr>
        <w:t xml:space="preserve"> the referring practitioner. </w:t>
      </w:r>
      <w:r w:rsidR="005A5C4E">
        <w:rPr>
          <w:lang w:val="en-GB"/>
        </w:rPr>
        <w:t xml:space="preserve">While in 2016-17, </w:t>
      </w:r>
      <w:r w:rsidRPr="00C33C0B">
        <w:rPr>
          <w:lang w:val="en-GB"/>
        </w:rPr>
        <w:t>41</w:t>
      </w:r>
      <w:r>
        <w:rPr>
          <w:lang w:val="en-GB"/>
        </w:rPr>
        <w:t xml:space="preserve"> per cent</w:t>
      </w:r>
      <w:r w:rsidRPr="00C33C0B">
        <w:rPr>
          <w:lang w:val="en-GB"/>
        </w:rPr>
        <w:t xml:space="preserve"> of patients who receive</w:t>
      </w:r>
      <w:r w:rsidR="001C0D52">
        <w:rPr>
          <w:lang w:val="en-GB"/>
        </w:rPr>
        <w:t>d</w:t>
      </w:r>
      <w:r w:rsidRPr="00C33C0B">
        <w:rPr>
          <w:lang w:val="en-GB"/>
        </w:rPr>
        <w:t xml:space="preserve"> a complex plan d</w:t>
      </w:r>
      <w:r w:rsidR="005A5C4E">
        <w:rPr>
          <w:lang w:val="en-GB"/>
        </w:rPr>
        <w:t>id</w:t>
      </w:r>
      <w:r w:rsidRPr="00C33C0B">
        <w:rPr>
          <w:lang w:val="en-GB"/>
        </w:rPr>
        <w:t xml:space="preserve"> not visit the referring practitioner in the </w:t>
      </w:r>
      <w:r>
        <w:rPr>
          <w:lang w:val="en-GB"/>
        </w:rPr>
        <w:t xml:space="preserve">following </w:t>
      </w:r>
      <w:r w:rsidRPr="00C33C0B">
        <w:rPr>
          <w:lang w:val="en-GB"/>
        </w:rPr>
        <w:t>six months</w:t>
      </w:r>
      <w:r w:rsidR="00A42BFB">
        <w:rPr>
          <w:rStyle w:val="FootnoteReference"/>
          <w:lang w:val="en-GB"/>
        </w:rPr>
        <w:footnoteReference w:id="6"/>
      </w:r>
      <w:r w:rsidR="00FA7B6B">
        <w:rPr>
          <w:lang w:val="en-GB"/>
        </w:rPr>
        <w:t xml:space="preserve">. </w:t>
      </w:r>
      <w:r w:rsidR="00B90BAA">
        <w:rPr>
          <w:lang w:val="en-GB"/>
        </w:rPr>
        <w:t>Feedback received during consultation queried the proportion of consumers that receive treatment from the consultant specialist rather than the GP. In 2017</w:t>
      </w:r>
      <w:r w:rsidR="00B90BAA">
        <w:rPr>
          <w:lang w:val="en-GB"/>
        </w:rPr>
        <w:noBreakHyphen/>
        <w:t>18, 26 per cent of patients did not visit either the GP or the consultant specialist within six months of receiving a complex plan</w:t>
      </w:r>
      <w:r w:rsidR="00B90BAA" w:rsidRPr="001E18A5">
        <w:rPr>
          <w:rStyle w:val="FootnoteReference"/>
        </w:rPr>
        <w:t>7</w:t>
      </w:r>
      <w:r w:rsidR="00B90BAA">
        <w:rPr>
          <w:lang w:val="en-GB"/>
        </w:rPr>
        <w:t>.</w:t>
      </w:r>
    </w:p>
    <w:p w14:paraId="731310E9" w14:textId="77777777" w:rsidR="00366500" w:rsidRPr="00C33C0B" w:rsidRDefault="00767F2D" w:rsidP="0063055E">
      <w:pPr>
        <w:pStyle w:val="Bullet-green"/>
        <w:rPr>
          <w:lang w:val="en-GB"/>
        </w:rPr>
      </w:pPr>
      <w:r>
        <w:rPr>
          <w:lang w:val="en-GB"/>
        </w:rPr>
        <w:t>The Committee considered the option of</w:t>
      </w:r>
      <w:r w:rsidR="00366500">
        <w:rPr>
          <w:lang w:val="en-GB"/>
        </w:rPr>
        <w:t xml:space="preserve"> keeping these items in the MBS with new claiming restrictions</w:t>
      </w:r>
      <w:r w:rsidR="00510C8D">
        <w:rPr>
          <w:lang w:val="en-GB"/>
        </w:rPr>
        <w:t xml:space="preserve"> (stipulating that it must be requested by the referring practitioner and not initiated by the consultant specialist) and with a recommended schedule fee </w:t>
      </w:r>
      <w:r>
        <w:rPr>
          <w:lang w:val="en-GB"/>
        </w:rPr>
        <w:t>set relative to one of the longer standard time</w:t>
      </w:r>
      <w:r w:rsidR="00ED4B15">
        <w:rPr>
          <w:lang w:val="en-GB"/>
        </w:rPr>
        <w:t>-</w:t>
      </w:r>
      <w:r>
        <w:rPr>
          <w:lang w:val="en-GB"/>
        </w:rPr>
        <w:t>tiered attendance items</w:t>
      </w:r>
      <w:r w:rsidR="00510C8D">
        <w:rPr>
          <w:lang w:val="en-GB"/>
        </w:rPr>
        <w:t xml:space="preserve">. However, no strong rationale was brought forward as to why these </w:t>
      </w:r>
      <w:r>
        <w:rPr>
          <w:lang w:val="en-GB"/>
        </w:rPr>
        <w:t xml:space="preserve">items represented a unique, discrete service that </w:t>
      </w:r>
      <w:r w:rsidR="00510C8D">
        <w:rPr>
          <w:lang w:val="en-GB"/>
        </w:rPr>
        <w:t xml:space="preserve">could not be </w:t>
      </w:r>
      <w:r w:rsidR="003C0612">
        <w:rPr>
          <w:lang w:val="en-GB"/>
        </w:rPr>
        <w:t xml:space="preserve">performed </w:t>
      </w:r>
      <w:r>
        <w:rPr>
          <w:lang w:val="en-GB"/>
        </w:rPr>
        <w:t>under the new time</w:t>
      </w:r>
      <w:r w:rsidR="00CB271F">
        <w:rPr>
          <w:lang w:val="en-GB"/>
        </w:rPr>
        <w:t>-</w:t>
      </w:r>
      <w:r>
        <w:rPr>
          <w:lang w:val="en-GB"/>
        </w:rPr>
        <w:t>tiered items.</w:t>
      </w:r>
    </w:p>
    <w:p w14:paraId="3D7CC018" w14:textId="77777777" w:rsidR="0063055E" w:rsidRPr="00C33C0B" w:rsidRDefault="0063055E" w:rsidP="0063055E">
      <w:pPr>
        <w:pStyle w:val="Bullet-green"/>
        <w:rPr>
          <w:lang w:val="en-GB"/>
        </w:rPr>
      </w:pPr>
      <w:r>
        <w:rPr>
          <w:lang w:val="en-GB"/>
        </w:rPr>
        <w:t>The</w:t>
      </w:r>
      <w:r w:rsidRPr="00C33C0B">
        <w:rPr>
          <w:lang w:val="en-GB"/>
        </w:rPr>
        <w:t xml:space="preserve"> Committee</w:t>
      </w:r>
      <w:r>
        <w:rPr>
          <w:lang w:val="en-GB"/>
        </w:rPr>
        <w:t xml:space="preserve"> also</w:t>
      </w:r>
      <w:r w:rsidRPr="00C33C0B">
        <w:rPr>
          <w:lang w:val="en-GB"/>
        </w:rPr>
        <w:t xml:space="preserve"> note</w:t>
      </w:r>
      <w:r>
        <w:rPr>
          <w:lang w:val="en-GB"/>
        </w:rPr>
        <w:t>s</w:t>
      </w:r>
      <w:r w:rsidRPr="00C33C0B">
        <w:rPr>
          <w:lang w:val="en-GB"/>
        </w:rPr>
        <w:t xml:space="preserve"> that management plans should be additive and synergistic, building on the initial plan that was created, rather than being separately created and existing as a stand-alone entity. Specifically, it was noted that the </w:t>
      </w:r>
      <w:r>
        <w:rPr>
          <w:lang w:val="en-GB"/>
        </w:rPr>
        <w:t>c</w:t>
      </w:r>
      <w:r w:rsidRPr="00C33C0B">
        <w:rPr>
          <w:lang w:val="en-GB"/>
        </w:rPr>
        <w:t xml:space="preserve">onsultant </w:t>
      </w:r>
      <w:r w:rsidR="008C78CE">
        <w:rPr>
          <w:lang w:val="en-GB"/>
        </w:rPr>
        <w:t>specialist</w:t>
      </w:r>
      <w:r w:rsidRPr="00C33C0B">
        <w:rPr>
          <w:lang w:val="en-GB"/>
        </w:rPr>
        <w:t xml:space="preserve"> should build upon a consumer’s General Practice Manageme</w:t>
      </w:r>
      <w:r w:rsidR="007868F4">
        <w:rPr>
          <w:lang w:val="en-GB"/>
        </w:rPr>
        <w:t>nt Plan (where one is in place) and relate directly to the patient’s goals.</w:t>
      </w:r>
    </w:p>
    <w:p w14:paraId="75E21F86" w14:textId="77777777" w:rsidR="0063055E" w:rsidRPr="00C33C0B" w:rsidRDefault="0063055E" w:rsidP="003C5D5A">
      <w:pPr>
        <w:pStyle w:val="Heading2"/>
      </w:pPr>
      <w:bookmarkStart w:id="148" w:name="_Toc24544702"/>
      <w:bookmarkStart w:id="149" w:name="_Hlk529009124"/>
      <w:r w:rsidRPr="00C33C0B">
        <w:t xml:space="preserve">Recommendation </w:t>
      </w:r>
      <w:r w:rsidR="003D361C">
        <w:t>7</w:t>
      </w:r>
      <w:r w:rsidR="00A42BFB">
        <w:t xml:space="preserve"> - </w:t>
      </w:r>
      <w:r w:rsidR="003D361C">
        <w:t xml:space="preserve">Retain </w:t>
      </w:r>
      <w:r w:rsidR="003D361C">
        <w:rPr>
          <w:lang w:val="en-GB"/>
        </w:rPr>
        <w:t>access to paediatric complex plan items with strengthened descriptor</w:t>
      </w:r>
      <w:r w:rsidR="003D361C" w:rsidDel="003D361C">
        <w:rPr>
          <w:lang w:val="en-GB"/>
        </w:rPr>
        <w:t xml:space="preserve"> </w:t>
      </w:r>
      <w:bookmarkEnd w:id="148"/>
    </w:p>
    <w:p w14:paraId="7EE04A77" w14:textId="77777777" w:rsidR="00D8387A" w:rsidRDefault="00D8387A" w:rsidP="00607BDA">
      <w:pPr>
        <w:pStyle w:val="Bullet-green"/>
        <w:numPr>
          <w:ilvl w:val="0"/>
          <w:numId w:val="0"/>
        </w:numPr>
        <w:ind w:left="431" w:hanging="431"/>
      </w:pPr>
      <w:r>
        <w:t>The Committee recommends:</w:t>
      </w:r>
    </w:p>
    <w:p w14:paraId="7D95C1EB" w14:textId="77777777" w:rsidR="00D8387A" w:rsidRDefault="00D8387A" w:rsidP="000831A1">
      <w:pPr>
        <w:pStyle w:val="Bullet-green"/>
        <w:numPr>
          <w:ilvl w:val="0"/>
          <w:numId w:val="63"/>
        </w:numPr>
      </w:pPr>
      <w:r>
        <w:t>item 289 to be referred to the Psychiatry Clinical Committee</w:t>
      </w:r>
      <w:r w:rsidR="006D683C">
        <w:t>;</w:t>
      </w:r>
    </w:p>
    <w:p w14:paraId="753D5CF6" w14:textId="40F15B5C" w:rsidR="006F41C3" w:rsidRDefault="00A8564F" w:rsidP="00D20D77">
      <w:pPr>
        <w:pStyle w:val="Bullet-green"/>
        <w:numPr>
          <w:ilvl w:val="0"/>
          <w:numId w:val="63"/>
        </w:numPr>
      </w:pPr>
      <w:r>
        <w:rPr>
          <w:noProof/>
        </w:rPr>
        <mc:AlternateContent>
          <mc:Choice Requires="wps">
            <w:drawing>
              <wp:anchor distT="0" distB="0" distL="114300" distR="114300" simplePos="0" relativeHeight="251659264" behindDoc="1" locked="0" layoutInCell="1" allowOverlap="1" wp14:anchorId="6ED63DE0" wp14:editId="796BECFD">
                <wp:simplePos x="0" y="0"/>
                <wp:positionH relativeFrom="column">
                  <wp:posOffset>459105</wp:posOffset>
                </wp:positionH>
                <wp:positionV relativeFrom="paragraph">
                  <wp:posOffset>262890</wp:posOffset>
                </wp:positionV>
                <wp:extent cx="5057775" cy="6341745"/>
                <wp:effectExtent l="0" t="0" r="28575" b="20955"/>
                <wp:wrapTight wrapText="bothSides">
                  <wp:wrapPolygon edited="0">
                    <wp:start x="0" y="0"/>
                    <wp:lineTo x="0" y="21606"/>
                    <wp:lineTo x="21641" y="21606"/>
                    <wp:lineTo x="21641" y="0"/>
                    <wp:lineTo x="0" y="0"/>
                  </wp:wrapPolygon>
                </wp:wrapTight>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6341745"/>
                        </a:xfrm>
                        <a:prstGeom prst="rect">
                          <a:avLst/>
                        </a:prstGeom>
                        <a:solidFill>
                          <a:srgbClr val="FFFFFF"/>
                        </a:solidFill>
                        <a:ln w="15875">
                          <a:solidFill>
                            <a:schemeClr val="accent6">
                              <a:lumMod val="75000"/>
                            </a:schemeClr>
                          </a:solidFill>
                          <a:miter lim="800000"/>
                          <a:headEnd/>
                          <a:tailEnd/>
                        </a:ln>
                      </wps:spPr>
                      <wps:txbx>
                        <w:txbxContent>
                          <w:p w14:paraId="027AB422" w14:textId="77777777" w:rsidR="00B85D72" w:rsidRPr="00607BDA" w:rsidRDefault="00B85D72" w:rsidP="00D8387A">
                            <w:pPr>
                              <w:pStyle w:val="Bullet-green"/>
                              <w:numPr>
                                <w:ilvl w:val="0"/>
                                <w:numId w:val="0"/>
                              </w:numPr>
                              <w:rPr>
                                <w:b/>
                              </w:rPr>
                            </w:pPr>
                            <w:r w:rsidRPr="00607BDA">
                              <w:rPr>
                                <w:b/>
                              </w:rPr>
                              <w:t>Item 135</w:t>
                            </w:r>
                          </w:p>
                          <w:p w14:paraId="385D34EC" w14:textId="77777777" w:rsidR="00B85D72" w:rsidRPr="00997E71" w:rsidRDefault="00B85D72" w:rsidP="00607BDA">
                            <w:pPr>
                              <w:pStyle w:val="Bullet-green"/>
                              <w:numPr>
                                <w:ilvl w:val="0"/>
                                <w:numId w:val="0"/>
                              </w:numPr>
                            </w:pPr>
                            <w:r w:rsidRPr="00997E71">
                              <w:t xml:space="preserve">Professional attendance of at least </w:t>
                            </w:r>
                            <w:r w:rsidRPr="00C72AFF">
                              <w:t xml:space="preserve">60 minutes </w:t>
                            </w:r>
                            <w:r w:rsidRPr="00997E71">
                              <w:t xml:space="preserve">in duration at consulting rooms or hospital, by a consultant physician in the practice of his or her specialty of paediatrics, following referral of the patient to the consultant by a referring practitioner, for assessment, diagnosis and preparation of a treatment and management plan for a patient aged under </w:t>
                            </w:r>
                            <w:r>
                              <w:t>13</w:t>
                            </w:r>
                            <w:r w:rsidRPr="00997E71">
                              <w:t xml:space="preserve"> years with </w:t>
                            </w:r>
                            <w:r>
                              <w:t>a complex</w:t>
                            </w:r>
                            <w:r w:rsidRPr="00C72AFF">
                              <w:t xml:space="preserve"> neurodevelopmental</w:t>
                            </w:r>
                            <w:r w:rsidRPr="00997E71">
                              <w:t xml:space="preserve"> disorder, if the consultant paediatrician does all of the following:</w:t>
                            </w:r>
                          </w:p>
                          <w:p w14:paraId="6AC420E5" w14:textId="77777777" w:rsidR="00B85D72" w:rsidRPr="00997E71" w:rsidRDefault="00B85D72" w:rsidP="000831A1">
                            <w:pPr>
                              <w:pStyle w:val="Bullet-green"/>
                              <w:numPr>
                                <w:ilvl w:val="0"/>
                                <w:numId w:val="64"/>
                              </w:numPr>
                            </w:pPr>
                            <w:r w:rsidRPr="00997E71">
                              <w:t xml:space="preserve">undertakes a comprehensive assessment </w:t>
                            </w:r>
                            <w:r w:rsidRPr="00607BDA">
                              <w:t>for the purposes of making a diagnosis</w:t>
                            </w:r>
                            <w:r w:rsidRPr="00997E71">
                              <w:t xml:space="preserve"> (if appropriate, using information provided by an eligible allied health provider)</w:t>
                            </w:r>
                            <w:r>
                              <w:t>,</w:t>
                            </w:r>
                          </w:p>
                          <w:p w14:paraId="012ED5E6" w14:textId="77777777" w:rsidR="00B85D72" w:rsidRPr="00997E71" w:rsidRDefault="00B85D72" w:rsidP="000831A1">
                            <w:pPr>
                              <w:pStyle w:val="Bullet-green"/>
                              <w:numPr>
                                <w:ilvl w:val="0"/>
                                <w:numId w:val="64"/>
                              </w:numPr>
                            </w:pPr>
                            <w:r w:rsidRPr="00997E71">
                              <w:t>develops a treatment and management plan, which must include the following:</w:t>
                            </w:r>
                          </w:p>
                          <w:p w14:paraId="7CD090D3" w14:textId="77777777" w:rsidR="00B85D72" w:rsidRPr="00997E71" w:rsidRDefault="00B85D72" w:rsidP="00607BDA">
                            <w:pPr>
                              <w:pStyle w:val="Bullet-green"/>
                              <w:numPr>
                                <w:ilvl w:val="0"/>
                                <w:numId w:val="0"/>
                              </w:numPr>
                              <w:ind w:left="1077"/>
                            </w:pPr>
                            <w:r w:rsidRPr="00997E71">
                              <w:t xml:space="preserve">(i) an assessment for the </w:t>
                            </w:r>
                            <w:r w:rsidRPr="00997E71">
                              <w:rPr>
                                <w:b/>
                                <w:bCs/>
                              </w:rPr>
                              <w:t>purposes of</w:t>
                            </w:r>
                            <w:r>
                              <w:rPr>
                                <w:b/>
                                <w:bCs/>
                              </w:rPr>
                              <w:t xml:space="preserve"> making a</w:t>
                            </w:r>
                            <w:r w:rsidRPr="00997E71">
                              <w:rPr>
                                <w:b/>
                                <w:bCs/>
                              </w:rPr>
                              <w:t xml:space="preserve"> diagnosis</w:t>
                            </w:r>
                            <w:r w:rsidRPr="00997E71">
                              <w:t xml:space="preserve"> of the patient's condition;</w:t>
                            </w:r>
                          </w:p>
                          <w:p w14:paraId="6850D84D" w14:textId="77777777" w:rsidR="00B85D72" w:rsidRPr="00997E71" w:rsidRDefault="00B85D72" w:rsidP="00607BDA">
                            <w:pPr>
                              <w:pStyle w:val="Bullet-green"/>
                              <w:numPr>
                                <w:ilvl w:val="0"/>
                                <w:numId w:val="0"/>
                              </w:numPr>
                              <w:ind w:left="1077"/>
                            </w:pPr>
                            <w:r w:rsidRPr="00997E71">
                              <w:t>(ii) a risk assessment;</w:t>
                            </w:r>
                          </w:p>
                          <w:p w14:paraId="0086EBB3" w14:textId="77777777" w:rsidR="00B85D72" w:rsidRPr="00997E71" w:rsidRDefault="00B85D72" w:rsidP="00607BDA">
                            <w:pPr>
                              <w:pStyle w:val="Bullet-green"/>
                              <w:numPr>
                                <w:ilvl w:val="0"/>
                                <w:numId w:val="0"/>
                              </w:numPr>
                              <w:ind w:left="1077"/>
                            </w:pPr>
                            <w:r w:rsidRPr="00997E71">
                              <w:t>(iii) treatment options and decisions;</w:t>
                            </w:r>
                          </w:p>
                          <w:p w14:paraId="530CF0D1" w14:textId="77777777" w:rsidR="00B85D72" w:rsidRPr="00997E71" w:rsidRDefault="00B85D72" w:rsidP="00607BDA">
                            <w:pPr>
                              <w:pStyle w:val="Bullet-green"/>
                              <w:numPr>
                                <w:ilvl w:val="0"/>
                                <w:numId w:val="0"/>
                              </w:numPr>
                              <w:ind w:left="1077"/>
                            </w:pPr>
                            <w:r w:rsidRPr="00997E71">
                              <w:t>(iv) if necessary-medical recommendations;</w:t>
                            </w:r>
                          </w:p>
                          <w:p w14:paraId="327F6402" w14:textId="77777777" w:rsidR="00B85D72" w:rsidRPr="00997E71" w:rsidRDefault="00B85D72" w:rsidP="000831A1">
                            <w:pPr>
                              <w:pStyle w:val="Bullet-green"/>
                              <w:numPr>
                                <w:ilvl w:val="0"/>
                                <w:numId w:val="64"/>
                              </w:numPr>
                            </w:pPr>
                            <w:r w:rsidRPr="00997E71">
                              <w:t>provides a copy of the treatment and management plan to:</w:t>
                            </w:r>
                          </w:p>
                          <w:p w14:paraId="5C2C7D1D" w14:textId="77777777" w:rsidR="00B85D72" w:rsidRPr="00997E71" w:rsidRDefault="00B85D72" w:rsidP="00607BDA">
                            <w:pPr>
                              <w:pStyle w:val="Bullet-green"/>
                              <w:numPr>
                                <w:ilvl w:val="0"/>
                                <w:numId w:val="0"/>
                              </w:numPr>
                              <w:ind w:left="1077"/>
                            </w:pPr>
                            <w:r w:rsidRPr="00997E71">
                              <w:t>(i) the referring practitioner; and</w:t>
                            </w:r>
                          </w:p>
                          <w:p w14:paraId="31C899F4" w14:textId="77777777" w:rsidR="00B85D72" w:rsidRPr="00997E71" w:rsidRDefault="00B85D72" w:rsidP="00607BDA">
                            <w:pPr>
                              <w:pStyle w:val="Bullet-green"/>
                              <w:numPr>
                                <w:ilvl w:val="0"/>
                                <w:numId w:val="0"/>
                              </w:numPr>
                              <w:ind w:left="1077"/>
                            </w:pPr>
                            <w:r w:rsidRPr="00997E71">
                              <w:t>(ii) one or more allied health providers, if appropriate, for the treatment of the patient;</w:t>
                            </w:r>
                          </w:p>
                          <w:p w14:paraId="77C6E600" w14:textId="77777777" w:rsidR="00B85D72" w:rsidRDefault="00B85D72" w:rsidP="00D8387A">
                            <w:r w:rsidRPr="00997E71">
                              <w:t>(other than attendance on a patient for whom payment has previously been made under this item or item 137, 139 or 289)</w:t>
                            </w:r>
                            <w:r>
                              <w:t>”</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6ED63DE0" id="_x0000_s1027" type="#_x0000_t202" alt="&quot;&quot;" style="position:absolute;left:0;text-align:left;margin-left:36.15pt;margin-top:20.7pt;width:398.25pt;height:49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" strokecolor="#e36c0a [2409]" strokeweight="1.25pt">
                <v:textbox style="mso-fit-shape-to-text:t">
                  <w:txbxContent>
                    <w:p w14:paraId="027AB422" w14:textId="77777777" w:rsidR="00B85D72" w:rsidRPr="00607BDA" w:rsidRDefault="00B85D72" w:rsidP="00D8387A">
                      <w:pPr>
                        <w:pStyle w:val="Bullet-green"/>
                        <w:numPr>
                          <w:ilvl w:val="0"/>
                          <w:numId w:val="0"/>
                        </w:numPr>
                        <w:rPr>
                          <w:b/>
                        </w:rPr>
                      </w:pPr>
                      <w:r w:rsidRPr="00607BDA">
                        <w:rPr>
                          <w:b/>
                        </w:rPr>
                        <w:t>Item 135</w:t>
                      </w:r>
                    </w:p>
                    <w:p w14:paraId="385D34EC" w14:textId="77777777" w:rsidR="00B85D72" w:rsidRPr="00997E71" w:rsidRDefault="00B85D72" w:rsidP="00607BDA">
                      <w:pPr>
                        <w:pStyle w:val="Bullet-green"/>
                        <w:numPr>
                          <w:ilvl w:val="0"/>
                          <w:numId w:val="0"/>
                        </w:numPr>
                      </w:pPr>
                      <w:r w:rsidRPr="00997E71">
                        <w:t xml:space="preserve">Professional attendance of at least </w:t>
                      </w:r>
                      <w:r w:rsidRPr="00C72AFF">
                        <w:t xml:space="preserve">60 minutes </w:t>
                      </w:r>
                      <w:r w:rsidRPr="00997E71">
                        <w:t xml:space="preserve">in duration at consulting rooms or hospital, by a consultant physician in the practice of his or her specialty of paediatrics, following referral of the patient to the consultant by a referring practitioner, for assessment, diagnosis and preparation of a treatment and management plan for a patient aged under </w:t>
                      </w:r>
                      <w:r>
                        <w:t>13</w:t>
                      </w:r>
                      <w:r w:rsidRPr="00997E71">
                        <w:t xml:space="preserve"> years with </w:t>
                      </w:r>
                      <w:r>
                        <w:t>a complex</w:t>
                      </w:r>
                      <w:r w:rsidRPr="00C72AFF">
                        <w:t xml:space="preserve"> neurodevelopmental</w:t>
                      </w:r>
                      <w:r w:rsidRPr="00997E71">
                        <w:t xml:space="preserve"> disorder, if the consultant paediatrician does all of the following:</w:t>
                      </w:r>
                    </w:p>
                    <w:p w14:paraId="6AC420E5" w14:textId="77777777" w:rsidR="00B85D72" w:rsidRPr="00997E71" w:rsidRDefault="00B85D72" w:rsidP="000831A1">
                      <w:pPr>
                        <w:pStyle w:val="Bullet-green"/>
                        <w:numPr>
                          <w:ilvl w:val="0"/>
                          <w:numId w:val="64"/>
                        </w:numPr>
                      </w:pPr>
                      <w:r w:rsidRPr="00997E71">
                        <w:t xml:space="preserve">undertakes a comprehensive assessment </w:t>
                      </w:r>
                      <w:r w:rsidRPr="00607BDA">
                        <w:t>for the purposes of making a diagnosis</w:t>
                      </w:r>
                      <w:r w:rsidRPr="00997E71">
                        <w:t xml:space="preserve"> (if appropriate, using information provided by an eligible allied health provider)</w:t>
                      </w:r>
                      <w:r>
                        <w:t>,</w:t>
                      </w:r>
                    </w:p>
                    <w:p w14:paraId="012ED5E6" w14:textId="77777777" w:rsidR="00B85D72" w:rsidRPr="00997E71" w:rsidRDefault="00B85D72" w:rsidP="000831A1">
                      <w:pPr>
                        <w:pStyle w:val="Bullet-green"/>
                        <w:numPr>
                          <w:ilvl w:val="0"/>
                          <w:numId w:val="64"/>
                        </w:numPr>
                      </w:pPr>
                      <w:r w:rsidRPr="00997E71">
                        <w:t>develops a treatment and management plan, which must include the following:</w:t>
                      </w:r>
                    </w:p>
                    <w:p w14:paraId="7CD090D3" w14:textId="77777777" w:rsidR="00B85D72" w:rsidRPr="00997E71" w:rsidRDefault="00B85D72" w:rsidP="00607BDA">
                      <w:pPr>
                        <w:pStyle w:val="Bullet-green"/>
                        <w:numPr>
                          <w:ilvl w:val="0"/>
                          <w:numId w:val="0"/>
                        </w:numPr>
                        <w:ind w:left="1077"/>
                      </w:pPr>
                      <w:r w:rsidRPr="00997E71">
                        <w:t xml:space="preserve">(i) an assessment for the </w:t>
                      </w:r>
                      <w:r w:rsidRPr="00997E71">
                        <w:rPr>
                          <w:b/>
                          <w:bCs/>
                        </w:rPr>
                        <w:t>purposes of</w:t>
                      </w:r>
                      <w:r>
                        <w:rPr>
                          <w:b/>
                          <w:bCs/>
                        </w:rPr>
                        <w:t xml:space="preserve"> making a</w:t>
                      </w:r>
                      <w:r w:rsidRPr="00997E71">
                        <w:rPr>
                          <w:b/>
                          <w:bCs/>
                        </w:rPr>
                        <w:t xml:space="preserve"> diagnosis</w:t>
                      </w:r>
                      <w:r w:rsidRPr="00997E71">
                        <w:t xml:space="preserve"> of the patient's condition;</w:t>
                      </w:r>
                    </w:p>
                    <w:p w14:paraId="6850D84D" w14:textId="77777777" w:rsidR="00B85D72" w:rsidRPr="00997E71" w:rsidRDefault="00B85D72" w:rsidP="00607BDA">
                      <w:pPr>
                        <w:pStyle w:val="Bullet-green"/>
                        <w:numPr>
                          <w:ilvl w:val="0"/>
                          <w:numId w:val="0"/>
                        </w:numPr>
                        <w:ind w:left="1077"/>
                      </w:pPr>
                      <w:r w:rsidRPr="00997E71">
                        <w:t>(ii) a risk assessment;</w:t>
                      </w:r>
                    </w:p>
                    <w:p w14:paraId="0086EBB3" w14:textId="77777777" w:rsidR="00B85D72" w:rsidRPr="00997E71" w:rsidRDefault="00B85D72" w:rsidP="00607BDA">
                      <w:pPr>
                        <w:pStyle w:val="Bullet-green"/>
                        <w:numPr>
                          <w:ilvl w:val="0"/>
                          <w:numId w:val="0"/>
                        </w:numPr>
                        <w:ind w:left="1077"/>
                      </w:pPr>
                      <w:r w:rsidRPr="00997E71">
                        <w:t>(iii) treatment options and decisions;</w:t>
                      </w:r>
                    </w:p>
                    <w:p w14:paraId="530CF0D1" w14:textId="77777777" w:rsidR="00B85D72" w:rsidRPr="00997E71" w:rsidRDefault="00B85D72" w:rsidP="00607BDA">
                      <w:pPr>
                        <w:pStyle w:val="Bullet-green"/>
                        <w:numPr>
                          <w:ilvl w:val="0"/>
                          <w:numId w:val="0"/>
                        </w:numPr>
                        <w:ind w:left="1077"/>
                      </w:pPr>
                      <w:r w:rsidRPr="00997E71">
                        <w:t>(iv) if necessary-medical recommendations;</w:t>
                      </w:r>
                    </w:p>
                    <w:p w14:paraId="327F6402" w14:textId="77777777" w:rsidR="00B85D72" w:rsidRPr="00997E71" w:rsidRDefault="00B85D72" w:rsidP="000831A1">
                      <w:pPr>
                        <w:pStyle w:val="Bullet-green"/>
                        <w:numPr>
                          <w:ilvl w:val="0"/>
                          <w:numId w:val="64"/>
                        </w:numPr>
                      </w:pPr>
                      <w:r w:rsidRPr="00997E71">
                        <w:t>provides a copy of the treatment and management plan to:</w:t>
                      </w:r>
                    </w:p>
                    <w:p w14:paraId="5C2C7D1D" w14:textId="77777777" w:rsidR="00B85D72" w:rsidRPr="00997E71" w:rsidRDefault="00B85D72" w:rsidP="00607BDA">
                      <w:pPr>
                        <w:pStyle w:val="Bullet-green"/>
                        <w:numPr>
                          <w:ilvl w:val="0"/>
                          <w:numId w:val="0"/>
                        </w:numPr>
                        <w:ind w:left="1077"/>
                      </w:pPr>
                      <w:r w:rsidRPr="00997E71">
                        <w:t>(i) the referring practitioner; and</w:t>
                      </w:r>
                    </w:p>
                    <w:p w14:paraId="31C899F4" w14:textId="77777777" w:rsidR="00B85D72" w:rsidRPr="00997E71" w:rsidRDefault="00B85D72" w:rsidP="00607BDA">
                      <w:pPr>
                        <w:pStyle w:val="Bullet-green"/>
                        <w:numPr>
                          <w:ilvl w:val="0"/>
                          <w:numId w:val="0"/>
                        </w:numPr>
                        <w:ind w:left="1077"/>
                      </w:pPr>
                      <w:r w:rsidRPr="00997E71">
                        <w:t>(ii) one or more allied health providers, if appropriate, for the treatment of the patient;</w:t>
                      </w:r>
                    </w:p>
                    <w:p w14:paraId="77C6E600" w14:textId="77777777" w:rsidR="00B85D72" w:rsidRDefault="00B85D72" w:rsidP="00D8387A">
                      <w:r w:rsidRPr="00997E71">
                        <w:t>(other than attendance on a patient for whom payment has previously been made under this item or item 137, 139 or 289)</w:t>
                      </w:r>
                      <w:r>
                        <w:t>”</w:t>
                      </w:r>
                    </w:p>
                  </w:txbxContent>
                </v:textbox>
                <w10:wrap type="tight"/>
              </v:shape>
            </w:pict>
          </mc:Fallback>
        </mc:AlternateContent>
      </w:r>
      <w:r w:rsidR="00D8387A">
        <w:t>a</w:t>
      </w:r>
      <w:r w:rsidR="00D917C6">
        <w:t xml:space="preserve">mend item </w:t>
      </w:r>
      <w:r w:rsidR="00D8387A">
        <w:t xml:space="preserve">135 </w:t>
      </w:r>
      <w:r w:rsidR="00D917C6">
        <w:t>descriptor for paediatric complex plan (changes in bold)</w:t>
      </w:r>
      <w:r w:rsidR="00D8387A">
        <w:t xml:space="preserve"> to</w:t>
      </w:r>
      <w:r w:rsidR="00D917C6">
        <w:t>:</w:t>
      </w:r>
    </w:p>
    <w:p w14:paraId="4E244EAA" w14:textId="77777777" w:rsidR="006F41C3" w:rsidRDefault="006F41C3" w:rsidP="000831A1">
      <w:pPr>
        <w:pStyle w:val="Bullet-green"/>
        <w:numPr>
          <w:ilvl w:val="0"/>
          <w:numId w:val="63"/>
        </w:numPr>
      </w:pPr>
      <w:r>
        <w:t>amend the explanatory notes to include the following:</w:t>
      </w:r>
    </w:p>
    <w:p w14:paraId="61EAAEFD" w14:textId="77777777" w:rsidR="00A375AE" w:rsidRDefault="006F41C3" w:rsidP="00607BDA">
      <w:pPr>
        <w:pStyle w:val="Bullet-green"/>
        <w:numPr>
          <w:ilvl w:val="0"/>
          <w:numId w:val="0"/>
        </w:numPr>
        <w:ind w:left="360"/>
      </w:pPr>
      <w:r>
        <w:rPr>
          <w:noProof/>
        </w:rPr>
        <mc:AlternateContent>
          <mc:Choice Requires="wps">
            <w:drawing>
              <wp:inline distT="0" distB="0" distL="0" distR="0" wp14:anchorId="1717E56E" wp14:editId="0AC97BCA">
                <wp:extent cx="5058000" cy="2329200"/>
                <wp:effectExtent l="0" t="0" r="28575" b="1206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000" cy="2329200"/>
                        </a:xfrm>
                        <a:prstGeom prst="rect">
                          <a:avLst/>
                        </a:prstGeom>
                        <a:solidFill>
                          <a:srgbClr val="FFFFFF"/>
                        </a:solidFill>
                        <a:ln w="15875">
                          <a:solidFill>
                            <a:srgbClr val="F79646">
                              <a:lumMod val="75000"/>
                            </a:srgbClr>
                          </a:solidFill>
                          <a:miter lim="800000"/>
                          <a:headEnd/>
                          <a:tailEnd/>
                        </a:ln>
                      </wps:spPr>
                      <wps:txbx>
                        <w:txbxContent>
                          <w:p w14:paraId="59F150C5" w14:textId="77777777" w:rsidR="00B85D72" w:rsidRPr="00607BDA" w:rsidRDefault="00B85D72" w:rsidP="006F41C3">
                            <w:pPr>
                              <w:pStyle w:val="Bullet-green"/>
                              <w:numPr>
                                <w:ilvl w:val="0"/>
                                <w:numId w:val="0"/>
                              </w:numPr>
                              <w:rPr>
                                <w:b/>
                              </w:rPr>
                            </w:pPr>
                            <w:r>
                              <w:rPr>
                                <w:b/>
                              </w:rPr>
                              <w:t>Explanatory Note – Item 135</w:t>
                            </w:r>
                          </w:p>
                          <w:p w14:paraId="19B48BCE" w14:textId="77777777" w:rsidR="00B85D72" w:rsidRPr="006F41C3" w:rsidRDefault="00B85D72" w:rsidP="006F41C3">
                            <w:pPr>
                              <w:pStyle w:val="Bullet-green"/>
                              <w:ind w:left="0"/>
                            </w:pPr>
                            <w:r w:rsidRPr="006F41C3">
                              <w:t>The item is intended for the initial assessment of patients where by the complexity of the condition is characterised by severe multi-domain cognitive and functional disabilities, delay or impairment”</w:t>
                            </w:r>
                          </w:p>
                          <w:p w14:paraId="3E642970" w14:textId="77777777" w:rsidR="00B85D72" w:rsidRPr="006F41C3" w:rsidRDefault="00B85D72" w:rsidP="00607BDA">
                            <w:pPr>
                              <w:pStyle w:val="Bullet-green"/>
                              <w:numPr>
                                <w:ilvl w:val="0"/>
                                <w:numId w:val="0"/>
                              </w:numPr>
                            </w:pPr>
                            <w:r w:rsidRPr="006F41C3">
                              <w:t xml:space="preserve">The following conditions are examples of neurodevelopment disorders for which the item is intended (but not limited to): </w:t>
                            </w:r>
                          </w:p>
                          <w:p w14:paraId="23969218" w14:textId="77777777" w:rsidR="00B85D72" w:rsidRDefault="00B85D72" w:rsidP="000831A1">
                            <w:pPr>
                              <w:pStyle w:val="Bullet-green"/>
                              <w:numPr>
                                <w:ilvl w:val="0"/>
                                <w:numId w:val="38"/>
                              </w:numPr>
                            </w:pPr>
                            <w:r>
                              <w:t>Autism Spectrum Disorder</w:t>
                            </w:r>
                          </w:p>
                          <w:p w14:paraId="626F657A" w14:textId="77777777" w:rsidR="00B85D72" w:rsidRPr="006F41C3" w:rsidRDefault="00B85D72" w:rsidP="000831A1">
                            <w:pPr>
                              <w:pStyle w:val="Bullet-green"/>
                              <w:numPr>
                                <w:ilvl w:val="0"/>
                                <w:numId w:val="38"/>
                              </w:numPr>
                            </w:pPr>
                            <w:r w:rsidRPr="006F41C3">
                              <w:t>Fetal Alcohol Syndrome Disorder (FASD)</w:t>
                            </w:r>
                          </w:p>
                          <w:p w14:paraId="6694F374" w14:textId="77777777" w:rsidR="00B85D72" w:rsidRPr="006F41C3" w:rsidRDefault="00B85D72" w:rsidP="000831A1">
                            <w:pPr>
                              <w:pStyle w:val="Bullet-green"/>
                              <w:numPr>
                                <w:ilvl w:val="0"/>
                                <w:numId w:val="38"/>
                              </w:numPr>
                            </w:pPr>
                            <w:r w:rsidRPr="006F41C3">
                              <w:t xml:space="preserve">Fragile X Syndrome </w:t>
                            </w:r>
                          </w:p>
                          <w:p w14:paraId="7B4C85D3" w14:textId="77777777" w:rsidR="00B85D72" w:rsidRPr="006F41C3" w:rsidRDefault="00B85D72" w:rsidP="000831A1">
                            <w:pPr>
                              <w:pStyle w:val="Bullet-green"/>
                              <w:numPr>
                                <w:ilvl w:val="0"/>
                                <w:numId w:val="38"/>
                              </w:numPr>
                            </w:pPr>
                            <w:r w:rsidRPr="006F41C3">
                              <w:t>Rett’s Syndrome</w:t>
                            </w:r>
                          </w:p>
                          <w:p w14:paraId="41B6E3F1" w14:textId="77777777" w:rsidR="00B85D72" w:rsidRPr="006F41C3" w:rsidRDefault="00B85D72" w:rsidP="000831A1">
                            <w:pPr>
                              <w:pStyle w:val="Bullet-green"/>
                              <w:numPr>
                                <w:ilvl w:val="0"/>
                                <w:numId w:val="38"/>
                              </w:numPr>
                            </w:pPr>
                            <w:r w:rsidRPr="006F41C3">
                              <w:t xml:space="preserve">Lesch-Nyhan Syndrome </w:t>
                            </w:r>
                          </w:p>
                          <w:p w14:paraId="20536ACC" w14:textId="77777777" w:rsidR="00B85D72" w:rsidRPr="006F41C3" w:rsidRDefault="00B85D72" w:rsidP="000831A1">
                            <w:pPr>
                              <w:pStyle w:val="Bullet-green"/>
                              <w:numPr>
                                <w:ilvl w:val="0"/>
                                <w:numId w:val="38"/>
                              </w:numPr>
                            </w:pPr>
                            <w:r w:rsidRPr="006F41C3">
                              <w:t xml:space="preserve">Cornelia de Lange Syndrome </w:t>
                            </w:r>
                          </w:p>
                          <w:p w14:paraId="3B34CA35" w14:textId="77777777" w:rsidR="00B85D72" w:rsidRPr="006F41C3" w:rsidRDefault="00B85D72" w:rsidP="000831A1">
                            <w:pPr>
                              <w:pStyle w:val="Bullet-green"/>
                              <w:numPr>
                                <w:ilvl w:val="0"/>
                                <w:numId w:val="38"/>
                              </w:numPr>
                            </w:pPr>
                            <w:r w:rsidRPr="006F41C3">
                              <w:t>Prader-Willi Syndrome</w:t>
                            </w:r>
                          </w:p>
                          <w:p w14:paraId="733E32A3" w14:textId="77777777" w:rsidR="00B85D72" w:rsidRPr="006F41C3" w:rsidRDefault="00B85D72" w:rsidP="000831A1">
                            <w:pPr>
                              <w:pStyle w:val="Bullet-green"/>
                              <w:numPr>
                                <w:ilvl w:val="0"/>
                                <w:numId w:val="38"/>
                              </w:numPr>
                            </w:pPr>
                            <w:r w:rsidRPr="006F41C3">
                              <w:t>Angelman Syndrome</w:t>
                            </w:r>
                          </w:p>
                          <w:p w14:paraId="342979D2" w14:textId="77777777" w:rsidR="00B85D72" w:rsidRPr="006F41C3" w:rsidRDefault="00B85D72" w:rsidP="000831A1">
                            <w:pPr>
                              <w:pStyle w:val="Bullet-green"/>
                              <w:numPr>
                                <w:ilvl w:val="0"/>
                                <w:numId w:val="38"/>
                              </w:numPr>
                            </w:pPr>
                            <w:r w:rsidRPr="006F41C3">
                              <w:t>22 q deletion Syndrome (previously Velocardiofacial Syndrome)</w:t>
                            </w:r>
                          </w:p>
                          <w:p w14:paraId="363348A1" w14:textId="77777777" w:rsidR="00B85D72" w:rsidRPr="006F41C3" w:rsidRDefault="00B85D72" w:rsidP="000831A1">
                            <w:pPr>
                              <w:pStyle w:val="Bullet-green"/>
                              <w:numPr>
                                <w:ilvl w:val="0"/>
                                <w:numId w:val="38"/>
                              </w:numPr>
                            </w:pPr>
                            <w:r w:rsidRPr="006F41C3">
                              <w:t>Smith-Magenis Syndrome</w:t>
                            </w:r>
                          </w:p>
                          <w:p w14:paraId="68760C12" w14:textId="77777777" w:rsidR="00B85D72" w:rsidRPr="006F41C3" w:rsidRDefault="00B85D72" w:rsidP="000831A1">
                            <w:pPr>
                              <w:pStyle w:val="Bullet-green"/>
                              <w:numPr>
                                <w:ilvl w:val="0"/>
                                <w:numId w:val="38"/>
                              </w:numPr>
                            </w:pPr>
                            <w:r w:rsidRPr="006F41C3">
                              <w:t>Williams Syndrome</w:t>
                            </w:r>
                          </w:p>
                          <w:p w14:paraId="13BA089A" w14:textId="77777777" w:rsidR="00B85D72" w:rsidRPr="006F41C3" w:rsidRDefault="00B85D72" w:rsidP="00607BDA">
                            <w:pPr>
                              <w:pStyle w:val="Bullet-green"/>
                              <w:numPr>
                                <w:ilvl w:val="0"/>
                                <w:numId w:val="0"/>
                              </w:numPr>
                            </w:pPr>
                            <w:r w:rsidRPr="006F41C3">
                              <w:t>The following conditions are examples of conditions for which the item is not intended, as they can be assessed with a standard paediatric consultation:</w:t>
                            </w:r>
                          </w:p>
                          <w:p w14:paraId="62E8AB4C" w14:textId="77777777" w:rsidR="00B85D72" w:rsidRDefault="00B85D72" w:rsidP="000831A1">
                            <w:pPr>
                              <w:pStyle w:val="Bullet-green"/>
                              <w:numPr>
                                <w:ilvl w:val="0"/>
                                <w:numId w:val="61"/>
                              </w:numPr>
                            </w:pPr>
                            <w:r w:rsidRPr="006F41C3">
                              <w:t>Stand-alone diagnosis of Attention Deficit Hyperactivity Disorder without other severe neurodevelopmental co-morbidities or co-existing multi-domain disabilities</w:t>
                            </w:r>
                            <w:r>
                              <w:t>.</w:t>
                            </w:r>
                          </w:p>
                        </w:txbxContent>
                      </wps:txbx>
                      <wps:bodyPr rot="0" vert="horz" wrap="square" lIns="91440" tIns="45720" rIns="91440" bIns="45720" anchor="t" anchorCtr="0">
                        <a:spAutoFit/>
                      </wps:bodyPr>
                    </wps:wsp>
                  </a:graphicData>
                </a:graphic>
              </wp:inline>
            </w:drawing>
          </mc:Choice>
          <mc:Fallback>
            <w:pict>
              <v:shape w14:anchorId="1717E56E" id="Text Box 2" o:spid="_x0000_s1028" type="#_x0000_t202" style="width:398.25pt;height:18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" strokecolor="#e46c0a" strokeweight="1.25pt">
                <v:textbox style="mso-fit-shape-to-text:t">
                  <w:txbxContent>
                    <w:p w14:paraId="59F150C5" w14:textId="77777777" w:rsidR="00B85D72" w:rsidRPr="00607BDA" w:rsidRDefault="00B85D72" w:rsidP="006F41C3">
                      <w:pPr>
                        <w:pStyle w:val="Bullet-green"/>
                        <w:numPr>
                          <w:ilvl w:val="0"/>
                          <w:numId w:val="0"/>
                        </w:numPr>
                        <w:rPr>
                          <w:b/>
                        </w:rPr>
                      </w:pPr>
                      <w:r>
                        <w:rPr>
                          <w:b/>
                        </w:rPr>
                        <w:t>Explanatory Note – Item 135</w:t>
                      </w:r>
                    </w:p>
                    <w:p w14:paraId="19B48BCE" w14:textId="77777777" w:rsidR="00B85D72" w:rsidRPr="006F41C3" w:rsidRDefault="00B85D72" w:rsidP="006F41C3">
                      <w:pPr>
                        <w:pStyle w:val="Bullet-green"/>
                        <w:ind w:left="0"/>
                      </w:pPr>
                      <w:r w:rsidRPr="006F41C3">
                        <w:t xml:space="preserve">The item is intended for the initial assessment of patients </w:t>
                      </w:r>
                      <w:proofErr w:type="gramStart"/>
                      <w:r w:rsidRPr="006F41C3">
                        <w:t>where by</w:t>
                      </w:r>
                      <w:proofErr w:type="gramEnd"/>
                      <w:r w:rsidRPr="006F41C3">
                        <w:t xml:space="preserve"> the complexity of the condition is characterised by severe multi-domain cognitive and functional disabilities, delay or impairment”</w:t>
                      </w:r>
                    </w:p>
                    <w:p w14:paraId="3E642970" w14:textId="77777777" w:rsidR="00B85D72" w:rsidRPr="006F41C3" w:rsidRDefault="00B85D72" w:rsidP="00607BDA">
                      <w:pPr>
                        <w:pStyle w:val="Bullet-green"/>
                        <w:numPr>
                          <w:ilvl w:val="0"/>
                          <w:numId w:val="0"/>
                        </w:numPr>
                      </w:pPr>
                      <w:r w:rsidRPr="006F41C3">
                        <w:t xml:space="preserve">The following conditions are examples of neurodevelopment disorders for which the item is intended (but not limited to): </w:t>
                      </w:r>
                    </w:p>
                    <w:p w14:paraId="23969218" w14:textId="77777777" w:rsidR="00B85D72" w:rsidRDefault="00B85D72" w:rsidP="000831A1">
                      <w:pPr>
                        <w:pStyle w:val="Bullet-green"/>
                        <w:numPr>
                          <w:ilvl w:val="0"/>
                          <w:numId w:val="38"/>
                        </w:numPr>
                      </w:pPr>
                      <w:r>
                        <w:t>Autism Spectrum Disorder</w:t>
                      </w:r>
                    </w:p>
                    <w:p w14:paraId="626F657A" w14:textId="77777777" w:rsidR="00B85D72" w:rsidRPr="006F41C3" w:rsidRDefault="00B85D72" w:rsidP="000831A1">
                      <w:pPr>
                        <w:pStyle w:val="Bullet-green"/>
                        <w:numPr>
                          <w:ilvl w:val="0"/>
                          <w:numId w:val="38"/>
                        </w:numPr>
                      </w:pPr>
                      <w:proofErr w:type="spellStart"/>
                      <w:r w:rsidRPr="006F41C3">
                        <w:t>Fetal</w:t>
                      </w:r>
                      <w:proofErr w:type="spellEnd"/>
                      <w:r w:rsidRPr="006F41C3">
                        <w:t xml:space="preserve"> Alcohol Syndrome Disorder (FASD)</w:t>
                      </w:r>
                    </w:p>
                    <w:p w14:paraId="6694F374" w14:textId="77777777" w:rsidR="00B85D72" w:rsidRPr="006F41C3" w:rsidRDefault="00B85D72" w:rsidP="000831A1">
                      <w:pPr>
                        <w:pStyle w:val="Bullet-green"/>
                        <w:numPr>
                          <w:ilvl w:val="0"/>
                          <w:numId w:val="38"/>
                        </w:numPr>
                      </w:pPr>
                      <w:r w:rsidRPr="006F41C3">
                        <w:t xml:space="preserve">Fragile X Syndrome </w:t>
                      </w:r>
                    </w:p>
                    <w:p w14:paraId="7B4C85D3" w14:textId="77777777" w:rsidR="00B85D72" w:rsidRPr="006F41C3" w:rsidRDefault="00B85D72" w:rsidP="000831A1">
                      <w:pPr>
                        <w:pStyle w:val="Bullet-green"/>
                        <w:numPr>
                          <w:ilvl w:val="0"/>
                          <w:numId w:val="38"/>
                        </w:numPr>
                      </w:pPr>
                      <w:r w:rsidRPr="006F41C3">
                        <w:t>Rett’s Syndrome</w:t>
                      </w:r>
                    </w:p>
                    <w:p w14:paraId="41B6E3F1" w14:textId="77777777" w:rsidR="00B85D72" w:rsidRPr="006F41C3" w:rsidRDefault="00B85D72" w:rsidP="000831A1">
                      <w:pPr>
                        <w:pStyle w:val="Bullet-green"/>
                        <w:numPr>
                          <w:ilvl w:val="0"/>
                          <w:numId w:val="38"/>
                        </w:numPr>
                      </w:pPr>
                      <w:proofErr w:type="spellStart"/>
                      <w:r w:rsidRPr="006F41C3">
                        <w:t>Lesch-Nyhan</w:t>
                      </w:r>
                      <w:proofErr w:type="spellEnd"/>
                      <w:r w:rsidRPr="006F41C3">
                        <w:t xml:space="preserve"> Syndrome </w:t>
                      </w:r>
                    </w:p>
                    <w:p w14:paraId="20536ACC" w14:textId="77777777" w:rsidR="00B85D72" w:rsidRPr="006F41C3" w:rsidRDefault="00B85D72" w:rsidP="000831A1">
                      <w:pPr>
                        <w:pStyle w:val="Bullet-green"/>
                        <w:numPr>
                          <w:ilvl w:val="0"/>
                          <w:numId w:val="38"/>
                        </w:numPr>
                      </w:pPr>
                      <w:r w:rsidRPr="006F41C3">
                        <w:t xml:space="preserve">Cornelia de Lange Syndrome </w:t>
                      </w:r>
                    </w:p>
                    <w:p w14:paraId="3B34CA35" w14:textId="77777777" w:rsidR="00B85D72" w:rsidRPr="006F41C3" w:rsidRDefault="00B85D72" w:rsidP="000831A1">
                      <w:pPr>
                        <w:pStyle w:val="Bullet-green"/>
                        <w:numPr>
                          <w:ilvl w:val="0"/>
                          <w:numId w:val="38"/>
                        </w:numPr>
                      </w:pPr>
                      <w:r w:rsidRPr="006F41C3">
                        <w:t>Prader-Willi Syndrome</w:t>
                      </w:r>
                    </w:p>
                    <w:p w14:paraId="733E32A3" w14:textId="77777777" w:rsidR="00B85D72" w:rsidRPr="006F41C3" w:rsidRDefault="00B85D72" w:rsidP="000831A1">
                      <w:pPr>
                        <w:pStyle w:val="Bullet-green"/>
                        <w:numPr>
                          <w:ilvl w:val="0"/>
                          <w:numId w:val="38"/>
                        </w:numPr>
                      </w:pPr>
                      <w:r w:rsidRPr="006F41C3">
                        <w:t>Angelman Syndrome</w:t>
                      </w:r>
                    </w:p>
                    <w:p w14:paraId="342979D2" w14:textId="77777777" w:rsidR="00B85D72" w:rsidRPr="006F41C3" w:rsidRDefault="00B85D72" w:rsidP="000831A1">
                      <w:pPr>
                        <w:pStyle w:val="Bullet-green"/>
                        <w:numPr>
                          <w:ilvl w:val="0"/>
                          <w:numId w:val="38"/>
                        </w:numPr>
                      </w:pPr>
                      <w:r w:rsidRPr="006F41C3">
                        <w:t xml:space="preserve">22 q deletion Syndrome (previously </w:t>
                      </w:r>
                      <w:proofErr w:type="spellStart"/>
                      <w:r w:rsidRPr="006F41C3">
                        <w:t>Velocardiofacial</w:t>
                      </w:r>
                      <w:proofErr w:type="spellEnd"/>
                      <w:r w:rsidRPr="006F41C3">
                        <w:t xml:space="preserve"> Syndrome)</w:t>
                      </w:r>
                    </w:p>
                    <w:p w14:paraId="363348A1" w14:textId="77777777" w:rsidR="00B85D72" w:rsidRPr="006F41C3" w:rsidRDefault="00B85D72" w:rsidP="000831A1">
                      <w:pPr>
                        <w:pStyle w:val="Bullet-green"/>
                        <w:numPr>
                          <w:ilvl w:val="0"/>
                          <w:numId w:val="38"/>
                        </w:numPr>
                      </w:pPr>
                      <w:r w:rsidRPr="006F41C3">
                        <w:t>Smith-</w:t>
                      </w:r>
                      <w:proofErr w:type="spellStart"/>
                      <w:r w:rsidRPr="006F41C3">
                        <w:t>Magenis</w:t>
                      </w:r>
                      <w:proofErr w:type="spellEnd"/>
                      <w:r w:rsidRPr="006F41C3">
                        <w:t xml:space="preserve"> Syndrome</w:t>
                      </w:r>
                    </w:p>
                    <w:p w14:paraId="68760C12" w14:textId="77777777" w:rsidR="00B85D72" w:rsidRPr="006F41C3" w:rsidRDefault="00B85D72" w:rsidP="000831A1">
                      <w:pPr>
                        <w:pStyle w:val="Bullet-green"/>
                        <w:numPr>
                          <w:ilvl w:val="0"/>
                          <w:numId w:val="38"/>
                        </w:numPr>
                      </w:pPr>
                      <w:r w:rsidRPr="006F41C3">
                        <w:t>Williams Syndrome</w:t>
                      </w:r>
                    </w:p>
                    <w:p w14:paraId="13BA089A" w14:textId="77777777" w:rsidR="00B85D72" w:rsidRPr="006F41C3" w:rsidRDefault="00B85D72" w:rsidP="00607BDA">
                      <w:pPr>
                        <w:pStyle w:val="Bullet-green"/>
                        <w:numPr>
                          <w:ilvl w:val="0"/>
                          <w:numId w:val="0"/>
                        </w:numPr>
                      </w:pPr>
                      <w:r w:rsidRPr="006F41C3">
                        <w:t>The following conditions are examples of conditions for which the item is not intended, as they can be assessed with a standard paediatric consultation:</w:t>
                      </w:r>
                    </w:p>
                    <w:p w14:paraId="62E8AB4C" w14:textId="77777777" w:rsidR="00B85D72" w:rsidRDefault="00B85D72" w:rsidP="000831A1">
                      <w:pPr>
                        <w:pStyle w:val="Bullet-green"/>
                        <w:numPr>
                          <w:ilvl w:val="0"/>
                          <w:numId w:val="61"/>
                        </w:numPr>
                      </w:pPr>
                      <w:r w:rsidRPr="006F41C3">
                        <w:t>Stand-alone diagnosis of Attention Deficit Hyperactivity Disorder without other severe neurodevelopmental co-morbidities or co-existing multi-domain disabilities</w:t>
                      </w:r>
                      <w:r>
                        <w:t>.</w:t>
                      </w:r>
                    </w:p>
                  </w:txbxContent>
                </v:textbox>
                <w10:anchorlock/>
              </v:shape>
            </w:pict>
          </mc:Fallback>
        </mc:AlternateContent>
      </w:r>
    </w:p>
    <w:p w14:paraId="03481AF2" w14:textId="77777777" w:rsidR="00567FF0" w:rsidRDefault="00567FF0" w:rsidP="000831A1">
      <w:pPr>
        <w:pStyle w:val="Bullet-green"/>
        <w:numPr>
          <w:ilvl w:val="0"/>
          <w:numId w:val="63"/>
        </w:numPr>
      </w:pPr>
      <w:r>
        <w:t>that expert bodies are consulted to agree on an appropriate definition of complexity and severity, and which domains of cognitive and functional impairment should be considered.</w:t>
      </w:r>
    </w:p>
    <w:p w14:paraId="003E7322" w14:textId="77777777" w:rsidR="003D361C" w:rsidRDefault="003D361C" w:rsidP="003D361C">
      <w:pPr>
        <w:pStyle w:val="Bullet-green"/>
        <w:numPr>
          <w:ilvl w:val="0"/>
          <w:numId w:val="63"/>
        </w:numPr>
      </w:pPr>
      <w:r>
        <w:t>that the inequity of patient rebates for paediatric complex plans and geriatric complex plans be addressed over time.</w:t>
      </w:r>
    </w:p>
    <w:p w14:paraId="76D3A230" w14:textId="77777777" w:rsidR="0063055E" w:rsidRPr="00C33C0B" w:rsidRDefault="0063055E" w:rsidP="003C5D5A">
      <w:pPr>
        <w:pStyle w:val="Heading2"/>
      </w:pPr>
      <w:bookmarkStart w:id="150" w:name="_Toc24544703"/>
      <w:bookmarkEnd w:id="149"/>
      <w:r w:rsidRPr="00C33C0B">
        <w:t xml:space="preserve">Rationale </w:t>
      </w:r>
      <w:r w:rsidR="00971845">
        <w:t>7</w:t>
      </w:r>
      <w:bookmarkEnd w:id="150"/>
    </w:p>
    <w:p w14:paraId="3001FD2D" w14:textId="77777777" w:rsidR="00971845" w:rsidRDefault="00971845" w:rsidP="00971845">
      <w:pPr>
        <w:rPr>
          <w:lang w:val="en-GB" w:eastAsia="en-US"/>
        </w:rPr>
      </w:pPr>
      <w:r>
        <w:rPr>
          <w:lang w:val="en-GB" w:eastAsia="en-US"/>
        </w:rPr>
        <w:t>The Committee supports the retention of item 135 given the paediatric complex plan is for a specific patient population groups and are linked to associated allied health professional (AHP) services.</w:t>
      </w:r>
    </w:p>
    <w:p w14:paraId="575A66A9" w14:textId="77777777" w:rsidR="0063055E" w:rsidRDefault="00971845" w:rsidP="0063055E">
      <w:pPr>
        <w:rPr>
          <w:lang w:val="en-GB" w:eastAsia="en-US"/>
        </w:rPr>
      </w:pPr>
      <w:r>
        <w:rPr>
          <w:lang w:val="en-GB" w:eastAsia="en-US"/>
        </w:rPr>
        <w:t xml:space="preserve">The proposed amendments to the item descriptor and explanatory notes </w:t>
      </w:r>
      <w:r w:rsidR="0063055E">
        <w:rPr>
          <w:lang w:val="en-GB" w:eastAsia="en-US"/>
        </w:rPr>
        <w:t xml:space="preserve">focus on </w:t>
      </w:r>
      <w:r w:rsidR="00BD5F72">
        <w:rPr>
          <w:lang w:val="en-GB" w:eastAsia="en-US"/>
        </w:rPr>
        <w:t xml:space="preserve">allowing </w:t>
      </w:r>
      <w:r w:rsidR="00B1551B">
        <w:rPr>
          <w:lang w:val="en-GB" w:eastAsia="en-US"/>
        </w:rPr>
        <w:t xml:space="preserve">appropriate </w:t>
      </w:r>
      <w:r w:rsidR="00BD5F72">
        <w:rPr>
          <w:lang w:val="en-GB" w:eastAsia="en-US"/>
        </w:rPr>
        <w:t xml:space="preserve">access to paediatric complex plan items </w:t>
      </w:r>
      <w:r w:rsidR="00B1551B">
        <w:rPr>
          <w:lang w:val="en-GB" w:eastAsia="en-US"/>
        </w:rPr>
        <w:t xml:space="preserve">and their associated AHP services </w:t>
      </w:r>
      <w:r w:rsidR="001C335A">
        <w:rPr>
          <w:lang w:val="en-GB" w:eastAsia="en-US"/>
        </w:rPr>
        <w:t>for</w:t>
      </w:r>
      <w:r w:rsidR="00CB271F">
        <w:rPr>
          <w:lang w:val="en-GB" w:eastAsia="en-US"/>
        </w:rPr>
        <w:t xml:space="preserve"> </w:t>
      </w:r>
      <w:r w:rsidR="00F15150">
        <w:rPr>
          <w:lang w:val="en-GB" w:eastAsia="en-US"/>
        </w:rPr>
        <w:t xml:space="preserve">eligible </w:t>
      </w:r>
      <w:r w:rsidR="00CB271F">
        <w:rPr>
          <w:lang w:val="en-GB" w:eastAsia="en-US"/>
        </w:rPr>
        <w:t>patients</w:t>
      </w:r>
      <w:r w:rsidR="001C335A">
        <w:rPr>
          <w:lang w:val="en-GB" w:eastAsia="en-US"/>
        </w:rPr>
        <w:t xml:space="preserve">, including </w:t>
      </w:r>
      <w:r w:rsidR="007747F4">
        <w:rPr>
          <w:lang w:val="en-GB" w:eastAsia="en-US"/>
        </w:rPr>
        <w:t xml:space="preserve">children with </w:t>
      </w:r>
      <w:r w:rsidR="00EE304C">
        <w:rPr>
          <w:lang w:val="en-GB"/>
        </w:rPr>
        <w:t>fetal</w:t>
      </w:r>
      <w:r w:rsidR="001C335A" w:rsidRPr="00C33C0B">
        <w:rPr>
          <w:lang w:val="en-GB"/>
        </w:rPr>
        <w:t xml:space="preserve"> </w:t>
      </w:r>
      <w:r w:rsidR="001C335A">
        <w:rPr>
          <w:lang w:val="en-GB"/>
        </w:rPr>
        <w:t>a</w:t>
      </w:r>
      <w:r w:rsidR="001C335A" w:rsidRPr="00C33C0B">
        <w:rPr>
          <w:lang w:val="en-GB"/>
        </w:rPr>
        <w:t xml:space="preserve">lcohol </w:t>
      </w:r>
      <w:r w:rsidR="001C335A">
        <w:rPr>
          <w:lang w:val="en-GB"/>
        </w:rPr>
        <w:t>s</w:t>
      </w:r>
      <w:r w:rsidR="001C335A" w:rsidRPr="00C33C0B">
        <w:rPr>
          <w:lang w:val="en-GB"/>
        </w:rPr>
        <w:t xml:space="preserve">pectrum </w:t>
      </w:r>
      <w:r w:rsidR="001C335A">
        <w:rPr>
          <w:lang w:val="en-GB"/>
        </w:rPr>
        <w:t>disorder (FASD) and other complex neurodevelopmental disorders</w:t>
      </w:r>
      <w:r w:rsidR="0063055E">
        <w:rPr>
          <w:lang w:val="en-GB" w:eastAsia="en-US"/>
        </w:rPr>
        <w:t>. It is based on the following</w:t>
      </w:r>
      <w:r w:rsidR="00CB271F">
        <w:rPr>
          <w:lang w:val="en-GB" w:eastAsia="en-US"/>
        </w:rPr>
        <w:t>:</w:t>
      </w:r>
    </w:p>
    <w:p w14:paraId="42214DE4" w14:textId="77777777" w:rsidR="0063055E" w:rsidRPr="00C33C0B" w:rsidRDefault="0063055E" w:rsidP="0063055E">
      <w:pPr>
        <w:pStyle w:val="Bullet-green"/>
        <w:rPr>
          <w:lang w:val="en-GB" w:eastAsia="en-US"/>
        </w:rPr>
      </w:pPr>
      <w:r w:rsidRPr="00C33C0B">
        <w:rPr>
          <w:lang w:val="en-GB" w:eastAsia="en-US"/>
        </w:rPr>
        <w:t xml:space="preserve">The Committee considered a policy paper put forward by the Department on the most appropriate use of MBS items to fund services for FASD. This included input from external stakeholders, including the Royal Australasian College of Physicians (RACP), </w:t>
      </w:r>
      <w:r>
        <w:rPr>
          <w:lang w:val="en-GB" w:eastAsia="en-US"/>
        </w:rPr>
        <w:t>t</w:t>
      </w:r>
      <w:r w:rsidRPr="00C33C0B">
        <w:rPr>
          <w:lang w:val="en-GB" w:eastAsia="en-US"/>
        </w:rPr>
        <w:t>he Royal Australian and New Zealand College of Psychiatrists (RANZCP), the Australian and New Zealand Association of Paediatric Surgeons (ANZAPS)</w:t>
      </w:r>
      <w:r w:rsidR="00AD0D61">
        <w:rPr>
          <w:lang w:val="en-GB" w:eastAsia="en-US"/>
        </w:rPr>
        <w:t>,</w:t>
      </w:r>
      <w:r w:rsidR="006373F3">
        <w:rPr>
          <w:lang w:val="en-GB" w:eastAsia="en-US"/>
        </w:rPr>
        <w:t xml:space="preserve"> the Neurodevelopmental and Behavioural Paediatric Society of Australasia (NBPSA),</w:t>
      </w:r>
      <w:r w:rsidR="00AD0D61">
        <w:rPr>
          <w:lang w:val="en-GB" w:eastAsia="en-US"/>
        </w:rPr>
        <w:t xml:space="preserve"> </w:t>
      </w:r>
      <w:r w:rsidR="00AD0D61" w:rsidRPr="00C33C0B">
        <w:rPr>
          <w:lang w:val="en-GB" w:eastAsia="en-US"/>
        </w:rPr>
        <w:t xml:space="preserve">the Department of Social Services (DSS) </w:t>
      </w:r>
      <w:r w:rsidRPr="00C33C0B">
        <w:rPr>
          <w:lang w:val="en-GB" w:eastAsia="en-US"/>
        </w:rPr>
        <w:t>and the National Disability Insurance Agency (NDIA).</w:t>
      </w:r>
    </w:p>
    <w:p w14:paraId="12B5FE45" w14:textId="77777777" w:rsidR="0063055E" w:rsidRPr="00C33C0B" w:rsidRDefault="0063055E" w:rsidP="0063055E">
      <w:pPr>
        <w:pStyle w:val="Bullet-green"/>
        <w:rPr>
          <w:lang w:val="en-GB" w:eastAsia="en-US"/>
        </w:rPr>
      </w:pPr>
      <w:r w:rsidRPr="00C33C0B">
        <w:rPr>
          <w:lang w:val="en-GB" w:eastAsia="en-US"/>
        </w:rPr>
        <w:t>A number of approaches were put forward by these stakeholders, including</w:t>
      </w:r>
      <w:r>
        <w:rPr>
          <w:lang w:val="en-GB" w:eastAsia="en-US"/>
        </w:rPr>
        <w:t xml:space="preserve"> the following</w:t>
      </w:r>
      <w:r w:rsidRPr="00C33C0B">
        <w:rPr>
          <w:lang w:val="en-GB" w:eastAsia="en-US"/>
        </w:rPr>
        <w:t>:</w:t>
      </w:r>
    </w:p>
    <w:p w14:paraId="6AE859C2" w14:textId="77777777" w:rsidR="0063055E" w:rsidRPr="00C33C0B" w:rsidRDefault="0063055E" w:rsidP="0063055E">
      <w:pPr>
        <w:pStyle w:val="Bullet2"/>
      </w:pPr>
      <w:r w:rsidRPr="00C33C0B">
        <w:t>Allow services for FASD to be claimed under existing MBS items</w:t>
      </w:r>
      <w:r>
        <w:t>.</w:t>
      </w:r>
    </w:p>
    <w:p w14:paraId="6EC84642" w14:textId="77777777" w:rsidR="0063055E" w:rsidRPr="00C33C0B" w:rsidRDefault="0063055E" w:rsidP="0063055E">
      <w:pPr>
        <w:pStyle w:val="Bullet2"/>
      </w:pPr>
      <w:r w:rsidRPr="00C33C0B">
        <w:t>Recognise that existing items use outdated terminology (the term pervasive developmental disorder</w:t>
      </w:r>
      <w:r>
        <w:t>, or</w:t>
      </w:r>
      <w:r w:rsidRPr="00C33C0B">
        <w:t xml:space="preserve"> PDD) and update these in line with contemporary clinical practice</w:t>
      </w:r>
      <w:r>
        <w:t>.</w:t>
      </w:r>
    </w:p>
    <w:p w14:paraId="143C49A4" w14:textId="77777777" w:rsidR="0063055E" w:rsidRPr="00C33C0B" w:rsidRDefault="0063055E" w:rsidP="0063055E">
      <w:pPr>
        <w:pStyle w:val="Bullet2"/>
      </w:pPr>
      <w:r w:rsidRPr="00C33C0B">
        <w:t>Add a new MBS item for FASD as the population is different to what the current items cover</w:t>
      </w:r>
      <w:r>
        <w:t>.</w:t>
      </w:r>
    </w:p>
    <w:p w14:paraId="67E1CF33" w14:textId="77777777" w:rsidR="00A35B74" w:rsidRDefault="00E92441" w:rsidP="00BD5F72">
      <w:pPr>
        <w:pStyle w:val="Bullet-green"/>
        <w:rPr>
          <w:lang w:val="en-GB"/>
        </w:rPr>
      </w:pPr>
      <w:r>
        <w:rPr>
          <w:lang w:val="en-GB"/>
        </w:rPr>
        <w:t>Members from the</w:t>
      </w:r>
      <w:r w:rsidR="0063055E" w:rsidRPr="00C33C0B">
        <w:rPr>
          <w:lang w:val="en-GB"/>
        </w:rPr>
        <w:t xml:space="preserve"> </w:t>
      </w:r>
      <w:r w:rsidR="0063055E">
        <w:rPr>
          <w:lang w:val="en-GB"/>
        </w:rPr>
        <w:t>Committee</w:t>
      </w:r>
      <w:r w:rsidR="0063055E" w:rsidRPr="00C33C0B">
        <w:rPr>
          <w:lang w:val="en-GB"/>
        </w:rPr>
        <w:t xml:space="preserve"> and the Psychiatry Clinical Committee discussed this topic and decided to</w:t>
      </w:r>
      <w:r w:rsidR="0063055E">
        <w:rPr>
          <w:lang w:val="en-GB"/>
        </w:rPr>
        <w:t xml:space="preserve"> implement the second approach,</w:t>
      </w:r>
      <w:r w:rsidR="0063055E" w:rsidRPr="00C33C0B">
        <w:rPr>
          <w:lang w:val="en-GB"/>
        </w:rPr>
        <w:t xml:space="preserve"> upda</w:t>
      </w:r>
      <w:r w:rsidR="0063055E">
        <w:rPr>
          <w:lang w:val="en-GB"/>
        </w:rPr>
        <w:t>ting</w:t>
      </w:r>
      <w:r w:rsidR="0063055E" w:rsidRPr="00C33C0B">
        <w:rPr>
          <w:lang w:val="en-GB"/>
        </w:rPr>
        <w:t xml:space="preserve"> the terminology in items 135 and 289 so that FASD</w:t>
      </w:r>
      <w:r w:rsidR="001C335A">
        <w:rPr>
          <w:lang w:val="en-GB"/>
        </w:rPr>
        <w:t xml:space="preserve"> and other complex neurodevelopmental disorders </w:t>
      </w:r>
      <w:r w:rsidR="0063055E">
        <w:rPr>
          <w:lang w:val="en-GB"/>
        </w:rPr>
        <w:t>can</w:t>
      </w:r>
      <w:r w:rsidR="0063055E" w:rsidRPr="00C33C0B">
        <w:rPr>
          <w:lang w:val="en-GB"/>
        </w:rPr>
        <w:t xml:space="preserve"> be claimed under these items</w:t>
      </w:r>
      <w:r w:rsidR="009F0A08">
        <w:rPr>
          <w:lang w:val="en-GB"/>
        </w:rPr>
        <w:t xml:space="preserve"> and including the intended specific conditions in the explanatory notes</w:t>
      </w:r>
      <w:r w:rsidR="0063055E" w:rsidRPr="00C33C0B">
        <w:rPr>
          <w:lang w:val="en-GB"/>
        </w:rPr>
        <w:t xml:space="preserve"> This option was chosen because it present</w:t>
      </w:r>
      <w:r w:rsidR="0063055E">
        <w:rPr>
          <w:lang w:val="en-GB"/>
        </w:rPr>
        <w:t>s</w:t>
      </w:r>
      <w:r w:rsidR="0063055E" w:rsidRPr="00C33C0B">
        <w:rPr>
          <w:lang w:val="en-GB"/>
        </w:rPr>
        <w:t xml:space="preserve"> an opportunity for outdated terminology to be updated</w:t>
      </w:r>
      <w:r w:rsidR="0063055E">
        <w:rPr>
          <w:lang w:val="en-GB"/>
        </w:rPr>
        <w:t>,</w:t>
      </w:r>
      <w:r w:rsidR="0063055E" w:rsidRPr="00C33C0B">
        <w:rPr>
          <w:lang w:val="en-GB"/>
        </w:rPr>
        <w:t xml:space="preserve"> and for both paediatricians and psychiatrists to have access to MBS items for </w:t>
      </w:r>
      <w:r w:rsidR="001C335A">
        <w:rPr>
          <w:lang w:val="en-GB"/>
        </w:rPr>
        <w:t>FASD and other complex neurodevelopmental disorders.</w:t>
      </w:r>
      <w:r w:rsidR="00501223">
        <w:rPr>
          <w:lang w:val="en-GB"/>
        </w:rPr>
        <w:t xml:space="preserve"> </w:t>
      </w:r>
    </w:p>
    <w:p w14:paraId="5CD6C153" w14:textId="77777777" w:rsidR="00A35B74" w:rsidRDefault="00501223" w:rsidP="0004747F">
      <w:pPr>
        <w:pStyle w:val="Bullet-green"/>
        <w:rPr>
          <w:lang w:val="en-GB"/>
        </w:rPr>
      </w:pPr>
      <w:r>
        <w:rPr>
          <w:lang w:val="en-GB"/>
        </w:rPr>
        <w:t xml:space="preserve">The Committee agrees that the item is intended </w:t>
      </w:r>
      <w:r w:rsidR="00AB49A9">
        <w:rPr>
          <w:lang w:val="en-GB"/>
        </w:rPr>
        <w:t>to relate to</w:t>
      </w:r>
      <w:r>
        <w:rPr>
          <w:lang w:val="en-GB"/>
        </w:rPr>
        <w:t xml:space="preserve"> any neurodevelopmental disorders</w:t>
      </w:r>
      <w:r w:rsidR="00AB49A9">
        <w:rPr>
          <w:lang w:val="en-GB"/>
        </w:rPr>
        <w:t>,</w:t>
      </w:r>
      <w:r>
        <w:rPr>
          <w:lang w:val="en-GB"/>
        </w:rPr>
        <w:t xml:space="preserve"> as defined by severity and complexity rather than by diagnostic labels. The Committee recognises that there are conditions and situations where this item is not appropriate, such as for standalone Attention Deficit Hyperactivity Disorder with no other complex or severe neurodevelopmental co-morbidities where standard consultation assessments are more appropriate.</w:t>
      </w:r>
    </w:p>
    <w:p w14:paraId="35C37946" w14:textId="77777777" w:rsidR="00A35B74" w:rsidRPr="0004747F" w:rsidRDefault="00A35B74" w:rsidP="0004747F">
      <w:pPr>
        <w:pStyle w:val="Bullet-green"/>
        <w:rPr>
          <w:lang w:val="en-GB"/>
        </w:rPr>
      </w:pPr>
      <w:r w:rsidRPr="00A35B74">
        <w:rPr>
          <w:lang w:val="en-GB"/>
        </w:rPr>
        <w:t xml:space="preserve">The Committee agrees that </w:t>
      </w:r>
      <w:r>
        <w:t>the requirement to confirm a diagnosis at the initial assessment should be changed to “for the purposes of diagnosis”, as a definitive diagnosis may only be confirmed in subsequent attendances and after all relevant multidisciplinary diagnostic assessments are completed.</w:t>
      </w:r>
    </w:p>
    <w:p w14:paraId="27105064" w14:textId="77777777" w:rsidR="00301462" w:rsidRPr="00C33C0B" w:rsidRDefault="00301462" w:rsidP="00301462">
      <w:pPr>
        <w:pStyle w:val="Heading2"/>
      </w:pPr>
      <w:bookmarkStart w:id="151" w:name="_Toc22893994"/>
      <w:bookmarkStart w:id="152" w:name="_Toc24544704"/>
      <w:r>
        <w:t>Recommendation 8 – Retain the comprehensive geriatric assessment items</w:t>
      </w:r>
      <w:bookmarkEnd w:id="151"/>
      <w:bookmarkEnd w:id="152"/>
      <w:r>
        <w:t xml:space="preserve"> </w:t>
      </w:r>
    </w:p>
    <w:p w14:paraId="37E8DDA0" w14:textId="77777777" w:rsidR="00301462" w:rsidRPr="00C33C0B" w:rsidRDefault="00301462" w:rsidP="00301462">
      <w:pPr>
        <w:pStyle w:val="Bullet-green"/>
        <w:numPr>
          <w:ilvl w:val="0"/>
          <w:numId w:val="0"/>
        </w:numPr>
      </w:pPr>
      <w:r>
        <w:t>The Committee recommends retaining items 141, 143, 145 and 147 and not including under time</w:t>
      </w:r>
      <w:r>
        <w:noBreakHyphen/>
        <w:t>tiering.</w:t>
      </w:r>
    </w:p>
    <w:p w14:paraId="7B8B2008" w14:textId="77777777" w:rsidR="00301462" w:rsidRPr="00C33C0B" w:rsidRDefault="00301462" w:rsidP="00301462">
      <w:pPr>
        <w:pStyle w:val="Heading2"/>
      </w:pPr>
      <w:bookmarkStart w:id="153" w:name="_Toc22893995"/>
      <w:bookmarkStart w:id="154" w:name="_Toc24544705"/>
      <w:r w:rsidRPr="00C33C0B">
        <w:t xml:space="preserve">Rationale </w:t>
      </w:r>
      <w:r>
        <w:t>8</w:t>
      </w:r>
      <w:bookmarkEnd w:id="153"/>
      <w:bookmarkEnd w:id="154"/>
    </w:p>
    <w:p w14:paraId="2358DC1A" w14:textId="77777777" w:rsidR="00301462" w:rsidRDefault="00301462" w:rsidP="00301462">
      <w:pPr>
        <w:pStyle w:val="Bullet-green"/>
        <w:numPr>
          <w:ilvl w:val="0"/>
          <w:numId w:val="0"/>
        </w:numPr>
      </w:pPr>
      <w:r w:rsidRPr="004A1AB0">
        <w:t xml:space="preserve">The Committee noted the feedback received on the draft report, which originally proposed folding </w:t>
      </w:r>
      <w:r>
        <w:t xml:space="preserve">all of </w:t>
      </w:r>
      <w:r w:rsidRPr="004A1AB0">
        <w:t>the geriatric MBS items into time</w:t>
      </w:r>
      <w:r w:rsidRPr="004A1AB0">
        <w:noBreakHyphen/>
        <w:t xml:space="preserve">tiering. In particular, the Committee noted </w:t>
      </w:r>
      <w:r>
        <w:t xml:space="preserve">there are a number of unique, </w:t>
      </w:r>
      <w:r w:rsidRPr="004A1AB0">
        <w:t xml:space="preserve">specific requirements </w:t>
      </w:r>
      <w:r>
        <w:t>for a c</w:t>
      </w:r>
      <w:r w:rsidRPr="004A1AB0">
        <w:t xml:space="preserve">omprehensive </w:t>
      </w:r>
      <w:r>
        <w:t>a</w:t>
      </w:r>
      <w:r w:rsidRPr="004A1AB0">
        <w:t>ssessment</w:t>
      </w:r>
      <w:r>
        <w:t xml:space="preserve"> and management plan. These include </w:t>
      </w:r>
      <w:r w:rsidRPr="0044548B">
        <w:t xml:space="preserve">diagnosis, identification of problems, goal setting and forming a comprehensive management plan for holistic treatment, rehabilitation, support and long-term follow-up. </w:t>
      </w:r>
      <w:r w:rsidRPr="004A1AB0">
        <w:t xml:space="preserve">The Committee agreed to retain these items in the MBS to ensure that older Australians can continue to access this </w:t>
      </w:r>
      <w:r>
        <w:t>high</w:t>
      </w:r>
      <w:r>
        <w:noBreakHyphen/>
        <w:t>value</w:t>
      </w:r>
      <w:r w:rsidRPr="004A1AB0">
        <w:t xml:space="preserve"> care.</w:t>
      </w:r>
    </w:p>
    <w:p w14:paraId="23009B67" w14:textId="77777777" w:rsidR="00F15150" w:rsidRDefault="00F15150" w:rsidP="00C659C3">
      <w:pPr>
        <w:pStyle w:val="Bullet-green"/>
        <w:numPr>
          <w:ilvl w:val="0"/>
          <w:numId w:val="0"/>
        </w:numPr>
      </w:pPr>
      <w:r>
        <w:t>The Committee also recommends that the inequity of patient rebates for paediatric complex</w:t>
      </w:r>
      <w:r w:rsidR="00C659C3">
        <w:t xml:space="preserve"> </w:t>
      </w:r>
      <w:r>
        <w:t>plans and geriatric complex plans be addressed over time.</w:t>
      </w:r>
    </w:p>
    <w:p w14:paraId="69567C9B" w14:textId="77777777" w:rsidR="00F15150" w:rsidRPr="0044548B" w:rsidRDefault="00F15150" w:rsidP="00301462">
      <w:pPr>
        <w:pStyle w:val="Bullet-green"/>
        <w:numPr>
          <w:ilvl w:val="0"/>
          <w:numId w:val="0"/>
        </w:numPr>
      </w:pPr>
    </w:p>
    <w:p w14:paraId="35F73D5F" w14:textId="77777777" w:rsidR="00A35B74" w:rsidRPr="00BD5F72" w:rsidRDefault="00A35B74" w:rsidP="0004747F">
      <w:pPr>
        <w:pStyle w:val="Bullet-green"/>
        <w:numPr>
          <w:ilvl w:val="0"/>
          <w:numId w:val="0"/>
        </w:numPr>
        <w:ind w:left="357"/>
        <w:rPr>
          <w:lang w:val="en-GB"/>
        </w:rPr>
      </w:pPr>
    </w:p>
    <w:p w14:paraId="68FA310A" w14:textId="77777777" w:rsidR="0063055E" w:rsidRPr="00C33C0B" w:rsidRDefault="0063055E" w:rsidP="0063055E">
      <w:pPr>
        <w:spacing w:before="0" w:after="0" w:line="240" w:lineRule="auto"/>
        <w:rPr>
          <w:rFonts w:eastAsiaTheme="minorHAnsi" w:cs="Arial"/>
          <w:b/>
          <w:bCs/>
          <w:iCs/>
          <w:color w:val="01653F"/>
          <w:sz w:val="26"/>
          <w:szCs w:val="26"/>
          <w:lang w:val="en-GB" w:eastAsia="en-US"/>
        </w:rPr>
      </w:pPr>
      <w:r w:rsidRPr="00C33C0B">
        <w:rPr>
          <w:lang w:val="en-GB"/>
        </w:rPr>
        <w:br w:type="page"/>
      </w:r>
    </w:p>
    <w:p w14:paraId="61382A11" w14:textId="77777777" w:rsidR="0070614E" w:rsidRPr="00C33C0B" w:rsidRDefault="0070614E" w:rsidP="0087562B">
      <w:pPr>
        <w:pStyle w:val="Heading1"/>
      </w:pPr>
      <w:bookmarkStart w:id="155" w:name="_Toc24544706"/>
      <w:r w:rsidRPr="00C33C0B">
        <w:t>Telehealth</w:t>
      </w:r>
      <w:r w:rsidR="0087562B">
        <w:t xml:space="preserve"> recommendations</w:t>
      </w:r>
      <w:bookmarkEnd w:id="155"/>
    </w:p>
    <w:p w14:paraId="42B2BB6C" w14:textId="77777777" w:rsidR="002C2B9B" w:rsidRPr="00607BDA" w:rsidRDefault="002C2B9B" w:rsidP="003C5D5A">
      <w:pPr>
        <w:pStyle w:val="Heading2"/>
      </w:pPr>
      <w:bookmarkStart w:id="156" w:name="_Toc24544707"/>
      <w:r w:rsidRPr="00607BDA">
        <w:t>Current telehealth framework</w:t>
      </w:r>
      <w:bookmarkEnd w:id="156"/>
    </w:p>
    <w:p w14:paraId="5DCCF1A1" w14:textId="77777777" w:rsidR="0070614E" w:rsidRPr="00C33C0B" w:rsidRDefault="0070614E" w:rsidP="0070614E">
      <w:pPr>
        <w:rPr>
          <w:lang w:val="en-GB"/>
        </w:rPr>
      </w:pPr>
      <w:r w:rsidRPr="00C33C0B">
        <w:rPr>
          <w:lang w:val="en-GB"/>
        </w:rPr>
        <w:t>The MBS has 1</w:t>
      </w:r>
      <w:r w:rsidR="009C2398" w:rsidRPr="00C33C0B">
        <w:rPr>
          <w:lang w:val="en-GB"/>
        </w:rPr>
        <w:t>7</w:t>
      </w:r>
      <w:r w:rsidRPr="00C33C0B">
        <w:rPr>
          <w:lang w:val="en-GB"/>
        </w:rPr>
        <w:t xml:space="preserve"> telehealth attendance items</w:t>
      </w:r>
      <w:r w:rsidR="00785016">
        <w:rPr>
          <w:lang w:val="en-GB"/>
        </w:rPr>
        <w:t xml:space="preserve"> with </w:t>
      </w:r>
      <w:r w:rsidRPr="00C33C0B">
        <w:rPr>
          <w:lang w:val="en-GB"/>
        </w:rPr>
        <w:t>67,000 services</w:t>
      </w:r>
      <w:r w:rsidR="00785016">
        <w:rPr>
          <w:lang w:val="en-GB"/>
        </w:rPr>
        <w:t xml:space="preserve"> provided in conjunction with an existing</w:t>
      </w:r>
      <w:r w:rsidR="005D32C7">
        <w:rPr>
          <w:lang w:val="en-GB"/>
        </w:rPr>
        <w:t xml:space="preserve"> consultation item in FY2016/17</w:t>
      </w:r>
      <w:r w:rsidR="005D20B2">
        <w:rPr>
          <w:lang w:val="en-GB"/>
        </w:rPr>
        <w:t>.</w:t>
      </w:r>
      <w:r w:rsidRPr="00C33C0B">
        <w:rPr>
          <w:rStyle w:val="FootnoteReference"/>
          <w:lang w:val="en-GB"/>
        </w:rPr>
        <w:footnoteReference w:id="7"/>
      </w:r>
      <w:r w:rsidRPr="00C33C0B">
        <w:rPr>
          <w:lang w:val="en-GB"/>
        </w:rPr>
        <w:t xml:space="preserve"> These items inclu</w:t>
      </w:r>
      <w:r w:rsidR="001F6540" w:rsidRPr="00C33C0B">
        <w:rPr>
          <w:lang w:val="en-GB"/>
        </w:rPr>
        <w:t>de:</w:t>
      </w:r>
    </w:p>
    <w:p w14:paraId="1A5E8DB3" w14:textId="77777777" w:rsidR="0070614E" w:rsidRPr="00C33C0B" w:rsidRDefault="009C2398" w:rsidP="0070614E">
      <w:pPr>
        <w:pStyle w:val="Bullet-green"/>
        <w:rPr>
          <w:lang w:val="en-GB"/>
        </w:rPr>
      </w:pPr>
      <w:r w:rsidRPr="00C33C0B">
        <w:rPr>
          <w:lang w:val="en-GB"/>
        </w:rPr>
        <w:t>Nine</w:t>
      </w:r>
      <w:r w:rsidR="0070614E" w:rsidRPr="00C33C0B">
        <w:rPr>
          <w:lang w:val="en-GB"/>
        </w:rPr>
        <w:t xml:space="preserve"> telehealth loading items valued at 50</w:t>
      </w:r>
      <w:r w:rsidR="00901C5C">
        <w:rPr>
          <w:lang w:val="en-GB"/>
        </w:rPr>
        <w:t xml:space="preserve"> per cent</w:t>
      </w:r>
      <w:r w:rsidR="0070614E" w:rsidRPr="00C33C0B">
        <w:rPr>
          <w:lang w:val="en-GB"/>
        </w:rPr>
        <w:t xml:space="preserve"> of the </w:t>
      </w:r>
      <w:r w:rsidR="00E06128">
        <w:rPr>
          <w:lang w:val="en-GB"/>
        </w:rPr>
        <w:t>schedule fee</w:t>
      </w:r>
      <w:r w:rsidR="00E06128" w:rsidRPr="00C33C0B">
        <w:rPr>
          <w:lang w:val="en-GB"/>
        </w:rPr>
        <w:t xml:space="preserve"> </w:t>
      </w:r>
      <w:r w:rsidR="0070614E" w:rsidRPr="00C33C0B">
        <w:rPr>
          <w:lang w:val="en-GB"/>
        </w:rPr>
        <w:t>for the attendance item</w:t>
      </w:r>
      <w:r w:rsidR="00AB49A9">
        <w:rPr>
          <w:lang w:val="en-GB"/>
        </w:rPr>
        <w:t xml:space="preserve"> with which</w:t>
      </w:r>
      <w:r w:rsidR="0070614E" w:rsidRPr="00C33C0B">
        <w:rPr>
          <w:lang w:val="en-GB"/>
        </w:rPr>
        <w:t xml:space="preserve"> they are co-claimed, </w:t>
      </w:r>
      <w:r w:rsidR="00F76F3C" w:rsidRPr="00C33C0B">
        <w:rPr>
          <w:lang w:val="en-GB"/>
        </w:rPr>
        <w:t>accounting for</w:t>
      </w:r>
      <w:r w:rsidR="0070614E" w:rsidRPr="00C33C0B">
        <w:rPr>
          <w:lang w:val="en-GB"/>
        </w:rPr>
        <w:t xml:space="preserve"> </w:t>
      </w:r>
      <w:r w:rsidR="008B0075">
        <w:rPr>
          <w:lang w:val="en-GB"/>
        </w:rPr>
        <w:t xml:space="preserve">more than </w:t>
      </w:r>
      <w:r w:rsidR="0070614E" w:rsidRPr="00C33C0B">
        <w:rPr>
          <w:lang w:val="en-GB"/>
        </w:rPr>
        <w:t>98</w:t>
      </w:r>
      <w:r w:rsidR="008B0075">
        <w:rPr>
          <w:lang w:val="en-GB"/>
        </w:rPr>
        <w:t xml:space="preserve"> per cent</w:t>
      </w:r>
      <w:r w:rsidR="0070614E" w:rsidRPr="00C33C0B">
        <w:rPr>
          <w:lang w:val="en-GB"/>
        </w:rPr>
        <w:t xml:space="preserve"> of telehealth service volume </w:t>
      </w:r>
      <w:r w:rsidR="001F6540" w:rsidRPr="00C33C0B">
        <w:rPr>
          <w:lang w:val="en-GB"/>
        </w:rPr>
        <w:t>and spend</w:t>
      </w:r>
      <w:r w:rsidR="008B0075">
        <w:rPr>
          <w:lang w:val="en-GB"/>
        </w:rPr>
        <w:t>.</w:t>
      </w:r>
    </w:p>
    <w:p w14:paraId="386EC832" w14:textId="77777777" w:rsidR="0070614E" w:rsidRPr="00C33C0B" w:rsidRDefault="009C2398" w:rsidP="0070614E">
      <w:pPr>
        <w:pStyle w:val="Bullet-green"/>
        <w:rPr>
          <w:lang w:val="en-GB"/>
        </w:rPr>
      </w:pPr>
      <w:r w:rsidRPr="00C33C0B">
        <w:rPr>
          <w:lang w:val="en-GB"/>
        </w:rPr>
        <w:t>Eight</w:t>
      </w:r>
      <w:r w:rsidR="00320A2E" w:rsidRPr="00C33C0B">
        <w:rPr>
          <w:lang w:val="en-GB"/>
        </w:rPr>
        <w:t xml:space="preserve"> </w:t>
      </w:r>
      <w:r w:rsidR="0070614E" w:rsidRPr="00C33C0B">
        <w:rPr>
          <w:lang w:val="en-GB"/>
        </w:rPr>
        <w:t>items for telehealth attendances under 10 minutes</w:t>
      </w:r>
      <w:r w:rsidR="00953D1E">
        <w:rPr>
          <w:lang w:val="en-GB"/>
        </w:rPr>
        <w:t>,</w:t>
      </w:r>
      <w:r w:rsidR="001F6540" w:rsidRPr="00C33C0B">
        <w:rPr>
          <w:rStyle w:val="FootnoteReference"/>
          <w:lang w:val="en-GB"/>
        </w:rPr>
        <w:footnoteReference w:id="8"/>
      </w:r>
      <w:r w:rsidR="0070614E" w:rsidRPr="00C33C0B">
        <w:rPr>
          <w:lang w:val="en-GB"/>
        </w:rPr>
        <w:t xml:space="preserve"> </w:t>
      </w:r>
      <w:r w:rsidR="00F76F3C" w:rsidRPr="00C33C0B">
        <w:rPr>
          <w:lang w:val="en-GB"/>
        </w:rPr>
        <w:t xml:space="preserve">accounting for just </w:t>
      </w:r>
      <w:r w:rsidR="0070614E" w:rsidRPr="00C33C0B">
        <w:rPr>
          <w:lang w:val="en-GB"/>
        </w:rPr>
        <w:t>159</w:t>
      </w:r>
      <w:r w:rsidR="00D66821">
        <w:rPr>
          <w:lang w:val="en-GB"/>
        </w:rPr>
        <w:t> </w:t>
      </w:r>
      <w:r w:rsidR="0070614E" w:rsidRPr="00C33C0B">
        <w:rPr>
          <w:lang w:val="en-GB"/>
        </w:rPr>
        <w:t>services in 2016/17</w:t>
      </w:r>
      <w:r w:rsidR="002F0DBF">
        <w:rPr>
          <w:lang w:val="en-GB"/>
        </w:rPr>
        <w:t>.</w:t>
      </w:r>
      <w:r w:rsidR="0070614E" w:rsidRPr="00C33C0B">
        <w:rPr>
          <w:lang w:val="en-GB"/>
        </w:rPr>
        <w:t xml:space="preserve"> </w:t>
      </w:r>
    </w:p>
    <w:p w14:paraId="0D02FA89" w14:textId="77777777" w:rsidR="00A35105" w:rsidRDefault="00A35105" w:rsidP="00A35105">
      <w:pPr>
        <w:pStyle w:val="Bullet-green"/>
        <w:numPr>
          <w:ilvl w:val="0"/>
          <w:numId w:val="0"/>
        </w:numPr>
        <w:rPr>
          <w:lang w:val="en-GB"/>
        </w:rPr>
      </w:pPr>
      <w:r w:rsidRPr="00C33C0B">
        <w:rPr>
          <w:lang w:val="en-GB"/>
        </w:rPr>
        <w:t xml:space="preserve">The Committee </w:t>
      </w:r>
      <w:r w:rsidR="00FA6C77" w:rsidRPr="00C33C0B">
        <w:rPr>
          <w:lang w:val="en-GB"/>
        </w:rPr>
        <w:t>noted</w:t>
      </w:r>
      <w:r w:rsidRPr="00C33C0B">
        <w:rPr>
          <w:lang w:val="en-GB"/>
        </w:rPr>
        <w:t xml:space="preserve"> that the 2011 telehealth incentive scheme and loading items have been successful in capturing early adopters</w:t>
      </w:r>
      <w:r w:rsidR="00D7544E" w:rsidRPr="00C33C0B">
        <w:rPr>
          <w:lang w:val="en-GB"/>
        </w:rPr>
        <w:t xml:space="preserve">, with </w:t>
      </w:r>
      <w:r w:rsidR="003C6B36" w:rsidRPr="00C33C0B">
        <w:rPr>
          <w:lang w:val="en-GB"/>
        </w:rPr>
        <w:t xml:space="preserve">almost 2,000 providers </w:t>
      </w:r>
      <w:r w:rsidR="00D518F6" w:rsidRPr="00C33C0B">
        <w:rPr>
          <w:lang w:val="en-GB"/>
        </w:rPr>
        <w:t xml:space="preserve">using these items </w:t>
      </w:r>
      <w:r w:rsidR="00F84D08" w:rsidRPr="00C33C0B">
        <w:rPr>
          <w:lang w:val="en-GB"/>
        </w:rPr>
        <w:t>in</w:t>
      </w:r>
      <w:r w:rsidR="00206E80">
        <w:rPr>
          <w:lang w:val="en-GB"/>
        </w:rPr>
        <w:t xml:space="preserve"> </w:t>
      </w:r>
      <w:r w:rsidR="00F84D08" w:rsidRPr="00C33C0B">
        <w:rPr>
          <w:lang w:val="en-GB"/>
        </w:rPr>
        <w:t>2016/17</w:t>
      </w:r>
      <w:r w:rsidRPr="00C33C0B">
        <w:rPr>
          <w:lang w:val="en-GB"/>
        </w:rPr>
        <w:t xml:space="preserve">. However, the Committee recognises that barriers to uptake </w:t>
      </w:r>
      <w:r w:rsidR="000A7254">
        <w:rPr>
          <w:lang w:val="en-GB"/>
        </w:rPr>
        <w:t>persist</w:t>
      </w:r>
      <w:r w:rsidR="00F76F3C" w:rsidRPr="00C33C0B">
        <w:rPr>
          <w:lang w:val="en-GB"/>
        </w:rPr>
        <w:t xml:space="preserve">, as evidenced </w:t>
      </w:r>
      <w:r w:rsidRPr="00C33C0B">
        <w:rPr>
          <w:lang w:val="en-GB"/>
        </w:rPr>
        <w:t xml:space="preserve">by the significant slowing of growth in </w:t>
      </w:r>
      <w:r w:rsidR="00F76F3C" w:rsidRPr="00C33C0B">
        <w:rPr>
          <w:lang w:val="en-GB"/>
        </w:rPr>
        <w:t>services</w:t>
      </w:r>
      <w:r w:rsidR="00465DEA">
        <w:rPr>
          <w:lang w:val="en-GB"/>
        </w:rPr>
        <w:t xml:space="preserve"> (</w:t>
      </w:r>
      <w:r w:rsidR="00F76F3C" w:rsidRPr="00C33C0B">
        <w:rPr>
          <w:lang w:val="en-GB"/>
        </w:rPr>
        <w:t xml:space="preserve">from </w:t>
      </w:r>
      <w:r w:rsidRPr="00C33C0B">
        <w:rPr>
          <w:lang w:val="en-GB"/>
        </w:rPr>
        <w:t>167</w:t>
      </w:r>
      <w:r w:rsidR="00465DEA">
        <w:rPr>
          <w:lang w:val="en-GB"/>
        </w:rPr>
        <w:t xml:space="preserve"> per cent</w:t>
      </w:r>
      <w:r w:rsidRPr="00C33C0B">
        <w:rPr>
          <w:lang w:val="en-GB"/>
        </w:rPr>
        <w:t xml:space="preserve"> </w:t>
      </w:r>
      <w:r w:rsidR="00F76F3C" w:rsidRPr="00C33C0B">
        <w:rPr>
          <w:lang w:val="en-GB"/>
        </w:rPr>
        <w:t xml:space="preserve">growth </w:t>
      </w:r>
      <w:r w:rsidRPr="00C33C0B">
        <w:rPr>
          <w:lang w:val="en-GB"/>
        </w:rPr>
        <w:t>in the first year of implementation</w:t>
      </w:r>
      <w:r w:rsidR="00F76F3C" w:rsidRPr="00C33C0B">
        <w:rPr>
          <w:lang w:val="en-GB"/>
        </w:rPr>
        <w:t xml:space="preserve"> down to</w:t>
      </w:r>
      <w:r w:rsidRPr="00C33C0B">
        <w:rPr>
          <w:lang w:val="en-GB"/>
        </w:rPr>
        <w:t xml:space="preserve"> 8</w:t>
      </w:r>
      <w:r w:rsidR="00465DEA">
        <w:rPr>
          <w:lang w:val="en-GB"/>
        </w:rPr>
        <w:t xml:space="preserve"> per cent</w:t>
      </w:r>
      <w:r w:rsidRPr="00C33C0B">
        <w:rPr>
          <w:lang w:val="en-GB"/>
        </w:rPr>
        <w:t xml:space="preserve"> </w:t>
      </w:r>
      <w:r w:rsidR="00F76F3C" w:rsidRPr="00C33C0B">
        <w:rPr>
          <w:lang w:val="en-GB"/>
        </w:rPr>
        <w:t xml:space="preserve">growth </w:t>
      </w:r>
      <w:r w:rsidRPr="00C33C0B">
        <w:rPr>
          <w:lang w:val="en-GB"/>
        </w:rPr>
        <w:t>last year</w:t>
      </w:r>
      <w:r w:rsidR="00465DEA">
        <w:rPr>
          <w:lang w:val="en-GB"/>
        </w:rPr>
        <w:t>)</w:t>
      </w:r>
      <w:r w:rsidRPr="00C33C0B">
        <w:rPr>
          <w:lang w:val="en-GB"/>
        </w:rPr>
        <w:t>.</w:t>
      </w:r>
    </w:p>
    <w:p w14:paraId="4652217A" w14:textId="77777777" w:rsidR="001810DB" w:rsidRDefault="001810DB" w:rsidP="00A35105">
      <w:pPr>
        <w:pStyle w:val="Bullet-green"/>
        <w:numPr>
          <w:ilvl w:val="0"/>
          <w:numId w:val="0"/>
        </w:numPr>
        <w:rPr>
          <w:lang w:val="en-GB"/>
        </w:rPr>
      </w:pPr>
      <w:r>
        <w:rPr>
          <w:lang w:val="en-GB"/>
        </w:rPr>
        <w:t>There are currently two applications of telehealth in Australia:</w:t>
      </w:r>
    </w:p>
    <w:p w14:paraId="57DB18A4" w14:textId="77777777" w:rsidR="001810DB" w:rsidRPr="00C33C0B" w:rsidRDefault="001810DB" w:rsidP="001810DB">
      <w:pPr>
        <w:pStyle w:val="Bullet-green"/>
        <w:rPr>
          <w:lang w:val="en-GB"/>
        </w:rPr>
      </w:pPr>
      <w:r w:rsidRPr="001810DB">
        <w:rPr>
          <w:lang w:val="en-GB"/>
        </w:rPr>
        <w:t>Patient supported by a health professional:</w:t>
      </w:r>
      <w:r w:rsidRPr="00C33C0B">
        <w:rPr>
          <w:b/>
          <w:lang w:val="en-GB"/>
        </w:rPr>
        <w:t xml:space="preserve"> </w:t>
      </w:r>
      <w:r w:rsidRPr="00C33C0B">
        <w:rPr>
          <w:lang w:val="en-GB"/>
        </w:rPr>
        <w:t>A</w:t>
      </w:r>
      <w:r w:rsidRPr="00C33C0B">
        <w:rPr>
          <w:b/>
          <w:lang w:val="en-GB"/>
        </w:rPr>
        <w:t xml:space="preserve"> </w:t>
      </w:r>
      <w:r w:rsidRPr="00C33C0B">
        <w:rPr>
          <w:lang w:val="en-GB"/>
        </w:rPr>
        <w:t>health professional (</w:t>
      </w:r>
      <w:r>
        <w:rPr>
          <w:lang w:val="en-GB"/>
        </w:rPr>
        <w:t>for example, a</w:t>
      </w:r>
      <w:r w:rsidR="00910150">
        <w:rPr>
          <w:lang w:val="en-GB"/>
        </w:rPr>
        <w:t xml:space="preserve"> GP, nurse practitioner or</w:t>
      </w:r>
      <w:r w:rsidRPr="00C33C0B">
        <w:rPr>
          <w:lang w:val="en-GB"/>
        </w:rPr>
        <w:t xml:space="preserve"> physiotherapist) is with the patient for the telehealth attendance. This creates a communication bridge between consumers, primary care and </w:t>
      </w:r>
      <w:r w:rsidR="00AA329D">
        <w:rPr>
          <w:lang w:val="en-GB"/>
        </w:rPr>
        <w:t>consultant specialist</w:t>
      </w:r>
      <w:r w:rsidRPr="00C33C0B">
        <w:rPr>
          <w:lang w:val="en-GB"/>
        </w:rPr>
        <w:t>s</w:t>
      </w:r>
      <w:r w:rsidR="00A07E45">
        <w:rPr>
          <w:lang w:val="en-GB"/>
        </w:rPr>
        <w:t>,</w:t>
      </w:r>
      <w:r w:rsidRPr="00C33C0B">
        <w:rPr>
          <w:lang w:val="en-GB"/>
        </w:rPr>
        <w:t xml:space="preserve"> minimises the number of times a patient has to “tell their story”</w:t>
      </w:r>
      <w:r w:rsidR="00A07E45">
        <w:rPr>
          <w:lang w:val="en-GB"/>
        </w:rPr>
        <w:t>,</w:t>
      </w:r>
      <w:r w:rsidRPr="00C33C0B">
        <w:rPr>
          <w:lang w:val="en-GB"/>
        </w:rPr>
        <w:t xml:space="preserve"> and allows for</w:t>
      </w:r>
      <w:r>
        <w:rPr>
          <w:lang w:val="en-GB"/>
        </w:rPr>
        <w:t xml:space="preserve"> a</w:t>
      </w:r>
      <w:r w:rsidRPr="00C33C0B">
        <w:rPr>
          <w:lang w:val="en-GB"/>
        </w:rPr>
        <w:t xml:space="preserve"> more complex examination than can be undertaken if the patient is alone</w:t>
      </w:r>
      <w:r>
        <w:rPr>
          <w:lang w:val="en-GB"/>
        </w:rPr>
        <w:t>.</w:t>
      </w:r>
    </w:p>
    <w:p w14:paraId="0B4D24D2" w14:textId="77777777" w:rsidR="001810DB" w:rsidRPr="00C33C0B" w:rsidRDefault="001810DB" w:rsidP="001810DB">
      <w:pPr>
        <w:pStyle w:val="Bullet-green"/>
        <w:rPr>
          <w:lang w:val="en-GB"/>
        </w:rPr>
      </w:pPr>
      <w:r w:rsidRPr="001810DB">
        <w:rPr>
          <w:lang w:val="en-GB"/>
        </w:rPr>
        <w:t xml:space="preserve">Directly with </w:t>
      </w:r>
      <w:r w:rsidR="00D80492">
        <w:rPr>
          <w:lang w:val="en-GB"/>
        </w:rPr>
        <w:t xml:space="preserve">the </w:t>
      </w:r>
      <w:r w:rsidRPr="001810DB">
        <w:rPr>
          <w:lang w:val="en-GB"/>
        </w:rPr>
        <w:t>patient:</w:t>
      </w:r>
      <w:r w:rsidRPr="00C33C0B">
        <w:rPr>
          <w:b/>
          <w:lang w:val="en-GB"/>
        </w:rPr>
        <w:t xml:space="preserve"> </w:t>
      </w:r>
      <w:r w:rsidRPr="00C33C0B">
        <w:rPr>
          <w:lang w:val="en-GB"/>
        </w:rPr>
        <w:t xml:space="preserve">This item is better suited </w:t>
      </w:r>
      <w:r w:rsidR="004931BF">
        <w:rPr>
          <w:lang w:val="en-GB"/>
        </w:rPr>
        <w:t>to</w:t>
      </w:r>
      <w:r w:rsidRPr="00C33C0B">
        <w:rPr>
          <w:lang w:val="en-GB"/>
        </w:rPr>
        <w:t xml:space="preserve"> providing ongoing or follow-up care, is more cost-effective, and increases access</w:t>
      </w:r>
      <w:r w:rsidR="00F15150">
        <w:rPr>
          <w:lang w:val="en-GB"/>
        </w:rPr>
        <w:t xml:space="preserve"> by patients</w:t>
      </w:r>
      <w:r w:rsidRPr="00C33C0B">
        <w:rPr>
          <w:lang w:val="en-GB"/>
        </w:rPr>
        <w:t xml:space="preserve"> to </w:t>
      </w:r>
      <w:r w:rsidR="00AA329D">
        <w:rPr>
          <w:lang w:val="en-GB"/>
        </w:rPr>
        <w:t>consultant specialist</w:t>
      </w:r>
      <w:r w:rsidRPr="00C33C0B">
        <w:rPr>
          <w:lang w:val="en-GB"/>
        </w:rPr>
        <w:t xml:space="preserve"> services</w:t>
      </w:r>
      <w:r>
        <w:rPr>
          <w:lang w:val="en-GB"/>
        </w:rPr>
        <w:t>.</w:t>
      </w:r>
    </w:p>
    <w:p w14:paraId="298A4C94" w14:textId="77777777" w:rsidR="00403598" w:rsidRPr="00C33C0B" w:rsidRDefault="00403598" w:rsidP="003C5D5A">
      <w:pPr>
        <w:pStyle w:val="Heading2"/>
      </w:pPr>
      <w:bookmarkStart w:id="157" w:name="_Toc528950799"/>
      <w:bookmarkStart w:id="158" w:name="_Toc529028077"/>
      <w:bookmarkStart w:id="159" w:name="_Toc530121918"/>
      <w:bookmarkStart w:id="160" w:name="_Toc530122095"/>
      <w:bookmarkStart w:id="161" w:name="_Toc24544708"/>
      <w:bookmarkEnd w:id="157"/>
      <w:bookmarkEnd w:id="158"/>
      <w:bookmarkEnd w:id="159"/>
      <w:bookmarkEnd w:id="160"/>
      <w:r w:rsidRPr="00C33C0B">
        <w:t>Benefits of telehealth</w:t>
      </w:r>
      <w:bookmarkEnd w:id="161"/>
    </w:p>
    <w:p w14:paraId="39A89DC3" w14:textId="77777777" w:rsidR="00E71A93" w:rsidRPr="00C33C0B" w:rsidRDefault="00E71A93" w:rsidP="00A35105">
      <w:pPr>
        <w:pStyle w:val="Bullet-green"/>
        <w:numPr>
          <w:ilvl w:val="0"/>
          <w:numId w:val="0"/>
        </w:numPr>
        <w:rPr>
          <w:lang w:val="en-GB"/>
        </w:rPr>
      </w:pPr>
      <w:r w:rsidRPr="00C33C0B">
        <w:rPr>
          <w:lang w:val="en-GB"/>
        </w:rPr>
        <w:t>The Committee recognises that there are huge benefits to be gained from the uptake and appropriate use of telehealth, including:</w:t>
      </w:r>
    </w:p>
    <w:p w14:paraId="14B90D12" w14:textId="77777777" w:rsidR="00F1773A" w:rsidRPr="00C33C0B" w:rsidRDefault="00F1773A" w:rsidP="00F1773A">
      <w:pPr>
        <w:pStyle w:val="Bullet-green"/>
        <w:rPr>
          <w:lang w:val="en-GB"/>
        </w:rPr>
      </w:pPr>
      <w:r w:rsidRPr="00C33C0B">
        <w:rPr>
          <w:lang w:val="en-GB"/>
        </w:rPr>
        <w:t xml:space="preserve">Increased access </w:t>
      </w:r>
      <w:r w:rsidR="00DB2318">
        <w:rPr>
          <w:lang w:val="en-GB"/>
        </w:rPr>
        <w:t>for</w:t>
      </w:r>
      <w:r w:rsidR="00DB2318" w:rsidRPr="00C33C0B">
        <w:rPr>
          <w:lang w:val="en-GB"/>
        </w:rPr>
        <w:t xml:space="preserve"> </w:t>
      </w:r>
      <w:r w:rsidRPr="00C33C0B">
        <w:rPr>
          <w:lang w:val="en-GB"/>
        </w:rPr>
        <w:t>pati</w:t>
      </w:r>
      <w:r w:rsidR="001D559F" w:rsidRPr="00C33C0B">
        <w:rPr>
          <w:lang w:val="en-GB"/>
        </w:rPr>
        <w:t>ents in rural and remote areas</w:t>
      </w:r>
      <w:r w:rsidR="00540D0E">
        <w:rPr>
          <w:lang w:val="en-GB"/>
        </w:rPr>
        <w:t>,</w:t>
      </w:r>
      <w:r w:rsidR="001D559F" w:rsidRPr="00C33C0B">
        <w:rPr>
          <w:lang w:val="en-GB"/>
        </w:rPr>
        <w:t xml:space="preserve"> </w:t>
      </w:r>
      <w:r w:rsidRPr="00C33C0B">
        <w:rPr>
          <w:lang w:val="en-GB"/>
        </w:rPr>
        <w:t xml:space="preserve">and for </w:t>
      </w:r>
      <w:r w:rsidR="001D559F" w:rsidRPr="00C33C0B">
        <w:rPr>
          <w:lang w:val="en-GB"/>
        </w:rPr>
        <w:t xml:space="preserve">those </w:t>
      </w:r>
      <w:r w:rsidRPr="00C33C0B">
        <w:rPr>
          <w:lang w:val="en-GB"/>
        </w:rPr>
        <w:t xml:space="preserve">who may find it difficult to attend consulting rooms or </w:t>
      </w:r>
      <w:r w:rsidR="0047073B">
        <w:rPr>
          <w:lang w:val="en-GB"/>
        </w:rPr>
        <w:t xml:space="preserve">a </w:t>
      </w:r>
      <w:r w:rsidRPr="00C33C0B">
        <w:rPr>
          <w:lang w:val="en-GB"/>
        </w:rPr>
        <w:t>hospital (</w:t>
      </w:r>
      <w:r w:rsidR="0047073B">
        <w:rPr>
          <w:lang w:val="en-GB"/>
        </w:rPr>
        <w:t>for example,</w:t>
      </w:r>
      <w:r w:rsidR="001D559F" w:rsidRPr="00C33C0B">
        <w:rPr>
          <w:lang w:val="en-GB"/>
        </w:rPr>
        <w:t xml:space="preserve"> </w:t>
      </w:r>
      <w:r w:rsidR="00A07E45">
        <w:rPr>
          <w:lang w:val="en-GB"/>
        </w:rPr>
        <w:t xml:space="preserve">consumers with significant mobility challenges, or </w:t>
      </w:r>
      <w:r w:rsidR="001D559F" w:rsidRPr="00C33C0B">
        <w:rPr>
          <w:lang w:val="en-GB"/>
        </w:rPr>
        <w:t>parents who have a child with a disability)</w:t>
      </w:r>
      <w:r w:rsidR="00662AF8">
        <w:rPr>
          <w:lang w:val="en-GB"/>
        </w:rPr>
        <w:t>.</w:t>
      </w:r>
    </w:p>
    <w:p w14:paraId="1A372D1B" w14:textId="77777777" w:rsidR="00403598" w:rsidRPr="00C33C0B" w:rsidRDefault="00E71A93" w:rsidP="00E71A93">
      <w:pPr>
        <w:pStyle w:val="Bullet-green"/>
        <w:rPr>
          <w:lang w:val="en-GB"/>
        </w:rPr>
      </w:pPr>
      <w:r w:rsidRPr="00C33C0B">
        <w:rPr>
          <w:lang w:val="en-GB"/>
        </w:rPr>
        <w:t>Reduced t</w:t>
      </w:r>
      <w:r w:rsidR="00403598" w:rsidRPr="00C33C0B">
        <w:rPr>
          <w:lang w:val="en-GB"/>
        </w:rPr>
        <w:t>ravel time</w:t>
      </w:r>
      <w:r w:rsidR="00804B53" w:rsidRPr="00C33C0B">
        <w:rPr>
          <w:lang w:val="en-GB"/>
        </w:rPr>
        <w:t xml:space="preserve"> and costs for patients</w:t>
      </w:r>
      <w:r w:rsidR="00F424FF">
        <w:rPr>
          <w:lang w:val="en-GB"/>
        </w:rPr>
        <w:t>,</w:t>
      </w:r>
      <w:r w:rsidR="00804B53" w:rsidRPr="00C33C0B">
        <w:rPr>
          <w:lang w:val="en-GB"/>
        </w:rPr>
        <w:t xml:space="preserve"> </w:t>
      </w:r>
      <w:r w:rsidR="00F1773A" w:rsidRPr="00C33C0B">
        <w:rPr>
          <w:lang w:val="en-GB"/>
        </w:rPr>
        <w:t xml:space="preserve">resulting in </w:t>
      </w:r>
      <w:r w:rsidR="00804B53" w:rsidRPr="00C33C0B">
        <w:rPr>
          <w:lang w:val="en-GB"/>
        </w:rPr>
        <w:t xml:space="preserve">patient savings, </w:t>
      </w:r>
      <w:r w:rsidR="00F1773A" w:rsidRPr="00C33C0B">
        <w:rPr>
          <w:lang w:val="en-GB"/>
        </w:rPr>
        <w:t>fewer tr</w:t>
      </w:r>
      <w:r w:rsidR="001D559F" w:rsidRPr="00C33C0B">
        <w:rPr>
          <w:lang w:val="en-GB"/>
        </w:rPr>
        <w:t xml:space="preserve">avel grants </w:t>
      </w:r>
      <w:r w:rsidR="00804B53" w:rsidRPr="00C33C0B">
        <w:rPr>
          <w:lang w:val="en-GB"/>
        </w:rPr>
        <w:t xml:space="preserve">and </w:t>
      </w:r>
      <w:r w:rsidR="00F15150">
        <w:rPr>
          <w:lang w:val="en-GB"/>
        </w:rPr>
        <w:t xml:space="preserve">less time </w:t>
      </w:r>
      <w:r w:rsidR="001D559F" w:rsidRPr="00C33C0B">
        <w:rPr>
          <w:lang w:val="en-GB"/>
        </w:rPr>
        <w:t>off work</w:t>
      </w:r>
      <w:r w:rsidR="00E02391">
        <w:rPr>
          <w:lang w:val="en-GB"/>
        </w:rPr>
        <w:t>.</w:t>
      </w:r>
      <w:r w:rsidR="001D559F" w:rsidRPr="00C33C0B">
        <w:rPr>
          <w:lang w:val="en-GB"/>
        </w:rPr>
        <w:t xml:space="preserve"> </w:t>
      </w:r>
    </w:p>
    <w:p w14:paraId="51CA15D0" w14:textId="77777777" w:rsidR="00F1773A" w:rsidRPr="00C33C0B" w:rsidRDefault="00F1773A" w:rsidP="00E71A93">
      <w:pPr>
        <w:pStyle w:val="Bullet-green"/>
        <w:rPr>
          <w:lang w:val="en-GB"/>
        </w:rPr>
      </w:pPr>
      <w:r w:rsidRPr="00C33C0B">
        <w:rPr>
          <w:lang w:val="en-GB"/>
        </w:rPr>
        <w:t xml:space="preserve">Reduced travel time and costs for </w:t>
      </w:r>
      <w:r w:rsidR="00F15150">
        <w:rPr>
          <w:lang w:val="en-GB"/>
        </w:rPr>
        <w:t>clinicians</w:t>
      </w:r>
      <w:r w:rsidR="00804B53" w:rsidRPr="00C33C0B">
        <w:rPr>
          <w:lang w:val="en-GB"/>
        </w:rPr>
        <w:t>, resulting in saved clinician days</w:t>
      </w:r>
      <w:r w:rsidR="00C53783">
        <w:rPr>
          <w:lang w:val="en-GB"/>
        </w:rPr>
        <w:t>.</w:t>
      </w:r>
    </w:p>
    <w:p w14:paraId="50B39E75" w14:textId="77777777" w:rsidR="0070614E" w:rsidRPr="00C33C0B" w:rsidRDefault="0070614E" w:rsidP="003C5D5A">
      <w:pPr>
        <w:pStyle w:val="Heading2"/>
      </w:pPr>
      <w:bookmarkStart w:id="162" w:name="_Toc24544709"/>
      <w:r w:rsidRPr="00C33C0B">
        <w:t>B</w:t>
      </w:r>
      <w:r w:rsidR="009E1450" w:rsidRPr="00C33C0B">
        <w:t>arriers to telehealth growth</w:t>
      </w:r>
      <w:bookmarkEnd w:id="162"/>
    </w:p>
    <w:p w14:paraId="15D2DCCD" w14:textId="77777777" w:rsidR="0070614E" w:rsidRPr="00C33C0B" w:rsidRDefault="005C71B8" w:rsidP="00607BDA">
      <w:pPr>
        <w:pStyle w:val="Bullet-green"/>
        <w:numPr>
          <w:ilvl w:val="0"/>
          <w:numId w:val="0"/>
        </w:numPr>
        <w:rPr>
          <w:lang w:val="en-GB"/>
        </w:rPr>
      </w:pPr>
      <w:r>
        <w:rPr>
          <w:lang w:val="en-GB"/>
        </w:rPr>
        <w:t>Recognising</w:t>
      </w:r>
      <w:r w:rsidRPr="00C33C0B">
        <w:rPr>
          <w:lang w:val="en-GB"/>
        </w:rPr>
        <w:t xml:space="preserve"> </w:t>
      </w:r>
      <w:r w:rsidR="0070614E" w:rsidRPr="00C33C0B">
        <w:rPr>
          <w:lang w:val="en-GB"/>
        </w:rPr>
        <w:t xml:space="preserve">the significant slow-down in growth of services, the Committee </w:t>
      </w:r>
      <w:r w:rsidR="009E1450" w:rsidRPr="00C33C0B">
        <w:rPr>
          <w:lang w:val="en-GB"/>
        </w:rPr>
        <w:t>has noted</w:t>
      </w:r>
      <w:r w:rsidR="0070614E" w:rsidRPr="00C33C0B">
        <w:rPr>
          <w:lang w:val="en-GB"/>
        </w:rPr>
        <w:t xml:space="preserve"> significant barriers </w:t>
      </w:r>
      <w:r w:rsidR="009E1450" w:rsidRPr="00C33C0B">
        <w:rPr>
          <w:lang w:val="en-GB"/>
        </w:rPr>
        <w:t xml:space="preserve">to </w:t>
      </w:r>
      <w:r w:rsidR="000062A1">
        <w:rPr>
          <w:lang w:val="en-GB"/>
        </w:rPr>
        <w:t xml:space="preserve">the </w:t>
      </w:r>
      <w:r w:rsidR="009E1450" w:rsidRPr="00C33C0B">
        <w:rPr>
          <w:lang w:val="en-GB"/>
        </w:rPr>
        <w:t>increased adoption of telehealth</w:t>
      </w:r>
      <w:r w:rsidR="00137097">
        <w:rPr>
          <w:lang w:val="en-GB"/>
        </w:rPr>
        <w:t xml:space="preserve">, particularly </w:t>
      </w:r>
      <w:r w:rsidR="00137097">
        <w:t>p</w:t>
      </w:r>
      <w:r w:rsidR="00137097" w:rsidRPr="00C33C0B">
        <w:t xml:space="preserve">atient and primary care awareness </w:t>
      </w:r>
      <w:r w:rsidR="00137097">
        <w:t>and consultant specialist</w:t>
      </w:r>
      <w:r w:rsidR="00137097" w:rsidRPr="00C33C0B">
        <w:t>s’ perception of telehealth</w:t>
      </w:r>
      <w:r w:rsidR="00A477E1">
        <w:rPr>
          <w:lang w:val="en-GB"/>
        </w:rPr>
        <w:t>.</w:t>
      </w:r>
    </w:p>
    <w:p w14:paraId="556D6655" w14:textId="77777777" w:rsidR="00137097" w:rsidRPr="001932EC" w:rsidRDefault="000701B6" w:rsidP="001E18A5">
      <w:pPr>
        <w:pStyle w:val="Bullet-green"/>
        <w:numPr>
          <w:ilvl w:val="0"/>
          <w:numId w:val="116"/>
        </w:numPr>
        <w:rPr>
          <w:lang w:val="en-GB"/>
        </w:rPr>
      </w:pPr>
      <w:r>
        <w:rPr>
          <w:lang w:val="en-GB"/>
        </w:rPr>
        <w:t xml:space="preserve">Patients may not have </w:t>
      </w:r>
      <w:r w:rsidRPr="000701B6">
        <w:rPr>
          <w:lang w:val="en-GB"/>
        </w:rPr>
        <w:t xml:space="preserve">access to information about when to request </w:t>
      </w:r>
      <w:r>
        <w:rPr>
          <w:lang w:val="en-GB"/>
        </w:rPr>
        <w:t xml:space="preserve">telehealth, </w:t>
      </w:r>
      <w:r w:rsidRPr="001932EC">
        <w:rPr>
          <w:lang w:val="en-GB"/>
        </w:rPr>
        <w:t>how to access it</w:t>
      </w:r>
      <w:r>
        <w:rPr>
          <w:lang w:val="en-GB"/>
        </w:rPr>
        <w:t xml:space="preserve">, and </w:t>
      </w:r>
      <w:r w:rsidR="0070614E" w:rsidRPr="001932EC">
        <w:rPr>
          <w:lang w:val="en-GB"/>
        </w:rPr>
        <w:t>a clear understanding o</w:t>
      </w:r>
      <w:r w:rsidR="00CF0A05" w:rsidRPr="001932EC">
        <w:rPr>
          <w:lang w:val="en-GB"/>
        </w:rPr>
        <w:t xml:space="preserve">f </w:t>
      </w:r>
      <w:r>
        <w:rPr>
          <w:lang w:val="en-GB"/>
        </w:rPr>
        <w:t xml:space="preserve">its </w:t>
      </w:r>
      <w:r w:rsidR="008977CD" w:rsidRPr="001932EC">
        <w:rPr>
          <w:lang w:val="en-GB"/>
        </w:rPr>
        <w:t>benefits</w:t>
      </w:r>
      <w:r>
        <w:rPr>
          <w:lang w:val="en-GB"/>
        </w:rPr>
        <w:t>.</w:t>
      </w:r>
      <w:r w:rsidR="00137097">
        <w:rPr>
          <w:lang w:val="en-GB"/>
        </w:rPr>
        <w:t xml:space="preserve"> </w:t>
      </w:r>
    </w:p>
    <w:p w14:paraId="60FBBE1E" w14:textId="77777777" w:rsidR="008977CD" w:rsidRPr="001932EC" w:rsidRDefault="008977CD" w:rsidP="001E18A5">
      <w:pPr>
        <w:pStyle w:val="Bullet-green"/>
        <w:numPr>
          <w:ilvl w:val="0"/>
          <w:numId w:val="116"/>
        </w:numPr>
        <w:rPr>
          <w:lang w:val="en-GB"/>
        </w:rPr>
      </w:pPr>
      <w:r w:rsidRPr="001932EC">
        <w:rPr>
          <w:lang w:val="en-GB"/>
        </w:rPr>
        <w:t xml:space="preserve">GPs </w:t>
      </w:r>
      <w:r w:rsidR="00121576" w:rsidRPr="001932EC">
        <w:rPr>
          <w:lang w:val="en-GB"/>
        </w:rPr>
        <w:t xml:space="preserve">may not be aware of </w:t>
      </w:r>
      <w:r w:rsidR="00ED2651" w:rsidRPr="001932EC">
        <w:rPr>
          <w:lang w:val="en-GB"/>
        </w:rPr>
        <w:t xml:space="preserve">the </w:t>
      </w:r>
      <w:r w:rsidR="00121576" w:rsidRPr="001932EC">
        <w:rPr>
          <w:lang w:val="en-GB"/>
        </w:rPr>
        <w:t xml:space="preserve">patient population groups </w:t>
      </w:r>
      <w:r w:rsidR="00ED2651" w:rsidRPr="001932EC">
        <w:rPr>
          <w:lang w:val="en-GB"/>
        </w:rPr>
        <w:t xml:space="preserve">that </w:t>
      </w:r>
      <w:r w:rsidR="00121576" w:rsidRPr="001932EC">
        <w:rPr>
          <w:lang w:val="en-GB"/>
        </w:rPr>
        <w:t>would benefit most from telehealth, when to recommend it to these patients</w:t>
      </w:r>
      <w:r w:rsidR="000701B6">
        <w:rPr>
          <w:lang w:val="en-GB"/>
        </w:rPr>
        <w:t>, and how to integrate it into their practice</w:t>
      </w:r>
      <w:r w:rsidR="00153957" w:rsidRPr="001932EC">
        <w:rPr>
          <w:lang w:val="en-GB"/>
        </w:rPr>
        <w:t>.</w:t>
      </w:r>
      <w:r w:rsidR="00C659C3">
        <w:rPr>
          <w:lang w:val="en-GB"/>
        </w:rPr>
        <w:t xml:space="preserve"> Likewise, consumers may be unaware this service option is available.</w:t>
      </w:r>
    </w:p>
    <w:p w14:paraId="34B96CAD" w14:textId="77777777" w:rsidR="00121576" w:rsidRPr="001932EC" w:rsidRDefault="00121576" w:rsidP="001E18A5">
      <w:pPr>
        <w:pStyle w:val="Bullet-green"/>
        <w:numPr>
          <w:ilvl w:val="0"/>
          <w:numId w:val="116"/>
        </w:numPr>
        <w:rPr>
          <w:lang w:val="en-GB"/>
        </w:rPr>
      </w:pPr>
      <w:r w:rsidRPr="001932EC">
        <w:rPr>
          <w:lang w:val="en-GB"/>
        </w:rPr>
        <w:t xml:space="preserve">Primary care workers may not be </w:t>
      </w:r>
      <w:r w:rsidR="00C60FBE" w:rsidRPr="001932EC">
        <w:rPr>
          <w:lang w:val="en-GB"/>
        </w:rPr>
        <w:t>aware of existing MBS items for</w:t>
      </w:r>
      <w:r w:rsidRPr="001932EC">
        <w:rPr>
          <w:lang w:val="en-GB"/>
        </w:rPr>
        <w:t xml:space="preserve"> </w:t>
      </w:r>
      <w:r w:rsidR="00C60FBE" w:rsidRPr="001932EC">
        <w:rPr>
          <w:lang w:val="en-GB"/>
        </w:rPr>
        <w:t xml:space="preserve">providing clinical </w:t>
      </w:r>
      <w:r w:rsidRPr="001932EC">
        <w:rPr>
          <w:lang w:val="en-GB"/>
        </w:rPr>
        <w:t xml:space="preserve">support </w:t>
      </w:r>
      <w:r w:rsidR="00C60FBE" w:rsidRPr="001932EC">
        <w:rPr>
          <w:lang w:val="en-GB"/>
        </w:rPr>
        <w:t>to a patient who is participating in a telehealth attendance</w:t>
      </w:r>
      <w:r w:rsidR="00B2675D" w:rsidRPr="001932EC">
        <w:rPr>
          <w:lang w:val="en-GB"/>
        </w:rPr>
        <w:t>.</w:t>
      </w:r>
    </w:p>
    <w:p w14:paraId="488AF247" w14:textId="77777777" w:rsidR="00A976D3" w:rsidRPr="00C33C0B" w:rsidRDefault="00A07E45" w:rsidP="001E18A5">
      <w:pPr>
        <w:pStyle w:val="Bullet-green"/>
        <w:numPr>
          <w:ilvl w:val="0"/>
          <w:numId w:val="116"/>
        </w:numPr>
        <w:rPr>
          <w:lang w:val="en-GB"/>
        </w:rPr>
      </w:pPr>
      <w:r>
        <w:rPr>
          <w:lang w:val="en-GB"/>
        </w:rPr>
        <w:t>Clinicians</w:t>
      </w:r>
      <w:r w:rsidRPr="00C33C0B">
        <w:rPr>
          <w:lang w:val="en-GB"/>
        </w:rPr>
        <w:t xml:space="preserve"> </w:t>
      </w:r>
      <w:r w:rsidR="00C60FBE" w:rsidRPr="00C33C0B">
        <w:rPr>
          <w:lang w:val="en-GB"/>
        </w:rPr>
        <w:t>may be</w:t>
      </w:r>
      <w:r w:rsidR="00A976D3" w:rsidRPr="00C33C0B">
        <w:rPr>
          <w:lang w:val="en-GB"/>
        </w:rPr>
        <w:t xml:space="preserve"> unwilling to change their clinical practice to adopt telehealth and </w:t>
      </w:r>
      <w:r w:rsidR="00476094">
        <w:rPr>
          <w:lang w:val="en-GB"/>
        </w:rPr>
        <w:t>may</w:t>
      </w:r>
      <w:r w:rsidR="00476094" w:rsidRPr="00C33C0B">
        <w:rPr>
          <w:lang w:val="en-GB"/>
        </w:rPr>
        <w:t xml:space="preserve"> </w:t>
      </w:r>
      <w:r w:rsidR="00A976D3" w:rsidRPr="00C33C0B">
        <w:rPr>
          <w:lang w:val="en-GB"/>
        </w:rPr>
        <w:t>not</w:t>
      </w:r>
      <w:r w:rsidR="00476094">
        <w:rPr>
          <w:lang w:val="en-GB"/>
        </w:rPr>
        <w:t xml:space="preserve"> be</w:t>
      </w:r>
      <w:r w:rsidR="00A976D3" w:rsidRPr="00C33C0B">
        <w:rPr>
          <w:lang w:val="en-GB"/>
        </w:rPr>
        <w:t xml:space="preserve"> convinced of </w:t>
      </w:r>
      <w:r w:rsidR="00CB205C">
        <w:rPr>
          <w:lang w:val="en-GB"/>
        </w:rPr>
        <w:t xml:space="preserve">its </w:t>
      </w:r>
      <w:r w:rsidR="00A976D3" w:rsidRPr="00C33C0B">
        <w:rPr>
          <w:lang w:val="en-GB"/>
        </w:rPr>
        <w:t>effectiveness</w:t>
      </w:r>
      <w:r w:rsidR="0014139C">
        <w:rPr>
          <w:lang w:val="en-GB"/>
        </w:rPr>
        <w:t xml:space="preserve"> </w:t>
      </w:r>
      <w:sdt>
        <w:sdtPr>
          <w:rPr>
            <w:lang w:val="en-GB"/>
          </w:rPr>
          <w:id w:val="555748891"/>
          <w:citation/>
        </w:sdtPr>
        <w:sdtEndPr/>
        <w:sdtContent>
          <w:r w:rsidR="00137097">
            <w:rPr>
              <w:lang w:val="en-GB"/>
            </w:rPr>
            <w:fldChar w:fldCharType="begin"/>
          </w:r>
          <w:r w:rsidR="00B85D72">
            <w:instrText xml:space="preserve">CITATION Wag14 \l 3081 </w:instrText>
          </w:r>
          <w:r w:rsidR="00137097">
            <w:rPr>
              <w:lang w:val="en-GB"/>
            </w:rPr>
            <w:fldChar w:fldCharType="separate"/>
          </w:r>
          <w:r w:rsidR="00B85D72">
            <w:rPr>
              <w:noProof/>
            </w:rPr>
            <w:t>(4)</w:t>
          </w:r>
          <w:r w:rsidR="00137097">
            <w:rPr>
              <w:lang w:val="en-GB"/>
            </w:rPr>
            <w:fldChar w:fldCharType="end"/>
          </w:r>
        </w:sdtContent>
      </w:sdt>
      <w:r w:rsidR="00EC0BDD">
        <w:rPr>
          <w:lang w:val="en-GB"/>
        </w:rPr>
        <w:t>.</w:t>
      </w:r>
      <w:r w:rsidR="00137097">
        <w:rPr>
          <w:lang w:val="en-GB"/>
        </w:rPr>
        <w:t xml:space="preserve"> </w:t>
      </w:r>
      <w:r w:rsidR="00A976D3" w:rsidRPr="00C33C0B">
        <w:rPr>
          <w:lang w:val="en-GB"/>
        </w:rPr>
        <w:t xml:space="preserve">There </w:t>
      </w:r>
      <w:r w:rsidR="00C60FBE" w:rsidRPr="00C33C0B">
        <w:rPr>
          <w:lang w:val="en-GB"/>
        </w:rPr>
        <w:t xml:space="preserve">may be </w:t>
      </w:r>
      <w:r w:rsidR="00A976D3" w:rsidRPr="00C33C0B">
        <w:rPr>
          <w:lang w:val="en-GB"/>
        </w:rPr>
        <w:t>a lack of understanding of the functionality and security of telehealth</w:t>
      </w:r>
      <w:r w:rsidR="000701B6">
        <w:rPr>
          <w:lang w:val="en-GB"/>
        </w:rPr>
        <w:t>.</w:t>
      </w:r>
    </w:p>
    <w:p w14:paraId="157D67EF" w14:textId="77777777" w:rsidR="00A976D3" w:rsidRPr="00C33C0B" w:rsidRDefault="00A976D3" w:rsidP="00607BDA">
      <w:pPr>
        <w:pStyle w:val="Bullet-green"/>
        <w:numPr>
          <w:ilvl w:val="0"/>
          <w:numId w:val="0"/>
        </w:numPr>
        <w:rPr>
          <w:lang w:val="en-GB"/>
        </w:rPr>
      </w:pPr>
      <w:r w:rsidRPr="00C33C0B">
        <w:rPr>
          <w:lang w:val="en-GB"/>
        </w:rPr>
        <w:t xml:space="preserve">Telehealth </w:t>
      </w:r>
      <w:r w:rsidR="00137097">
        <w:rPr>
          <w:lang w:val="en-GB"/>
        </w:rPr>
        <w:t xml:space="preserve">also </w:t>
      </w:r>
      <w:r w:rsidRPr="00C33C0B">
        <w:rPr>
          <w:lang w:val="en-GB"/>
        </w:rPr>
        <w:t xml:space="preserve">requires additional technology and administrative support to enable efficient delivery, such as telehealth equipment, scheduling software, and </w:t>
      </w:r>
      <w:r w:rsidR="00CA4C5C">
        <w:rPr>
          <w:lang w:val="en-GB"/>
        </w:rPr>
        <w:t>mechanisms to collate</w:t>
      </w:r>
      <w:r w:rsidR="00CA4C5C" w:rsidRPr="00C33C0B">
        <w:rPr>
          <w:lang w:val="en-GB"/>
        </w:rPr>
        <w:t xml:space="preserve"> </w:t>
      </w:r>
      <w:r w:rsidRPr="00C33C0B">
        <w:rPr>
          <w:lang w:val="en-GB"/>
        </w:rPr>
        <w:t>and email patient records and investigation results</w:t>
      </w:r>
      <w:r w:rsidR="00020823">
        <w:rPr>
          <w:lang w:val="en-GB"/>
        </w:rPr>
        <w:t>.</w:t>
      </w:r>
      <w:r w:rsidR="00137097">
        <w:rPr>
          <w:lang w:val="en-GB"/>
        </w:rPr>
        <w:t xml:space="preserve"> These technical issues may be regarded as significant barriers to access to potential provider users.</w:t>
      </w:r>
    </w:p>
    <w:p w14:paraId="07090303" w14:textId="77777777" w:rsidR="0070614E" w:rsidRPr="00C33C0B" w:rsidRDefault="0070614E" w:rsidP="003C5D5A">
      <w:pPr>
        <w:pStyle w:val="Heading2"/>
      </w:pPr>
      <w:bookmarkStart w:id="163" w:name="_Toc24544710"/>
      <w:bookmarkStart w:id="164" w:name="_Hlk529009011"/>
      <w:r w:rsidRPr="00C33C0B">
        <w:t xml:space="preserve">Recommendation </w:t>
      </w:r>
      <w:r w:rsidR="00301462">
        <w:t>9</w:t>
      </w:r>
      <w:r w:rsidR="00A42BFB">
        <w:t xml:space="preserve"> – A new framework for telehealth</w:t>
      </w:r>
      <w:bookmarkEnd w:id="163"/>
    </w:p>
    <w:p w14:paraId="7FC52CA1" w14:textId="77777777" w:rsidR="00907726" w:rsidRDefault="00907726" w:rsidP="00607BDA">
      <w:pPr>
        <w:pStyle w:val="Bullet-green"/>
        <w:numPr>
          <w:ilvl w:val="0"/>
          <w:numId w:val="0"/>
        </w:numPr>
      </w:pPr>
      <w:r>
        <w:t>The Committee recommends:</w:t>
      </w:r>
    </w:p>
    <w:p w14:paraId="4A4E1293" w14:textId="77777777" w:rsidR="00907726" w:rsidRDefault="006F41C3" w:rsidP="000831A1">
      <w:pPr>
        <w:pStyle w:val="Bullet-green"/>
        <w:numPr>
          <w:ilvl w:val="0"/>
          <w:numId w:val="61"/>
        </w:numPr>
      </w:pPr>
      <w:r>
        <w:t>R</w:t>
      </w:r>
      <w:r w:rsidR="00907726">
        <w:t xml:space="preserve">emoving the eight specialty-specific telehealth attendance items (items 113, 114, 384, 2799, 3003, 6004, 6025, and </w:t>
      </w:r>
      <w:r w:rsidR="008D3C48">
        <w:t>6059) from the MBS;</w:t>
      </w:r>
    </w:p>
    <w:p w14:paraId="302B756F" w14:textId="77777777" w:rsidR="00907726" w:rsidRPr="00607BDA" w:rsidRDefault="00907726" w:rsidP="000831A1">
      <w:pPr>
        <w:pStyle w:val="Bullet-green"/>
        <w:numPr>
          <w:ilvl w:val="0"/>
          <w:numId w:val="61"/>
        </w:numPr>
      </w:pPr>
      <w:r>
        <w:rPr>
          <w:lang w:val="en-GB"/>
        </w:rPr>
        <w:t>incrementally reducing</w:t>
      </w:r>
      <w:r w:rsidRPr="00C33C0B">
        <w:rPr>
          <w:lang w:val="en-GB"/>
        </w:rPr>
        <w:t xml:space="preserve"> </w:t>
      </w:r>
      <w:r w:rsidRPr="00971319">
        <w:rPr>
          <w:lang w:val="en-GB"/>
        </w:rPr>
        <w:t>derived fee for th</w:t>
      </w:r>
      <w:r>
        <w:rPr>
          <w:lang w:val="en-GB"/>
        </w:rPr>
        <w:t xml:space="preserve">e nine telehealth loading items </w:t>
      </w:r>
      <w:r>
        <w:t>loading items (items 99, 112, 149, 389, 2820, 3015, 6016, 6026, and 6060)</w:t>
      </w:r>
      <w:r>
        <w:rPr>
          <w:lang w:val="en-GB"/>
        </w:rPr>
        <w:t xml:space="preserve"> to zero</w:t>
      </w:r>
      <w:r w:rsidR="008D3C48">
        <w:rPr>
          <w:lang w:val="en-GB"/>
        </w:rPr>
        <w:t>;</w:t>
      </w:r>
      <w:r w:rsidR="00EA0868">
        <w:rPr>
          <w:lang w:val="en-GB"/>
        </w:rPr>
        <w:t xml:space="preserve"> </w:t>
      </w:r>
    </w:p>
    <w:p w14:paraId="0E44E99C" w14:textId="77777777" w:rsidR="00907726" w:rsidRDefault="00907726" w:rsidP="000831A1">
      <w:pPr>
        <w:pStyle w:val="Bullet-green"/>
        <w:numPr>
          <w:ilvl w:val="0"/>
          <w:numId w:val="61"/>
        </w:numPr>
      </w:pPr>
      <w:r>
        <w:t xml:space="preserve">undertaking </w:t>
      </w:r>
      <w:r w:rsidRPr="00C33C0B">
        <w:t xml:space="preserve">annual analysis of </w:t>
      </w:r>
      <w:r>
        <w:t xml:space="preserve">the phase out </w:t>
      </w:r>
      <w:r w:rsidRPr="00C33C0B">
        <w:t xml:space="preserve">so </w:t>
      </w:r>
      <w:r>
        <w:t>to identify</w:t>
      </w:r>
      <w:r w:rsidRPr="00C33C0B">
        <w:t xml:space="preserve"> p</w:t>
      </w:r>
      <w:r>
        <w:t>o</w:t>
      </w:r>
      <w:r w:rsidR="008D3C48">
        <w:t>tential unintended consequences;</w:t>
      </w:r>
      <w:r w:rsidR="002E5E59">
        <w:t xml:space="preserve"> and</w:t>
      </w:r>
    </w:p>
    <w:p w14:paraId="04C2C7B0" w14:textId="77777777" w:rsidR="006D23CC" w:rsidRDefault="002E5E59" w:rsidP="000831A1">
      <w:pPr>
        <w:pStyle w:val="Bullet-green"/>
        <w:numPr>
          <w:ilvl w:val="0"/>
          <w:numId w:val="61"/>
        </w:numPr>
      </w:pPr>
      <w:r>
        <w:t>introducing new telehealth-specific attendance items (after the nine loading items have been removed) that mirror the standard time-tiered attendance items, with the same fees, and with item descriptors that describe recommended activities to be performed in each tier.</w:t>
      </w:r>
    </w:p>
    <w:p w14:paraId="3F735F63" w14:textId="77777777" w:rsidR="00EB34DC" w:rsidRDefault="00EB34DC" w:rsidP="00EB34DC">
      <w:pPr>
        <w:pStyle w:val="Caption"/>
      </w:pPr>
      <w:bookmarkStart w:id="165" w:name="_Toc529028298"/>
      <w:r>
        <w:t xml:space="preserve">Table </w:t>
      </w:r>
      <w:r w:rsidR="0001226A">
        <w:rPr>
          <w:noProof/>
        </w:rPr>
        <w:t>6</w:t>
      </w:r>
      <w:r>
        <w:t xml:space="preserve">: </w:t>
      </w:r>
      <w:r w:rsidRPr="00EB34DC">
        <w:t>Telehealth attendance item descriptors</w:t>
      </w:r>
      <w:bookmarkEnd w:id="165"/>
    </w:p>
    <w:tbl>
      <w:tblPr>
        <w:tblStyle w:val="TableGrid"/>
        <w:tblW w:w="503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Caption w:val="Table 4: Telehealth attendance item descriptors"/>
        <w:tblDescription w:val="Table 4 has 3 columns. Column 1 is the item level. Column 2 is the duration of the item. Column 3 is the item descriptor. "/>
      </w:tblPr>
      <w:tblGrid>
        <w:gridCol w:w="704"/>
        <w:gridCol w:w="992"/>
        <w:gridCol w:w="6662"/>
      </w:tblGrid>
      <w:tr w:rsidR="00BF4C3B" w:rsidRPr="00C33C0B" w14:paraId="4E338C7F" w14:textId="77777777" w:rsidTr="00EB34DC">
        <w:trPr>
          <w:tblHeader/>
        </w:trPr>
        <w:tc>
          <w:tcPr>
            <w:tcW w:w="709" w:type="dxa"/>
            <w:shd w:val="clear" w:color="auto" w:fill="01653F"/>
            <w:vAlign w:val="bottom"/>
          </w:tcPr>
          <w:p w14:paraId="481F3880" w14:textId="77777777" w:rsidR="00BF4C3B" w:rsidRPr="00C33C0B" w:rsidRDefault="00BF4C3B" w:rsidP="00BF4C3B">
            <w:pPr>
              <w:spacing w:before="20" w:after="20" w:line="240" w:lineRule="auto"/>
              <w:rPr>
                <w:b/>
                <w:bCs/>
                <w:color w:val="FFFFFF" w:themeColor="background1"/>
                <w:szCs w:val="22"/>
                <w:lang w:val="en-GB"/>
              </w:rPr>
            </w:pPr>
            <w:r w:rsidRPr="00C33C0B">
              <w:rPr>
                <w:b/>
                <w:bCs/>
                <w:color w:val="FFFFFF" w:themeColor="background1"/>
                <w:szCs w:val="22"/>
                <w:lang w:val="en-GB"/>
              </w:rPr>
              <w:t>Level (</w:t>
            </w:r>
            <w:r>
              <w:rPr>
                <w:b/>
                <w:bCs/>
                <w:color w:val="FFFFFF" w:themeColor="background1"/>
                <w:szCs w:val="22"/>
                <w:lang w:val="en-GB"/>
              </w:rPr>
              <w:t>i</w:t>
            </w:r>
            <w:r w:rsidRPr="00C33C0B">
              <w:rPr>
                <w:b/>
                <w:bCs/>
                <w:color w:val="FFFFFF" w:themeColor="background1"/>
                <w:szCs w:val="22"/>
                <w:lang w:val="en-GB"/>
              </w:rPr>
              <w:t>tem</w:t>
            </w:r>
            <w:r>
              <w:rPr>
                <w:b/>
                <w:bCs/>
                <w:color w:val="FFFFFF" w:themeColor="background1"/>
                <w:szCs w:val="22"/>
                <w:lang w:val="en-GB"/>
              </w:rPr>
              <w:t>)</w:t>
            </w:r>
            <w:r w:rsidRPr="00C33C0B">
              <w:rPr>
                <w:rStyle w:val="FootnoteReference"/>
                <w:b/>
                <w:bCs/>
                <w:color w:val="FFFFFF" w:themeColor="background1"/>
                <w:szCs w:val="22"/>
                <w:lang w:val="en-GB"/>
              </w:rPr>
              <w:footnoteReference w:id="9"/>
            </w:r>
          </w:p>
        </w:tc>
        <w:tc>
          <w:tcPr>
            <w:tcW w:w="1000" w:type="dxa"/>
            <w:shd w:val="clear" w:color="auto" w:fill="01653F"/>
            <w:vAlign w:val="bottom"/>
          </w:tcPr>
          <w:p w14:paraId="70C750AD" w14:textId="77777777" w:rsidR="00BF4C3B" w:rsidRPr="00C33C0B" w:rsidRDefault="00BF4C3B" w:rsidP="00BF4C3B">
            <w:pPr>
              <w:spacing w:before="20" w:after="20" w:line="240" w:lineRule="auto"/>
              <w:rPr>
                <w:b/>
                <w:bCs/>
                <w:color w:val="FFFFFF" w:themeColor="background1"/>
                <w:szCs w:val="22"/>
                <w:lang w:val="en-GB"/>
              </w:rPr>
            </w:pPr>
            <w:r w:rsidRPr="00C33C0B">
              <w:rPr>
                <w:b/>
                <w:bCs/>
                <w:color w:val="FFFFFF" w:themeColor="background1"/>
                <w:szCs w:val="22"/>
                <w:lang w:val="en-GB"/>
              </w:rPr>
              <w:t>Duration</w:t>
            </w:r>
          </w:p>
        </w:tc>
        <w:tc>
          <w:tcPr>
            <w:tcW w:w="6716" w:type="dxa"/>
            <w:shd w:val="clear" w:color="auto" w:fill="01653F"/>
          </w:tcPr>
          <w:p w14:paraId="296EF64F" w14:textId="77777777" w:rsidR="00BF4C3B" w:rsidRDefault="00BF4C3B" w:rsidP="00BF4C3B">
            <w:pPr>
              <w:spacing w:before="20" w:after="20" w:line="240" w:lineRule="auto"/>
              <w:rPr>
                <w:b/>
                <w:bCs/>
                <w:color w:val="FFFFFF" w:themeColor="background1"/>
                <w:szCs w:val="22"/>
                <w:lang w:val="en-GB"/>
              </w:rPr>
            </w:pPr>
          </w:p>
          <w:p w14:paraId="20EBF91C" w14:textId="77777777" w:rsidR="0006272C" w:rsidRDefault="0006272C" w:rsidP="00BF4C3B">
            <w:pPr>
              <w:spacing w:before="20" w:after="20" w:line="240" w:lineRule="auto"/>
              <w:rPr>
                <w:b/>
                <w:bCs/>
                <w:color w:val="FFFFFF" w:themeColor="background1"/>
                <w:szCs w:val="22"/>
                <w:lang w:val="en-GB"/>
              </w:rPr>
            </w:pPr>
          </w:p>
          <w:p w14:paraId="17C07ACB" w14:textId="77777777" w:rsidR="00BF4C3B" w:rsidRPr="00C33C0B" w:rsidRDefault="00BF4C3B" w:rsidP="00BF4C3B">
            <w:pPr>
              <w:spacing w:before="20" w:after="20" w:line="240" w:lineRule="auto"/>
              <w:rPr>
                <w:b/>
                <w:bCs/>
                <w:color w:val="FFFFFF" w:themeColor="background1"/>
                <w:szCs w:val="22"/>
                <w:lang w:val="en-GB"/>
              </w:rPr>
            </w:pPr>
            <w:r w:rsidRPr="00C33C0B">
              <w:rPr>
                <w:b/>
                <w:bCs/>
                <w:color w:val="FFFFFF" w:themeColor="background1"/>
                <w:szCs w:val="22"/>
                <w:lang w:val="en-GB"/>
              </w:rPr>
              <w:t>Item descriptor</w:t>
            </w:r>
          </w:p>
        </w:tc>
      </w:tr>
      <w:tr w:rsidR="00BF4C3B" w:rsidRPr="00C33C0B" w14:paraId="256C7C53" w14:textId="77777777" w:rsidTr="00EB34DC">
        <w:tc>
          <w:tcPr>
            <w:tcW w:w="709" w:type="dxa"/>
            <w:shd w:val="clear" w:color="auto" w:fill="auto"/>
          </w:tcPr>
          <w:p w14:paraId="2AA1BA4E" w14:textId="77777777" w:rsidR="00BF4C3B" w:rsidRPr="00C33C0B" w:rsidRDefault="002E1102" w:rsidP="00BF4C3B">
            <w:pPr>
              <w:spacing w:before="20" w:after="20" w:line="240" w:lineRule="auto"/>
              <w:rPr>
                <w:b/>
                <w:szCs w:val="22"/>
                <w:lang w:val="en-GB"/>
              </w:rPr>
            </w:pPr>
            <w:r>
              <w:rPr>
                <w:b/>
                <w:szCs w:val="22"/>
                <w:lang w:val="en-GB"/>
              </w:rPr>
              <w:t>Level B</w:t>
            </w:r>
          </w:p>
          <w:p w14:paraId="197517D5" w14:textId="77777777" w:rsidR="00BF4C3B" w:rsidRPr="00C33C0B" w:rsidRDefault="00176294" w:rsidP="00BF4C3B">
            <w:pPr>
              <w:spacing w:before="20" w:after="20" w:line="240" w:lineRule="auto"/>
              <w:rPr>
                <w:szCs w:val="22"/>
                <w:lang w:val="en-GB"/>
              </w:rPr>
            </w:pPr>
            <w:r>
              <w:rPr>
                <w:szCs w:val="22"/>
                <w:lang w:val="en-GB"/>
              </w:rPr>
              <w:t>(TH</w:t>
            </w:r>
            <w:r w:rsidR="002E1102">
              <w:rPr>
                <w:szCs w:val="22"/>
                <w:lang w:val="en-GB"/>
              </w:rPr>
              <w:t>B</w:t>
            </w:r>
            <w:r w:rsidR="00BF4C3B" w:rsidRPr="00C33C0B">
              <w:rPr>
                <w:szCs w:val="22"/>
                <w:lang w:val="en-GB"/>
              </w:rPr>
              <w:t>)</w:t>
            </w:r>
          </w:p>
          <w:p w14:paraId="3C200385" w14:textId="77777777" w:rsidR="00BF4C3B" w:rsidRPr="00C33C0B" w:rsidRDefault="00BF4C3B" w:rsidP="00BF4C3B">
            <w:pPr>
              <w:spacing w:before="20" w:after="20" w:line="240" w:lineRule="auto"/>
              <w:rPr>
                <w:szCs w:val="22"/>
                <w:lang w:val="en-GB"/>
              </w:rPr>
            </w:pPr>
          </w:p>
        </w:tc>
        <w:tc>
          <w:tcPr>
            <w:tcW w:w="1000" w:type="dxa"/>
            <w:shd w:val="clear" w:color="auto" w:fill="auto"/>
          </w:tcPr>
          <w:p w14:paraId="3333E78C" w14:textId="77777777" w:rsidR="00BF4C3B" w:rsidRPr="00C33C0B" w:rsidRDefault="002E1102" w:rsidP="00BF4C3B">
            <w:pPr>
              <w:spacing w:before="20" w:after="20" w:line="240" w:lineRule="auto"/>
              <w:rPr>
                <w:szCs w:val="22"/>
                <w:lang w:val="en-GB"/>
              </w:rPr>
            </w:pPr>
            <w:r>
              <w:rPr>
                <w:szCs w:val="22"/>
                <w:lang w:val="en-GB"/>
              </w:rPr>
              <w:t>6-20 minutes</w:t>
            </w:r>
          </w:p>
        </w:tc>
        <w:tc>
          <w:tcPr>
            <w:tcW w:w="6716" w:type="dxa"/>
          </w:tcPr>
          <w:p w14:paraId="6946C4B7" w14:textId="77777777" w:rsidR="00D650AD" w:rsidRDefault="00BF4C3B" w:rsidP="00BF4C3B">
            <w:pPr>
              <w:spacing w:before="20" w:after="20" w:line="240" w:lineRule="auto"/>
              <w:rPr>
                <w:szCs w:val="22"/>
                <w:lang w:val="en-GB"/>
              </w:rPr>
            </w:pPr>
            <w:r w:rsidRPr="00C33C0B">
              <w:rPr>
                <w:szCs w:val="22"/>
                <w:lang w:val="en-GB"/>
              </w:rPr>
              <w:t xml:space="preserve">Professional attendance of </w:t>
            </w:r>
            <w:r w:rsidR="002E1102">
              <w:rPr>
                <w:b/>
                <w:szCs w:val="22"/>
                <w:lang w:val="en-GB"/>
              </w:rPr>
              <w:t xml:space="preserve">more than 5 </w:t>
            </w:r>
            <w:r w:rsidRPr="00C33C0B">
              <w:rPr>
                <w:b/>
                <w:szCs w:val="22"/>
                <w:lang w:val="en-GB"/>
              </w:rPr>
              <w:t>minutes</w:t>
            </w:r>
            <w:r w:rsidRPr="00C33C0B">
              <w:rPr>
                <w:szCs w:val="22"/>
                <w:lang w:val="en-GB"/>
              </w:rPr>
              <w:t xml:space="preserve"> </w:t>
            </w:r>
            <w:r w:rsidR="002E1102">
              <w:rPr>
                <w:b/>
                <w:szCs w:val="22"/>
                <w:lang w:val="en-GB"/>
              </w:rPr>
              <w:t xml:space="preserve">but not more than 20 minutes </w:t>
            </w:r>
            <w:r w:rsidRPr="00C33C0B">
              <w:rPr>
                <w:szCs w:val="22"/>
                <w:lang w:val="en-GB"/>
              </w:rPr>
              <w:t xml:space="preserve">by a </w:t>
            </w:r>
            <w:r>
              <w:rPr>
                <w:szCs w:val="22"/>
                <w:lang w:val="en-GB"/>
              </w:rPr>
              <w:t>consultant specialist</w:t>
            </w:r>
            <w:r w:rsidRPr="00C33C0B">
              <w:rPr>
                <w:szCs w:val="22"/>
                <w:lang w:val="en-GB"/>
              </w:rPr>
              <w:t xml:space="preserve"> in the practice of his or her speciality </w:t>
            </w:r>
            <w:r w:rsidR="00376174" w:rsidRPr="00176294">
              <w:rPr>
                <w:szCs w:val="22"/>
                <w:lang w:val="en-GB"/>
              </w:rPr>
              <w:t xml:space="preserve">if: </w:t>
            </w:r>
          </w:p>
          <w:p w14:paraId="5AF59F08" w14:textId="77777777" w:rsidR="00D650AD" w:rsidRPr="0010767D" w:rsidRDefault="00376174" w:rsidP="000831A1">
            <w:pPr>
              <w:pStyle w:val="ListParagraph"/>
              <w:numPr>
                <w:ilvl w:val="1"/>
                <w:numId w:val="28"/>
              </w:numPr>
              <w:spacing w:before="20" w:after="20" w:line="240" w:lineRule="auto"/>
              <w:ind w:left="360"/>
              <w:rPr>
                <w:szCs w:val="22"/>
                <w:lang w:val="en-GB"/>
              </w:rPr>
            </w:pPr>
            <w:r w:rsidRPr="0010767D">
              <w:rPr>
                <w:szCs w:val="22"/>
                <w:lang w:val="en-GB"/>
              </w:rPr>
              <w:t xml:space="preserve">the attendance is by video conference; and </w:t>
            </w:r>
          </w:p>
          <w:p w14:paraId="1BE2EE18" w14:textId="77777777" w:rsidR="00D650AD" w:rsidRPr="0010767D" w:rsidRDefault="00376174" w:rsidP="000831A1">
            <w:pPr>
              <w:pStyle w:val="ListParagraph"/>
              <w:numPr>
                <w:ilvl w:val="1"/>
                <w:numId w:val="28"/>
              </w:numPr>
              <w:spacing w:before="20" w:after="20" w:line="240" w:lineRule="auto"/>
              <w:ind w:left="360"/>
              <w:rPr>
                <w:szCs w:val="22"/>
                <w:lang w:val="en-GB"/>
              </w:rPr>
            </w:pPr>
            <w:r w:rsidRPr="0010767D">
              <w:rPr>
                <w:szCs w:val="22"/>
                <w:lang w:val="en-GB"/>
              </w:rPr>
              <w:t xml:space="preserve">the patient is not an admitted patient; and </w:t>
            </w:r>
          </w:p>
          <w:p w14:paraId="6BD4CFAE" w14:textId="77777777" w:rsidR="002E1102" w:rsidRPr="0010767D" w:rsidRDefault="00376174" w:rsidP="000831A1">
            <w:pPr>
              <w:pStyle w:val="ListParagraph"/>
              <w:numPr>
                <w:ilvl w:val="1"/>
                <w:numId w:val="28"/>
              </w:numPr>
              <w:spacing w:before="20" w:after="20" w:line="240" w:lineRule="auto"/>
              <w:ind w:left="360"/>
              <w:rPr>
                <w:szCs w:val="22"/>
                <w:lang w:val="en-GB"/>
              </w:rPr>
            </w:pPr>
            <w:r w:rsidRPr="0010767D">
              <w:rPr>
                <w:szCs w:val="22"/>
                <w:lang w:val="en-GB"/>
              </w:rPr>
              <w:t xml:space="preserve">the patient: </w:t>
            </w:r>
          </w:p>
          <w:p w14:paraId="5E30328E" w14:textId="77777777" w:rsidR="002E1102" w:rsidRPr="0010767D" w:rsidRDefault="00376174" w:rsidP="000831A1">
            <w:pPr>
              <w:pStyle w:val="ListParagraph"/>
              <w:numPr>
                <w:ilvl w:val="0"/>
                <w:numId w:val="29"/>
              </w:numPr>
              <w:spacing w:before="20" w:after="20" w:line="240" w:lineRule="auto"/>
              <w:rPr>
                <w:szCs w:val="22"/>
                <w:lang w:val="en-GB"/>
              </w:rPr>
            </w:pPr>
            <w:r w:rsidRPr="0010767D">
              <w:rPr>
                <w:szCs w:val="22"/>
                <w:lang w:val="en-GB"/>
              </w:rPr>
              <w:t xml:space="preserve">is located both: (a) within a telehealth eligible area; and (b) at the time of the attendance--at least 15 km by road from the </w:t>
            </w:r>
            <w:r w:rsidR="00295886">
              <w:rPr>
                <w:szCs w:val="22"/>
                <w:lang w:val="en-GB"/>
              </w:rPr>
              <w:t xml:space="preserve">consultant </w:t>
            </w:r>
            <w:r w:rsidRPr="0010767D">
              <w:rPr>
                <w:szCs w:val="22"/>
                <w:lang w:val="en-GB"/>
              </w:rPr>
              <w:t xml:space="preserve">specialist; or </w:t>
            </w:r>
          </w:p>
          <w:p w14:paraId="7A106499" w14:textId="77777777" w:rsidR="002E1102" w:rsidRPr="0010767D" w:rsidRDefault="00376174" w:rsidP="000831A1">
            <w:pPr>
              <w:pStyle w:val="ListParagraph"/>
              <w:numPr>
                <w:ilvl w:val="0"/>
                <w:numId w:val="29"/>
              </w:numPr>
              <w:spacing w:before="20" w:after="20" w:line="240" w:lineRule="auto"/>
              <w:rPr>
                <w:szCs w:val="22"/>
                <w:lang w:val="en-GB"/>
              </w:rPr>
            </w:pPr>
            <w:r w:rsidRPr="0010767D">
              <w:rPr>
                <w:szCs w:val="22"/>
                <w:lang w:val="en-GB"/>
              </w:rPr>
              <w:t xml:space="preserve">is a care recipient in a residential care service; or </w:t>
            </w:r>
          </w:p>
          <w:p w14:paraId="61F03AD0" w14:textId="77777777" w:rsidR="00376174" w:rsidRPr="0010767D" w:rsidRDefault="00376174" w:rsidP="000831A1">
            <w:pPr>
              <w:pStyle w:val="ListParagraph"/>
              <w:numPr>
                <w:ilvl w:val="0"/>
                <w:numId w:val="29"/>
              </w:numPr>
              <w:spacing w:before="20" w:after="20" w:line="240" w:lineRule="auto"/>
              <w:rPr>
                <w:szCs w:val="22"/>
                <w:lang w:val="en-GB"/>
              </w:rPr>
            </w:pPr>
            <w:r w:rsidRPr="0010767D">
              <w:rPr>
                <w:szCs w:val="22"/>
                <w:lang w:val="en-GB"/>
              </w:rPr>
              <w:t xml:space="preserve">is a patient of: (a) an </w:t>
            </w:r>
            <w:r w:rsidR="00490494">
              <w:rPr>
                <w:szCs w:val="22"/>
                <w:lang w:val="en-GB"/>
              </w:rPr>
              <w:t>A</w:t>
            </w:r>
            <w:r w:rsidRPr="0010767D">
              <w:rPr>
                <w:szCs w:val="22"/>
                <w:lang w:val="en-GB"/>
              </w:rPr>
              <w:t xml:space="preserve">boriginal </w:t>
            </w:r>
            <w:r w:rsidR="00490494">
              <w:rPr>
                <w:szCs w:val="22"/>
                <w:lang w:val="en-GB"/>
              </w:rPr>
              <w:t>M</w:t>
            </w:r>
            <w:r w:rsidRPr="0010767D">
              <w:rPr>
                <w:szCs w:val="22"/>
                <w:lang w:val="en-GB"/>
              </w:rPr>
              <w:t xml:space="preserve">edical </w:t>
            </w:r>
            <w:r w:rsidR="00490494">
              <w:rPr>
                <w:szCs w:val="22"/>
                <w:lang w:val="en-GB"/>
              </w:rPr>
              <w:t>S</w:t>
            </w:r>
            <w:r w:rsidRPr="0010767D">
              <w:rPr>
                <w:szCs w:val="22"/>
                <w:lang w:val="en-GB"/>
              </w:rPr>
              <w:t xml:space="preserve">ervice; or (b) an </w:t>
            </w:r>
            <w:r w:rsidR="00490494">
              <w:rPr>
                <w:szCs w:val="22"/>
                <w:lang w:val="en-GB"/>
              </w:rPr>
              <w:t>A</w:t>
            </w:r>
            <w:r w:rsidRPr="0010767D">
              <w:rPr>
                <w:szCs w:val="22"/>
                <w:lang w:val="en-GB"/>
              </w:rPr>
              <w:t xml:space="preserve">boriginal </w:t>
            </w:r>
            <w:r w:rsidR="00490494">
              <w:rPr>
                <w:szCs w:val="22"/>
                <w:lang w:val="en-GB"/>
              </w:rPr>
              <w:t>C</w:t>
            </w:r>
            <w:r w:rsidRPr="0010767D">
              <w:rPr>
                <w:szCs w:val="22"/>
                <w:lang w:val="en-GB"/>
              </w:rPr>
              <w:t xml:space="preserve">ommunity </w:t>
            </w:r>
            <w:r w:rsidR="00490494">
              <w:rPr>
                <w:szCs w:val="22"/>
                <w:lang w:val="en-GB"/>
              </w:rPr>
              <w:t>C</w:t>
            </w:r>
            <w:r w:rsidRPr="0010767D">
              <w:rPr>
                <w:szCs w:val="22"/>
                <w:lang w:val="en-GB"/>
              </w:rPr>
              <w:t xml:space="preserve">ontrolled </w:t>
            </w:r>
            <w:r w:rsidR="00700FA2">
              <w:rPr>
                <w:szCs w:val="22"/>
                <w:lang w:val="en-GB"/>
              </w:rPr>
              <w:t>H</w:t>
            </w:r>
            <w:r w:rsidRPr="0010767D">
              <w:rPr>
                <w:szCs w:val="22"/>
                <w:lang w:val="en-GB"/>
              </w:rPr>
              <w:t xml:space="preserve">ealth </w:t>
            </w:r>
            <w:r w:rsidR="00700FA2">
              <w:rPr>
                <w:szCs w:val="22"/>
                <w:lang w:val="en-GB"/>
              </w:rPr>
              <w:t>S</w:t>
            </w:r>
            <w:r w:rsidRPr="0010767D">
              <w:rPr>
                <w:szCs w:val="22"/>
                <w:lang w:val="en-GB"/>
              </w:rPr>
              <w:t>ervice; for which a direction made under subsection 19(2) of the act applies.</w:t>
            </w:r>
          </w:p>
          <w:p w14:paraId="580D39DE" w14:textId="77777777" w:rsidR="00376174" w:rsidRDefault="00376174" w:rsidP="00BF4C3B">
            <w:pPr>
              <w:spacing w:before="20" w:after="20" w:line="240" w:lineRule="auto"/>
              <w:rPr>
                <w:szCs w:val="22"/>
                <w:lang w:val="en-GB"/>
              </w:rPr>
            </w:pPr>
          </w:p>
          <w:p w14:paraId="0E71E09A" w14:textId="77777777" w:rsidR="00BF4C3B" w:rsidRPr="00C33C0B" w:rsidRDefault="00376174" w:rsidP="00BF4C3B">
            <w:pPr>
              <w:spacing w:before="20" w:after="20" w:line="240" w:lineRule="auto"/>
              <w:rPr>
                <w:szCs w:val="22"/>
                <w:lang w:val="en-GB"/>
              </w:rPr>
            </w:pPr>
            <w:r>
              <w:rPr>
                <w:szCs w:val="22"/>
                <w:lang w:val="en-GB"/>
              </w:rPr>
              <w:t xml:space="preserve">An attendance </w:t>
            </w:r>
            <w:r w:rsidR="00BF4C3B" w:rsidRPr="00C33C0B">
              <w:rPr>
                <w:szCs w:val="22"/>
                <w:lang w:val="en-GB"/>
              </w:rPr>
              <w:t>including any of the following that are clinically relevant:</w:t>
            </w:r>
          </w:p>
          <w:p w14:paraId="41C23D73" w14:textId="77777777" w:rsidR="00BF4C3B" w:rsidRDefault="00BF4C3B" w:rsidP="000831A1">
            <w:pPr>
              <w:pStyle w:val="ListParagraph"/>
              <w:numPr>
                <w:ilvl w:val="0"/>
                <w:numId w:val="27"/>
              </w:numPr>
              <w:spacing w:before="20" w:after="20" w:line="240" w:lineRule="auto"/>
              <w:ind w:left="360"/>
              <w:rPr>
                <w:szCs w:val="22"/>
                <w:lang w:val="en-GB"/>
              </w:rPr>
            </w:pPr>
            <w:r w:rsidRPr="00C33C0B">
              <w:rPr>
                <w:szCs w:val="22"/>
                <w:lang w:val="en-GB"/>
              </w:rPr>
              <w:t xml:space="preserve">a </w:t>
            </w:r>
            <w:r w:rsidR="00816AAD">
              <w:rPr>
                <w:szCs w:val="22"/>
                <w:lang w:val="en-GB"/>
              </w:rPr>
              <w:t>focused</w:t>
            </w:r>
            <w:r w:rsidRPr="00C33C0B">
              <w:rPr>
                <w:szCs w:val="22"/>
                <w:lang w:val="en-GB"/>
              </w:rPr>
              <w:t xml:space="preserve"> patient history </w:t>
            </w:r>
          </w:p>
          <w:p w14:paraId="53BC45E2" w14:textId="77777777" w:rsidR="002E1102" w:rsidRPr="00C33C0B" w:rsidRDefault="002E1102" w:rsidP="000831A1">
            <w:pPr>
              <w:pStyle w:val="ListParagraph"/>
              <w:numPr>
                <w:ilvl w:val="0"/>
                <w:numId w:val="27"/>
              </w:numPr>
              <w:spacing w:before="20" w:after="20" w:line="240" w:lineRule="auto"/>
              <w:ind w:left="357" w:hanging="357"/>
              <w:rPr>
                <w:szCs w:val="22"/>
                <w:lang w:val="en-GB"/>
              </w:rPr>
            </w:pPr>
            <w:r>
              <w:rPr>
                <w:szCs w:val="22"/>
                <w:lang w:val="en-GB"/>
              </w:rPr>
              <w:t>implementing a management plan</w:t>
            </w:r>
          </w:p>
          <w:p w14:paraId="78D1D886" w14:textId="77777777" w:rsidR="00176294" w:rsidRPr="0010767D" w:rsidRDefault="00BF4C3B" w:rsidP="000831A1">
            <w:pPr>
              <w:pStyle w:val="ListParagraph"/>
              <w:numPr>
                <w:ilvl w:val="0"/>
                <w:numId w:val="27"/>
              </w:numPr>
              <w:spacing w:before="20" w:after="20" w:line="240" w:lineRule="auto"/>
              <w:ind w:left="357" w:hanging="357"/>
              <w:rPr>
                <w:szCs w:val="22"/>
                <w:lang w:val="en-GB"/>
              </w:rPr>
            </w:pPr>
            <w:r w:rsidRPr="00C33C0B">
              <w:rPr>
                <w:szCs w:val="22"/>
                <w:lang w:val="en-GB"/>
              </w:rPr>
              <w:t>outcomes documented and communicated in writing to the referring practitioner</w:t>
            </w:r>
          </w:p>
        </w:tc>
      </w:tr>
      <w:tr w:rsidR="00C910A8" w:rsidRPr="00C33C0B" w14:paraId="2A0811EC" w14:textId="77777777" w:rsidTr="00EB34DC">
        <w:tc>
          <w:tcPr>
            <w:tcW w:w="709" w:type="dxa"/>
            <w:shd w:val="clear" w:color="auto" w:fill="auto"/>
          </w:tcPr>
          <w:p w14:paraId="4DEA4881" w14:textId="77777777" w:rsidR="0006272C" w:rsidRPr="00C33C0B" w:rsidRDefault="0006272C" w:rsidP="0006272C">
            <w:pPr>
              <w:spacing w:before="20" w:after="20" w:line="240" w:lineRule="auto"/>
              <w:rPr>
                <w:b/>
                <w:szCs w:val="22"/>
                <w:lang w:val="en-GB"/>
              </w:rPr>
            </w:pPr>
            <w:r>
              <w:rPr>
                <w:b/>
                <w:szCs w:val="22"/>
                <w:lang w:val="en-GB"/>
              </w:rPr>
              <w:t>Level C</w:t>
            </w:r>
          </w:p>
          <w:p w14:paraId="2FEC5A3A" w14:textId="77777777" w:rsidR="00C910A8" w:rsidRPr="0006272C" w:rsidRDefault="0006272C" w:rsidP="00BF4C3B">
            <w:pPr>
              <w:spacing w:before="20" w:after="20" w:line="240" w:lineRule="auto"/>
              <w:rPr>
                <w:szCs w:val="22"/>
                <w:lang w:val="en-GB"/>
              </w:rPr>
            </w:pPr>
            <w:r>
              <w:rPr>
                <w:szCs w:val="22"/>
                <w:lang w:val="en-GB"/>
              </w:rPr>
              <w:t>(THC</w:t>
            </w:r>
            <w:r w:rsidRPr="00C33C0B">
              <w:rPr>
                <w:szCs w:val="22"/>
                <w:lang w:val="en-GB"/>
              </w:rPr>
              <w:t>)</w:t>
            </w:r>
          </w:p>
        </w:tc>
        <w:tc>
          <w:tcPr>
            <w:tcW w:w="1000" w:type="dxa"/>
            <w:shd w:val="clear" w:color="auto" w:fill="auto"/>
          </w:tcPr>
          <w:p w14:paraId="194E22FD" w14:textId="77777777" w:rsidR="00C910A8" w:rsidRDefault="0006272C" w:rsidP="00BF4C3B">
            <w:pPr>
              <w:spacing w:before="20" w:after="20" w:line="240" w:lineRule="auto"/>
              <w:rPr>
                <w:szCs w:val="22"/>
                <w:lang w:val="en-GB"/>
              </w:rPr>
            </w:pPr>
            <w:r>
              <w:rPr>
                <w:szCs w:val="22"/>
                <w:lang w:val="en-GB"/>
              </w:rPr>
              <w:t>21-40 minutes</w:t>
            </w:r>
          </w:p>
        </w:tc>
        <w:tc>
          <w:tcPr>
            <w:tcW w:w="6716" w:type="dxa"/>
          </w:tcPr>
          <w:p w14:paraId="65A0F510" w14:textId="77777777" w:rsidR="0010767D" w:rsidRDefault="0010767D" w:rsidP="0010767D">
            <w:pPr>
              <w:spacing w:before="20" w:after="20" w:line="240" w:lineRule="auto"/>
              <w:rPr>
                <w:szCs w:val="22"/>
                <w:lang w:val="en-GB"/>
              </w:rPr>
            </w:pPr>
            <w:r w:rsidRPr="00C33C0B">
              <w:rPr>
                <w:szCs w:val="22"/>
                <w:lang w:val="en-GB"/>
              </w:rPr>
              <w:t xml:space="preserve">Professional attendance of </w:t>
            </w:r>
            <w:r>
              <w:rPr>
                <w:b/>
                <w:szCs w:val="22"/>
                <w:lang w:val="en-GB"/>
              </w:rPr>
              <w:t xml:space="preserve">more than 20 </w:t>
            </w:r>
            <w:r w:rsidRPr="00C33C0B">
              <w:rPr>
                <w:b/>
                <w:szCs w:val="22"/>
                <w:lang w:val="en-GB"/>
              </w:rPr>
              <w:t>minutes</w:t>
            </w:r>
            <w:r w:rsidRPr="00C33C0B">
              <w:rPr>
                <w:szCs w:val="22"/>
                <w:lang w:val="en-GB"/>
              </w:rPr>
              <w:t xml:space="preserve"> </w:t>
            </w:r>
            <w:r>
              <w:rPr>
                <w:b/>
                <w:szCs w:val="22"/>
                <w:lang w:val="en-GB"/>
              </w:rPr>
              <w:t xml:space="preserve">but not more than 40 minutes </w:t>
            </w:r>
            <w:r w:rsidRPr="00C33C0B">
              <w:rPr>
                <w:szCs w:val="22"/>
                <w:lang w:val="en-GB"/>
              </w:rPr>
              <w:t xml:space="preserve">by a </w:t>
            </w:r>
            <w:r>
              <w:rPr>
                <w:szCs w:val="22"/>
                <w:lang w:val="en-GB"/>
              </w:rPr>
              <w:t>consultant specialist</w:t>
            </w:r>
            <w:r w:rsidRPr="00C33C0B">
              <w:rPr>
                <w:szCs w:val="22"/>
                <w:lang w:val="en-GB"/>
              </w:rPr>
              <w:t xml:space="preserve"> in the practice of his or her speciality </w:t>
            </w:r>
            <w:r w:rsidRPr="00176294">
              <w:rPr>
                <w:szCs w:val="22"/>
                <w:lang w:val="en-GB"/>
              </w:rPr>
              <w:t xml:space="preserve">if: </w:t>
            </w:r>
          </w:p>
          <w:p w14:paraId="6AE646A5" w14:textId="77777777" w:rsidR="0010767D" w:rsidRPr="0010767D" w:rsidRDefault="0010767D" w:rsidP="000831A1">
            <w:pPr>
              <w:pStyle w:val="ListParagraph"/>
              <w:numPr>
                <w:ilvl w:val="1"/>
                <w:numId w:val="28"/>
              </w:numPr>
              <w:spacing w:before="20" w:after="20" w:line="240" w:lineRule="auto"/>
              <w:ind w:left="360"/>
              <w:rPr>
                <w:szCs w:val="22"/>
                <w:lang w:val="en-GB"/>
              </w:rPr>
            </w:pPr>
            <w:r w:rsidRPr="0010767D">
              <w:rPr>
                <w:szCs w:val="22"/>
                <w:lang w:val="en-GB"/>
              </w:rPr>
              <w:t xml:space="preserve">the attendance is by video conference; and </w:t>
            </w:r>
          </w:p>
          <w:p w14:paraId="1F310DFF" w14:textId="77777777" w:rsidR="0010767D" w:rsidRPr="0010767D" w:rsidRDefault="0010767D" w:rsidP="000831A1">
            <w:pPr>
              <w:pStyle w:val="ListParagraph"/>
              <w:numPr>
                <w:ilvl w:val="1"/>
                <w:numId w:val="28"/>
              </w:numPr>
              <w:spacing w:before="20" w:after="20" w:line="240" w:lineRule="auto"/>
              <w:ind w:left="360"/>
              <w:rPr>
                <w:szCs w:val="22"/>
                <w:lang w:val="en-GB"/>
              </w:rPr>
            </w:pPr>
            <w:r w:rsidRPr="0010767D">
              <w:rPr>
                <w:szCs w:val="22"/>
                <w:lang w:val="en-GB"/>
              </w:rPr>
              <w:t xml:space="preserve">the patient is not an admitted patient; and </w:t>
            </w:r>
          </w:p>
          <w:p w14:paraId="37F2B266" w14:textId="77777777" w:rsidR="0010767D" w:rsidRPr="0010767D" w:rsidRDefault="0010767D" w:rsidP="000831A1">
            <w:pPr>
              <w:pStyle w:val="ListParagraph"/>
              <w:numPr>
                <w:ilvl w:val="1"/>
                <w:numId w:val="28"/>
              </w:numPr>
              <w:spacing w:before="20" w:after="20" w:line="240" w:lineRule="auto"/>
              <w:ind w:left="360"/>
              <w:rPr>
                <w:szCs w:val="22"/>
                <w:lang w:val="en-GB"/>
              </w:rPr>
            </w:pPr>
            <w:r w:rsidRPr="0010767D">
              <w:rPr>
                <w:szCs w:val="22"/>
                <w:lang w:val="en-GB"/>
              </w:rPr>
              <w:t xml:space="preserve">the patient: </w:t>
            </w:r>
          </w:p>
          <w:p w14:paraId="74B2C6D2" w14:textId="77777777" w:rsidR="0010767D" w:rsidRPr="0010767D" w:rsidRDefault="0010767D" w:rsidP="000831A1">
            <w:pPr>
              <w:pStyle w:val="ListParagraph"/>
              <w:numPr>
                <w:ilvl w:val="0"/>
                <w:numId w:val="29"/>
              </w:numPr>
              <w:spacing w:before="20" w:after="20" w:line="240" w:lineRule="auto"/>
              <w:rPr>
                <w:szCs w:val="22"/>
                <w:lang w:val="en-GB"/>
              </w:rPr>
            </w:pPr>
            <w:r w:rsidRPr="0010767D">
              <w:rPr>
                <w:szCs w:val="22"/>
                <w:lang w:val="en-GB"/>
              </w:rPr>
              <w:t xml:space="preserve">is located both: (a) within a telehealth eligible area; and (b) at the time of the attendance--at least 15 km by road from the </w:t>
            </w:r>
            <w:r w:rsidR="00295886">
              <w:rPr>
                <w:szCs w:val="22"/>
                <w:lang w:val="en-GB"/>
              </w:rPr>
              <w:t xml:space="preserve">consultant </w:t>
            </w:r>
            <w:r w:rsidRPr="0010767D">
              <w:rPr>
                <w:szCs w:val="22"/>
                <w:lang w:val="en-GB"/>
              </w:rPr>
              <w:t xml:space="preserve">specialist; or </w:t>
            </w:r>
          </w:p>
          <w:p w14:paraId="09826958" w14:textId="77777777" w:rsidR="0010767D" w:rsidRPr="0010767D" w:rsidRDefault="0010767D" w:rsidP="000831A1">
            <w:pPr>
              <w:pStyle w:val="ListParagraph"/>
              <w:numPr>
                <w:ilvl w:val="0"/>
                <w:numId w:val="29"/>
              </w:numPr>
              <w:spacing w:before="20" w:after="20" w:line="240" w:lineRule="auto"/>
              <w:rPr>
                <w:szCs w:val="22"/>
                <w:lang w:val="en-GB"/>
              </w:rPr>
            </w:pPr>
            <w:r w:rsidRPr="0010767D">
              <w:rPr>
                <w:szCs w:val="22"/>
                <w:lang w:val="en-GB"/>
              </w:rPr>
              <w:t xml:space="preserve">is a care recipient in a residential care service; or </w:t>
            </w:r>
          </w:p>
          <w:p w14:paraId="6B0FFC9B" w14:textId="77777777" w:rsidR="0010767D" w:rsidRPr="0010767D" w:rsidRDefault="0010767D" w:rsidP="000831A1">
            <w:pPr>
              <w:pStyle w:val="ListParagraph"/>
              <w:numPr>
                <w:ilvl w:val="0"/>
                <w:numId w:val="29"/>
              </w:numPr>
              <w:spacing w:before="20" w:after="20" w:line="240" w:lineRule="auto"/>
              <w:rPr>
                <w:szCs w:val="22"/>
                <w:lang w:val="en-GB"/>
              </w:rPr>
            </w:pPr>
            <w:r w:rsidRPr="0010767D">
              <w:rPr>
                <w:szCs w:val="22"/>
                <w:lang w:val="en-GB"/>
              </w:rPr>
              <w:t>is a patient of: (a) an aboriginal medical service; or (b) an aboriginal community controlled health service; for which a direction made under subsection 19(2) of the act applies.</w:t>
            </w:r>
          </w:p>
          <w:p w14:paraId="5F5AA385" w14:textId="77777777" w:rsidR="0010767D" w:rsidRDefault="0010767D" w:rsidP="0010767D">
            <w:pPr>
              <w:spacing w:before="20" w:after="20" w:line="240" w:lineRule="auto"/>
              <w:rPr>
                <w:szCs w:val="22"/>
                <w:lang w:val="en-GB"/>
              </w:rPr>
            </w:pPr>
          </w:p>
          <w:p w14:paraId="333FFDA8" w14:textId="77777777" w:rsidR="0010767D" w:rsidRPr="00C33C0B" w:rsidRDefault="0010767D" w:rsidP="0010767D">
            <w:pPr>
              <w:spacing w:before="20" w:after="20" w:line="240" w:lineRule="auto"/>
              <w:rPr>
                <w:szCs w:val="22"/>
                <w:lang w:val="en-GB"/>
              </w:rPr>
            </w:pPr>
            <w:r>
              <w:rPr>
                <w:szCs w:val="22"/>
                <w:lang w:val="en-GB"/>
              </w:rPr>
              <w:t xml:space="preserve">An attendance </w:t>
            </w:r>
            <w:r w:rsidRPr="00C33C0B">
              <w:rPr>
                <w:szCs w:val="22"/>
                <w:lang w:val="en-GB"/>
              </w:rPr>
              <w:t>including any of the following that are clinically relevant:</w:t>
            </w:r>
          </w:p>
          <w:p w14:paraId="38F2F5CA" w14:textId="77777777" w:rsidR="0010767D" w:rsidRPr="0010767D" w:rsidRDefault="0010767D" w:rsidP="000831A1">
            <w:pPr>
              <w:pStyle w:val="ListParagraph"/>
              <w:numPr>
                <w:ilvl w:val="0"/>
                <w:numId w:val="30"/>
              </w:numPr>
              <w:spacing w:before="20" w:after="20" w:line="240" w:lineRule="auto"/>
              <w:rPr>
                <w:szCs w:val="22"/>
                <w:lang w:val="en-GB"/>
              </w:rPr>
            </w:pPr>
            <w:r w:rsidRPr="0010767D">
              <w:rPr>
                <w:szCs w:val="22"/>
                <w:lang w:val="en-GB"/>
              </w:rPr>
              <w:t>detailed patient history of a major single or multiple minor conditions</w:t>
            </w:r>
          </w:p>
          <w:p w14:paraId="5BCC2577" w14:textId="77777777" w:rsidR="0010767D" w:rsidRPr="0010767D" w:rsidRDefault="0010767D" w:rsidP="000831A1">
            <w:pPr>
              <w:pStyle w:val="ListParagraph"/>
              <w:numPr>
                <w:ilvl w:val="0"/>
                <w:numId w:val="30"/>
              </w:numPr>
              <w:spacing w:before="20" w:after="20" w:line="240" w:lineRule="auto"/>
              <w:rPr>
                <w:szCs w:val="22"/>
                <w:lang w:val="en-GB"/>
              </w:rPr>
            </w:pPr>
            <w:r w:rsidRPr="0010767D">
              <w:rPr>
                <w:szCs w:val="22"/>
                <w:lang w:val="en-GB"/>
              </w:rPr>
              <w:t>single or multiple minor diagnostic problems considered</w:t>
            </w:r>
          </w:p>
          <w:p w14:paraId="41C63354" w14:textId="77777777" w:rsidR="0010767D" w:rsidRPr="001969CC" w:rsidRDefault="0010767D" w:rsidP="000831A1">
            <w:pPr>
              <w:pStyle w:val="ListParagraph"/>
              <w:numPr>
                <w:ilvl w:val="0"/>
                <w:numId w:val="30"/>
              </w:numPr>
              <w:spacing w:before="20" w:after="20" w:line="240" w:lineRule="auto"/>
              <w:rPr>
                <w:szCs w:val="22"/>
                <w:lang w:val="en-GB"/>
              </w:rPr>
            </w:pPr>
            <w:r w:rsidRPr="0010767D">
              <w:rPr>
                <w:szCs w:val="22"/>
                <w:lang w:val="en-GB"/>
              </w:rPr>
              <w:t>a non-complex management plan</w:t>
            </w:r>
            <w:r w:rsidR="001969CC">
              <w:rPr>
                <w:szCs w:val="22"/>
                <w:lang w:val="en-GB"/>
              </w:rPr>
              <w:t xml:space="preserve"> </w:t>
            </w:r>
            <w:r w:rsidRPr="001969CC">
              <w:rPr>
                <w:szCs w:val="22"/>
                <w:lang w:val="en-GB"/>
              </w:rPr>
              <w:t>and, if required;</w:t>
            </w:r>
          </w:p>
          <w:p w14:paraId="6BABE2F9" w14:textId="77777777" w:rsidR="0010767D" w:rsidRPr="0010767D" w:rsidRDefault="0010767D" w:rsidP="000831A1">
            <w:pPr>
              <w:pStyle w:val="ListParagraph"/>
              <w:numPr>
                <w:ilvl w:val="0"/>
                <w:numId w:val="30"/>
              </w:numPr>
              <w:spacing w:before="20" w:after="20" w:line="240" w:lineRule="auto"/>
              <w:rPr>
                <w:szCs w:val="22"/>
                <w:lang w:val="en-GB"/>
              </w:rPr>
            </w:pPr>
            <w:r w:rsidRPr="0010767D">
              <w:rPr>
                <w:szCs w:val="22"/>
                <w:lang w:val="en-GB"/>
              </w:rPr>
              <w:t>discussion of multiple treatment options available, including;</w:t>
            </w:r>
          </w:p>
          <w:p w14:paraId="3C2F52E8" w14:textId="77777777" w:rsidR="0010767D" w:rsidRPr="0010767D" w:rsidRDefault="0010767D" w:rsidP="001969CC">
            <w:pPr>
              <w:pStyle w:val="02dash"/>
              <w:spacing w:before="0" w:after="0" w:line="240" w:lineRule="auto"/>
              <w:ind w:left="567"/>
            </w:pPr>
            <w:r w:rsidRPr="0010767D">
              <w:t>i. Discussion of treatment options to assess pros and cons of each option given patient characteristics and medical history</w:t>
            </w:r>
          </w:p>
          <w:p w14:paraId="7E8C7036" w14:textId="77777777" w:rsidR="0010767D" w:rsidRPr="0010767D" w:rsidRDefault="0010767D" w:rsidP="001969CC">
            <w:pPr>
              <w:pStyle w:val="02dash"/>
              <w:spacing w:before="0" w:after="0" w:line="240" w:lineRule="auto"/>
              <w:ind w:left="567"/>
            </w:pPr>
            <w:r w:rsidRPr="0010767D">
              <w:t>ii. Consideration and discussion of necessary referrals to other health professionals</w:t>
            </w:r>
          </w:p>
          <w:p w14:paraId="6CB9B0F7" w14:textId="77777777" w:rsidR="001969CC" w:rsidRDefault="0010767D" w:rsidP="001969CC">
            <w:pPr>
              <w:pStyle w:val="02dash"/>
              <w:spacing w:before="0" w:after="0" w:line="240" w:lineRule="auto"/>
              <w:ind w:left="567"/>
            </w:pPr>
            <w:r w:rsidRPr="0010767D">
              <w:t xml:space="preserve">iii. Written documentation made available for the patient and/or carer that </w:t>
            </w:r>
            <w:r w:rsidR="008C4D6C">
              <w:t xml:space="preserve">facilitates informed consent, such as </w:t>
            </w:r>
            <w:r w:rsidRPr="0010767D">
              <w:t>treatment options</w:t>
            </w:r>
            <w:r w:rsidR="008C4D6C">
              <w:t>, costs,</w:t>
            </w:r>
            <w:r w:rsidRPr="0010767D">
              <w:t xml:space="preserve"> and information on associated risks and benefits</w:t>
            </w:r>
          </w:p>
          <w:p w14:paraId="2AC6DC8F" w14:textId="77777777" w:rsidR="00C910A8" w:rsidRPr="00C33C0B" w:rsidRDefault="0010767D" w:rsidP="000831A1">
            <w:pPr>
              <w:numPr>
                <w:ilvl w:val="0"/>
                <w:numId w:val="30"/>
              </w:numPr>
              <w:spacing w:before="20" w:after="20" w:line="240" w:lineRule="auto"/>
              <w:rPr>
                <w:szCs w:val="22"/>
                <w:lang w:val="en-GB"/>
              </w:rPr>
            </w:pPr>
            <w:r w:rsidRPr="00C33C0B">
              <w:rPr>
                <w:szCs w:val="22"/>
                <w:lang w:val="en-GB"/>
              </w:rPr>
              <w:t xml:space="preserve">outcomes documented and communicated in writing to the referring practitioner </w:t>
            </w:r>
            <w:r w:rsidRPr="0010767D">
              <w:rPr>
                <w:szCs w:val="22"/>
                <w:lang w:val="en-GB"/>
              </w:rPr>
              <w:t xml:space="preserve"> </w:t>
            </w:r>
          </w:p>
        </w:tc>
      </w:tr>
      <w:tr w:rsidR="001969CC" w:rsidRPr="00C33C0B" w14:paraId="5444017E" w14:textId="77777777" w:rsidTr="00EB34DC">
        <w:tc>
          <w:tcPr>
            <w:tcW w:w="709" w:type="dxa"/>
            <w:shd w:val="clear" w:color="auto" w:fill="auto"/>
          </w:tcPr>
          <w:p w14:paraId="12A45883" w14:textId="77777777" w:rsidR="001969CC" w:rsidRPr="00C33C0B" w:rsidRDefault="0006272C" w:rsidP="001969CC">
            <w:pPr>
              <w:spacing w:before="20" w:after="20" w:line="240" w:lineRule="auto"/>
              <w:rPr>
                <w:b/>
                <w:szCs w:val="22"/>
                <w:lang w:val="en-GB"/>
              </w:rPr>
            </w:pPr>
            <w:r>
              <w:rPr>
                <w:b/>
                <w:szCs w:val="22"/>
                <w:lang w:val="en-GB"/>
              </w:rPr>
              <w:t xml:space="preserve">Level D </w:t>
            </w:r>
            <w:r w:rsidRPr="0006272C">
              <w:rPr>
                <w:szCs w:val="22"/>
                <w:lang w:val="en-GB"/>
              </w:rPr>
              <w:t>(THC)</w:t>
            </w:r>
          </w:p>
        </w:tc>
        <w:tc>
          <w:tcPr>
            <w:tcW w:w="1000" w:type="dxa"/>
            <w:shd w:val="clear" w:color="auto" w:fill="auto"/>
          </w:tcPr>
          <w:p w14:paraId="45E461E5" w14:textId="77777777" w:rsidR="001969CC" w:rsidRDefault="0006272C" w:rsidP="001969CC">
            <w:pPr>
              <w:spacing w:before="20" w:after="20" w:line="240" w:lineRule="auto"/>
              <w:rPr>
                <w:szCs w:val="22"/>
                <w:lang w:val="en-GB"/>
              </w:rPr>
            </w:pPr>
            <w:r>
              <w:rPr>
                <w:szCs w:val="22"/>
                <w:lang w:val="en-GB"/>
              </w:rPr>
              <w:t>41-60 minutes</w:t>
            </w:r>
          </w:p>
        </w:tc>
        <w:tc>
          <w:tcPr>
            <w:tcW w:w="6716" w:type="dxa"/>
          </w:tcPr>
          <w:p w14:paraId="658C72E5" w14:textId="77777777" w:rsidR="001969CC" w:rsidRDefault="001969CC" w:rsidP="001969CC">
            <w:pPr>
              <w:spacing w:before="20" w:after="20" w:line="240" w:lineRule="auto"/>
              <w:rPr>
                <w:szCs w:val="22"/>
                <w:lang w:val="en-GB"/>
              </w:rPr>
            </w:pPr>
            <w:r w:rsidRPr="00C33C0B">
              <w:rPr>
                <w:szCs w:val="22"/>
                <w:lang w:val="en-GB"/>
              </w:rPr>
              <w:t xml:space="preserve">Professional attendance of </w:t>
            </w:r>
            <w:r>
              <w:rPr>
                <w:b/>
                <w:szCs w:val="22"/>
                <w:lang w:val="en-GB"/>
              </w:rPr>
              <w:t xml:space="preserve">more than 40 </w:t>
            </w:r>
            <w:r w:rsidRPr="00C33C0B">
              <w:rPr>
                <w:b/>
                <w:szCs w:val="22"/>
                <w:lang w:val="en-GB"/>
              </w:rPr>
              <w:t>minutes</w:t>
            </w:r>
            <w:r w:rsidRPr="00C33C0B">
              <w:rPr>
                <w:szCs w:val="22"/>
                <w:lang w:val="en-GB"/>
              </w:rPr>
              <w:t xml:space="preserve"> </w:t>
            </w:r>
            <w:r>
              <w:rPr>
                <w:b/>
                <w:szCs w:val="22"/>
                <w:lang w:val="en-GB"/>
              </w:rPr>
              <w:t xml:space="preserve">but not more than 60 minutes </w:t>
            </w:r>
            <w:r w:rsidRPr="00C33C0B">
              <w:rPr>
                <w:szCs w:val="22"/>
                <w:lang w:val="en-GB"/>
              </w:rPr>
              <w:t xml:space="preserve">by a </w:t>
            </w:r>
            <w:r>
              <w:rPr>
                <w:szCs w:val="22"/>
                <w:lang w:val="en-GB"/>
              </w:rPr>
              <w:t>consultant specialist</w:t>
            </w:r>
            <w:r w:rsidRPr="00C33C0B">
              <w:rPr>
                <w:szCs w:val="22"/>
                <w:lang w:val="en-GB"/>
              </w:rPr>
              <w:t xml:space="preserve"> in the practice of his or her speciality </w:t>
            </w:r>
            <w:r w:rsidRPr="00176294">
              <w:rPr>
                <w:szCs w:val="22"/>
                <w:lang w:val="en-GB"/>
              </w:rPr>
              <w:t xml:space="preserve">if: </w:t>
            </w:r>
          </w:p>
          <w:p w14:paraId="582099D3" w14:textId="77777777" w:rsidR="001969CC" w:rsidRPr="0010767D" w:rsidRDefault="001969CC" w:rsidP="000831A1">
            <w:pPr>
              <w:pStyle w:val="ListParagraph"/>
              <w:numPr>
                <w:ilvl w:val="1"/>
                <w:numId w:val="28"/>
              </w:numPr>
              <w:spacing w:before="20" w:after="20" w:line="240" w:lineRule="auto"/>
              <w:ind w:left="360"/>
              <w:rPr>
                <w:szCs w:val="22"/>
                <w:lang w:val="en-GB"/>
              </w:rPr>
            </w:pPr>
            <w:r w:rsidRPr="0010767D">
              <w:rPr>
                <w:szCs w:val="22"/>
                <w:lang w:val="en-GB"/>
              </w:rPr>
              <w:t xml:space="preserve">the attendance is by video conference; and </w:t>
            </w:r>
          </w:p>
          <w:p w14:paraId="75BA1D4C" w14:textId="77777777" w:rsidR="001969CC" w:rsidRPr="0010767D" w:rsidRDefault="001969CC" w:rsidP="000831A1">
            <w:pPr>
              <w:pStyle w:val="ListParagraph"/>
              <w:numPr>
                <w:ilvl w:val="1"/>
                <w:numId w:val="28"/>
              </w:numPr>
              <w:spacing w:before="20" w:after="20" w:line="240" w:lineRule="auto"/>
              <w:ind w:left="360"/>
              <w:rPr>
                <w:szCs w:val="22"/>
                <w:lang w:val="en-GB"/>
              </w:rPr>
            </w:pPr>
            <w:r w:rsidRPr="0010767D">
              <w:rPr>
                <w:szCs w:val="22"/>
                <w:lang w:val="en-GB"/>
              </w:rPr>
              <w:t xml:space="preserve">the patient is not an admitted patient; and </w:t>
            </w:r>
          </w:p>
          <w:p w14:paraId="0002F129" w14:textId="77777777" w:rsidR="001969CC" w:rsidRPr="0010767D" w:rsidRDefault="001969CC" w:rsidP="000831A1">
            <w:pPr>
              <w:pStyle w:val="ListParagraph"/>
              <w:numPr>
                <w:ilvl w:val="1"/>
                <w:numId w:val="28"/>
              </w:numPr>
              <w:spacing w:before="20" w:after="20" w:line="240" w:lineRule="auto"/>
              <w:ind w:left="360"/>
              <w:rPr>
                <w:szCs w:val="22"/>
                <w:lang w:val="en-GB"/>
              </w:rPr>
            </w:pPr>
            <w:r w:rsidRPr="0010767D">
              <w:rPr>
                <w:szCs w:val="22"/>
                <w:lang w:val="en-GB"/>
              </w:rPr>
              <w:t xml:space="preserve">the patient: </w:t>
            </w:r>
          </w:p>
          <w:p w14:paraId="0BEA71D0" w14:textId="77777777" w:rsidR="001969CC" w:rsidRPr="0010767D" w:rsidRDefault="001969CC" w:rsidP="000831A1">
            <w:pPr>
              <w:pStyle w:val="ListParagraph"/>
              <w:numPr>
                <w:ilvl w:val="0"/>
                <w:numId w:val="29"/>
              </w:numPr>
              <w:spacing w:before="20" w:after="20" w:line="240" w:lineRule="auto"/>
              <w:rPr>
                <w:szCs w:val="22"/>
                <w:lang w:val="en-GB"/>
              </w:rPr>
            </w:pPr>
            <w:r w:rsidRPr="0010767D">
              <w:rPr>
                <w:szCs w:val="22"/>
                <w:lang w:val="en-GB"/>
              </w:rPr>
              <w:t xml:space="preserve">is located both: (a) within a telehealth eligible area; and (b) at the time of the attendance--at least 15 km by road from the </w:t>
            </w:r>
            <w:r w:rsidR="00295886">
              <w:rPr>
                <w:szCs w:val="22"/>
                <w:lang w:val="en-GB"/>
              </w:rPr>
              <w:t xml:space="preserve">consultant </w:t>
            </w:r>
            <w:r w:rsidRPr="0010767D">
              <w:rPr>
                <w:szCs w:val="22"/>
                <w:lang w:val="en-GB"/>
              </w:rPr>
              <w:t xml:space="preserve">specialist; or </w:t>
            </w:r>
          </w:p>
          <w:p w14:paraId="3C1CE9B8" w14:textId="77777777" w:rsidR="001969CC" w:rsidRPr="0010767D" w:rsidRDefault="001969CC" w:rsidP="000831A1">
            <w:pPr>
              <w:pStyle w:val="ListParagraph"/>
              <w:numPr>
                <w:ilvl w:val="0"/>
                <w:numId w:val="29"/>
              </w:numPr>
              <w:spacing w:before="20" w:after="20" w:line="240" w:lineRule="auto"/>
              <w:rPr>
                <w:szCs w:val="22"/>
                <w:lang w:val="en-GB"/>
              </w:rPr>
            </w:pPr>
            <w:r w:rsidRPr="0010767D">
              <w:rPr>
                <w:szCs w:val="22"/>
                <w:lang w:val="en-GB"/>
              </w:rPr>
              <w:t xml:space="preserve">is a care recipient in a residential care service; or </w:t>
            </w:r>
          </w:p>
          <w:p w14:paraId="3C3EFF26" w14:textId="77777777" w:rsidR="001969CC" w:rsidRPr="0010767D" w:rsidRDefault="001969CC" w:rsidP="000831A1">
            <w:pPr>
              <w:pStyle w:val="ListParagraph"/>
              <w:numPr>
                <w:ilvl w:val="0"/>
                <w:numId w:val="29"/>
              </w:numPr>
              <w:spacing w:before="20" w:after="20" w:line="240" w:lineRule="auto"/>
              <w:rPr>
                <w:szCs w:val="22"/>
                <w:lang w:val="en-GB"/>
              </w:rPr>
            </w:pPr>
            <w:r w:rsidRPr="0010767D">
              <w:rPr>
                <w:szCs w:val="22"/>
                <w:lang w:val="en-GB"/>
              </w:rPr>
              <w:t>is a patient of: (a) an aboriginal medical service; or (b) an aboriginal community controlled health service; for which a direction made under subsection 19(2) of the act applies.</w:t>
            </w:r>
          </w:p>
          <w:p w14:paraId="57CF243A" w14:textId="77777777" w:rsidR="001969CC" w:rsidRDefault="001969CC" w:rsidP="001969CC">
            <w:pPr>
              <w:spacing w:before="20" w:after="20" w:line="240" w:lineRule="auto"/>
              <w:rPr>
                <w:szCs w:val="22"/>
                <w:lang w:val="en-GB"/>
              </w:rPr>
            </w:pPr>
          </w:p>
          <w:p w14:paraId="40ADB397" w14:textId="77777777" w:rsidR="001969CC" w:rsidRPr="00C33C0B" w:rsidRDefault="001969CC" w:rsidP="001969CC">
            <w:pPr>
              <w:spacing w:before="20" w:after="20" w:line="240" w:lineRule="auto"/>
              <w:rPr>
                <w:szCs w:val="22"/>
                <w:lang w:val="en-GB"/>
              </w:rPr>
            </w:pPr>
            <w:r>
              <w:rPr>
                <w:szCs w:val="22"/>
                <w:lang w:val="en-GB"/>
              </w:rPr>
              <w:t xml:space="preserve">An attendance </w:t>
            </w:r>
            <w:r w:rsidRPr="00C33C0B">
              <w:rPr>
                <w:szCs w:val="22"/>
                <w:lang w:val="en-GB"/>
              </w:rPr>
              <w:t>including any of the following that are clinically relevant:</w:t>
            </w:r>
          </w:p>
          <w:p w14:paraId="62CF7E9F" w14:textId="77777777" w:rsidR="001969CC" w:rsidRPr="00ED4E4E" w:rsidRDefault="001969CC" w:rsidP="000831A1">
            <w:pPr>
              <w:pStyle w:val="ListParagraph"/>
              <w:numPr>
                <w:ilvl w:val="0"/>
                <w:numId w:val="31"/>
              </w:numPr>
              <w:spacing w:before="20" w:after="20" w:line="240" w:lineRule="auto"/>
              <w:rPr>
                <w:szCs w:val="22"/>
                <w:lang w:val="en-GB"/>
              </w:rPr>
            </w:pPr>
            <w:r w:rsidRPr="001969CC">
              <w:rPr>
                <w:szCs w:val="22"/>
                <w:lang w:val="en-GB"/>
              </w:rPr>
              <w:t>comprehensive patient history of multiple conditions or a complex single condition</w:t>
            </w:r>
            <w:r w:rsidRPr="00ED4E4E">
              <w:rPr>
                <w:szCs w:val="22"/>
                <w:lang w:val="en-GB"/>
              </w:rPr>
              <w:t xml:space="preserve"> </w:t>
            </w:r>
          </w:p>
          <w:p w14:paraId="4D3980A3" w14:textId="77777777" w:rsidR="001969CC" w:rsidRPr="001969CC" w:rsidRDefault="001969CC" w:rsidP="000831A1">
            <w:pPr>
              <w:pStyle w:val="ListParagraph"/>
              <w:numPr>
                <w:ilvl w:val="0"/>
                <w:numId w:val="31"/>
              </w:numPr>
              <w:spacing w:before="20" w:after="20" w:line="240" w:lineRule="auto"/>
              <w:rPr>
                <w:szCs w:val="22"/>
                <w:lang w:val="en-GB"/>
              </w:rPr>
            </w:pPr>
            <w:r w:rsidRPr="001969CC">
              <w:rPr>
                <w:szCs w:val="22"/>
                <w:lang w:val="en-GB"/>
              </w:rPr>
              <w:t>multiple diagnostic problems considered</w:t>
            </w:r>
          </w:p>
          <w:p w14:paraId="3208D61E" w14:textId="77777777" w:rsidR="001969CC" w:rsidRPr="001969CC" w:rsidRDefault="001969CC" w:rsidP="000831A1">
            <w:pPr>
              <w:pStyle w:val="ListParagraph"/>
              <w:numPr>
                <w:ilvl w:val="0"/>
                <w:numId w:val="31"/>
              </w:numPr>
              <w:spacing w:before="20" w:after="20" w:line="240" w:lineRule="auto"/>
              <w:rPr>
                <w:szCs w:val="22"/>
                <w:lang w:val="en-GB"/>
              </w:rPr>
            </w:pPr>
            <w:r w:rsidRPr="001969CC">
              <w:rPr>
                <w:szCs w:val="22"/>
                <w:lang w:val="en-GB"/>
              </w:rPr>
              <w:t>a comprehensive management plan</w:t>
            </w:r>
            <w:r w:rsidR="00ED4E4E">
              <w:rPr>
                <w:szCs w:val="22"/>
                <w:lang w:val="en-GB"/>
              </w:rPr>
              <w:t xml:space="preserve"> </w:t>
            </w:r>
            <w:r w:rsidRPr="001969CC">
              <w:rPr>
                <w:szCs w:val="22"/>
                <w:lang w:val="en-GB"/>
              </w:rPr>
              <w:t>and, if required;</w:t>
            </w:r>
          </w:p>
          <w:p w14:paraId="180AFBC4" w14:textId="77777777" w:rsidR="001969CC" w:rsidRPr="0010767D" w:rsidRDefault="001969CC" w:rsidP="000831A1">
            <w:pPr>
              <w:pStyle w:val="ListParagraph"/>
              <w:numPr>
                <w:ilvl w:val="0"/>
                <w:numId w:val="31"/>
              </w:numPr>
              <w:spacing w:before="20" w:after="20" w:line="240" w:lineRule="auto"/>
              <w:rPr>
                <w:szCs w:val="22"/>
                <w:lang w:val="en-GB"/>
              </w:rPr>
            </w:pPr>
            <w:r w:rsidRPr="0010767D">
              <w:rPr>
                <w:szCs w:val="22"/>
                <w:lang w:val="en-GB"/>
              </w:rPr>
              <w:t>discussion of multiple treatment options available, including;</w:t>
            </w:r>
          </w:p>
          <w:p w14:paraId="786950E3" w14:textId="77777777" w:rsidR="001969CC" w:rsidRPr="0010767D" w:rsidRDefault="001969CC" w:rsidP="001969CC">
            <w:pPr>
              <w:pStyle w:val="02dash"/>
              <w:spacing w:before="0" w:after="0" w:line="240" w:lineRule="auto"/>
              <w:ind w:left="567"/>
            </w:pPr>
            <w:r w:rsidRPr="0010767D">
              <w:t>i. Discussion of treatment options to assess pros and cons of each option given patient characteristics and medical history</w:t>
            </w:r>
          </w:p>
          <w:p w14:paraId="7B5107A0" w14:textId="77777777" w:rsidR="001969CC" w:rsidRPr="0010767D" w:rsidRDefault="001969CC" w:rsidP="001969CC">
            <w:pPr>
              <w:pStyle w:val="02dash"/>
              <w:spacing w:before="0" w:after="0" w:line="240" w:lineRule="auto"/>
              <w:ind w:left="567"/>
            </w:pPr>
            <w:r w:rsidRPr="0010767D">
              <w:t>ii. Consideration and discussion of necessary referrals to other health professionals</w:t>
            </w:r>
          </w:p>
          <w:p w14:paraId="6E9E8C5E" w14:textId="77777777" w:rsidR="00ED4E4E" w:rsidRDefault="001969CC" w:rsidP="00ED4E4E">
            <w:pPr>
              <w:pStyle w:val="02dash"/>
              <w:spacing w:before="0" w:after="0" w:line="240" w:lineRule="auto"/>
              <w:ind w:left="567"/>
            </w:pPr>
            <w:r w:rsidRPr="0010767D">
              <w:t>iii. Written documentation made available for the patient and/or carer that outlines treatment options and information on associated risks and benefits</w:t>
            </w:r>
          </w:p>
          <w:p w14:paraId="537BED1B" w14:textId="77777777" w:rsidR="001969CC" w:rsidRPr="00ED4E4E" w:rsidRDefault="00ED4E4E" w:rsidP="000831A1">
            <w:pPr>
              <w:pStyle w:val="02dash"/>
              <w:numPr>
                <w:ilvl w:val="0"/>
                <w:numId w:val="31"/>
              </w:numPr>
              <w:spacing w:before="0" w:after="0" w:line="240" w:lineRule="auto"/>
            </w:pPr>
            <w:r>
              <w:rPr>
                <w:szCs w:val="22"/>
                <w:lang w:val="en-GB"/>
              </w:rPr>
              <w:t>O</w:t>
            </w:r>
            <w:r w:rsidR="001969CC" w:rsidRPr="00C33C0B">
              <w:rPr>
                <w:szCs w:val="22"/>
                <w:lang w:val="en-GB"/>
              </w:rPr>
              <w:t xml:space="preserve">utcomes documented and communicated in writing to the referring practitioner </w:t>
            </w:r>
            <w:r w:rsidR="001969CC" w:rsidRPr="0010767D">
              <w:rPr>
                <w:szCs w:val="22"/>
                <w:lang w:val="en-GB"/>
              </w:rPr>
              <w:t xml:space="preserve"> </w:t>
            </w:r>
          </w:p>
        </w:tc>
      </w:tr>
      <w:tr w:rsidR="00ED4E4E" w:rsidRPr="00C33C0B" w14:paraId="6FB4AC0B" w14:textId="77777777" w:rsidTr="00EB34DC">
        <w:tc>
          <w:tcPr>
            <w:tcW w:w="709" w:type="dxa"/>
            <w:shd w:val="clear" w:color="auto" w:fill="auto"/>
          </w:tcPr>
          <w:p w14:paraId="4FFA3310" w14:textId="77777777" w:rsidR="00ED4E4E" w:rsidRPr="0006272C" w:rsidRDefault="0006272C" w:rsidP="00ED4E4E">
            <w:pPr>
              <w:spacing w:before="20" w:after="20" w:line="240" w:lineRule="auto"/>
              <w:rPr>
                <w:szCs w:val="22"/>
                <w:lang w:val="en-GB"/>
              </w:rPr>
            </w:pPr>
            <w:r>
              <w:rPr>
                <w:b/>
                <w:szCs w:val="22"/>
                <w:lang w:val="en-GB"/>
              </w:rPr>
              <w:t xml:space="preserve">Level E </w:t>
            </w:r>
            <w:r>
              <w:rPr>
                <w:szCs w:val="22"/>
                <w:lang w:val="en-GB"/>
              </w:rPr>
              <w:t>(THE)</w:t>
            </w:r>
          </w:p>
        </w:tc>
        <w:tc>
          <w:tcPr>
            <w:tcW w:w="1000" w:type="dxa"/>
            <w:shd w:val="clear" w:color="auto" w:fill="auto"/>
          </w:tcPr>
          <w:p w14:paraId="4C85C30E" w14:textId="77777777" w:rsidR="00ED4E4E" w:rsidRDefault="0006272C" w:rsidP="00ED4E4E">
            <w:pPr>
              <w:spacing w:before="20" w:after="20" w:line="240" w:lineRule="auto"/>
              <w:rPr>
                <w:szCs w:val="22"/>
                <w:lang w:val="en-GB"/>
              </w:rPr>
            </w:pPr>
            <w:r>
              <w:rPr>
                <w:szCs w:val="22"/>
                <w:lang w:val="en-GB"/>
              </w:rPr>
              <w:t>More than 60 minutes</w:t>
            </w:r>
          </w:p>
        </w:tc>
        <w:tc>
          <w:tcPr>
            <w:tcW w:w="6716" w:type="dxa"/>
          </w:tcPr>
          <w:p w14:paraId="4298CC8C" w14:textId="77777777" w:rsidR="00ED4E4E" w:rsidRDefault="00ED4E4E" w:rsidP="00ED4E4E">
            <w:pPr>
              <w:spacing w:before="20" w:after="20" w:line="240" w:lineRule="auto"/>
              <w:rPr>
                <w:szCs w:val="22"/>
                <w:lang w:val="en-GB"/>
              </w:rPr>
            </w:pPr>
            <w:r w:rsidRPr="00C33C0B">
              <w:rPr>
                <w:szCs w:val="22"/>
                <w:lang w:val="en-GB"/>
              </w:rPr>
              <w:t xml:space="preserve">Professional attendance of </w:t>
            </w:r>
            <w:r>
              <w:rPr>
                <w:b/>
                <w:szCs w:val="22"/>
                <w:lang w:val="en-GB"/>
              </w:rPr>
              <w:t xml:space="preserve">more than 60 </w:t>
            </w:r>
            <w:r w:rsidRPr="00C33C0B">
              <w:rPr>
                <w:b/>
                <w:szCs w:val="22"/>
                <w:lang w:val="en-GB"/>
              </w:rPr>
              <w:t>minutes</w:t>
            </w:r>
            <w:r w:rsidRPr="00C33C0B">
              <w:rPr>
                <w:szCs w:val="22"/>
                <w:lang w:val="en-GB"/>
              </w:rPr>
              <w:t xml:space="preserve"> by a </w:t>
            </w:r>
            <w:r>
              <w:rPr>
                <w:szCs w:val="22"/>
                <w:lang w:val="en-GB"/>
              </w:rPr>
              <w:t>consultant specialist</w:t>
            </w:r>
            <w:r w:rsidRPr="00C33C0B">
              <w:rPr>
                <w:szCs w:val="22"/>
                <w:lang w:val="en-GB"/>
              </w:rPr>
              <w:t xml:space="preserve"> in the practice of his or her speciality </w:t>
            </w:r>
            <w:r w:rsidRPr="00176294">
              <w:rPr>
                <w:szCs w:val="22"/>
                <w:lang w:val="en-GB"/>
              </w:rPr>
              <w:t xml:space="preserve">if: </w:t>
            </w:r>
          </w:p>
          <w:p w14:paraId="7AEBF63D" w14:textId="77777777" w:rsidR="00ED4E4E" w:rsidRPr="0010767D" w:rsidRDefault="00ED4E4E" w:rsidP="000831A1">
            <w:pPr>
              <w:pStyle w:val="ListParagraph"/>
              <w:numPr>
                <w:ilvl w:val="1"/>
                <w:numId w:val="28"/>
              </w:numPr>
              <w:spacing w:before="20" w:after="20" w:line="240" w:lineRule="auto"/>
              <w:ind w:left="360"/>
              <w:rPr>
                <w:szCs w:val="22"/>
                <w:lang w:val="en-GB"/>
              </w:rPr>
            </w:pPr>
            <w:r w:rsidRPr="0010767D">
              <w:rPr>
                <w:szCs w:val="22"/>
                <w:lang w:val="en-GB"/>
              </w:rPr>
              <w:t xml:space="preserve">the attendance is by video conference; and </w:t>
            </w:r>
          </w:p>
          <w:p w14:paraId="49528B21" w14:textId="77777777" w:rsidR="00ED4E4E" w:rsidRPr="0010767D" w:rsidRDefault="00ED4E4E" w:rsidP="000831A1">
            <w:pPr>
              <w:pStyle w:val="ListParagraph"/>
              <w:numPr>
                <w:ilvl w:val="1"/>
                <w:numId w:val="28"/>
              </w:numPr>
              <w:spacing w:before="20" w:after="20" w:line="240" w:lineRule="auto"/>
              <w:ind w:left="360"/>
              <w:rPr>
                <w:szCs w:val="22"/>
                <w:lang w:val="en-GB"/>
              </w:rPr>
            </w:pPr>
            <w:r w:rsidRPr="0010767D">
              <w:rPr>
                <w:szCs w:val="22"/>
                <w:lang w:val="en-GB"/>
              </w:rPr>
              <w:t xml:space="preserve">the patient is not an admitted patient; and </w:t>
            </w:r>
          </w:p>
          <w:p w14:paraId="7EB04C53" w14:textId="77777777" w:rsidR="00ED4E4E" w:rsidRPr="0010767D" w:rsidRDefault="00ED4E4E" w:rsidP="000831A1">
            <w:pPr>
              <w:pStyle w:val="ListParagraph"/>
              <w:numPr>
                <w:ilvl w:val="1"/>
                <w:numId w:val="28"/>
              </w:numPr>
              <w:spacing w:before="20" w:after="20" w:line="240" w:lineRule="auto"/>
              <w:ind w:left="360"/>
              <w:rPr>
                <w:szCs w:val="22"/>
                <w:lang w:val="en-GB"/>
              </w:rPr>
            </w:pPr>
            <w:r w:rsidRPr="0010767D">
              <w:rPr>
                <w:szCs w:val="22"/>
                <w:lang w:val="en-GB"/>
              </w:rPr>
              <w:t xml:space="preserve">the patient: </w:t>
            </w:r>
          </w:p>
          <w:p w14:paraId="4C6CF61A" w14:textId="77777777" w:rsidR="00ED4E4E" w:rsidRPr="0010767D" w:rsidRDefault="00ED4E4E" w:rsidP="000831A1">
            <w:pPr>
              <w:pStyle w:val="ListParagraph"/>
              <w:numPr>
                <w:ilvl w:val="0"/>
                <w:numId w:val="29"/>
              </w:numPr>
              <w:spacing w:before="20" w:after="20" w:line="240" w:lineRule="auto"/>
              <w:rPr>
                <w:szCs w:val="22"/>
                <w:lang w:val="en-GB"/>
              </w:rPr>
            </w:pPr>
            <w:r w:rsidRPr="0010767D">
              <w:rPr>
                <w:szCs w:val="22"/>
                <w:lang w:val="en-GB"/>
              </w:rPr>
              <w:t xml:space="preserve">is located both: (a) within a telehealth eligible area; and (b) at the time of the attendance--at least 15 km by road from </w:t>
            </w:r>
            <w:r w:rsidR="00295886">
              <w:rPr>
                <w:szCs w:val="22"/>
                <w:lang w:val="en-GB"/>
              </w:rPr>
              <w:t xml:space="preserve">consultant </w:t>
            </w:r>
            <w:r w:rsidRPr="0010767D">
              <w:rPr>
                <w:szCs w:val="22"/>
                <w:lang w:val="en-GB"/>
              </w:rPr>
              <w:t xml:space="preserve">specialist; or </w:t>
            </w:r>
          </w:p>
          <w:p w14:paraId="0B2A174B" w14:textId="77777777" w:rsidR="00ED4E4E" w:rsidRPr="0010767D" w:rsidRDefault="00ED4E4E" w:rsidP="000831A1">
            <w:pPr>
              <w:pStyle w:val="ListParagraph"/>
              <w:numPr>
                <w:ilvl w:val="0"/>
                <w:numId w:val="29"/>
              </w:numPr>
              <w:spacing w:before="20" w:after="20" w:line="240" w:lineRule="auto"/>
              <w:rPr>
                <w:szCs w:val="22"/>
                <w:lang w:val="en-GB"/>
              </w:rPr>
            </w:pPr>
            <w:r w:rsidRPr="0010767D">
              <w:rPr>
                <w:szCs w:val="22"/>
                <w:lang w:val="en-GB"/>
              </w:rPr>
              <w:t xml:space="preserve">is a care recipient in a residential care service; or </w:t>
            </w:r>
          </w:p>
          <w:p w14:paraId="68CC5589" w14:textId="77777777" w:rsidR="00ED4E4E" w:rsidRPr="0010767D" w:rsidRDefault="00ED4E4E" w:rsidP="000831A1">
            <w:pPr>
              <w:pStyle w:val="ListParagraph"/>
              <w:numPr>
                <w:ilvl w:val="0"/>
                <w:numId w:val="29"/>
              </w:numPr>
              <w:spacing w:before="20" w:after="20" w:line="240" w:lineRule="auto"/>
              <w:rPr>
                <w:szCs w:val="22"/>
                <w:lang w:val="en-GB"/>
              </w:rPr>
            </w:pPr>
            <w:r w:rsidRPr="0010767D">
              <w:rPr>
                <w:szCs w:val="22"/>
                <w:lang w:val="en-GB"/>
              </w:rPr>
              <w:t>is a patient of: (a) an aboriginal medical service; or (b) an aboriginal community controlled health service; for which a direction made under subsection 19(2) of the act applies.</w:t>
            </w:r>
          </w:p>
          <w:p w14:paraId="01FA58F1" w14:textId="77777777" w:rsidR="00ED4E4E" w:rsidRDefault="00ED4E4E" w:rsidP="00ED4E4E">
            <w:pPr>
              <w:spacing w:before="20" w:after="20" w:line="240" w:lineRule="auto"/>
              <w:rPr>
                <w:szCs w:val="22"/>
                <w:lang w:val="en-GB"/>
              </w:rPr>
            </w:pPr>
          </w:p>
          <w:p w14:paraId="7C32C5CD" w14:textId="77777777" w:rsidR="00ED4E4E" w:rsidRPr="00C33C0B" w:rsidRDefault="00ED4E4E" w:rsidP="00ED4E4E">
            <w:pPr>
              <w:spacing w:before="20" w:after="20" w:line="240" w:lineRule="auto"/>
              <w:rPr>
                <w:szCs w:val="22"/>
                <w:lang w:val="en-GB"/>
              </w:rPr>
            </w:pPr>
            <w:r>
              <w:rPr>
                <w:szCs w:val="22"/>
                <w:lang w:val="en-GB"/>
              </w:rPr>
              <w:t xml:space="preserve">An attendance </w:t>
            </w:r>
            <w:r w:rsidRPr="00C33C0B">
              <w:rPr>
                <w:szCs w:val="22"/>
                <w:lang w:val="en-GB"/>
              </w:rPr>
              <w:t>including any of the following that are clinically relevant:</w:t>
            </w:r>
          </w:p>
          <w:p w14:paraId="42DB48C7" w14:textId="77777777" w:rsidR="00ED4E4E" w:rsidRPr="00ED4E4E" w:rsidRDefault="00ED4E4E" w:rsidP="000831A1">
            <w:pPr>
              <w:pStyle w:val="ListParagraph"/>
              <w:numPr>
                <w:ilvl w:val="0"/>
                <w:numId w:val="32"/>
              </w:numPr>
              <w:spacing w:before="20" w:after="20" w:line="240" w:lineRule="auto"/>
              <w:rPr>
                <w:szCs w:val="22"/>
                <w:lang w:val="en-GB"/>
              </w:rPr>
            </w:pPr>
            <w:r w:rsidRPr="00ED4E4E">
              <w:rPr>
                <w:szCs w:val="22"/>
                <w:lang w:val="en-GB"/>
              </w:rPr>
              <w:t xml:space="preserve">extensive history of multiple complex conditions </w:t>
            </w:r>
          </w:p>
          <w:p w14:paraId="7183DC12" w14:textId="77777777" w:rsidR="00ED4E4E" w:rsidRPr="00ED4E4E" w:rsidRDefault="00ED4E4E" w:rsidP="000831A1">
            <w:pPr>
              <w:pStyle w:val="ListParagraph"/>
              <w:numPr>
                <w:ilvl w:val="0"/>
                <w:numId w:val="32"/>
              </w:numPr>
              <w:spacing w:before="20" w:after="20" w:line="240" w:lineRule="auto"/>
              <w:rPr>
                <w:szCs w:val="22"/>
                <w:lang w:val="en-GB"/>
              </w:rPr>
            </w:pPr>
            <w:r w:rsidRPr="00ED4E4E">
              <w:rPr>
                <w:szCs w:val="22"/>
                <w:lang w:val="en-GB"/>
              </w:rPr>
              <w:t>multiple complex diagnoses considered</w:t>
            </w:r>
          </w:p>
          <w:p w14:paraId="6A9EA050" w14:textId="77777777" w:rsidR="00ED4E4E" w:rsidRPr="0006272C" w:rsidRDefault="00ED4E4E" w:rsidP="000831A1">
            <w:pPr>
              <w:pStyle w:val="ListParagraph"/>
              <w:numPr>
                <w:ilvl w:val="0"/>
                <w:numId w:val="32"/>
              </w:numPr>
              <w:spacing w:before="20" w:after="20" w:line="240" w:lineRule="auto"/>
              <w:rPr>
                <w:szCs w:val="22"/>
                <w:lang w:val="en-GB"/>
              </w:rPr>
            </w:pPr>
            <w:r w:rsidRPr="0006272C">
              <w:rPr>
                <w:szCs w:val="22"/>
                <w:lang w:val="en-GB"/>
              </w:rPr>
              <w:t>a comprehensive management plan and, if required;</w:t>
            </w:r>
          </w:p>
          <w:p w14:paraId="62790DFA" w14:textId="77777777" w:rsidR="00ED4E4E" w:rsidRPr="0010767D" w:rsidRDefault="00ED4E4E" w:rsidP="000831A1">
            <w:pPr>
              <w:pStyle w:val="ListParagraph"/>
              <w:numPr>
                <w:ilvl w:val="0"/>
                <w:numId w:val="32"/>
              </w:numPr>
              <w:spacing w:before="20" w:after="20" w:line="240" w:lineRule="auto"/>
              <w:rPr>
                <w:szCs w:val="22"/>
                <w:lang w:val="en-GB"/>
              </w:rPr>
            </w:pPr>
            <w:r w:rsidRPr="0010767D">
              <w:rPr>
                <w:szCs w:val="22"/>
                <w:lang w:val="en-GB"/>
              </w:rPr>
              <w:t>discussion of multiple treatment options available, including;</w:t>
            </w:r>
          </w:p>
          <w:p w14:paraId="591A25C2" w14:textId="77777777" w:rsidR="00ED4E4E" w:rsidRPr="0010767D" w:rsidRDefault="00ED4E4E" w:rsidP="00ED4E4E">
            <w:pPr>
              <w:pStyle w:val="02dash"/>
              <w:spacing w:before="0" w:after="0" w:line="240" w:lineRule="auto"/>
              <w:ind w:left="567"/>
            </w:pPr>
            <w:r w:rsidRPr="0010767D">
              <w:t>i. Discussion of treatment options to assess pros and cons of each option given patient characteristics and medical history</w:t>
            </w:r>
          </w:p>
          <w:p w14:paraId="5B275991" w14:textId="77777777" w:rsidR="00ED4E4E" w:rsidRPr="0010767D" w:rsidRDefault="00ED4E4E" w:rsidP="00ED4E4E">
            <w:pPr>
              <w:pStyle w:val="02dash"/>
              <w:spacing w:before="0" w:after="0" w:line="240" w:lineRule="auto"/>
              <w:ind w:left="567"/>
            </w:pPr>
            <w:r w:rsidRPr="0010767D">
              <w:t>ii. Consideration and discussion of necessary referrals to other health professionals</w:t>
            </w:r>
          </w:p>
          <w:p w14:paraId="0FA40491" w14:textId="77777777" w:rsidR="00ED4E4E" w:rsidRDefault="00ED4E4E" w:rsidP="00ED4E4E">
            <w:pPr>
              <w:pStyle w:val="02dash"/>
              <w:spacing w:before="0" w:after="0" w:line="240" w:lineRule="auto"/>
              <w:ind w:left="567"/>
            </w:pPr>
            <w:r w:rsidRPr="0010767D">
              <w:t>iii. Written documentation made available for the patient and/or carer that outlines treatment options and information on associated risks and benefits</w:t>
            </w:r>
          </w:p>
          <w:p w14:paraId="224FEFF1" w14:textId="77777777" w:rsidR="00ED4E4E" w:rsidRPr="0006272C" w:rsidRDefault="00ED4E4E" w:rsidP="000831A1">
            <w:pPr>
              <w:pStyle w:val="ListParagraph"/>
              <w:numPr>
                <w:ilvl w:val="0"/>
                <w:numId w:val="32"/>
              </w:numPr>
              <w:spacing w:before="20" w:after="20" w:line="240" w:lineRule="auto"/>
              <w:rPr>
                <w:szCs w:val="22"/>
                <w:lang w:val="en-GB"/>
              </w:rPr>
            </w:pPr>
            <w:r w:rsidRPr="0006272C">
              <w:rPr>
                <w:szCs w:val="22"/>
                <w:lang w:val="en-GB"/>
              </w:rPr>
              <w:t xml:space="preserve">Outcomes documented and communicated in writing to the referring practitioner  </w:t>
            </w:r>
          </w:p>
        </w:tc>
      </w:tr>
    </w:tbl>
    <w:p w14:paraId="01390462" w14:textId="77777777" w:rsidR="00BF4C3B" w:rsidRPr="00C33C0B" w:rsidRDefault="00BF4C3B" w:rsidP="00BF4C3B">
      <w:pPr>
        <w:pStyle w:val="Bullet2"/>
        <w:numPr>
          <w:ilvl w:val="0"/>
          <w:numId w:val="0"/>
        </w:numPr>
      </w:pPr>
    </w:p>
    <w:p w14:paraId="0369C3C0" w14:textId="77777777" w:rsidR="00540CE4" w:rsidRDefault="00540CE4" w:rsidP="003C5D5A">
      <w:pPr>
        <w:pStyle w:val="Heading2"/>
      </w:pPr>
      <w:bookmarkStart w:id="166" w:name="_Toc24544711"/>
      <w:bookmarkStart w:id="167" w:name="_Toc521442207"/>
      <w:bookmarkEnd w:id="164"/>
      <w:r>
        <w:t xml:space="preserve">Recommendation </w:t>
      </w:r>
      <w:r w:rsidR="00301462">
        <w:t>10</w:t>
      </w:r>
      <w:r w:rsidR="00940D6E">
        <w:t xml:space="preserve"> – Reinvest in telehealth</w:t>
      </w:r>
      <w:bookmarkEnd w:id="166"/>
    </w:p>
    <w:p w14:paraId="0B874D4F" w14:textId="77777777" w:rsidR="00540CE4" w:rsidRPr="00C33C0B" w:rsidRDefault="002E5E59" w:rsidP="00607BDA">
      <w:pPr>
        <w:pStyle w:val="Bullet-green"/>
        <w:numPr>
          <w:ilvl w:val="0"/>
          <w:numId w:val="0"/>
        </w:numPr>
      </w:pPr>
      <w:bookmarkStart w:id="168" w:name="_Hlk529026941"/>
      <w:r>
        <w:t>The Committee recommends</w:t>
      </w:r>
      <w:r w:rsidR="00E3287D">
        <w:t xml:space="preserve"> </w:t>
      </w:r>
      <w:r w:rsidR="00C83FB4">
        <w:t>r</w:t>
      </w:r>
      <w:r w:rsidR="003702F8">
        <w:t>einvest</w:t>
      </w:r>
      <w:r w:rsidR="00C83FB4">
        <w:t>ing</w:t>
      </w:r>
      <w:r w:rsidR="00540CE4" w:rsidRPr="00C33C0B">
        <w:t xml:space="preserve"> </w:t>
      </w:r>
      <w:r w:rsidR="003702F8">
        <w:t xml:space="preserve">all </w:t>
      </w:r>
      <w:r w:rsidR="00540CE4" w:rsidRPr="00C33C0B">
        <w:t xml:space="preserve">savings from </w:t>
      </w:r>
      <w:r w:rsidR="003702F8">
        <w:t xml:space="preserve">removing the telehealth loading </w:t>
      </w:r>
      <w:r w:rsidR="00540CE4">
        <w:t>towards</w:t>
      </w:r>
      <w:r w:rsidR="00540CE4" w:rsidRPr="00C33C0B">
        <w:t xml:space="preserve"> mechanisms </w:t>
      </w:r>
      <w:r w:rsidR="00540CE4">
        <w:t xml:space="preserve">designed </w:t>
      </w:r>
      <w:r w:rsidR="00301462">
        <w:t xml:space="preserve">to </w:t>
      </w:r>
      <w:r w:rsidR="0073798D">
        <w:t>increase uptake of telehealth services in Australia</w:t>
      </w:r>
      <w:r w:rsidR="00301462">
        <w:t>. Both MBS and non</w:t>
      </w:r>
      <w:r w:rsidR="00301462">
        <w:noBreakHyphen/>
        <w:t>MBS mechanisms should be considered, and options could include</w:t>
      </w:r>
      <w:r w:rsidR="0073798D">
        <w:t xml:space="preserve"> the following:</w:t>
      </w:r>
      <w:r w:rsidR="00540CE4" w:rsidRPr="00C33C0B">
        <w:t xml:space="preserve"> </w:t>
      </w:r>
    </w:p>
    <w:p w14:paraId="60AD8348" w14:textId="77777777" w:rsidR="00540CE4" w:rsidRPr="00C33C0B" w:rsidRDefault="006D683C" w:rsidP="000831A1">
      <w:pPr>
        <w:pStyle w:val="Bullet2"/>
        <w:numPr>
          <w:ilvl w:val="0"/>
          <w:numId w:val="62"/>
        </w:numPr>
      </w:pPr>
      <w:r>
        <w:t>i</w:t>
      </w:r>
      <w:r w:rsidR="00540CE4" w:rsidRPr="00C33C0B">
        <w:t xml:space="preserve">ncrease </w:t>
      </w:r>
      <w:r w:rsidR="004F73FD">
        <w:t>utilisation of</w:t>
      </w:r>
      <w:r w:rsidR="00540CE4" w:rsidRPr="00C33C0B">
        <w:t xml:space="preserve"> telehealth services </w:t>
      </w:r>
      <w:r w:rsidR="00540CE4">
        <w:t>among</w:t>
      </w:r>
      <w:r w:rsidR="00540CE4" w:rsidRPr="00C33C0B">
        <w:t xml:space="preserve"> consumers, </w:t>
      </w:r>
      <w:r w:rsidR="00540CE4">
        <w:t>GPs</w:t>
      </w:r>
      <w:r w:rsidR="00540CE4" w:rsidRPr="00C33C0B">
        <w:t xml:space="preserve"> and PHNs</w:t>
      </w:r>
      <w:r w:rsidR="00540CE4" w:rsidRPr="005021F3">
        <w:t>,</w:t>
      </w:r>
      <w:r w:rsidR="00540CE4" w:rsidRPr="00C33C0B">
        <w:t xml:space="preserve"> by:</w:t>
      </w:r>
    </w:p>
    <w:p w14:paraId="7B9248D6" w14:textId="77777777" w:rsidR="00540CE4" w:rsidRPr="00C33C0B" w:rsidRDefault="006D683C" w:rsidP="000831A1">
      <w:pPr>
        <w:pStyle w:val="BulletStyle3"/>
        <w:numPr>
          <w:ilvl w:val="0"/>
          <w:numId w:val="82"/>
        </w:numPr>
        <w:rPr>
          <w:lang w:val="en-GB"/>
        </w:rPr>
      </w:pPr>
      <w:bookmarkStart w:id="169" w:name="_Hlk523338799"/>
      <w:bookmarkStart w:id="170" w:name="_Hlk523339532"/>
      <w:r>
        <w:rPr>
          <w:lang w:val="en-GB"/>
        </w:rPr>
        <w:t>d</w:t>
      </w:r>
      <w:r w:rsidR="00540CE4" w:rsidRPr="00C33C0B">
        <w:rPr>
          <w:lang w:val="en-GB"/>
        </w:rPr>
        <w:t xml:space="preserve">eveloping and sharing the value proposition of telehealth </w:t>
      </w:r>
      <w:r w:rsidR="00540CE4">
        <w:rPr>
          <w:lang w:val="en-GB"/>
        </w:rPr>
        <w:t>with</w:t>
      </w:r>
      <w:r w:rsidR="00540CE4" w:rsidRPr="00C33C0B">
        <w:rPr>
          <w:lang w:val="en-GB"/>
        </w:rPr>
        <w:t xml:space="preserve"> consumers, including the potential s</w:t>
      </w:r>
      <w:r>
        <w:rPr>
          <w:lang w:val="en-GB"/>
        </w:rPr>
        <w:t>avings in time</w:t>
      </w:r>
      <w:r w:rsidR="00700FA2">
        <w:rPr>
          <w:lang w:val="en-GB"/>
        </w:rPr>
        <w:t xml:space="preserve">, </w:t>
      </w:r>
      <w:r w:rsidR="005A58D1">
        <w:rPr>
          <w:lang w:val="en-GB"/>
        </w:rPr>
        <w:t xml:space="preserve"> </w:t>
      </w:r>
      <w:r>
        <w:rPr>
          <w:lang w:val="en-GB"/>
        </w:rPr>
        <w:t xml:space="preserve">travel </w:t>
      </w:r>
      <w:r w:rsidR="00700FA2">
        <w:rPr>
          <w:lang w:val="en-GB"/>
        </w:rPr>
        <w:t xml:space="preserve">and other </w:t>
      </w:r>
      <w:r>
        <w:rPr>
          <w:lang w:val="en-GB"/>
        </w:rPr>
        <w:t>costs;</w:t>
      </w:r>
    </w:p>
    <w:p w14:paraId="36012A6F" w14:textId="77777777" w:rsidR="00540CE4" w:rsidRPr="00C33C0B" w:rsidRDefault="006D683C" w:rsidP="000831A1">
      <w:pPr>
        <w:pStyle w:val="BulletStyle3"/>
        <w:numPr>
          <w:ilvl w:val="0"/>
          <w:numId w:val="82"/>
        </w:numPr>
        <w:rPr>
          <w:lang w:val="en-GB"/>
        </w:rPr>
      </w:pPr>
      <w:r>
        <w:rPr>
          <w:lang w:val="en-GB"/>
        </w:rPr>
        <w:t>f</w:t>
      </w:r>
      <w:r w:rsidR="00540CE4" w:rsidRPr="00C33C0B">
        <w:rPr>
          <w:lang w:val="en-GB"/>
        </w:rPr>
        <w:t>unding PHNs and consumer representatives (community champions) to carry out telehealth education and awareness building in targeted communities (</w:t>
      </w:r>
      <w:r w:rsidR="00540CE4">
        <w:rPr>
          <w:lang w:val="en-GB"/>
        </w:rPr>
        <w:t>for example,</w:t>
      </w:r>
      <w:r w:rsidR="00540CE4" w:rsidRPr="00C33C0B">
        <w:rPr>
          <w:lang w:val="en-GB"/>
        </w:rPr>
        <w:t xml:space="preserve"> where </w:t>
      </w:r>
      <w:r>
        <w:rPr>
          <w:lang w:val="en-GB"/>
        </w:rPr>
        <w:t>GPs already provide telehealth);</w:t>
      </w:r>
    </w:p>
    <w:p w14:paraId="65C5C55B" w14:textId="77777777" w:rsidR="00540CE4" w:rsidRPr="00C33C0B" w:rsidRDefault="006D683C" w:rsidP="000831A1">
      <w:pPr>
        <w:pStyle w:val="BulletStyle3"/>
        <w:numPr>
          <w:ilvl w:val="0"/>
          <w:numId w:val="82"/>
        </w:numPr>
        <w:rPr>
          <w:lang w:val="en-GB"/>
        </w:rPr>
      </w:pPr>
      <w:r>
        <w:rPr>
          <w:lang w:val="en-GB"/>
        </w:rPr>
        <w:t>e</w:t>
      </w:r>
      <w:r w:rsidR="00540CE4" w:rsidRPr="00C33C0B">
        <w:rPr>
          <w:lang w:val="en-GB"/>
        </w:rPr>
        <w:t xml:space="preserve">ducating GPs and PHNs to identify and promote telehealth </w:t>
      </w:r>
      <w:r w:rsidR="00700FA2">
        <w:rPr>
          <w:lang w:val="en-GB"/>
        </w:rPr>
        <w:t>with</w:t>
      </w:r>
      <w:r w:rsidR="00540CE4" w:rsidRPr="00C33C0B">
        <w:rPr>
          <w:lang w:val="en-GB"/>
        </w:rPr>
        <w:t>patient population groups that would most benefit from telehealth attendances</w:t>
      </w:r>
      <w:r w:rsidR="00540CE4">
        <w:rPr>
          <w:lang w:val="en-GB"/>
        </w:rPr>
        <w:t>—both those</w:t>
      </w:r>
      <w:r w:rsidR="00540CE4" w:rsidRPr="00C33C0B">
        <w:rPr>
          <w:lang w:val="en-GB"/>
        </w:rPr>
        <w:t xml:space="preserve"> </w:t>
      </w:r>
      <w:r w:rsidR="00540CE4">
        <w:rPr>
          <w:lang w:val="en-GB"/>
        </w:rPr>
        <w:t xml:space="preserve">held directly with the </w:t>
      </w:r>
      <w:r w:rsidR="00700FA2">
        <w:rPr>
          <w:lang w:val="en-GB"/>
        </w:rPr>
        <w:t xml:space="preserve">consultant </w:t>
      </w:r>
      <w:r w:rsidR="00540CE4">
        <w:rPr>
          <w:lang w:val="en-GB"/>
        </w:rPr>
        <w:t xml:space="preserve">specialist (for example, follow-up care) and those supported by a health professional (for example, more complex cases or where </w:t>
      </w:r>
      <w:r w:rsidR="00700FA2">
        <w:rPr>
          <w:lang w:val="en-GB"/>
        </w:rPr>
        <w:t xml:space="preserve">further support with </w:t>
      </w:r>
      <w:r w:rsidR="00540CE4">
        <w:rPr>
          <w:lang w:val="en-GB"/>
        </w:rPr>
        <w:t>health literacy</w:t>
      </w:r>
      <w:r w:rsidR="00700FA2">
        <w:rPr>
          <w:lang w:val="en-GB"/>
        </w:rPr>
        <w:t xml:space="preserve"> is needed</w:t>
      </w:r>
      <w:r w:rsidR="00540CE4">
        <w:rPr>
          <w:lang w:val="en-GB"/>
        </w:rPr>
        <w:t>)</w:t>
      </w:r>
      <w:r>
        <w:rPr>
          <w:lang w:val="en-GB"/>
        </w:rPr>
        <w:t>;</w:t>
      </w:r>
    </w:p>
    <w:bookmarkEnd w:id="169"/>
    <w:p w14:paraId="6F311683" w14:textId="77777777" w:rsidR="00540CE4" w:rsidRPr="00C33C0B" w:rsidRDefault="006D683C" w:rsidP="000831A1">
      <w:pPr>
        <w:pStyle w:val="BulletStyle3"/>
        <w:numPr>
          <w:ilvl w:val="0"/>
          <w:numId w:val="82"/>
        </w:numPr>
        <w:rPr>
          <w:lang w:val="en-GB"/>
        </w:rPr>
      </w:pPr>
      <w:r>
        <w:rPr>
          <w:lang w:val="en-GB"/>
        </w:rPr>
        <w:t>i</w:t>
      </w:r>
      <w:r w:rsidR="00540CE4" w:rsidRPr="00C33C0B">
        <w:rPr>
          <w:lang w:val="en-GB"/>
        </w:rPr>
        <w:t>nvesting in education and training of primary care workers, including telehealth training days and the development of training material (</w:t>
      </w:r>
      <w:r w:rsidR="00540CE4">
        <w:rPr>
          <w:lang w:val="en-GB"/>
        </w:rPr>
        <w:t>for example</w:t>
      </w:r>
      <w:r w:rsidR="00540CE4" w:rsidRPr="00C33C0B">
        <w:rPr>
          <w:lang w:val="en-GB"/>
        </w:rPr>
        <w:t>, online modules)</w:t>
      </w:r>
      <w:r>
        <w:rPr>
          <w:lang w:val="en-GB"/>
        </w:rPr>
        <w:t>;</w:t>
      </w:r>
      <w:r w:rsidR="00C83FB4">
        <w:rPr>
          <w:lang w:val="en-GB"/>
        </w:rPr>
        <w:t xml:space="preserve"> and</w:t>
      </w:r>
    </w:p>
    <w:p w14:paraId="4939935B" w14:textId="77777777" w:rsidR="00540CE4" w:rsidRPr="00C33C0B" w:rsidRDefault="006D683C" w:rsidP="000831A1">
      <w:pPr>
        <w:pStyle w:val="BulletStyle3"/>
        <w:numPr>
          <w:ilvl w:val="0"/>
          <w:numId w:val="82"/>
        </w:numPr>
        <w:rPr>
          <w:lang w:val="en-GB"/>
        </w:rPr>
      </w:pPr>
      <w:r>
        <w:rPr>
          <w:lang w:val="en-GB"/>
        </w:rPr>
        <w:t>p</w:t>
      </w:r>
      <w:r w:rsidR="00540CE4" w:rsidRPr="00C33C0B">
        <w:rPr>
          <w:lang w:val="en-GB"/>
        </w:rPr>
        <w:t xml:space="preserve">romoting the use of MBS items </w:t>
      </w:r>
      <w:r w:rsidR="004F73FD">
        <w:rPr>
          <w:lang w:val="en-GB"/>
        </w:rPr>
        <w:t xml:space="preserve">that already exist </w:t>
      </w:r>
      <w:r w:rsidR="00540CE4" w:rsidRPr="00C33C0B">
        <w:rPr>
          <w:lang w:val="en-GB"/>
        </w:rPr>
        <w:t xml:space="preserve">for primary care workers to provide clinical support to patients participating in </w:t>
      </w:r>
      <w:r w:rsidR="004F73FD">
        <w:rPr>
          <w:lang w:val="en-GB"/>
        </w:rPr>
        <w:t xml:space="preserve">consultant </w:t>
      </w:r>
      <w:r w:rsidR="00540CE4" w:rsidRPr="00C33C0B">
        <w:rPr>
          <w:lang w:val="en-GB"/>
        </w:rPr>
        <w:t>specialist telehealth attendances</w:t>
      </w:r>
      <w:r w:rsidR="00C83FB4">
        <w:rPr>
          <w:lang w:val="en-GB"/>
        </w:rPr>
        <w:t xml:space="preserve"> (</w:t>
      </w:r>
      <w:r w:rsidR="00C83FB4">
        <w:t>Category 8 of the MBS, Groups M12, M13, and M14).</w:t>
      </w:r>
    </w:p>
    <w:p w14:paraId="40D6D5F6" w14:textId="77777777" w:rsidR="00540CE4" w:rsidRPr="00C33C0B" w:rsidRDefault="006D683C" w:rsidP="000831A1">
      <w:pPr>
        <w:pStyle w:val="Bullet2"/>
        <w:numPr>
          <w:ilvl w:val="0"/>
          <w:numId w:val="62"/>
        </w:numPr>
      </w:pPr>
      <w:r>
        <w:t>i</w:t>
      </w:r>
      <w:r w:rsidR="00540CE4" w:rsidRPr="00C33C0B">
        <w:t>ncreas</w:t>
      </w:r>
      <w:r w:rsidR="00C83FB4">
        <w:t>ing</w:t>
      </w:r>
      <w:r w:rsidR="00540CE4" w:rsidRPr="00C33C0B">
        <w:t xml:space="preserve"> </w:t>
      </w:r>
      <w:r w:rsidR="00540CE4">
        <w:t xml:space="preserve">the </w:t>
      </w:r>
      <w:r w:rsidR="00540CE4" w:rsidRPr="00C33C0B">
        <w:t xml:space="preserve">supply of telehealth services offered by </w:t>
      </w:r>
      <w:r w:rsidR="004F73FD">
        <w:t xml:space="preserve">consultant </w:t>
      </w:r>
      <w:r w:rsidR="00540CE4" w:rsidRPr="00C33C0B">
        <w:t>specialists, by:</w:t>
      </w:r>
    </w:p>
    <w:p w14:paraId="0CDB1849" w14:textId="77777777" w:rsidR="00540CE4" w:rsidRPr="00C33C0B" w:rsidRDefault="006D683C" w:rsidP="000831A1">
      <w:pPr>
        <w:pStyle w:val="BulletStyle3"/>
        <w:numPr>
          <w:ilvl w:val="0"/>
          <w:numId w:val="83"/>
        </w:numPr>
        <w:rPr>
          <w:lang w:val="en-GB"/>
        </w:rPr>
      </w:pPr>
      <w:r>
        <w:rPr>
          <w:lang w:val="en-GB"/>
        </w:rPr>
        <w:t>d</w:t>
      </w:r>
      <w:r w:rsidR="00540CE4" w:rsidRPr="00C33C0B">
        <w:rPr>
          <w:lang w:val="en-GB"/>
        </w:rPr>
        <w:t xml:space="preserve">eveloping the value proposition of telehealth </w:t>
      </w:r>
      <w:r w:rsidR="00540CE4">
        <w:rPr>
          <w:lang w:val="en-GB"/>
        </w:rPr>
        <w:t>for</w:t>
      </w:r>
      <w:r w:rsidR="00540CE4" w:rsidRPr="00C33C0B">
        <w:rPr>
          <w:lang w:val="en-GB"/>
        </w:rPr>
        <w:t xml:space="preserve"> providers and sharing this with provider population groups that are most likely to offer telehealth services</w:t>
      </w:r>
      <w:r>
        <w:rPr>
          <w:lang w:val="en-GB"/>
        </w:rPr>
        <w:t>;</w:t>
      </w:r>
    </w:p>
    <w:p w14:paraId="4C3F5ACC" w14:textId="77777777" w:rsidR="00540CE4" w:rsidRPr="00C33C0B" w:rsidRDefault="006D683C" w:rsidP="000831A1">
      <w:pPr>
        <w:pStyle w:val="BulletStyle3"/>
        <w:numPr>
          <w:ilvl w:val="0"/>
          <w:numId w:val="83"/>
        </w:numPr>
        <w:rPr>
          <w:lang w:val="en-GB"/>
        </w:rPr>
      </w:pPr>
      <w:r>
        <w:rPr>
          <w:lang w:val="en-GB"/>
        </w:rPr>
        <w:t>e</w:t>
      </w:r>
      <w:r w:rsidR="00540CE4" w:rsidRPr="00C33C0B">
        <w:rPr>
          <w:lang w:val="en-GB"/>
        </w:rPr>
        <w:t xml:space="preserve">ducating </w:t>
      </w:r>
      <w:r w:rsidR="004F73FD">
        <w:rPr>
          <w:lang w:val="en-GB"/>
        </w:rPr>
        <w:t xml:space="preserve">consultant </w:t>
      </w:r>
      <w:r w:rsidR="00540CE4" w:rsidRPr="00C33C0B">
        <w:rPr>
          <w:lang w:val="en-GB"/>
        </w:rPr>
        <w:t xml:space="preserve">specialists to identify and promote telehealth </w:t>
      </w:r>
      <w:r w:rsidR="00700FA2">
        <w:rPr>
          <w:lang w:val="en-GB"/>
        </w:rPr>
        <w:t>with</w:t>
      </w:r>
      <w:r w:rsidR="00540CE4" w:rsidRPr="00C33C0B">
        <w:rPr>
          <w:lang w:val="en-GB"/>
        </w:rPr>
        <w:t>patient population groups that would most benefit from telehealth attendances</w:t>
      </w:r>
      <w:r>
        <w:rPr>
          <w:lang w:val="en-GB"/>
        </w:rPr>
        <w:t>;</w:t>
      </w:r>
    </w:p>
    <w:p w14:paraId="358B1961" w14:textId="77777777" w:rsidR="00540CE4" w:rsidRPr="00C33C0B" w:rsidRDefault="006D683C" w:rsidP="000831A1">
      <w:pPr>
        <w:pStyle w:val="BulletStyle3"/>
        <w:numPr>
          <w:ilvl w:val="0"/>
          <w:numId w:val="83"/>
        </w:numPr>
        <w:rPr>
          <w:lang w:val="en-GB"/>
        </w:rPr>
      </w:pPr>
      <w:r>
        <w:rPr>
          <w:lang w:val="en-GB"/>
        </w:rPr>
        <w:t>d</w:t>
      </w:r>
      <w:r w:rsidR="00540CE4" w:rsidRPr="00C33C0B">
        <w:rPr>
          <w:lang w:val="en-GB"/>
        </w:rPr>
        <w:t>eveloping materials on how to set up and run telehealth services</w:t>
      </w:r>
      <w:r>
        <w:rPr>
          <w:lang w:val="en-GB"/>
        </w:rPr>
        <w:t>;</w:t>
      </w:r>
    </w:p>
    <w:p w14:paraId="34596CD7" w14:textId="77777777" w:rsidR="00540CE4" w:rsidRPr="00C33C0B" w:rsidRDefault="006D683C" w:rsidP="000831A1">
      <w:pPr>
        <w:pStyle w:val="BulletStyle3"/>
        <w:numPr>
          <w:ilvl w:val="0"/>
          <w:numId w:val="83"/>
        </w:numPr>
        <w:rPr>
          <w:lang w:val="en-GB"/>
        </w:rPr>
      </w:pPr>
      <w:r>
        <w:rPr>
          <w:lang w:val="en-GB"/>
        </w:rPr>
        <w:t>c</w:t>
      </w:r>
      <w:r w:rsidR="00540CE4" w:rsidRPr="00C33C0B">
        <w:rPr>
          <w:lang w:val="en-GB"/>
        </w:rPr>
        <w:t xml:space="preserve">oordinating with </w:t>
      </w:r>
      <w:bookmarkStart w:id="171" w:name="_Hlk524447313"/>
      <w:r w:rsidR="00540CE4">
        <w:rPr>
          <w:lang w:val="en-GB"/>
        </w:rPr>
        <w:t>C</w:t>
      </w:r>
      <w:r w:rsidR="00540CE4" w:rsidRPr="00C33C0B">
        <w:rPr>
          <w:lang w:val="en-GB"/>
        </w:rPr>
        <w:t>olleges to promote telehealth education and training</w:t>
      </w:r>
      <w:r w:rsidR="00DE22D2">
        <w:rPr>
          <w:lang w:val="en-GB"/>
        </w:rPr>
        <w:t>, including awarding CPD points for telehealth training</w:t>
      </w:r>
      <w:r>
        <w:rPr>
          <w:lang w:val="en-GB"/>
        </w:rPr>
        <w:t>;</w:t>
      </w:r>
    </w:p>
    <w:bookmarkEnd w:id="171"/>
    <w:p w14:paraId="65B13C56" w14:textId="77777777" w:rsidR="00540CE4" w:rsidRPr="00C33C0B" w:rsidRDefault="006D683C" w:rsidP="000831A1">
      <w:pPr>
        <w:pStyle w:val="BulletStyle3"/>
        <w:numPr>
          <w:ilvl w:val="0"/>
          <w:numId w:val="83"/>
        </w:numPr>
        <w:rPr>
          <w:lang w:val="en-GB"/>
        </w:rPr>
      </w:pPr>
      <w:r>
        <w:rPr>
          <w:lang w:val="en-GB"/>
        </w:rPr>
        <w:t>e</w:t>
      </w:r>
      <w:r w:rsidR="00540CE4" w:rsidRPr="00C33C0B">
        <w:rPr>
          <w:lang w:val="en-GB"/>
        </w:rPr>
        <w:t xml:space="preserve">ncouraging </w:t>
      </w:r>
      <w:r w:rsidR="00540CE4">
        <w:rPr>
          <w:lang w:val="en-GB"/>
        </w:rPr>
        <w:t>C</w:t>
      </w:r>
      <w:r w:rsidR="00540CE4" w:rsidRPr="00C33C0B">
        <w:rPr>
          <w:lang w:val="en-GB"/>
        </w:rPr>
        <w:t>olleges to</w:t>
      </w:r>
      <w:r w:rsidR="00540CE4">
        <w:rPr>
          <w:lang w:val="en-GB"/>
        </w:rPr>
        <w:t xml:space="preserve"> educate consultant </w:t>
      </w:r>
      <w:r w:rsidR="00540CE4" w:rsidRPr="00C33C0B">
        <w:rPr>
          <w:lang w:val="en-GB"/>
        </w:rPr>
        <w:t xml:space="preserve">specialists </w:t>
      </w:r>
      <w:r w:rsidR="00540CE4">
        <w:rPr>
          <w:lang w:val="en-GB"/>
        </w:rPr>
        <w:t xml:space="preserve">on the benefits of </w:t>
      </w:r>
      <w:r w:rsidR="00540CE4" w:rsidRPr="00C33C0B">
        <w:rPr>
          <w:lang w:val="en-GB"/>
        </w:rPr>
        <w:t>telehealth</w:t>
      </w:r>
      <w:r w:rsidR="00540CE4">
        <w:rPr>
          <w:lang w:val="en-GB"/>
        </w:rPr>
        <w:t>, how to set it up,</w:t>
      </w:r>
      <w:r w:rsidR="00540CE4" w:rsidRPr="00C33C0B">
        <w:rPr>
          <w:lang w:val="en-GB"/>
        </w:rPr>
        <w:t xml:space="preserve"> </w:t>
      </w:r>
      <w:r w:rsidR="00540CE4">
        <w:rPr>
          <w:lang w:val="en-GB"/>
        </w:rPr>
        <w:t>and when it should be used</w:t>
      </w:r>
      <w:r>
        <w:rPr>
          <w:lang w:val="en-GB"/>
        </w:rPr>
        <w:t>;</w:t>
      </w:r>
      <w:r w:rsidR="00C83FB4">
        <w:rPr>
          <w:lang w:val="en-GB"/>
        </w:rPr>
        <w:t xml:space="preserve"> and</w:t>
      </w:r>
    </w:p>
    <w:bookmarkEnd w:id="170"/>
    <w:p w14:paraId="5B648CFA" w14:textId="77777777" w:rsidR="00540CE4" w:rsidRPr="00540CE4" w:rsidRDefault="006D683C" w:rsidP="000831A1">
      <w:pPr>
        <w:pStyle w:val="BulletStyle3"/>
        <w:numPr>
          <w:ilvl w:val="0"/>
          <w:numId w:val="83"/>
        </w:numPr>
        <w:rPr>
          <w:lang w:val="en-GB"/>
        </w:rPr>
      </w:pPr>
      <w:r>
        <w:rPr>
          <w:lang w:val="en-GB"/>
        </w:rPr>
        <w:t>d</w:t>
      </w:r>
      <w:r w:rsidR="00540CE4" w:rsidRPr="00C33C0B">
        <w:rPr>
          <w:lang w:val="en-GB"/>
        </w:rPr>
        <w:t xml:space="preserve">eveloping guidelines and tools to determine and resolve </w:t>
      </w:r>
      <w:r w:rsidR="00700FA2">
        <w:rPr>
          <w:lang w:val="en-GB"/>
        </w:rPr>
        <w:t xml:space="preserve">any </w:t>
      </w:r>
      <w:r w:rsidR="00540CE4" w:rsidRPr="00C33C0B">
        <w:rPr>
          <w:lang w:val="en-GB"/>
        </w:rPr>
        <w:t>clinical governance issues</w:t>
      </w:r>
      <w:r w:rsidR="00700FA2">
        <w:rPr>
          <w:lang w:val="en-GB"/>
        </w:rPr>
        <w:t xml:space="preserve"> and concerns</w:t>
      </w:r>
      <w:r w:rsidR="00540CE4">
        <w:rPr>
          <w:lang w:val="en-GB"/>
        </w:rPr>
        <w:t>.</w:t>
      </w:r>
    </w:p>
    <w:p w14:paraId="3B813594" w14:textId="77777777" w:rsidR="003702F8" w:rsidRPr="00C33C0B" w:rsidRDefault="003702F8" w:rsidP="003C5D5A">
      <w:pPr>
        <w:pStyle w:val="Heading2"/>
      </w:pPr>
      <w:bookmarkStart w:id="172" w:name="_Toc24544712"/>
      <w:bookmarkStart w:id="173" w:name="_Toc521442208"/>
      <w:bookmarkEnd w:id="167"/>
      <w:bookmarkEnd w:id="168"/>
      <w:r w:rsidRPr="00C33C0B">
        <w:t>Rationale</w:t>
      </w:r>
      <w:r>
        <w:t xml:space="preserve"> </w:t>
      </w:r>
      <w:r w:rsidR="00301462">
        <w:t>9</w:t>
      </w:r>
      <w:r w:rsidR="0002517D">
        <w:t xml:space="preserve"> &amp;</w:t>
      </w:r>
      <w:r w:rsidR="00700FA2">
        <w:t xml:space="preserve"> </w:t>
      </w:r>
      <w:r w:rsidR="00301462">
        <w:t>10</w:t>
      </w:r>
      <w:bookmarkEnd w:id="172"/>
    </w:p>
    <w:p w14:paraId="66F131AD" w14:textId="77777777" w:rsidR="003702F8" w:rsidRPr="00CA5B11" w:rsidRDefault="003702F8" w:rsidP="003702F8">
      <w:pPr>
        <w:pStyle w:val="BoldTextStyle3"/>
        <w:rPr>
          <w:b w:val="0"/>
          <w:lang w:val="en-GB"/>
        </w:rPr>
      </w:pPr>
      <w:r>
        <w:rPr>
          <w:b w:val="0"/>
          <w:lang w:val="en-GB"/>
        </w:rPr>
        <w:t xml:space="preserve">This recommendation focuses on </w:t>
      </w:r>
      <w:r w:rsidR="00BB3755">
        <w:rPr>
          <w:b w:val="0"/>
          <w:lang w:val="en-GB"/>
        </w:rPr>
        <w:t>removing a</w:t>
      </w:r>
      <w:r w:rsidR="005D5697">
        <w:rPr>
          <w:b w:val="0"/>
          <w:lang w:val="en-GB"/>
        </w:rPr>
        <w:t>n</w:t>
      </w:r>
      <w:r w:rsidR="00BB3755">
        <w:rPr>
          <w:b w:val="0"/>
          <w:lang w:val="en-GB"/>
        </w:rPr>
        <w:t xml:space="preserve"> MBS</w:t>
      </w:r>
      <w:r w:rsidR="00131546">
        <w:rPr>
          <w:b w:val="0"/>
          <w:lang w:val="en-GB"/>
        </w:rPr>
        <w:t xml:space="preserve"> telehealth</w:t>
      </w:r>
      <w:r w:rsidR="00BB3755">
        <w:rPr>
          <w:b w:val="0"/>
          <w:lang w:val="en-GB"/>
        </w:rPr>
        <w:t xml:space="preserve"> loading that is no longer effective and reinvesting this </w:t>
      </w:r>
      <w:r w:rsidR="00C83FB4">
        <w:rPr>
          <w:b w:val="0"/>
          <w:lang w:val="en-GB"/>
        </w:rPr>
        <w:t xml:space="preserve">saving </w:t>
      </w:r>
      <w:r w:rsidR="00BB3755">
        <w:rPr>
          <w:b w:val="0"/>
          <w:lang w:val="en-GB"/>
        </w:rPr>
        <w:t>to increase uptake of</w:t>
      </w:r>
      <w:r w:rsidR="00700FA2">
        <w:rPr>
          <w:b w:val="0"/>
          <w:lang w:val="en-GB"/>
        </w:rPr>
        <w:t>, and targeted access to,</w:t>
      </w:r>
      <w:r w:rsidR="00BB3755">
        <w:rPr>
          <w:b w:val="0"/>
          <w:lang w:val="en-GB"/>
        </w:rPr>
        <w:t xml:space="preserve"> telehealth services. </w:t>
      </w:r>
      <w:r>
        <w:rPr>
          <w:b w:val="0"/>
          <w:lang w:val="en-GB"/>
        </w:rPr>
        <w:t>It is based on the following</w:t>
      </w:r>
      <w:r w:rsidR="00700FA2">
        <w:rPr>
          <w:b w:val="0"/>
          <w:lang w:val="en-GB"/>
        </w:rPr>
        <w:t xml:space="preserve"> reasons</w:t>
      </w:r>
      <w:r w:rsidR="00CB271F">
        <w:rPr>
          <w:b w:val="0"/>
          <w:lang w:val="en-GB"/>
        </w:rPr>
        <w:t>:</w:t>
      </w:r>
    </w:p>
    <w:p w14:paraId="4E0B9B8E" w14:textId="77777777" w:rsidR="003702F8" w:rsidRPr="00607BDA" w:rsidRDefault="003702F8" w:rsidP="00607BDA">
      <w:pPr>
        <w:pStyle w:val="Bullet-green"/>
        <w:rPr>
          <w:lang w:val="en-GB"/>
        </w:rPr>
      </w:pPr>
      <w:r w:rsidRPr="008E4413">
        <w:rPr>
          <w:lang w:val="en-GB"/>
        </w:rPr>
        <w:t>Telehealth is already a cost-effective way of delivering care</w:t>
      </w:r>
      <w:r w:rsidR="008E4413" w:rsidRPr="008E4413">
        <w:rPr>
          <w:lang w:val="en-GB"/>
        </w:rPr>
        <w:t xml:space="preserve">. </w:t>
      </w:r>
      <w:r w:rsidRPr="00607BDA">
        <w:rPr>
          <w:lang w:val="en-GB"/>
        </w:rPr>
        <w:t>A number of systematic reviews have found that telehealth is a cost-effective way of delivering care</w:t>
      </w:r>
      <w:r w:rsidR="00B85D72">
        <w:rPr>
          <w:lang w:val="en-GB"/>
        </w:rPr>
        <w:t>, and follow</w:t>
      </w:r>
      <w:r w:rsidR="00B85D72">
        <w:rPr>
          <w:lang w:val="en-GB"/>
        </w:rPr>
        <w:noBreakHyphen/>
      </w:r>
      <w:r w:rsidRPr="00607BDA">
        <w:rPr>
          <w:lang w:val="en-GB"/>
        </w:rPr>
        <w:t>up via telehealth has been shown to have lower associated costs than in-person clinic assessment</w:t>
      </w:r>
      <w:sdt>
        <w:sdtPr>
          <w:rPr>
            <w:lang w:val="en-GB"/>
          </w:rPr>
          <w:id w:val="-980607585"/>
          <w:citation/>
        </w:sdtPr>
        <w:sdtEndPr/>
        <w:sdtContent>
          <w:r w:rsidR="00B85D72">
            <w:rPr>
              <w:lang w:val="en-GB"/>
            </w:rPr>
            <w:fldChar w:fldCharType="begin"/>
          </w:r>
          <w:r w:rsidR="00B85D72">
            <w:instrText xml:space="preserve">CITATION Wag14 \l 3081 </w:instrText>
          </w:r>
          <w:r w:rsidR="00B85D72">
            <w:rPr>
              <w:lang w:val="en-GB"/>
            </w:rPr>
            <w:fldChar w:fldCharType="separate"/>
          </w:r>
          <w:r w:rsidR="00B85D72">
            <w:rPr>
              <w:noProof/>
            </w:rPr>
            <w:t xml:space="preserve"> (4)</w:t>
          </w:r>
          <w:r w:rsidR="00B85D72">
            <w:rPr>
              <w:lang w:val="en-GB"/>
            </w:rPr>
            <w:fldChar w:fldCharType="end"/>
          </w:r>
        </w:sdtContent>
      </w:sdt>
      <w:sdt>
        <w:sdtPr>
          <w:rPr>
            <w:lang w:val="en-GB"/>
          </w:rPr>
          <w:id w:val="849450636"/>
          <w:citation/>
        </w:sdtPr>
        <w:sdtEndPr/>
        <w:sdtContent>
          <w:r w:rsidR="00B85D72">
            <w:rPr>
              <w:lang w:val="en-GB"/>
            </w:rPr>
            <w:fldChar w:fldCharType="begin"/>
          </w:r>
          <w:r w:rsidR="00B85D72">
            <w:instrText xml:space="preserve"> CITATION Tor15 \l 3081 </w:instrText>
          </w:r>
          <w:r w:rsidR="00B85D72">
            <w:rPr>
              <w:lang w:val="en-GB"/>
            </w:rPr>
            <w:fldChar w:fldCharType="separate"/>
          </w:r>
          <w:r w:rsidR="00B85D72">
            <w:rPr>
              <w:noProof/>
            </w:rPr>
            <w:t xml:space="preserve"> (5)</w:t>
          </w:r>
          <w:r w:rsidR="00B85D72">
            <w:rPr>
              <w:lang w:val="en-GB"/>
            </w:rPr>
            <w:fldChar w:fldCharType="end"/>
          </w:r>
        </w:sdtContent>
      </w:sdt>
      <w:r w:rsidRPr="00607BDA">
        <w:rPr>
          <w:lang w:val="en-GB"/>
        </w:rPr>
        <w:t>.</w:t>
      </w:r>
      <w:r w:rsidR="008E4413" w:rsidRPr="008E4413">
        <w:rPr>
          <w:lang w:val="en-GB"/>
        </w:rPr>
        <w:t xml:space="preserve"> </w:t>
      </w:r>
      <w:r w:rsidR="008E4413">
        <w:t xml:space="preserve">A study by </w:t>
      </w:r>
      <w:r w:rsidR="008E4413" w:rsidRPr="00131F19">
        <w:t>Mars</w:t>
      </w:r>
      <w:r w:rsidR="008E4413">
        <w:t>h</w:t>
      </w:r>
      <w:r w:rsidR="008E4413" w:rsidRPr="00131F19">
        <w:t xml:space="preserve"> et al</w:t>
      </w:r>
      <w:sdt>
        <w:sdtPr>
          <w:id w:val="1856372173"/>
          <w:citation/>
        </w:sdtPr>
        <w:sdtEndPr/>
        <w:sdtContent>
          <w:r w:rsidR="00B85D72">
            <w:fldChar w:fldCharType="begin"/>
          </w:r>
          <w:r w:rsidR="00B85D72">
            <w:instrText xml:space="preserve"> CITATION Mar14 \l 3081 </w:instrText>
          </w:r>
          <w:r w:rsidR="00B85D72">
            <w:fldChar w:fldCharType="separate"/>
          </w:r>
          <w:r w:rsidR="00B85D72">
            <w:rPr>
              <w:noProof/>
            </w:rPr>
            <w:t xml:space="preserve"> (6)</w:t>
          </w:r>
          <w:r w:rsidR="00B85D72">
            <w:fldChar w:fldCharType="end"/>
          </w:r>
        </w:sdtContent>
      </w:sdt>
      <w:r w:rsidR="008E4413">
        <w:t>.</w:t>
      </w:r>
      <w:r w:rsidR="008E4413" w:rsidRPr="00131F19">
        <w:t xml:space="preserve"> </w:t>
      </w:r>
      <w:r w:rsidR="008E4413">
        <w:t>in 2014 showed that patients followed up after hip surgery via telehealth travelled less (28km versus 104km</w:t>
      </w:r>
      <w:r w:rsidR="008E4413" w:rsidRPr="00614D02">
        <w:t>)</w:t>
      </w:r>
      <w:r w:rsidR="008E4413">
        <w:t xml:space="preserve"> and </w:t>
      </w:r>
      <w:r w:rsidR="008E4413" w:rsidRPr="00614D02">
        <w:t>ha</w:t>
      </w:r>
      <w:r w:rsidR="008E4413">
        <w:t>d lower associated costs ($10 versus $21</w:t>
      </w:r>
      <w:r w:rsidR="008E4413" w:rsidRPr="00614D02">
        <w:t>)</w:t>
      </w:r>
      <w:r w:rsidR="008E4413">
        <w:t>,</w:t>
      </w:r>
      <w:r w:rsidR="008E4413" w:rsidRPr="00614D02">
        <w:t xml:space="preserve"> and</w:t>
      </w:r>
      <w:r w:rsidR="008E4413">
        <w:t xml:space="preserve"> that attendances</w:t>
      </w:r>
      <w:r w:rsidR="008E4413" w:rsidRPr="00614D02">
        <w:t xml:space="preserve"> to</w:t>
      </w:r>
      <w:r w:rsidR="008E4413">
        <w:t xml:space="preserve">ok less total time to complete (122 </w:t>
      </w:r>
      <w:r w:rsidR="008E4413" w:rsidRPr="00614D02">
        <w:t>min</w:t>
      </w:r>
      <w:r w:rsidR="008E4413">
        <w:t>utes</w:t>
      </w:r>
      <w:r w:rsidR="008E4413" w:rsidRPr="00614D02">
        <w:t xml:space="preserve"> </w:t>
      </w:r>
      <w:r w:rsidR="008E4413">
        <w:t xml:space="preserve">versus 229 </w:t>
      </w:r>
      <w:r w:rsidR="008E4413" w:rsidRPr="00614D02">
        <w:t>min</w:t>
      </w:r>
      <w:r w:rsidR="008E4413">
        <w:t xml:space="preserve">utes). </w:t>
      </w:r>
    </w:p>
    <w:p w14:paraId="2E5B6B08" w14:textId="77777777" w:rsidR="003702F8" w:rsidRPr="00607BDA" w:rsidRDefault="003702F8" w:rsidP="00607BDA">
      <w:pPr>
        <w:pStyle w:val="Bullet-green"/>
        <w:rPr>
          <w:lang w:val="en-GB"/>
        </w:rPr>
      </w:pPr>
      <w:r w:rsidRPr="00607BDA">
        <w:rPr>
          <w:lang w:val="en-GB"/>
        </w:rPr>
        <w:t>The Committee also noted that many countries and health services, including Finland</w:t>
      </w:r>
      <w:sdt>
        <w:sdtPr>
          <w:rPr>
            <w:lang w:val="en-GB"/>
          </w:rPr>
          <w:id w:val="-972295547"/>
          <w:citation/>
        </w:sdtPr>
        <w:sdtEndPr/>
        <w:sdtContent>
          <w:r w:rsidR="00B85D72">
            <w:rPr>
              <w:lang w:val="en-GB"/>
            </w:rPr>
            <w:fldChar w:fldCharType="begin"/>
          </w:r>
          <w:r w:rsidR="00B85D72">
            <w:instrText xml:space="preserve"> CITATION Sai18 \l 3081 </w:instrText>
          </w:r>
          <w:r w:rsidR="00B85D72">
            <w:rPr>
              <w:lang w:val="en-GB"/>
            </w:rPr>
            <w:fldChar w:fldCharType="separate"/>
          </w:r>
          <w:r w:rsidR="00B85D72">
            <w:rPr>
              <w:noProof/>
            </w:rPr>
            <w:t xml:space="preserve"> (7)</w:t>
          </w:r>
          <w:r w:rsidR="00B85D72">
            <w:rPr>
              <w:lang w:val="en-GB"/>
            </w:rPr>
            <w:fldChar w:fldCharType="end"/>
          </w:r>
        </w:sdtContent>
      </w:sdt>
      <w:r w:rsidR="00B85D72">
        <w:rPr>
          <w:lang w:val="en-GB"/>
        </w:rPr>
        <w:t>, British Colombia</w:t>
      </w:r>
      <w:r w:rsidR="00925DBB">
        <w:rPr>
          <w:lang w:val="en-GB"/>
        </w:rPr>
        <w:t xml:space="preserve"> and</w:t>
      </w:r>
      <w:r w:rsidRPr="00607BDA">
        <w:rPr>
          <w:lang w:val="en-GB"/>
        </w:rPr>
        <w:t xml:space="preserve"> the UK</w:t>
      </w:r>
      <w:sdt>
        <w:sdtPr>
          <w:rPr>
            <w:lang w:val="en-GB"/>
          </w:rPr>
          <w:id w:val="-1678342451"/>
          <w:citation/>
        </w:sdtPr>
        <w:sdtEndPr/>
        <w:sdtContent>
          <w:r w:rsidR="00B85D72">
            <w:rPr>
              <w:lang w:val="en-GB"/>
            </w:rPr>
            <w:fldChar w:fldCharType="begin"/>
          </w:r>
          <w:r w:rsidR="00B85D72">
            <w:instrText xml:space="preserve"> CITATION Dat15 \l 3081 </w:instrText>
          </w:r>
          <w:r w:rsidR="00B85D72">
            <w:rPr>
              <w:lang w:val="en-GB"/>
            </w:rPr>
            <w:fldChar w:fldCharType="separate"/>
          </w:r>
          <w:r w:rsidR="00B85D72">
            <w:rPr>
              <w:noProof/>
            </w:rPr>
            <w:t xml:space="preserve"> (8)</w:t>
          </w:r>
          <w:r w:rsidR="00B85D72">
            <w:rPr>
              <w:lang w:val="en-GB"/>
            </w:rPr>
            <w:fldChar w:fldCharType="end"/>
          </w:r>
        </w:sdtContent>
      </w:sdt>
      <w:r w:rsidRPr="00607BDA">
        <w:rPr>
          <w:lang w:val="en-GB"/>
        </w:rPr>
        <w:t xml:space="preserve">, have built successful telehealth services without providing any financial incentive to physicians (Figure </w:t>
      </w:r>
      <w:r w:rsidR="002355E9">
        <w:rPr>
          <w:lang w:val="en-GB"/>
        </w:rPr>
        <w:t>5</w:t>
      </w:r>
      <w:r w:rsidRPr="00607BDA">
        <w:rPr>
          <w:lang w:val="en-GB"/>
        </w:rPr>
        <w:t>).</w:t>
      </w:r>
    </w:p>
    <w:p w14:paraId="0425E096" w14:textId="77777777" w:rsidR="003702F8" w:rsidRPr="00C8365D" w:rsidRDefault="003702F8" w:rsidP="003702F8">
      <w:pPr>
        <w:pStyle w:val="60exhnormal"/>
        <w:rPr>
          <w:rFonts w:asciiTheme="minorHAnsi" w:hAnsiTheme="minorHAnsi" w:cstheme="minorHAnsi"/>
          <w:b/>
          <w:sz w:val="20"/>
          <w:lang w:val="en-GB"/>
        </w:rPr>
      </w:pPr>
      <w:bookmarkStart w:id="174" w:name="_Toc529028439"/>
      <w:r>
        <w:rPr>
          <w:rFonts w:asciiTheme="minorHAnsi" w:hAnsiTheme="minorHAnsi" w:cstheme="minorHAnsi"/>
          <w:b/>
          <w:caps w:val="0"/>
          <w:sz w:val="20"/>
          <w:lang w:val="en-GB"/>
        </w:rPr>
        <w:t>Figure</w:t>
      </w:r>
      <w:r w:rsidRPr="00C8365D">
        <w:rPr>
          <w:rFonts w:asciiTheme="minorHAnsi" w:hAnsiTheme="minorHAnsi" w:cstheme="minorHAnsi"/>
          <w:b/>
          <w:caps w:val="0"/>
          <w:sz w:val="20"/>
          <w:lang w:val="en-GB"/>
        </w:rPr>
        <w:t xml:space="preserve"> </w:t>
      </w:r>
      <w:r w:rsidR="002355E9">
        <w:rPr>
          <w:rFonts w:asciiTheme="minorHAnsi" w:hAnsiTheme="minorHAnsi" w:cstheme="minorHAnsi"/>
          <w:b/>
          <w:caps w:val="0"/>
          <w:sz w:val="20"/>
          <w:lang w:val="en-GB"/>
        </w:rPr>
        <w:t>5</w:t>
      </w:r>
      <w:r w:rsidRPr="00C8365D">
        <w:rPr>
          <w:rFonts w:asciiTheme="minorHAnsi" w:hAnsiTheme="minorHAnsi" w:cstheme="minorHAnsi"/>
          <w:b/>
          <w:caps w:val="0"/>
          <w:sz w:val="20"/>
          <w:lang w:val="en-GB"/>
        </w:rPr>
        <w:t>: How are telehealth attendances reimbursed in other geographies?</w:t>
      </w:r>
      <w:bookmarkEnd w:id="174"/>
    </w:p>
    <w:tbl>
      <w:tblPr>
        <w:tblW w:w="5000" w:type="pct"/>
        <w:tblInd w:w="8" w:type="dxa"/>
        <w:tblBorders>
          <w:top w:val="single" w:sz="4" w:space="0" w:color="808080"/>
          <w:bottom w:val="single" w:sz="4" w:space="0" w:color="808080"/>
        </w:tblBorders>
        <w:tblLayout w:type="fixed"/>
        <w:tblCellMar>
          <w:left w:w="0" w:type="dxa"/>
          <w:right w:w="0" w:type="dxa"/>
        </w:tblCellMar>
        <w:tblLook w:val="0000" w:firstRow="0" w:lastRow="0" w:firstColumn="0" w:lastColumn="0" w:noHBand="0" w:noVBand="0"/>
      </w:tblPr>
      <w:tblGrid>
        <w:gridCol w:w="8312"/>
      </w:tblGrid>
      <w:tr w:rsidR="003702F8" w14:paraId="062C0722" w14:textId="77777777" w:rsidTr="0073798D">
        <w:trPr>
          <w:cantSplit/>
        </w:trPr>
        <w:tc>
          <w:tcPr>
            <w:tcW w:w="5000" w:type="pct"/>
          </w:tcPr>
          <w:p w14:paraId="3C258354" w14:textId="77777777" w:rsidR="003702F8" w:rsidRDefault="003702F8" w:rsidP="0073798D">
            <w:pPr>
              <w:pStyle w:val="70exhtblnormal"/>
            </w:pPr>
            <w:r w:rsidRPr="002F0C10">
              <w:rPr>
                <w:noProof/>
                <w:lang w:val="en-AU" w:eastAsia="en-AU"/>
              </w:rPr>
              <w:drawing>
                <wp:inline distT="0" distB="0" distL="0" distR="0" wp14:anchorId="6E9EAB27" wp14:editId="5818EEE7">
                  <wp:extent cx="5117911" cy="3671216"/>
                  <wp:effectExtent l="0" t="0" r="6985" b="5715"/>
                  <wp:docPr id="5" name="Picture 5" descr="Figure 7 describes what the payment mechanism, tarrif and requirements of other countries' telehealth attendance items. " title="Figure 7: How are telehealth attendances reimbursed in other georgraph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2242" cy="3674323"/>
                          </a:xfrm>
                          <a:prstGeom prst="rect">
                            <a:avLst/>
                          </a:prstGeom>
                          <a:solidFill>
                            <a:srgbClr val="FFFFFF"/>
                          </a:solidFill>
                          <a:ln w="9525" cap="flat" cmpd="sng" algn="ctr">
                            <a:noFill/>
                            <a:prstDash val="solid"/>
                            <a:round/>
                            <a:headEnd type="none" w="med" len="med"/>
                            <a:tailEnd type="none" w="med" len="med"/>
                          </a:ln>
                        </pic:spPr>
                      </pic:pic>
                    </a:graphicData>
                  </a:graphic>
                </wp:inline>
              </w:drawing>
            </w:r>
          </w:p>
        </w:tc>
      </w:tr>
    </w:tbl>
    <w:p w14:paraId="621A601E" w14:textId="77777777" w:rsidR="003702F8" w:rsidRPr="00C33C0B" w:rsidRDefault="003702F8" w:rsidP="00607BDA">
      <w:pPr>
        <w:pStyle w:val="Bullet-green"/>
        <w:spacing w:before="360"/>
      </w:pPr>
      <w:r w:rsidRPr="00925DBB">
        <w:rPr>
          <w:lang w:val="en-GB"/>
        </w:rPr>
        <w:t>Telehealth loading is not the optimal mechanism to incentivise physician uptake</w:t>
      </w:r>
      <w:r w:rsidR="00925DBB" w:rsidRPr="00925DBB">
        <w:rPr>
          <w:lang w:val="en-GB"/>
        </w:rPr>
        <w:t xml:space="preserve">. </w:t>
      </w:r>
      <w:r w:rsidRPr="00C33C0B">
        <w:t>In Australia, growth in utilisation of telehealth for consultation</w:t>
      </w:r>
      <w:r>
        <w:t>s</w:t>
      </w:r>
      <w:r w:rsidRPr="00C33C0B">
        <w:t xml:space="preserve"> has slowed significantly since the introduction of the loading items in 2011</w:t>
      </w:r>
      <w:r w:rsidR="00925DBB">
        <w:rPr>
          <w:rStyle w:val="FootnoteReference"/>
        </w:rPr>
        <w:footnoteReference w:id="10"/>
      </w:r>
      <w:r>
        <w:t>,</w:t>
      </w:r>
      <w:r w:rsidRPr="00C33C0B">
        <w:t xml:space="preserve"> indicating that </w:t>
      </w:r>
      <w:r>
        <w:t>they are</w:t>
      </w:r>
      <w:r w:rsidRPr="00C33C0B">
        <w:t xml:space="preserve"> </w:t>
      </w:r>
      <w:r w:rsidR="005A58D1">
        <w:t>not</w:t>
      </w:r>
      <w:r w:rsidRPr="00C33C0B">
        <w:t xml:space="preserve"> incentivising </w:t>
      </w:r>
      <w:r w:rsidR="00415B47">
        <w:t xml:space="preserve">appropriate </w:t>
      </w:r>
      <w:r w:rsidRPr="00C33C0B">
        <w:t>provider uptake of telehealth. Physicians cite a lack of acceptance of telehealth as the main barrier to uptake</w:t>
      </w:r>
      <w:r>
        <w:t>.</w:t>
      </w:r>
      <w:r w:rsidRPr="00C33C0B">
        <w:rPr>
          <w:rStyle w:val="FootnoteReference"/>
          <w:lang w:val="en-GB"/>
        </w:rPr>
        <w:footnoteReference w:id="11"/>
      </w:r>
    </w:p>
    <w:p w14:paraId="28E644A7" w14:textId="77777777" w:rsidR="003702F8" w:rsidRDefault="003702F8" w:rsidP="00607BDA">
      <w:pPr>
        <w:pStyle w:val="Bullet-green"/>
        <w:spacing w:before="360"/>
      </w:pPr>
      <w:r w:rsidRPr="00CA5B11">
        <w:t>Consumers</w:t>
      </w:r>
      <w:r w:rsidRPr="00607BDA">
        <w:t xml:space="preserve"> lack awareness of telehealth services</w:t>
      </w:r>
      <w:r w:rsidR="00925DBB" w:rsidRPr="00607BDA">
        <w:t>.</w:t>
      </w:r>
      <w:r w:rsidRPr="00607BDA">
        <w:t xml:space="preserve"> </w:t>
      </w:r>
      <w:r w:rsidRPr="00C33C0B">
        <w:t>Bradford et al</w:t>
      </w:r>
      <w:r>
        <w:t>.</w:t>
      </w:r>
      <w:sdt>
        <w:sdtPr>
          <w:id w:val="1069456691"/>
          <w:citation/>
        </w:sdtPr>
        <w:sdtEndPr/>
        <w:sdtContent>
          <w:r w:rsidR="00B85D72">
            <w:fldChar w:fldCharType="begin"/>
          </w:r>
          <w:r w:rsidR="00B85D72">
            <w:instrText xml:space="preserve"> CITATION Bra15 \l 3081 </w:instrText>
          </w:r>
          <w:r w:rsidR="00B85D72">
            <w:fldChar w:fldCharType="separate"/>
          </w:r>
          <w:r w:rsidR="00B85D72">
            <w:rPr>
              <w:noProof/>
            </w:rPr>
            <w:t xml:space="preserve"> (9)</w:t>
          </w:r>
          <w:r w:rsidR="00B85D72">
            <w:fldChar w:fldCharType="end"/>
          </w:r>
        </w:sdtContent>
      </w:sdt>
      <w:r w:rsidRPr="00C33C0B">
        <w:t xml:space="preserve"> conducted a study in rural Queensland</w:t>
      </w:r>
      <w:r>
        <w:t xml:space="preserve"> in 2015</w:t>
      </w:r>
      <w:r w:rsidRPr="00C33C0B">
        <w:t xml:space="preserve"> which showed that 60</w:t>
      </w:r>
      <w:r>
        <w:t xml:space="preserve"> per cent</w:t>
      </w:r>
      <w:r w:rsidRPr="00C33C0B">
        <w:t xml:space="preserve"> </w:t>
      </w:r>
      <w:r>
        <w:t xml:space="preserve">of </w:t>
      </w:r>
      <w:r w:rsidRPr="00C33C0B">
        <w:t xml:space="preserve">participants were aware of telehealth, </w:t>
      </w:r>
      <w:r>
        <w:t xml:space="preserve">but </w:t>
      </w:r>
      <w:r w:rsidRPr="00C33C0B">
        <w:t>only 13</w:t>
      </w:r>
      <w:r>
        <w:t xml:space="preserve"> per cent</w:t>
      </w:r>
      <w:r w:rsidRPr="00C33C0B">
        <w:t xml:space="preserve"> had used telehealth services. The authors </w:t>
      </w:r>
      <w:r w:rsidR="0048637C">
        <w:t xml:space="preserve">observed that trust is required for telehealth to be an acceptable application for patients, and concluded </w:t>
      </w:r>
      <w:r w:rsidRPr="00C33C0B">
        <w:t>that greater public awareness and understanding of the potential benefits of telehealth was needed.</w:t>
      </w:r>
    </w:p>
    <w:p w14:paraId="24E487C5" w14:textId="77777777" w:rsidR="003702F8" w:rsidRDefault="003702F8" w:rsidP="003702F8">
      <w:pPr>
        <w:pStyle w:val="Bullet2"/>
        <w:numPr>
          <w:ilvl w:val="0"/>
          <w:numId w:val="0"/>
        </w:numPr>
        <w:ind w:left="720" w:hanging="360"/>
      </w:pPr>
    </w:p>
    <w:p w14:paraId="6E3966E2" w14:textId="77777777" w:rsidR="00CC6AEF" w:rsidRPr="00C33C0B" w:rsidRDefault="00CC6AEF" w:rsidP="00C64CF7">
      <w:pPr>
        <w:pStyle w:val="Heading1"/>
      </w:pPr>
      <w:bookmarkStart w:id="175" w:name="_Toc24544713"/>
      <w:r w:rsidRPr="00C33C0B">
        <w:t>Case conferenc</w:t>
      </w:r>
      <w:bookmarkEnd w:id="173"/>
      <w:r w:rsidR="004F4047" w:rsidRPr="00C33C0B">
        <w:t xml:space="preserve">e </w:t>
      </w:r>
      <w:r w:rsidR="00702869">
        <w:t>recommendations</w:t>
      </w:r>
      <w:bookmarkEnd w:id="175"/>
    </w:p>
    <w:p w14:paraId="2B2CCF88" w14:textId="77777777" w:rsidR="002C2B9B" w:rsidRDefault="002C2B9B" w:rsidP="003C5D5A">
      <w:pPr>
        <w:pStyle w:val="Heading2"/>
        <w:rPr>
          <w:lang w:val="en-GB"/>
        </w:rPr>
      </w:pPr>
      <w:bookmarkStart w:id="176" w:name="_Toc24544714"/>
      <w:r>
        <w:rPr>
          <w:lang w:val="en-GB"/>
        </w:rPr>
        <w:t>Current case conferencing framework</w:t>
      </w:r>
      <w:bookmarkEnd w:id="176"/>
    </w:p>
    <w:p w14:paraId="71226FBE" w14:textId="77777777" w:rsidR="000E204F" w:rsidRPr="00C33C0B" w:rsidRDefault="004F4047" w:rsidP="004F4047">
      <w:pPr>
        <w:rPr>
          <w:lang w:val="en-GB"/>
        </w:rPr>
      </w:pPr>
      <w:r w:rsidRPr="00C33C0B">
        <w:rPr>
          <w:lang w:val="en-GB"/>
        </w:rPr>
        <w:t xml:space="preserve">The MBS has </w:t>
      </w:r>
      <w:r w:rsidR="007B0852" w:rsidRPr="00C33C0B">
        <w:rPr>
          <w:lang w:val="en-GB"/>
        </w:rPr>
        <w:t>55</w:t>
      </w:r>
      <w:r w:rsidRPr="00C33C0B">
        <w:rPr>
          <w:lang w:val="en-GB"/>
        </w:rPr>
        <w:t xml:space="preserve"> case conference items</w:t>
      </w:r>
      <w:r w:rsidR="001F1D87">
        <w:rPr>
          <w:lang w:val="en-GB"/>
        </w:rPr>
        <w:t>. These items account</w:t>
      </w:r>
      <w:r w:rsidR="00516758">
        <w:rPr>
          <w:lang w:val="en-GB"/>
        </w:rPr>
        <w:t>ed</w:t>
      </w:r>
      <w:r w:rsidR="001F1D87">
        <w:rPr>
          <w:lang w:val="en-GB"/>
        </w:rPr>
        <w:t xml:space="preserve"> for</w:t>
      </w:r>
      <w:r w:rsidR="00BF20F0" w:rsidRPr="00C33C0B">
        <w:rPr>
          <w:lang w:val="en-GB"/>
        </w:rPr>
        <w:t xml:space="preserve"> over 350,000 services and almost $22</w:t>
      </w:r>
      <w:r w:rsidR="00B44441">
        <w:rPr>
          <w:lang w:val="en-GB"/>
        </w:rPr>
        <w:t xml:space="preserve"> million</w:t>
      </w:r>
      <w:r w:rsidR="00BF20F0" w:rsidRPr="00C33C0B">
        <w:rPr>
          <w:lang w:val="en-GB"/>
        </w:rPr>
        <w:t xml:space="preserve"> in benefits in 2016/17</w:t>
      </w:r>
      <w:r w:rsidRPr="00C33C0B">
        <w:rPr>
          <w:lang w:val="en-GB"/>
        </w:rPr>
        <w:t>.</w:t>
      </w:r>
      <w:r w:rsidR="00BF20F0" w:rsidRPr="00C33C0B">
        <w:rPr>
          <w:lang w:val="en-GB"/>
        </w:rPr>
        <w:t xml:space="preserve"> </w:t>
      </w:r>
      <w:r w:rsidR="006F48B9">
        <w:rPr>
          <w:lang w:val="en-GB"/>
        </w:rPr>
        <w:t>The items can be categorised as follows:</w:t>
      </w:r>
    </w:p>
    <w:p w14:paraId="5125B5F9" w14:textId="77777777" w:rsidR="00BF20F0" w:rsidRPr="00F30405" w:rsidRDefault="00BF20F0" w:rsidP="00BF20F0">
      <w:pPr>
        <w:pStyle w:val="Bullet-green"/>
        <w:rPr>
          <w:lang w:val="en-GB"/>
        </w:rPr>
      </w:pPr>
      <w:r w:rsidRPr="007520E9">
        <w:rPr>
          <w:lang w:val="en-GB"/>
        </w:rPr>
        <w:t xml:space="preserve">Six </w:t>
      </w:r>
      <w:r w:rsidR="00822C23" w:rsidRPr="007520E9">
        <w:rPr>
          <w:lang w:val="en-GB"/>
        </w:rPr>
        <w:t>c</w:t>
      </w:r>
      <w:r w:rsidR="00B72324" w:rsidRPr="007520E9">
        <w:rPr>
          <w:lang w:val="en-GB"/>
        </w:rPr>
        <w:t xml:space="preserve">onsultant </w:t>
      </w:r>
      <w:r w:rsidR="00822C23" w:rsidRPr="007520E9">
        <w:rPr>
          <w:lang w:val="en-GB"/>
        </w:rPr>
        <w:t>p</w:t>
      </w:r>
      <w:r w:rsidR="00A608C8" w:rsidRPr="007520E9">
        <w:rPr>
          <w:lang w:val="en-GB"/>
        </w:rPr>
        <w:t xml:space="preserve">hysician </w:t>
      </w:r>
      <w:r w:rsidRPr="007520E9">
        <w:rPr>
          <w:lang w:val="en-GB"/>
        </w:rPr>
        <w:t>community case conference items</w:t>
      </w:r>
      <w:r w:rsidR="001A4923">
        <w:rPr>
          <w:lang w:val="en-GB"/>
        </w:rPr>
        <w:t>,</w:t>
      </w:r>
      <w:r w:rsidR="00384152" w:rsidRPr="007520E9">
        <w:rPr>
          <w:lang w:val="en-GB"/>
        </w:rPr>
        <w:t xml:space="preserve"> with durations of</w:t>
      </w:r>
      <w:r w:rsidRPr="007520E9">
        <w:rPr>
          <w:lang w:val="en-GB"/>
        </w:rPr>
        <w:t xml:space="preserve"> </w:t>
      </w:r>
      <w:r w:rsidR="00C56B54" w:rsidRPr="007520E9">
        <w:rPr>
          <w:lang w:val="en-GB"/>
        </w:rPr>
        <w:t>15</w:t>
      </w:r>
      <w:r w:rsidR="00294A4B" w:rsidRPr="007520E9">
        <w:rPr>
          <w:lang w:val="en-GB"/>
        </w:rPr>
        <w:t xml:space="preserve"> to </w:t>
      </w:r>
      <w:r w:rsidR="00C56B54" w:rsidRPr="007520E9">
        <w:rPr>
          <w:lang w:val="en-GB"/>
        </w:rPr>
        <w:t>30</w:t>
      </w:r>
      <w:r w:rsidR="00753B42">
        <w:rPr>
          <w:lang w:val="en-GB"/>
        </w:rPr>
        <w:t> </w:t>
      </w:r>
      <w:r w:rsidR="00C56B54" w:rsidRPr="007520E9">
        <w:rPr>
          <w:lang w:val="en-GB"/>
        </w:rPr>
        <w:t>minutes, 30</w:t>
      </w:r>
      <w:r w:rsidR="009B5EC2" w:rsidRPr="007520E9">
        <w:rPr>
          <w:lang w:val="en-GB"/>
        </w:rPr>
        <w:t xml:space="preserve"> to </w:t>
      </w:r>
      <w:r w:rsidR="00C56B54" w:rsidRPr="007520E9">
        <w:rPr>
          <w:lang w:val="en-GB"/>
        </w:rPr>
        <w:t xml:space="preserve">45 minutes </w:t>
      </w:r>
      <w:r w:rsidR="00384152" w:rsidRPr="007520E9">
        <w:rPr>
          <w:lang w:val="en-GB"/>
        </w:rPr>
        <w:t>and</w:t>
      </w:r>
      <w:r w:rsidR="00C56B54" w:rsidRPr="007520E9">
        <w:rPr>
          <w:lang w:val="en-GB"/>
        </w:rPr>
        <w:t xml:space="preserve"> at least 45 minutes, </w:t>
      </w:r>
      <w:r w:rsidR="001A4923">
        <w:rPr>
          <w:lang w:val="en-GB"/>
        </w:rPr>
        <w:t>as well as</w:t>
      </w:r>
      <w:r w:rsidR="001A4923" w:rsidRPr="007520E9">
        <w:rPr>
          <w:lang w:val="en-GB"/>
        </w:rPr>
        <w:t xml:space="preserve"> </w:t>
      </w:r>
      <w:r w:rsidR="00C56B54" w:rsidRPr="007520E9">
        <w:rPr>
          <w:lang w:val="en-GB"/>
        </w:rPr>
        <w:t>s</w:t>
      </w:r>
      <w:r w:rsidR="00CB6960" w:rsidRPr="007520E9">
        <w:rPr>
          <w:lang w:val="en-GB"/>
        </w:rPr>
        <w:t>eparate items for organiser</w:t>
      </w:r>
      <w:r w:rsidR="008664B4" w:rsidRPr="007520E9">
        <w:rPr>
          <w:lang w:val="en-GB"/>
        </w:rPr>
        <w:t>s</w:t>
      </w:r>
      <w:r w:rsidR="00C56B54" w:rsidRPr="007520E9">
        <w:rPr>
          <w:lang w:val="en-GB"/>
        </w:rPr>
        <w:t xml:space="preserve"> and participants</w:t>
      </w:r>
      <w:r w:rsidR="008664B4" w:rsidRPr="0067229E">
        <w:rPr>
          <w:lang w:val="en-GB"/>
        </w:rPr>
        <w:t>.</w:t>
      </w:r>
    </w:p>
    <w:p w14:paraId="2EC2E54E" w14:textId="77777777" w:rsidR="00384152" w:rsidRPr="007520E9" w:rsidRDefault="00384152" w:rsidP="00384152">
      <w:pPr>
        <w:pStyle w:val="Bullet-green"/>
        <w:rPr>
          <w:lang w:val="en-GB"/>
        </w:rPr>
      </w:pPr>
      <w:r w:rsidRPr="007520E9">
        <w:rPr>
          <w:lang w:val="en-GB"/>
        </w:rPr>
        <w:t>Six</w:t>
      </w:r>
      <w:r w:rsidR="00A608C8" w:rsidRPr="007520E9">
        <w:rPr>
          <w:lang w:val="en-GB"/>
        </w:rPr>
        <w:t xml:space="preserve"> </w:t>
      </w:r>
      <w:r w:rsidR="00E55B11" w:rsidRPr="007520E9">
        <w:rPr>
          <w:lang w:val="en-GB"/>
        </w:rPr>
        <w:t>c</w:t>
      </w:r>
      <w:r w:rsidR="00B72324" w:rsidRPr="007520E9">
        <w:rPr>
          <w:lang w:val="en-GB"/>
        </w:rPr>
        <w:t xml:space="preserve">onsultant </w:t>
      </w:r>
      <w:r w:rsidR="00E55B11" w:rsidRPr="007520E9">
        <w:rPr>
          <w:lang w:val="en-GB"/>
        </w:rPr>
        <w:t>p</w:t>
      </w:r>
      <w:r w:rsidR="00A608C8" w:rsidRPr="007520E9">
        <w:rPr>
          <w:lang w:val="en-GB"/>
        </w:rPr>
        <w:t>hysician</w:t>
      </w:r>
      <w:r w:rsidRPr="007520E9">
        <w:rPr>
          <w:lang w:val="en-GB"/>
        </w:rPr>
        <w:t xml:space="preserve"> discharge case conference items</w:t>
      </w:r>
      <w:r w:rsidR="00C53060">
        <w:rPr>
          <w:lang w:val="en-GB"/>
        </w:rPr>
        <w:t>,</w:t>
      </w:r>
      <w:r w:rsidRPr="007520E9">
        <w:rPr>
          <w:lang w:val="en-GB"/>
        </w:rPr>
        <w:t xml:space="preserve"> with durations of 15</w:t>
      </w:r>
      <w:r w:rsidR="006F0506" w:rsidRPr="007520E9">
        <w:rPr>
          <w:lang w:val="en-GB"/>
        </w:rPr>
        <w:t xml:space="preserve"> to </w:t>
      </w:r>
      <w:r w:rsidRPr="007520E9">
        <w:rPr>
          <w:lang w:val="en-GB"/>
        </w:rPr>
        <w:t>30 minutes, 30</w:t>
      </w:r>
      <w:r w:rsidR="006F0506" w:rsidRPr="007520E9">
        <w:rPr>
          <w:lang w:val="en-GB"/>
        </w:rPr>
        <w:t xml:space="preserve"> to </w:t>
      </w:r>
      <w:r w:rsidRPr="007520E9">
        <w:rPr>
          <w:lang w:val="en-GB"/>
        </w:rPr>
        <w:t xml:space="preserve">45 minutes and at least 45 minutes, </w:t>
      </w:r>
      <w:r w:rsidR="00C53060">
        <w:rPr>
          <w:lang w:val="en-GB"/>
        </w:rPr>
        <w:t>as well as</w:t>
      </w:r>
      <w:r w:rsidR="00C53060" w:rsidRPr="007520E9">
        <w:rPr>
          <w:lang w:val="en-GB"/>
        </w:rPr>
        <w:t xml:space="preserve"> </w:t>
      </w:r>
      <w:r w:rsidRPr="007520E9">
        <w:rPr>
          <w:lang w:val="en-GB"/>
        </w:rPr>
        <w:t>s</w:t>
      </w:r>
      <w:r w:rsidR="00CB6960" w:rsidRPr="007520E9">
        <w:rPr>
          <w:lang w:val="en-GB"/>
        </w:rPr>
        <w:t>eparate items for organiser</w:t>
      </w:r>
      <w:r w:rsidR="00906411" w:rsidRPr="007520E9">
        <w:rPr>
          <w:lang w:val="en-GB"/>
        </w:rPr>
        <w:t>s</w:t>
      </w:r>
      <w:r w:rsidRPr="007520E9">
        <w:rPr>
          <w:lang w:val="en-GB"/>
        </w:rPr>
        <w:t xml:space="preserve"> </w:t>
      </w:r>
      <w:r w:rsidRPr="0067229E">
        <w:rPr>
          <w:lang w:val="en-GB"/>
        </w:rPr>
        <w:t>and participant</w:t>
      </w:r>
      <w:r w:rsidR="00FC15D9">
        <w:rPr>
          <w:lang w:val="en-GB"/>
        </w:rPr>
        <w:t>s</w:t>
      </w:r>
      <w:r w:rsidR="00906411" w:rsidRPr="00F30405">
        <w:rPr>
          <w:lang w:val="en-GB"/>
        </w:rPr>
        <w:t>.</w:t>
      </w:r>
    </w:p>
    <w:p w14:paraId="05E39EA2" w14:textId="77777777" w:rsidR="00B92CA3" w:rsidRPr="007520E9" w:rsidRDefault="00B92CA3" w:rsidP="00B92CA3">
      <w:pPr>
        <w:pStyle w:val="Bullet-green"/>
        <w:rPr>
          <w:lang w:val="en-GB"/>
        </w:rPr>
      </w:pPr>
      <w:r w:rsidRPr="007520E9">
        <w:rPr>
          <w:lang w:val="en-GB"/>
        </w:rPr>
        <w:t xml:space="preserve">Two </w:t>
      </w:r>
      <w:r w:rsidR="00906411" w:rsidRPr="007520E9">
        <w:rPr>
          <w:lang w:val="en-GB"/>
        </w:rPr>
        <w:t>s</w:t>
      </w:r>
      <w:r w:rsidR="00B72324" w:rsidRPr="007520E9">
        <w:rPr>
          <w:lang w:val="en-GB"/>
        </w:rPr>
        <w:t>pecialist</w:t>
      </w:r>
      <w:r w:rsidR="00F058B7" w:rsidRPr="007520E9">
        <w:rPr>
          <w:lang w:val="en-GB"/>
        </w:rPr>
        <w:t>/</w:t>
      </w:r>
      <w:r w:rsidR="00906411" w:rsidRPr="007520E9">
        <w:rPr>
          <w:lang w:val="en-GB"/>
        </w:rPr>
        <w:t>c</w:t>
      </w:r>
      <w:r w:rsidR="00B72324" w:rsidRPr="007520E9">
        <w:rPr>
          <w:lang w:val="en-GB"/>
        </w:rPr>
        <w:t xml:space="preserve">onsultant </w:t>
      </w:r>
      <w:r w:rsidR="00906411" w:rsidRPr="007520E9">
        <w:rPr>
          <w:lang w:val="en-GB"/>
        </w:rPr>
        <w:t>p</w:t>
      </w:r>
      <w:r w:rsidRPr="007520E9">
        <w:rPr>
          <w:lang w:val="en-GB"/>
        </w:rPr>
        <w:t>hysician case conference items for patients with cancer, with separate items for organiser</w:t>
      </w:r>
      <w:r w:rsidR="00562DD9" w:rsidRPr="007520E9">
        <w:rPr>
          <w:lang w:val="en-GB"/>
        </w:rPr>
        <w:t>s</w:t>
      </w:r>
      <w:r w:rsidRPr="007520E9">
        <w:rPr>
          <w:lang w:val="en-GB"/>
        </w:rPr>
        <w:t xml:space="preserve"> and participants</w:t>
      </w:r>
      <w:r w:rsidR="00562DD9" w:rsidRPr="007520E9">
        <w:rPr>
          <w:lang w:val="en-GB"/>
        </w:rPr>
        <w:t>.</w:t>
      </w:r>
      <w:r w:rsidRPr="007520E9">
        <w:rPr>
          <w:lang w:val="en-GB"/>
        </w:rPr>
        <w:t xml:space="preserve"> </w:t>
      </w:r>
    </w:p>
    <w:p w14:paraId="0849504C" w14:textId="77777777" w:rsidR="00CB6960" w:rsidRPr="007520E9" w:rsidRDefault="00CB6960" w:rsidP="00A50B6D">
      <w:pPr>
        <w:pStyle w:val="Bullet-green"/>
        <w:rPr>
          <w:lang w:val="en-GB"/>
        </w:rPr>
      </w:pPr>
      <w:r w:rsidRPr="007520E9">
        <w:rPr>
          <w:lang w:val="en-GB"/>
        </w:rPr>
        <w:t>Twelve pain medicine case conference items</w:t>
      </w:r>
      <w:r w:rsidR="00434114">
        <w:rPr>
          <w:lang w:val="en-GB"/>
        </w:rPr>
        <w:t>,</w:t>
      </w:r>
      <w:r w:rsidR="00A50B6D" w:rsidRPr="007520E9">
        <w:rPr>
          <w:lang w:val="en-GB"/>
        </w:rPr>
        <w:t xml:space="preserve"> with durations of 15</w:t>
      </w:r>
      <w:r w:rsidR="0008494C" w:rsidRPr="007520E9">
        <w:rPr>
          <w:lang w:val="en-GB"/>
        </w:rPr>
        <w:t xml:space="preserve"> to </w:t>
      </w:r>
      <w:r w:rsidR="00A50B6D" w:rsidRPr="007520E9">
        <w:rPr>
          <w:lang w:val="en-GB"/>
        </w:rPr>
        <w:t>30 minutes, 30</w:t>
      </w:r>
      <w:r w:rsidR="0008494C" w:rsidRPr="007520E9">
        <w:rPr>
          <w:lang w:val="en-GB"/>
        </w:rPr>
        <w:t xml:space="preserve"> to </w:t>
      </w:r>
      <w:r w:rsidR="00A50B6D" w:rsidRPr="007520E9">
        <w:rPr>
          <w:lang w:val="en-GB"/>
        </w:rPr>
        <w:t xml:space="preserve">45 minutes and at least 45 minutes, </w:t>
      </w:r>
      <w:r w:rsidR="00434114">
        <w:rPr>
          <w:lang w:val="en-GB"/>
        </w:rPr>
        <w:t>as well as</w:t>
      </w:r>
      <w:r w:rsidR="00434114" w:rsidRPr="007520E9">
        <w:rPr>
          <w:lang w:val="en-GB"/>
        </w:rPr>
        <w:t xml:space="preserve"> </w:t>
      </w:r>
      <w:r w:rsidR="00A50B6D" w:rsidRPr="007520E9">
        <w:rPr>
          <w:lang w:val="en-GB"/>
        </w:rPr>
        <w:t>separate items for discharge and community conferences, and for organiser</w:t>
      </w:r>
      <w:r w:rsidR="00FC016D" w:rsidRPr="007520E9">
        <w:rPr>
          <w:lang w:val="en-GB"/>
        </w:rPr>
        <w:t>s</w:t>
      </w:r>
      <w:r w:rsidR="00A50B6D" w:rsidRPr="007520E9">
        <w:rPr>
          <w:lang w:val="en-GB"/>
        </w:rPr>
        <w:t xml:space="preserve"> and participants</w:t>
      </w:r>
      <w:r w:rsidR="00FC016D" w:rsidRPr="007520E9">
        <w:rPr>
          <w:lang w:val="en-GB"/>
        </w:rPr>
        <w:t>.</w:t>
      </w:r>
    </w:p>
    <w:p w14:paraId="7F9A23DC" w14:textId="77777777" w:rsidR="00A50B6D" w:rsidRPr="007520E9" w:rsidRDefault="00A50B6D" w:rsidP="00A50B6D">
      <w:pPr>
        <w:pStyle w:val="Bullet-green"/>
        <w:rPr>
          <w:lang w:val="en-GB"/>
        </w:rPr>
      </w:pPr>
      <w:r w:rsidRPr="007520E9">
        <w:rPr>
          <w:lang w:val="en-GB"/>
        </w:rPr>
        <w:t>Twelve palliative medicine case conference items</w:t>
      </w:r>
      <w:r w:rsidR="00C85C62">
        <w:rPr>
          <w:lang w:val="en-GB"/>
        </w:rPr>
        <w:t>,</w:t>
      </w:r>
      <w:r w:rsidRPr="007520E9">
        <w:rPr>
          <w:lang w:val="en-GB"/>
        </w:rPr>
        <w:t xml:space="preserve"> with durations of 15</w:t>
      </w:r>
      <w:r w:rsidR="00777733" w:rsidRPr="007520E9">
        <w:rPr>
          <w:lang w:val="en-GB"/>
        </w:rPr>
        <w:t xml:space="preserve"> to </w:t>
      </w:r>
      <w:r w:rsidRPr="007520E9">
        <w:rPr>
          <w:lang w:val="en-GB"/>
        </w:rPr>
        <w:t>30 minutes, 30</w:t>
      </w:r>
      <w:r w:rsidR="00777733" w:rsidRPr="007520E9">
        <w:rPr>
          <w:lang w:val="en-GB"/>
        </w:rPr>
        <w:t xml:space="preserve"> to </w:t>
      </w:r>
      <w:r w:rsidRPr="007520E9">
        <w:rPr>
          <w:lang w:val="en-GB"/>
        </w:rPr>
        <w:t xml:space="preserve">45 minutes and at least 45 minutes, </w:t>
      </w:r>
      <w:r w:rsidR="00F83322">
        <w:rPr>
          <w:lang w:val="en-GB"/>
        </w:rPr>
        <w:t>as well as</w:t>
      </w:r>
      <w:r w:rsidR="00F83322" w:rsidRPr="007520E9">
        <w:rPr>
          <w:lang w:val="en-GB"/>
        </w:rPr>
        <w:t xml:space="preserve"> </w:t>
      </w:r>
      <w:r w:rsidRPr="007520E9">
        <w:rPr>
          <w:lang w:val="en-GB"/>
        </w:rPr>
        <w:t>separate items for discharge and community conferences, and for organiser</w:t>
      </w:r>
      <w:r w:rsidR="00D467C6" w:rsidRPr="007520E9">
        <w:rPr>
          <w:lang w:val="en-GB"/>
        </w:rPr>
        <w:t>s</w:t>
      </w:r>
      <w:r w:rsidRPr="007520E9">
        <w:rPr>
          <w:lang w:val="en-GB"/>
        </w:rPr>
        <w:t xml:space="preserve"> and participants</w:t>
      </w:r>
      <w:r w:rsidR="00D467C6" w:rsidRPr="007520E9">
        <w:rPr>
          <w:lang w:val="en-GB"/>
        </w:rPr>
        <w:t>.</w:t>
      </w:r>
    </w:p>
    <w:p w14:paraId="575EAE39" w14:textId="77777777" w:rsidR="006910E4" w:rsidRPr="007520E9" w:rsidRDefault="006910E4" w:rsidP="006910E4">
      <w:pPr>
        <w:pStyle w:val="Bullet-green"/>
        <w:rPr>
          <w:lang w:val="en-GB"/>
        </w:rPr>
      </w:pPr>
      <w:r w:rsidRPr="007520E9">
        <w:rPr>
          <w:lang w:val="en-GB"/>
        </w:rPr>
        <w:t>One geriatric and rehabilitation medicine case conference item to coordinate a case conference of at least 10 minutes but less than 30 minutes</w:t>
      </w:r>
      <w:r w:rsidR="00C84CB4" w:rsidRPr="007520E9">
        <w:rPr>
          <w:lang w:val="en-GB"/>
        </w:rPr>
        <w:t>.</w:t>
      </w:r>
    </w:p>
    <w:p w14:paraId="664EB1EC" w14:textId="77777777" w:rsidR="007740BF" w:rsidRPr="007520E9" w:rsidRDefault="007740BF" w:rsidP="007740BF">
      <w:pPr>
        <w:pStyle w:val="Bullet-green"/>
        <w:rPr>
          <w:lang w:val="en-GB"/>
        </w:rPr>
      </w:pPr>
      <w:r w:rsidRPr="007520E9">
        <w:rPr>
          <w:lang w:val="en-GB"/>
        </w:rPr>
        <w:t>Eight addiction medicine community case conference items, with durations of less than 15 minutes, 15</w:t>
      </w:r>
      <w:r w:rsidR="007F3B9D" w:rsidRPr="007520E9">
        <w:rPr>
          <w:lang w:val="en-GB"/>
        </w:rPr>
        <w:t xml:space="preserve"> to </w:t>
      </w:r>
      <w:r w:rsidRPr="007520E9">
        <w:rPr>
          <w:lang w:val="en-GB"/>
        </w:rPr>
        <w:t>30 minutes, 30</w:t>
      </w:r>
      <w:r w:rsidR="00BB3AE7" w:rsidRPr="007520E9">
        <w:rPr>
          <w:lang w:val="en-GB"/>
        </w:rPr>
        <w:t xml:space="preserve"> to </w:t>
      </w:r>
      <w:r w:rsidRPr="007520E9">
        <w:rPr>
          <w:lang w:val="en-GB"/>
        </w:rPr>
        <w:t xml:space="preserve">45 minutes and at least 45 minutes, </w:t>
      </w:r>
      <w:r w:rsidR="009E049F">
        <w:rPr>
          <w:lang w:val="en-GB"/>
        </w:rPr>
        <w:t>as well as</w:t>
      </w:r>
      <w:r w:rsidR="009E049F" w:rsidRPr="007520E9">
        <w:rPr>
          <w:lang w:val="en-GB"/>
        </w:rPr>
        <w:t xml:space="preserve"> </w:t>
      </w:r>
      <w:r w:rsidRPr="007520E9">
        <w:rPr>
          <w:lang w:val="en-GB"/>
        </w:rPr>
        <w:t>separate items for organiser</w:t>
      </w:r>
      <w:r w:rsidR="006D4822" w:rsidRPr="0067229E">
        <w:rPr>
          <w:lang w:val="en-GB"/>
        </w:rPr>
        <w:t>s</w:t>
      </w:r>
      <w:r w:rsidRPr="00F30405">
        <w:rPr>
          <w:lang w:val="en-GB"/>
        </w:rPr>
        <w:t xml:space="preserve"> and participants</w:t>
      </w:r>
      <w:r w:rsidR="006D4822" w:rsidRPr="007520E9">
        <w:rPr>
          <w:lang w:val="en-GB"/>
        </w:rPr>
        <w:t>.</w:t>
      </w:r>
    </w:p>
    <w:p w14:paraId="740C962E" w14:textId="77777777" w:rsidR="007740BF" w:rsidRDefault="007740BF" w:rsidP="007740BF">
      <w:pPr>
        <w:pStyle w:val="Bullet-green"/>
        <w:rPr>
          <w:lang w:val="en-GB"/>
        </w:rPr>
      </w:pPr>
      <w:r w:rsidRPr="007520E9">
        <w:rPr>
          <w:lang w:val="en-GB"/>
        </w:rPr>
        <w:t>Eight sexual health medicine community case conference items</w:t>
      </w:r>
      <w:r w:rsidR="0061198D">
        <w:rPr>
          <w:lang w:val="en-GB"/>
        </w:rPr>
        <w:t>,</w:t>
      </w:r>
      <w:r w:rsidRPr="007520E9">
        <w:rPr>
          <w:lang w:val="en-GB"/>
        </w:rPr>
        <w:t xml:space="preserve"> with durations of less than 15 minutes, 15</w:t>
      </w:r>
      <w:r w:rsidR="00FE42F9" w:rsidRPr="007520E9">
        <w:rPr>
          <w:lang w:val="en-GB"/>
        </w:rPr>
        <w:t xml:space="preserve"> to </w:t>
      </w:r>
      <w:r w:rsidRPr="007520E9">
        <w:rPr>
          <w:lang w:val="en-GB"/>
        </w:rPr>
        <w:t>30 minutes, 30</w:t>
      </w:r>
      <w:r w:rsidR="009B5490" w:rsidRPr="007520E9">
        <w:rPr>
          <w:lang w:val="en-GB"/>
        </w:rPr>
        <w:t xml:space="preserve"> to </w:t>
      </w:r>
      <w:r w:rsidRPr="007520E9">
        <w:rPr>
          <w:lang w:val="en-GB"/>
        </w:rPr>
        <w:t xml:space="preserve">45 minutes and at least 45 minutes, </w:t>
      </w:r>
      <w:r w:rsidR="00836928">
        <w:rPr>
          <w:lang w:val="en-GB"/>
        </w:rPr>
        <w:t>as well as</w:t>
      </w:r>
      <w:r w:rsidR="00836928" w:rsidRPr="007520E9">
        <w:rPr>
          <w:lang w:val="en-GB"/>
        </w:rPr>
        <w:t xml:space="preserve"> </w:t>
      </w:r>
      <w:r w:rsidRPr="007520E9">
        <w:rPr>
          <w:lang w:val="en-GB"/>
        </w:rPr>
        <w:t>separate items for organiser</w:t>
      </w:r>
      <w:r w:rsidR="008E2E94" w:rsidRPr="007520E9">
        <w:rPr>
          <w:lang w:val="en-GB"/>
        </w:rPr>
        <w:t>s</w:t>
      </w:r>
      <w:r w:rsidRPr="007520E9">
        <w:rPr>
          <w:lang w:val="en-GB"/>
        </w:rPr>
        <w:t xml:space="preserve"> and participants</w:t>
      </w:r>
      <w:r w:rsidR="008E2E94" w:rsidRPr="007520E9">
        <w:rPr>
          <w:lang w:val="en-GB"/>
        </w:rPr>
        <w:t>.</w:t>
      </w:r>
    </w:p>
    <w:p w14:paraId="21EA4EAF" w14:textId="77777777" w:rsidR="007E6567" w:rsidRDefault="007E6567" w:rsidP="00607BDA">
      <w:pPr>
        <w:pStyle w:val="Bullet-green"/>
        <w:numPr>
          <w:ilvl w:val="0"/>
          <w:numId w:val="0"/>
        </w:numPr>
      </w:pPr>
      <w:r>
        <w:t>Specific case conference items exist for pain medicine, palliative medicine, addiction medicine and sexual health medicine.</w:t>
      </w:r>
    </w:p>
    <w:p w14:paraId="34D95FAC" w14:textId="77777777" w:rsidR="00D770BE" w:rsidRPr="007520E9" w:rsidRDefault="00D770BE" w:rsidP="00607BDA">
      <w:pPr>
        <w:pStyle w:val="Bullet-green"/>
        <w:numPr>
          <w:ilvl w:val="0"/>
          <w:numId w:val="0"/>
        </w:numPr>
        <w:rPr>
          <w:lang w:val="en-GB"/>
        </w:rPr>
      </w:pPr>
      <w:r>
        <w:t>The current system is highly complex and can be difficult to navigate for providers and patients.</w:t>
      </w:r>
    </w:p>
    <w:p w14:paraId="123829FF" w14:textId="77777777" w:rsidR="00362B5F" w:rsidRPr="00C33C0B" w:rsidRDefault="00362B5F" w:rsidP="003C5D5A">
      <w:pPr>
        <w:pStyle w:val="Heading2"/>
      </w:pPr>
      <w:bookmarkStart w:id="177" w:name="_Toc24544715"/>
      <w:bookmarkStart w:id="178" w:name="_Hlk529008868"/>
      <w:r w:rsidRPr="00C33C0B">
        <w:t xml:space="preserve">Recommendation </w:t>
      </w:r>
      <w:r w:rsidR="00301462">
        <w:t>11</w:t>
      </w:r>
      <w:r w:rsidR="004907CE">
        <w:t xml:space="preserve"> - </w:t>
      </w:r>
      <w:r w:rsidR="004907CE">
        <w:rPr>
          <w:lang w:val="en-GB"/>
        </w:rPr>
        <w:t>Introduce</w:t>
      </w:r>
      <w:r w:rsidR="004907CE" w:rsidRPr="00C33C0B">
        <w:rPr>
          <w:lang w:val="en-GB"/>
        </w:rPr>
        <w:t xml:space="preserve"> a new framework of case conference items</w:t>
      </w:r>
      <w:r w:rsidR="004907CE">
        <w:rPr>
          <w:lang w:val="en-GB"/>
        </w:rPr>
        <w:t xml:space="preserve"> and allow access to all consultant specialists</w:t>
      </w:r>
      <w:bookmarkEnd w:id="177"/>
    </w:p>
    <w:p w14:paraId="0FAFCD51" w14:textId="77777777" w:rsidR="000A7018" w:rsidRDefault="000A7018" w:rsidP="00607BDA">
      <w:pPr>
        <w:pStyle w:val="Bullet-green"/>
        <w:numPr>
          <w:ilvl w:val="0"/>
          <w:numId w:val="0"/>
        </w:numPr>
        <w:rPr>
          <w:lang w:val="en-GB"/>
        </w:rPr>
      </w:pPr>
      <w:bookmarkStart w:id="179" w:name="_Hlk529027022"/>
      <w:r>
        <w:rPr>
          <w:lang w:val="en-GB"/>
        </w:rPr>
        <w:t>The Committee recommends:</w:t>
      </w:r>
    </w:p>
    <w:p w14:paraId="6664604F" w14:textId="77777777" w:rsidR="00E824BF" w:rsidRPr="00C33C0B" w:rsidRDefault="000A7018" w:rsidP="000831A1">
      <w:pPr>
        <w:pStyle w:val="Bullet-green"/>
        <w:numPr>
          <w:ilvl w:val="0"/>
          <w:numId w:val="55"/>
        </w:numPr>
        <w:rPr>
          <w:lang w:val="en-GB"/>
        </w:rPr>
      </w:pPr>
      <w:r>
        <w:rPr>
          <w:lang w:val="en-GB"/>
        </w:rPr>
        <w:t xml:space="preserve">introducing a new </w:t>
      </w:r>
      <w:r w:rsidR="006D2D3D">
        <w:rPr>
          <w:lang w:val="en-GB"/>
        </w:rPr>
        <w:t xml:space="preserve">simplified </w:t>
      </w:r>
      <w:r>
        <w:rPr>
          <w:lang w:val="en-GB"/>
        </w:rPr>
        <w:t>f</w:t>
      </w:r>
      <w:r w:rsidRPr="00C33C0B">
        <w:rPr>
          <w:lang w:val="en-GB"/>
        </w:rPr>
        <w:t>ramework of case conference items</w:t>
      </w:r>
      <w:r>
        <w:rPr>
          <w:lang w:val="en-GB"/>
        </w:rPr>
        <w:t>, featuring three types:</w:t>
      </w:r>
    </w:p>
    <w:p w14:paraId="33CFA645" w14:textId="77777777" w:rsidR="00E824BF" w:rsidRPr="00C33C0B" w:rsidRDefault="006D683C" w:rsidP="000831A1">
      <w:pPr>
        <w:pStyle w:val="Bullet2"/>
        <w:numPr>
          <w:ilvl w:val="0"/>
          <w:numId w:val="56"/>
        </w:numPr>
      </w:pPr>
      <w:r>
        <w:t>d</w:t>
      </w:r>
      <w:r w:rsidR="00E824BF" w:rsidRPr="00C33C0B">
        <w:t>ischarge planning case conferences</w:t>
      </w:r>
      <w:r w:rsidR="002F383E">
        <w:t xml:space="preserve"> </w:t>
      </w:r>
      <w:r w:rsidR="004F66EA">
        <w:rPr>
          <w:lang w:val="en-GB"/>
        </w:rPr>
        <w:t>- a case conference to facilitate better post-discharge care and communication</w:t>
      </w:r>
      <w:r>
        <w:rPr>
          <w:lang w:val="en-GB"/>
        </w:rPr>
        <w:t>;</w:t>
      </w:r>
    </w:p>
    <w:p w14:paraId="402A6A4D" w14:textId="77777777" w:rsidR="00E824BF" w:rsidRPr="00C33C0B" w:rsidRDefault="006D683C" w:rsidP="000831A1">
      <w:pPr>
        <w:pStyle w:val="Bullet2"/>
        <w:numPr>
          <w:ilvl w:val="0"/>
          <w:numId w:val="56"/>
        </w:numPr>
      </w:pPr>
      <w:r>
        <w:t>c</w:t>
      </w:r>
      <w:r w:rsidR="00E824BF" w:rsidRPr="00C33C0B">
        <w:t>ommunity case conferences</w:t>
      </w:r>
      <w:r w:rsidR="002F383E">
        <w:t xml:space="preserve"> </w:t>
      </w:r>
      <w:r w:rsidR="004F66EA">
        <w:rPr>
          <w:lang w:val="en-GB"/>
        </w:rPr>
        <w:t>- a case conference to facilitate the provision of better multidisciplinary care</w:t>
      </w:r>
      <w:r>
        <w:t xml:space="preserve">; </w:t>
      </w:r>
      <w:r w:rsidR="000A7018">
        <w:t>and</w:t>
      </w:r>
    </w:p>
    <w:p w14:paraId="363CDF85" w14:textId="77777777" w:rsidR="00E824BF" w:rsidRPr="00C33C0B" w:rsidRDefault="006D683C" w:rsidP="000831A1">
      <w:pPr>
        <w:pStyle w:val="Bullet2"/>
        <w:numPr>
          <w:ilvl w:val="0"/>
          <w:numId w:val="56"/>
        </w:numPr>
      </w:pPr>
      <w:r>
        <w:t>t</w:t>
      </w:r>
      <w:r w:rsidR="00E824BF" w:rsidRPr="00C33C0B">
        <w:t>reatment planning case conferences</w:t>
      </w:r>
      <w:r w:rsidR="001D722B" w:rsidRPr="00C33C0B">
        <w:t xml:space="preserve"> (new)</w:t>
      </w:r>
      <w:r w:rsidR="000A7018">
        <w:t xml:space="preserve"> </w:t>
      </w:r>
      <w:r w:rsidR="004F66EA">
        <w:rPr>
          <w:lang w:val="en-GB"/>
        </w:rPr>
        <w:t>- a case conference that explores and analyses potential treatment options and their respective benefits</w:t>
      </w:r>
      <w:r w:rsidR="004601A9">
        <w:t>.</w:t>
      </w:r>
    </w:p>
    <w:p w14:paraId="5857B919" w14:textId="77777777" w:rsidR="00C14AE6" w:rsidRPr="00607BDA" w:rsidRDefault="000A7018" w:rsidP="000831A1">
      <w:pPr>
        <w:pStyle w:val="Bullet-green"/>
        <w:numPr>
          <w:ilvl w:val="0"/>
          <w:numId w:val="55"/>
        </w:numPr>
        <w:rPr>
          <w:lang w:val="en-GB"/>
        </w:rPr>
      </w:pPr>
      <w:r>
        <w:rPr>
          <w:lang w:val="en-GB"/>
        </w:rPr>
        <w:t>r</w:t>
      </w:r>
      <w:r w:rsidR="00C14AE6" w:rsidRPr="00607BDA">
        <w:rPr>
          <w:lang w:val="en-GB"/>
        </w:rPr>
        <w:t>estructur</w:t>
      </w:r>
      <w:r>
        <w:rPr>
          <w:lang w:val="en-GB"/>
        </w:rPr>
        <w:t>ing</w:t>
      </w:r>
      <w:r w:rsidR="00C14AE6" w:rsidRPr="00607BDA">
        <w:rPr>
          <w:lang w:val="en-GB"/>
        </w:rPr>
        <w:t xml:space="preserve"> </w:t>
      </w:r>
      <w:r w:rsidR="000D7D7F" w:rsidRPr="00607BDA">
        <w:rPr>
          <w:lang w:val="en-GB"/>
        </w:rPr>
        <w:t xml:space="preserve">current </w:t>
      </w:r>
      <w:r w:rsidR="00DA6A8D" w:rsidRPr="00607BDA">
        <w:rPr>
          <w:lang w:val="en-GB"/>
        </w:rPr>
        <w:t xml:space="preserve">case conference </w:t>
      </w:r>
      <w:r w:rsidR="000A1728" w:rsidRPr="00607BDA">
        <w:rPr>
          <w:lang w:val="en-GB"/>
        </w:rPr>
        <w:t>items</w:t>
      </w:r>
      <w:r>
        <w:rPr>
          <w:lang w:val="en-GB"/>
        </w:rPr>
        <w:t>, by:</w:t>
      </w:r>
    </w:p>
    <w:p w14:paraId="3864CE5F" w14:textId="77777777" w:rsidR="009E749B" w:rsidRPr="00C33C0B" w:rsidRDefault="000A7018" w:rsidP="000831A1">
      <w:pPr>
        <w:pStyle w:val="BulletStyle3"/>
        <w:numPr>
          <w:ilvl w:val="0"/>
          <w:numId w:val="57"/>
        </w:numPr>
        <w:rPr>
          <w:lang w:val="en-GB"/>
        </w:rPr>
      </w:pPr>
      <w:r>
        <w:rPr>
          <w:lang w:val="en-GB"/>
        </w:rPr>
        <w:t xml:space="preserve">Replacing </w:t>
      </w:r>
      <w:r w:rsidR="00C14AE6" w:rsidRPr="00C33C0B">
        <w:rPr>
          <w:lang w:val="en-GB"/>
        </w:rPr>
        <w:t>“</w:t>
      </w:r>
      <w:r w:rsidR="00407143">
        <w:rPr>
          <w:lang w:val="en-GB"/>
        </w:rPr>
        <w:t>C</w:t>
      </w:r>
      <w:r w:rsidR="000A1728" w:rsidRPr="00C33C0B">
        <w:rPr>
          <w:lang w:val="en-GB"/>
        </w:rPr>
        <w:t xml:space="preserve">ancer </w:t>
      </w:r>
      <w:r w:rsidR="0052439D" w:rsidRPr="00C33C0B">
        <w:rPr>
          <w:lang w:val="en-GB"/>
        </w:rPr>
        <w:t>planning</w:t>
      </w:r>
      <w:r w:rsidR="00C14AE6" w:rsidRPr="00C33C0B">
        <w:rPr>
          <w:lang w:val="en-GB"/>
        </w:rPr>
        <w:t xml:space="preserve">” conferences </w:t>
      </w:r>
      <w:r>
        <w:rPr>
          <w:lang w:val="en-GB"/>
        </w:rPr>
        <w:t>with</w:t>
      </w:r>
      <w:r w:rsidR="004F66EA" w:rsidRPr="00C33C0B">
        <w:rPr>
          <w:lang w:val="en-GB"/>
        </w:rPr>
        <w:t xml:space="preserve"> </w:t>
      </w:r>
      <w:r w:rsidR="00C14AE6" w:rsidRPr="00C33C0B">
        <w:rPr>
          <w:lang w:val="en-GB"/>
        </w:rPr>
        <w:t>“</w:t>
      </w:r>
      <w:r w:rsidR="000A1728" w:rsidRPr="00C33C0B">
        <w:rPr>
          <w:lang w:val="en-GB"/>
        </w:rPr>
        <w:t>treat</w:t>
      </w:r>
      <w:r w:rsidR="000D7D7F" w:rsidRPr="00C33C0B">
        <w:rPr>
          <w:lang w:val="en-GB"/>
        </w:rPr>
        <w:t>ment planning</w:t>
      </w:r>
      <w:r w:rsidR="00C14AE6" w:rsidRPr="00C33C0B">
        <w:rPr>
          <w:lang w:val="en-GB"/>
        </w:rPr>
        <w:t xml:space="preserve">” </w:t>
      </w:r>
      <w:r w:rsidR="000D7D7F" w:rsidRPr="00C33C0B">
        <w:rPr>
          <w:lang w:val="en-GB"/>
        </w:rPr>
        <w:t>conferences</w:t>
      </w:r>
      <w:r w:rsidR="006D683C">
        <w:rPr>
          <w:lang w:val="en-GB"/>
        </w:rPr>
        <w:t xml:space="preserve">; </w:t>
      </w:r>
      <w:r w:rsidR="00C14AE6" w:rsidRPr="00C33C0B">
        <w:rPr>
          <w:lang w:val="en-GB"/>
        </w:rPr>
        <w:t xml:space="preserve">broadening </w:t>
      </w:r>
      <w:r w:rsidR="009E749B" w:rsidRPr="00C33C0B">
        <w:rPr>
          <w:lang w:val="en-GB"/>
        </w:rPr>
        <w:t xml:space="preserve">use of these items to other conditions that require treatment planning with </w:t>
      </w:r>
      <w:r w:rsidR="00FC15D9">
        <w:rPr>
          <w:lang w:val="en-GB"/>
        </w:rPr>
        <w:t>other members of the treatment team</w:t>
      </w:r>
      <w:r w:rsidR="009E749B" w:rsidRPr="00C33C0B">
        <w:rPr>
          <w:lang w:val="en-GB"/>
        </w:rPr>
        <w:t xml:space="preserve"> but are not cancer diagnoses</w:t>
      </w:r>
      <w:r w:rsidR="0017395F">
        <w:rPr>
          <w:lang w:val="en-GB"/>
        </w:rPr>
        <w:t>.</w:t>
      </w:r>
    </w:p>
    <w:p w14:paraId="0E4DE7A2" w14:textId="77777777" w:rsidR="00DA6A8D" w:rsidRPr="00C33C0B" w:rsidRDefault="000A7018" w:rsidP="000831A1">
      <w:pPr>
        <w:pStyle w:val="BulletStyle3"/>
        <w:numPr>
          <w:ilvl w:val="0"/>
          <w:numId w:val="57"/>
        </w:numPr>
        <w:rPr>
          <w:lang w:val="en-GB"/>
        </w:rPr>
      </w:pPr>
      <w:r>
        <w:rPr>
          <w:lang w:val="en-GB"/>
        </w:rPr>
        <w:t>Removing s</w:t>
      </w:r>
      <w:r w:rsidR="009E749B" w:rsidRPr="00C33C0B">
        <w:rPr>
          <w:lang w:val="en-GB"/>
        </w:rPr>
        <w:t>pecialty-specific ca</w:t>
      </w:r>
      <w:r w:rsidR="00E800F9" w:rsidRPr="00C33C0B">
        <w:rPr>
          <w:lang w:val="en-GB"/>
        </w:rPr>
        <w:t>se conference items</w:t>
      </w:r>
      <w:r w:rsidR="0091588A">
        <w:rPr>
          <w:lang w:val="en-GB"/>
        </w:rPr>
        <w:t xml:space="preserve"> - with the exception of item 880 for ger</w:t>
      </w:r>
      <w:r w:rsidR="008D7F80">
        <w:rPr>
          <w:lang w:val="en-GB"/>
        </w:rPr>
        <w:t>iatrics and rehabilitation medicine –</w:t>
      </w:r>
      <w:r w:rsidR="006D683C">
        <w:rPr>
          <w:lang w:val="en-GB"/>
        </w:rPr>
        <w:t xml:space="preserve"> </w:t>
      </w:r>
      <w:r w:rsidR="004F66EA">
        <w:rPr>
          <w:lang w:val="en-GB"/>
        </w:rPr>
        <w:t xml:space="preserve">with </w:t>
      </w:r>
      <w:r w:rsidR="00AA329D">
        <w:rPr>
          <w:lang w:val="en-GB"/>
        </w:rPr>
        <w:t>consultant specialist</w:t>
      </w:r>
      <w:r w:rsidR="00E800F9" w:rsidRPr="00C33C0B">
        <w:rPr>
          <w:lang w:val="en-GB"/>
        </w:rPr>
        <w:t xml:space="preserve">s </w:t>
      </w:r>
      <w:r w:rsidR="006C6555">
        <w:rPr>
          <w:lang w:val="en-GB"/>
        </w:rPr>
        <w:t>instead access</w:t>
      </w:r>
      <w:r w:rsidR="004F66EA">
        <w:rPr>
          <w:lang w:val="en-GB"/>
        </w:rPr>
        <w:t>ing</w:t>
      </w:r>
      <w:r w:rsidR="006C6555">
        <w:rPr>
          <w:lang w:val="en-GB"/>
        </w:rPr>
        <w:t xml:space="preserve"> the </w:t>
      </w:r>
      <w:r w:rsidR="00E800F9" w:rsidRPr="00C33C0B">
        <w:rPr>
          <w:lang w:val="en-GB"/>
        </w:rPr>
        <w:t xml:space="preserve">three </w:t>
      </w:r>
      <w:r w:rsidR="006C6555">
        <w:rPr>
          <w:lang w:val="en-GB"/>
        </w:rPr>
        <w:t xml:space="preserve">case conference </w:t>
      </w:r>
      <w:r w:rsidR="00E800F9" w:rsidRPr="00C33C0B">
        <w:rPr>
          <w:lang w:val="en-GB"/>
        </w:rPr>
        <w:t>categories</w:t>
      </w:r>
      <w:r w:rsidR="006C6555">
        <w:rPr>
          <w:lang w:val="en-GB"/>
        </w:rPr>
        <w:t xml:space="preserve"> listed</w:t>
      </w:r>
      <w:r w:rsidR="00E800F9" w:rsidRPr="00C33C0B">
        <w:rPr>
          <w:lang w:val="en-GB"/>
        </w:rPr>
        <w:t xml:space="preserve"> above</w:t>
      </w:r>
      <w:r w:rsidR="00F62AB8">
        <w:rPr>
          <w:lang w:val="en-GB"/>
        </w:rPr>
        <w:t>.</w:t>
      </w:r>
    </w:p>
    <w:p w14:paraId="5DBBF283" w14:textId="77777777" w:rsidR="000A7018" w:rsidRPr="00607BDA" w:rsidRDefault="007E6567" w:rsidP="000831A1">
      <w:pPr>
        <w:pStyle w:val="Bullet-green"/>
        <w:numPr>
          <w:ilvl w:val="0"/>
          <w:numId w:val="55"/>
        </w:numPr>
        <w:rPr>
          <w:lang w:val="en-GB"/>
        </w:rPr>
      </w:pPr>
      <w:r>
        <w:rPr>
          <w:lang w:val="en-GB"/>
        </w:rPr>
        <w:t>u</w:t>
      </w:r>
      <w:r w:rsidR="009E682B" w:rsidRPr="00607BDA">
        <w:rPr>
          <w:lang w:val="en-GB"/>
        </w:rPr>
        <w:t>pdat</w:t>
      </w:r>
      <w:r>
        <w:rPr>
          <w:lang w:val="en-GB"/>
        </w:rPr>
        <w:t>ing</w:t>
      </w:r>
      <w:r w:rsidR="009E682B" w:rsidRPr="00607BDA">
        <w:rPr>
          <w:lang w:val="en-GB"/>
        </w:rPr>
        <w:t xml:space="preserve"> existing discharge and community case conference item</w:t>
      </w:r>
      <w:r>
        <w:rPr>
          <w:lang w:val="en-GB"/>
        </w:rPr>
        <w:t>s</w:t>
      </w:r>
      <w:r w:rsidR="000A7018">
        <w:rPr>
          <w:lang w:val="en-GB"/>
        </w:rPr>
        <w:t xml:space="preserve"> (</w:t>
      </w:r>
      <w:r>
        <w:t>i</w:t>
      </w:r>
      <w:r w:rsidR="000A7018" w:rsidRPr="009834BE">
        <w:t>tems 820, 822, 823, 825, 826</w:t>
      </w:r>
      <w:r w:rsidR="000A7018">
        <w:t xml:space="preserve"> and</w:t>
      </w:r>
      <w:r w:rsidR="000A7018" w:rsidRPr="009834BE">
        <w:t xml:space="preserve"> 828</w:t>
      </w:r>
      <w:r w:rsidR="000A7018">
        <w:t>,</w:t>
      </w:r>
      <w:r w:rsidR="000A7018" w:rsidRPr="009834BE">
        <w:t xml:space="preserve"> and items</w:t>
      </w:r>
      <w:r w:rsidR="000A7018">
        <w:t xml:space="preserve"> 830, 832, 834, 835, 837 and 838) </w:t>
      </w:r>
      <w:r>
        <w:t>descriptors to</w:t>
      </w:r>
      <w:r w:rsidR="000A7018">
        <w:t>:</w:t>
      </w:r>
    </w:p>
    <w:p w14:paraId="0E53826E" w14:textId="77777777" w:rsidR="000A7018" w:rsidRDefault="007F6438" w:rsidP="000831A1">
      <w:pPr>
        <w:pStyle w:val="Bullet-green"/>
        <w:numPr>
          <w:ilvl w:val="0"/>
          <w:numId w:val="58"/>
        </w:numPr>
        <w:rPr>
          <w:lang w:val="en-GB"/>
        </w:rPr>
      </w:pPr>
      <w:r>
        <w:rPr>
          <w:lang w:val="en-GB"/>
        </w:rPr>
        <w:t>A</w:t>
      </w:r>
      <w:r w:rsidR="000A7018">
        <w:rPr>
          <w:lang w:val="en-GB"/>
        </w:rPr>
        <w:t xml:space="preserve">llow </w:t>
      </w:r>
      <w:r w:rsidR="006B4BA8" w:rsidRPr="00607BDA">
        <w:rPr>
          <w:lang w:val="en-GB"/>
        </w:rPr>
        <w:t xml:space="preserve">all </w:t>
      </w:r>
      <w:r w:rsidR="005A77BC" w:rsidRPr="00607BDA">
        <w:rPr>
          <w:lang w:val="en-GB"/>
        </w:rPr>
        <w:t xml:space="preserve">consultant </w:t>
      </w:r>
      <w:r w:rsidR="008C78CE" w:rsidRPr="00607BDA">
        <w:rPr>
          <w:lang w:val="en-GB"/>
        </w:rPr>
        <w:t>specialists</w:t>
      </w:r>
      <w:r w:rsidR="005A77BC" w:rsidRPr="00607BDA">
        <w:rPr>
          <w:lang w:val="en-GB"/>
        </w:rPr>
        <w:t xml:space="preserve"> </w:t>
      </w:r>
      <w:r w:rsidR="006B4BA8" w:rsidRPr="00607BDA">
        <w:rPr>
          <w:lang w:val="en-GB"/>
        </w:rPr>
        <w:t>to claim these items</w:t>
      </w:r>
      <w:r w:rsidR="006D683C">
        <w:rPr>
          <w:lang w:val="en-GB"/>
        </w:rPr>
        <w:t>.</w:t>
      </w:r>
    </w:p>
    <w:p w14:paraId="34BF6C96" w14:textId="77777777" w:rsidR="007E6567" w:rsidRDefault="007F6438" w:rsidP="000831A1">
      <w:pPr>
        <w:pStyle w:val="Bullet-green"/>
        <w:numPr>
          <w:ilvl w:val="0"/>
          <w:numId w:val="58"/>
        </w:numPr>
        <w:rPr>
          <w:lang w:val="en-GB"/>
        </w:rPr>
      </w:pPr>
      <w:r>
        <w:rPr>
          <w:lang w:val="en-GB"/>
        </w:rPr>
        <w:t>R</w:t>
      </w:r>
      <w:r w:rsidR="00F034F3" w:rsidRPr="000A7018">
        <w:rPr>
          <w:lang w:val="en-GB"/>
        </w:rPr>
        <w:t>equire</w:t>
      </w:r>
      <w:r w:rsidR="007E6567">
        <w:rPr>
          <w:lang w:val="en-GB"/>
        </w:rPr>
        <w:t>:</w:t>
      </w:r>
    </w:p>
    <w:p w14:paraId="2EB579EE" w14:textId="77777777" w:rsidR="000A7018" w:rsidRDefault="00F034F3" w:rsidP="000831A1">
      <w:pPr>
        <w:pStyle w:val="Bullet-green"/>
        <w:numPr>
          <w:ilvl w:val="1"/>
          <w:numId w:val="58"/>
        </w:numPr>
        <w:rPr>
          <w:lang w:val="en-GB"/>
        </w:rPr>
      </w:pPr>
      <w:r w:rsidRPr="000A7018">
        <w:rPr>
          <w:lang w:val="en-GB"/>
        </w:rPr>
        <w:t>m</w:t>
      </w:r>
      <w:r w:rsidR="009B5F6D" w:rsidRPr="000A7018">
        <w:rPr>
          <w:lang w:val="en-GB"/>
        </w:rPr>
        <w:t>andatory GP (or delegate) participation</w:t>
      </w:r>
      <w:r w:rsidR="006D683C">
        <w:rPr>
          <w:lang w:val="en-GB"/>
        </w:rPr>
        <w:t>;</w:t>
      </w:r>
      <w:r w:rsidR="009B5F6D" w:rsidRPr="000A7018">
        <w:rPr>
          <w:lang w:val="en-GB"/>
        </w:rPr>
        <w:t xml:space="preserve"> </w:t>
      </w:r>
    </w:p>
    <w:p w14:paraId="03136539" w14:textId="77777777" w:rsidR="000A7018" w:rsidRPr="00607BDA" w:rsidRDefault="009B5F6D" w:rsidP="00607BDA">
      <w:pPr>
        <w:pStyle w:val="Bullet-green"/>
        <w:numPr>
          <w:ilvl w:val="0"/>
          <w:numId w:val="0"/>
        </w:numPr>
        <w:ind w:left="1437"/>
        <w:rPr>
          <w:i/>
          <w:lang w:val="en-GB"/>
        </w:rPr>
      </w:pPr>
      <w:r w:rsidRPr="00607BDA">
        <w:rPr>
          <w:i/>
          <w:lang w:val="en-GB"/>
        </w:rPr>
        <w:t xml:space="preserve">OR </w:t>
      </w:r>
    </w:p>
    <w:p w14:paraId="1A1EF34E" w14:textId="77777777" w:rsidR="007E6567" w:rsidRDefault="007E6567" w:rsidP="000831A1">
      <w:pPr>
        <w:pStyle w:val="Bullet-green"/>
        <w:numPr>
          <w:ilvl w:val="1"/>
          <w:numId w:val="58"/>
        </w:numPr>
        <w:rPr>
          <w:lang w:val="en-GB"/>
        </w:rPr>
      </w:pPr>
      <w:r>
        <w:rPr>
          <w:lang w:val="en-GB"/>
        </w:rPr>
        <w:t xml:space="preserve">mandatory </w:t>
      </w:r>
      <w:r w:rsidR="00407314" w:rsidRPr="000A7018">
        <w:rPr>
          <w:lang w:val="en-GB"/>
        </w:rPr>
        <w:t xml:space="preserve">review of outcomes and </w:t>
      </w:r>
      <w:r w:rsidR="009B5F6D" w:rsidRPr="000A7018">
        <w:rPr>
          <w:lang w:val="en-GB"/>
        </w:rPr>
        <w:t>communication of any proposed changes to the patient and to the case conference organiser</w:t>
      </w:r>
      <w:r w:rsidR="006D683C">
        <w:rPr>
          <w:lang w:val="en-GB"/>
        </w:rPr>
        <w:t>.</w:t>
      </w:r>
    </w:p>
    <w:p w14:paraId="3068C8A3" w14:textId="77777777" w:rsidR="00B806E3" w:rsidRPr="00C33C0B" w:rsidRDefault="007F6438" w:rsidP="000831A1">
      <w:pPr>
        <w:pStyle w:val="Bullet-green"/>
        <w:numPr>
          <w:ilvl w:val="0"/>
          <w:numId w:val="58"/>
        </w:numPr>
        <w:rPr>
          <w:lang w:val="en-GB"/>
        </w:rPr>
      </w:pPr>
      <w:r>
        <w:rPr>
          <w:lang w:val="en-GB"/>
        </w:rPr>
        <w:t>R</w:t>
      </w:r>
      <w:r w:rsidR="00B806E3">
        <w:rPr>
          <w:lang w:val="en-GB"/>
        </w:rPr>
        <w:t>equire m</w:t>
      </w:r>
      <w:r w:rsidR="00B806E3" w:rsidRPr="00C33C0B">
        <w:rPr>
          <w:lang w:val="en-GB"/>
        </w:rPr>
        <w:t xml:space="preserve">andatory </w:t>
      </w:r>
      <w:r w:rsidR="00301462">
        <w:rPr>
          <w:lang w:val="en-GB"/>
        </w:rPr>
        <w:t xml:space="preserve">invitation of the </w:t>
      </w:r>
      <w:r w:rsidR="00B806E3" w:rsidRPr="00C33C0B">
        <w:rPr>
          <w:lang w:val="en-GB"/>
        </w:rPr>
        <w:t>patient (or delegate)</w:t>
      </w:r>
      <w:r w:rsidR="00B806E3">
        <w:rPr>
          <w:lang w:val="en-GB"/>
        </w:rPr>
        <w:t xml:space="preserve"> to participate.</w:t>
      </w:r>
      <w:r w:rsidR="00B806E3" w:rsidRPr="00C33C0B">
        <w:rPr>
          <w:lang w:val="en-GB"/>
        </w:rPr>
        <w:t xml:space="preserve"> </w:t>
      </w:r>
      <w:r w:rsidR="00B806E3">
        <w:rPr>
          <w:lang w:val="en-GB"/>
        </w:rPr>
        <w:t>Their attendance should be made</w:t>
      </w:r>
      <w:r w:rsidR="00B806E3" w:rsidRPr="00C33C0B">
        <w:rPr>
          <w:lang w:val="en-GB"/>
        </w:rPr>
        <w:t xml:space="preserve"> possible </w:t>
      </w:r>
      <w:r w:rsidR="00B806E3">
        <w:rPr>
          <w:lang w:val="en-GB"/>
        </w:rPr>
        <w:t>if</w:t>
      </w:r>
      <w:r w:rsidR="00B806E3" w:rsidRPr="00C33C0B">
        <w:rPr>
          <w:lang w:val="en-GB"/>
        </w:rPr>
        <w:t xml:space="preserve"> </w:t>
      </w:r>
      <w:r w:rsidR="00B806E3">
        <w:rPr>
          <w:lang w:val="en-GB"/>
        </w:rPr>
        <w:t xml:space="preserve">the </w:t>
      </w:r>
      <w:r w:rsidR="00B806E3" w:rsidRPr="00C33C0B">
        <w:rPr>
          <w:lang w:val="en-GB"/>
        </w:rPr>
        <w:t xml:space="preserve">patient </w:t>
      </w:r>
      <w:r w:rsidR="00B806E3">
        <w:rPr>
          <w:lang w:val="en-GB"/>
        </w:rPr>
        <w:t>chooses to do so.</w:t>
      </w:r>
    </w:p>
    <w:p w14:paraId="3EE5E2C4" w14:textId="77777777" w:rsidR="00B806E3" w:rsidRDefault="007F6438" w:rsidP="000831A1">
      <w:pPr>
        <w:pStyle w:val="Bullet-green"/>
        <w:numPr>
          <w:ilvl w:val="0"/>
          <w:numId w:val="58"/>
        </w:numPr>
        <w:rPr>
          <w:lang w:val="en-GB"/>
        </w:rPr>
      </w:pPr>
      <w:r>
        <w:rPr>
          <w:lang w:val="en-GB"/>
        </w:rPr>
        <w:t>R</w:t>
      </w:r>
      <w:r w:rsidR="00B806E3">
        <w:rPr>
          <w:lang w:val="en-GB"/>
        </w:rPr>
        <w:t>equire o</w:t>
      </w:r>
      <w:r w:rsidR="00B806E3" w:rsidRPr="00C33C0B">
        <w:rPr>
          <w:lang w:val="en-GB"/>
        </w:rPr>
        <w:t xml:space="preserve">utcomes </w:t>
      </w:r>
      <w:r w:rsidR="00B806E3">
        <w:rPr>
          <w:lang w:val="en-GB"/>
        </w:rPr>
        <w:t xml:space="preserve">to </w:t>
      </w:r>
      <w:r w:rsidR="00B806E3" w:rsidRPr="00C33C0B">
        <w:rPr>
          <w:lang w:val="en-GB"/>
        </w:rPr>
        <w:t>be documented in writing, including agreed, shared decisions and informed consent</w:t>
      </w:r>
      <w:r w:rsidR="00B806E3">
        <w:rPr>
          <w:lang w:val="en-GB"/>
        </w:rPr>
        <w:t>.</w:t>
      </w:r>
      <w:r w:rsidR="00B806E3" w:rsidRPr="00C33C0B">
        <w:rPr>
          <w:lang w:val="en-GB"/>
        </w:rPr>
        <w:t xml:space="preserve"> </w:t>
      </w:r>
    </w:p>
    <w:p w14:paraId="143952F8" w14:textId="77777777" w:rsidR="00B806E3" w:rsidRPr="00C33C0B" w:rsidRDefault="007F6438" w:rsidP="000831A1">
      <w:pPr>
        <w:pStyle w:val="Bullet-green"/>
        <w:numPr>
          <w:ilvl w:val="0"/>
          <w:numId w:val="58"/>
        </w:numPr>
        <w:rPr>
          <w:lang w:val="en-GB"/>
        </w:rPr>
      </w:pPr>
      <w:r>
        <w:rPr>
          <w:lang w:val="en-GB"/>
        </w:rPr>
        <w:t>S</w:t>
      </w:r>
      <w:r w:rsidR="00B806E3">
        <w:rPr>
          <w:lang w:val="en-GB"/>
        </w:rPr>
        <w:t>tipulate that participants have the option</w:t>
      </w:r>
      <w:r w:rsidR="00B806E3" w:rsidRPr="00C33C0B">
        <w:rPr>
          <w:lang w:val="en-GB"/>
        </w:rPr>
        <w:t xml:space="preserve"> to attend face</w:t>
      </w:r>
      <w:r w:rsidR="00B806E3">
        <w:rPr>
          <w:lang w:val="en-GB"/>
        </w:rPr>
        <w:t xml:space="preserve"> </w:t>
      </w:r>
      <w:r w:rsidR="00B806E3" w:rsidRPr="00C33C0B">
        <w:rPr>
          <w:lang w:val="en-GB"/>
        </w:rPr>
        <w:t>to face, by videoconference</w:t>
      </w:r>
      <w:r w:rsidR="00B806E3">
        <w:rPr>
          <w:lang w:val="en-GB"/>
        </w:rPr>
        <w:t>,</w:t>
      </w:r>
      <w:r w:rsidR="00B806E3" w:rsidRPr="00C33C0B">
        <w:rPr>
          <w:lang w:val="en-GB"/>
        </w:rPr>
        <w:t xml:space="preserve"> or over the telephone</w:t>
      </w:r>
      <w:r w:rsidR="00B806E3">
        <w:rPr>
          <w:lang w:val="en-GB"/>
        </w:rPr>
        <w:t>.</w:t>
      </w:r>
      <w:r w:rsidR="00B806E3" w:rsidRPr="00C33C0B">
        <w:rPr>
          <w:lang w:val="en-GB"/>
        </w:rPr>
        <w:t xml:space="preserve"> </w:t>
      </w:r>
    </w:p>
    <w:p w14:paraId="7630BECB" w14:textId="77777777" w:rsidR="00B806E3" w:rsidRPr="00C33C0B" w:rsidRDefault="007F6438" w:rsidP="000831A1">
      <w:pPr>
        <w:pStyle w:val="Bullet-green"/>
        <w:numPr>
          <w:ilvl w:val="0"/>
          <w:numId w:val="58"/>
        </w:numPr>
        <w:rPr>
          <w:lang w:val="en-GB"/>
        </w:rPr>
      </w:pPr>
      <w:r>
        <w:rPr>
          <w:lang w:val="en-GB"/>
        </w:rPr>
        <w:t>R</w:t>
      </w:r>
      <w:r w:rsidR="00B806E3">
        <w:rPr>
          <w:lang w:val="en-GB"/>
        </w:rPr>
        <w:t>ecommend that outcomes be uploaded to My Health Record by the GP (or delegate)</w:t>
      </w:r>
      <w:r w:rsidR="006D683C">
        <w:rPr>
          <w:lang w:val="en-GB"/>
        </w:rPr>
        <w:t>.</w:t>
      </w:r>
    </w:p>
    <w:p w14:paraId="4714759F" w14:textId="77777777" w:rsidR="007E6567" w:rsidRDefault="005F2150" w:rsidP="000831A1">
      <w:pPr>
        <w:pStyle w:val="Bullet-green"/>
        <w:numPr>
          <w:ilvl w:val="0"/>
          <w:numId w:val="55"/>
        </w:numPr>
        <w:rPr>
          <w:lang w:val="en-GB"/>
        </w:rPr>
      </w:pPr>
      <w:r>
        <w:rPr>
          <w:lang w:val="en-GB"/>
        </w:rPr>
        <w:t>update</w:t>
      </w:r>
      <w:r w:rsidR="007E6567" w:rsidRPr="003C4FE3">
        <w:rPr>
          <w:lang w:val="en-GB"/>
        </w:rPr>
        <w:t xml:space="preserve"> explanatory notes</w:t>
      </w:r>
      <w:r w:rsidR="00780BD4">
        <w:rPr>
          <w:lang w:val="en-GB"/>
        </w:rPr>
        <w:t xml:space="preserve"> to</w:t>
      </w:r>
      <w:r w:rsidR="007E6567">
        <w:rPr>
          <w:lang w:val="en-GB"/>
        </w:rPr>
        <w:t>:</w:t>
      </w:r>
    </w:p>
    <w:p w14:paraId="76F1229C" w14:textId="77777777" w:rsidR="007E6567" w:rsidRPr="00607BDA" w:rsidRDefault="00780BD4" w:rsidP="000831A1">
      <w:pPr>
        <w:pStyle w:val="Bullet-green"/>
        <w:numPr>
          <w:ilvl w:val="0"/>
          <w:numId w:val="59"/>
        </w:numPr>
        <w:rPr>
          <w:lang w:val="en-GB"/>
        </w:rPr>
      </w:pPr>
      <w:r>
        <w:rPr>
          <w:lang w:val="en-GB"/>
        </w:rPr>
        <w:t xml:space="preserve">include </w:t>
      </w:r>
      <w:r w:rsidR="007E6567" w:rsidRPr="003C4FE3">
        <w:rPr>
          <w:lang w:val="en-GB"/>
        </w:rPr>
        <w:t>that the GP may not always be the clinician who is the primary care provider for the patient</w:t>
      </w:r>
      <w:r w:rsidR="007E6567">
        <w:rPr>
          <w:lang w:val="en-GB"/>
        </w:rPr>
        <w:t xml:space="preserve"> (e.g.</w:t>
      </w:r>
      <w:r w:rsidR="007E6567" w:rsidRPr="003C4FE3">
        <w:rPr>
          <w:lang w:val="en-GB"/>
        </w:rPr>
        <w:t xml:space="preserve"> complex paediatric patients are sometimes managed by a general or community</w:t>
      </w:r>
      <w:r w:rsidR="007E6567" w:rsidRPr="00607BDA">
        <w:rPr>
          <w:lang w:val="en-GB"/>
        </w:rPr>
        <w:t xml:space="preserve"> </w:t>
      </w:r>
      <w:r w:rsidR="007E6567" w:rsidRPr="007E6567">
        <w:rPr>
          <w:lang w:val="en-GB"/>
        </w:rPr>
        <w:t>paediatrician</w:t>
      </w:r>
      <w:r w:rsidR="007E6567">
        <w:rPr>
          <w:lang w:val="en-GB"/>
        </w:rPr>
        <w:t>) and that in</w:t>
      </w:r>
      <w:r w:rsidR="007E6567" w:rsidRPr="007E6567">
        <w:rPr>
          <w:lang w:val="en-GB"/>
        </w:rPr>
        <w:t xml:space="preserve"> such cases,</w:t>
      </w:r>
      <w:r w:rsidR="007E6567">
        <w:rPr>
          <w:lang w:val="en-GB"/>
        </w:rPr>
        <w:t xml:space="preserve"> </w:t>
      </w:r>
      <w:r w:rsidR="007E6567" w:rsidRPr="00607BDA">
        <w:rPr>
          <w:lang w:val="en-GB"/>
        </w:rPr>
        <w:t xml:space="preserve">there should be mandatory participation of the patient’s </w:t>
      </w:r>
      <w:r w:rsidR="007E6567" w:rsidRPr="007E6567">
        <w:rPr>
          <w:lang w:val="en-GB"/>
        </w:rPr>
        <w:t>primary care provider</w:t>
      </w:r>
      <w:r w:rsidR="006D683C">
        <w:rPr>
          <w:lang w:val="en-GB"/>
        </w:rPr>
        <w:t xml:space="preserve">; </w:t>
      </w:r>
      <w:r w:rsidR="007E6567">
        <w:rPr>
          <w:lang w:val="en-GB"/>
        </w:rPr>
        <w:t>and</w:t>
      </w:r>
    </w:p>
    <w:p w14:paraId="1BC9B050" w14:textId="77777777" w:rsidR="002E515D" w:rsidRPr="007E6567" w:rsidRDefault="007E6567" w:rsidP="000831A1">
      <w:pPr>
        <w:pStyle w:val="Bullet-green"/>
        <w:numPr>
          <w:ilvl w:val="0"/>
          <w:numId w:val="59"/>
        </w:numPr>
        <w:rPr>
          <w:lang w:val="en-GB"/>
        </w:rPr>
      </w:pPr>
      <w:r>
        <w:rPr>
          <w:lang w:val="en-GB"/>
        </w:rPr>
        <w:t xml:space="preserve">clarify that </w:t>
      </w:r>
      <w:r w:rsidR="001B5C81" w:rsidRPr="007E6567">
        <w:rPr>
          <w:lang w:val="en-GB"/>
        </w:rPr>
        <w:t xml:space="preserve">GP </w:t>
      </w:r>
      <w:r w:rsidR="008400B5" w:rsidRPr="007E6567">
        <w:rPr>
          <w:lang w:val="en-GB"/>
        </w:rPr>
        <w:t>participation or review of outcomes</w:t>
      </w:r>
      <w:r w:rsidR="001B5C81" w:rsidRPr="007E6567">
        <w:rPr>
          <w:lang w:val="en-GB"/>
        </w:rPr>
        <w:t xml:space="preserve"> should not be a pre-requisite for the item being claimed by other participants</w:t>
      </w:r>
    </w:p>
    <w:p w14:paraId="237DA76F" w14:textId="77777777" w:rsidR="0009172D" w:rsidRPr="00607BDA" w:rsidRDefault="00B806E3" w:rsidP="000831A1">
      <w:pPr>
        <w:pStyle w:val="Bullet-green"/>
        <w:numPr>
          <w:ilvl w:val="0"/>
          <w:numId w:val="55"/>
        </w:numPr>
        <w:rPr>
          <w:lang w:val="en-GB"/>
        </w:rPr>
      </w:pPr>
      <w:r>
        <w:rPr>
          <w:lang w:val="en-GB"/>
        </w:rPr>
        <w:t>i</w:t>
      </w:r>
      <w:r w:rsidR="0052439D" w:rsidRPr="00607BDA">
        <w:rPr>
          <w:lang w:val="en-GB"/>
        </w:rPr>
        <w:t xml:space="preserve">ntroduce six new </w:t>
      </w:r>
      <w:r w:rsidR="00A65041" w:rsidRPr="00607BDA">
        <w:rPr>
          <w:lang w:val="en-GB"/>
        </w:rPr>
        <w:t xml:space="preserve">treatment planning </w:t>
      </w:r>
      <w:r w:rsidR="0052439D" w:rsidRPr="00607BDA">
        <w:rPr>
          <w:lang w:val="en-GB"/>
        </w:rPr>
        <w:t>case conference items</w:t>
      </w:r>
      <w:r w:rsidR="00287FC7" w:rsidRPr="00607BDA">
        <w:rPr>
          <w:lang w:val="en-GB"/>
        </w:rPr>
        <w:t xml:space="preserve"> to discuss available treatment options with </w:t>
      </w:r>
      <w:r w:rsidR="00FC15D9">
        <w:rPr>
          <w:lang w:val="en-GB"/>
        </w:rPr>
        <w:t>other members of the treatment team</w:t>
      </w:r>
      <w:r w:rsidR="0048637C">
        <w:rPr>
          <w:lang w:val="en-GB"/>
        </w:rPr>
        <w:t xml:space="preserve"> </w:t>
      </w:r>
      <w:r>
        <w:rPr>
          <w:lang w:val="en-GB"/>
        </w:rPr>
        <w:t>to</w:t>
      </w:r>
      <w:r w:rsidR="00287FC7" w:rsidRPr="00607BDA">
        <w:rPr>
          <w:lang w:val="en-GB"/>
        </w:rPr>
        <w:t>:</w:t>
      </w:r>
    </w:p>
    <w:p w14:paraId="268D13E9" w14:textId="77777777" w:rsidR="002101C0" w:rsidRPr="00C33C0B" w:rsidRDefault="00DA7380" w:rsidP="000831A1">
      <w:pPr>
        <w:pStyle w:val="BulletStyle3"/>
        <w:numPr>
          <w:ilvl w:val="0"/>
          <w:numId w:val="60"/>
        </w:numPr>
        <w:rPr>
          <w:lang w:val="en-GB"/>
        </w:rPr>
      </w:pPr>
      <w:r>
        <w:rPr>
          <w:lang w:val="en-GB"/>
        </w:rPr>
        <w:t>Require</w:t>
      </w:r>
      <w:r w:rsidR="00BB3F3F" w:rsidRPr="00C33C0B">
        <w:rPr>
          <w:lang w:val="en-GB"/>
        </w:rPr>
        <w:t xml:space="preserve"> </w:t>
      </w:r>
      <w:r w:rsidR="00D90794" w:rsidRPr="00C33C0B">
        <w:rPr>
          <w:lang w:val="en-GB"/>
        </w:rPr>
        <w:t xml:space="preserve">the </w:t>
      </w:r>
      <w:r w:rsidR="00307ECB">
        <w:rPr>
          <w:lang w:val="en-GB"/>
        </w:rPr>
        <w:t>organiser</w:t>
      </w:r>
      <w:r w:rsidR="00307ECB" w:rsidRPr="00C33C0B">
        <w:rPr>
          <w:lang w:val="en-GB"/>
        </w:rPr>
        <w:t xml:space="preserve"> </w:t>
      </w:r>
      <w:r w:rsidR="00D90794" w:rsidRPr="00C33C0B">
        <w:rPr>
          <w:lang w:val="en-GB"/>
        </w:rPr>
        <w:t xml:space="preserve">to send </w:t>
      </w:r>
      <w:r w:rsidR="00BB3F3F" w:rsidRPr="00C33C0B">
        <w:rPr>
          <w:lang w:val="en-GB"/>
        </w:rPr>
        <w:t>p</w:t>
      </w:r>
      <w:r w:rsidR="0051463D" w:rsidRPr="00C33C0B">
        <w:rPr>
          <w:lang w:val="en-GB"/>
        </w:rPr>
        <w:t xml:space="preserve">re-briefing material to </w:t>
      </w:r>
      <w:r w:rsidR="00D90794" w:rsidRPr="00C33C0B">
        <w:rPr>
          <w:lang w:val="en-GB"/>
        </w:rPr>
        <w:t xml:space="preserve">participants </w:t>
      </w:r>
      <w:r w:rsidR="000F1863" w:rsidRPr="00C33C0B">
        <w:rPr>
          <w:lang w:val="en-GB"/>
        </w:rPr>
        <w:t xml:space="preserve">prior to the conference, and </w:t>
      </w:r>
      <w:r w:rsidR="0075781D">
        <w:rPr>
          <w:lang w:val="en-GB"/>
        </w:rPr>
        <w:t>to prepare</w:t>
      </w:r>
      <w:r w:rsidR="002D3553" w:rsidRPr="00C33C0B">
        <w:rPr>
          <w:lang w:val="en-GB"/>
        </w:rPr>
        <w:t xml:space="preserve"> </w:t>
      </w:r>
      <w:r w:rsidR="000F1863" w:rsidRPr="00C33C0B">
        <w:rPr>
          <w:lang w:val="en-GB"/>
        </w:rPr>
        <w:t xml:space="preserve">a </w:t>
      </w:r>
      <w:r w:rsidR="002101C0" w:rsidRPr="00C33C0B">
        <w:rPr>
          <w:lang w:val="en-GB"/>
        </w:rPr>
        <w:t xml:space="preserve">written document </w:t>
      </w:r>
      <w:r w:rsidR="000F1863" w:rsidRPr="00C33C0B">
        <w:rPr>
          <w:lang w:val="en-GB"/>
        </w:rPr>
        <w:t xml:space="preserve">for the conference </w:t>
      </w:r>
      <w:r w:rsidR="009B05C9" w:rsidRPr="00C33C0B">
        <w:rPr>
          <w:lang w:val="en-GB"/>
        </w:rPr>
        <w:t xml:space="preserve">that </w:t>
      </w:r>
      <w:r w:rsidR="002101C0" w:rsidRPr="00C33C0B">
        <w:rPr>
          <w:lang w:val="en-GB"/>
        </w:rPr>
        <w:t>outlines treatment options</w:t>
      </w:r>
      <w:r w:rsidR="001E0F00">
        <w:rPr>
          <w:lang w:val="en-GB"/>
        </w:rPr>
        <w:t>.</w:t>
      </w:r>
    </w:p>
    <w:p w14:paraId="0D41892B" w14:textId="77777777" w:rsidR="009B05C9" w:rsidRPr="00C33C0B" w:rsidRDefault="000F1863" w:rsidP="000831A1">
      <w:pPr>
        <w:pStyle w:val="BulletStyle3"/>
        <w:numPr>
          <w:ilvl w:val="0"/>
          <w:numId w:val="60"/>
        </w:numPr>
        <w:rPr>
          <w:lang w:val="en-GB"/>
        </w:rPr>
      </w:pPr>
      <w:r w:rsidRPr="00C33C0B">
        <w:rPr>
          <w:lang w:val="en-GB"/>
        </w:rPr>
        <w:t xml:space="preserve">Encourage </w:t>
      </w:r>
      <w:r w:rsidR="009B05C9" w:rsidRPr="00C33C0B">
        <w:rPr>
          <w:lang w:val="en-GB"/>
        </w:rPr>
        <w:t xml:space="preserve">GP participation </w:t>
      </w:r>
      <w:r w:rsidRPr="00C33C0B">
        <w:rPr>
          <w:lang w:val="en-GB"/>
        </w:rPr>
        <w:t>(</w:t>
      </w:r>
      <w:r w:rsidR="0051463D" w:rsidRPr="00C33C0B">
        <w:rPr>
          <w:lang w:val="en-GB"/>
        </w:rPr>
        <w:t>either face</w:t>
      </w:r>
      <w:r w:rsidR="00106BB1">
        <w:rPr>
          <w:lang w:val="en-GB"/>
        </w:rPr>
        <w:t xml:space="preserve"> </w:t>
      </w:r>
      <w:r w:rsidR="0051463D" w:rsidRPr="00C33C0B">
        <w:rPr>
          <w:lang w:val="en-GB"/>
        </w:rPr>
        <w:t>to</w:t>
      </w:r>
      <w:r w:rsidR="00106BB1">
        <w:rPr>
          <w:lang w:val="en-GB"/>
        </w:rPr>
        <w:t xml:space="preserve"> </w:t>
      </w:r>
      <w:r w:rsidR="0051463D" w:rsidRPr="00C33C0B">
        <w:rPr>
          <w:lang w:val="en-GB"/>
        </w:rPr>
        <w:t>face, over the phone or by videoconference)</w:t>
      </w:r>
      <w:r w:rsidR="00375B2C">
        <w:rPr>
          <w:lang w:val="en-GB"/>
        </w:rPr>
        <w:t>.</w:t>
      </w:r>
    </w:p>
    <w:p w14:paraId="263800F4" w14:textId="77777777" w:rsidR="00A93435" w:rsidRPr="00A93435" w:rsidRDefault="000F1863" w:rsidP="000831A1">
      <w:pPr>
        <w:pStyle w:val="BulletStyle3"/>
        <w:numPr>
          <w:ilvl w:val="0"/>
          <w:numId w:val="60"/>
        </w:numPr>
        <w:rPr>
          <w:lang w:val="en-GB"/>
        </w:rPr>
      </w:pPr>
      <w:bookmarkStart w:id="180" w:name="_Toc520369784"/>
      <w:bookmarkStart w:id="181" w:name="_Toc521947644"/>
      <w:r w:rsidRPr="00C33C0B">
        <w:rPr>
          <w:lang w:val="en-GB"/>
        </w:rPr>
        <w:t>Stipulate that</w:t>
      </w:r>
      <w:r w:rsidR="005D5A68">
        <w:rPr>
          <w:lang w:val="en-GB"/>
        </w:rPr>
        <w:t xml:space="preserve"> while</w:t>
      </w:r>
      <w:r w:rsidRPr="00C33C0B">
        <w:rPr>
          <w:lang w:val="en-GB"/>
        </w:rPr>
        <w:t xml:space="preserve"> final treatment decisions </w:t>
      </w:r>
      <w:r w:rsidR="005D5A68">
        <w:rPr>
          <w:lang w:val="en-GB"/>
        </w:rPr>
        <w:t xml:space="preserve">must be </w:t>
      </w:r>
      <w:r w:rsidR="00D16C6B" w:rsidRPr="00C33C0B">
        <w:rPr>
          <w:lang w:val="en-GB"/>
        </w:rPr>
        <w:t xml:space="preserve">made </w:t>
      </w:r>
      <w:r w:rsidR="005A58D1">
        <w:rPr>
          <w:lang w:val="en-GB"/>
        </w:rPr>
        <w:t>by/</w:t>
      </w:r>
      <w:r w:rsidR="00D16C6B" w:rsidRPr="00C33C0B">
        <w:rPr>
          <w:lang w:val="en-GB"/>
        </w:rPr>
        <w:t xml:space="preserve">with the patient </w:t>
      </w:r>
      <w:r w:rsidR="00723915" w:rsidRPr="00C33C0B">
        <w:rPr>
          <w:lang w:val="en-GB"/>
        </w:rPr>
        <w:t>(</w:t>
      </w:r>
      <w:r w:rsidR="00D16C6B" w:rsidRPr="00C33C0B">
        <w:rPr>
          <w:lang w:val="en-GB"/>
        </w:rPr>
        <w:t>unless there are exceptional circumstances</w:t>
      </w:r>
      <w:r w:rsidR="00723915" w:rsidRPr="00C33C0B">
        <w:rPr>
          <w:lang w:val="en-GB"/>
        </w:rPr>
        <w:t>)</w:t>
      </w:r>
      <w:r w:rsidR="00440330">
        <w:rPr>
          <w:lang w:val="en-GB"/>
        </w:rPr>
        <w:t>,</w:t>
      </w:r>
      <w:r w:rsidR="00D16C6B" w:rsidRPr="00C33C0B">
        <w:rPr>
          <w:lang w:val="en-GB"/>
        </w:rPr>
        <w:t xml:space="preserve"> patient participation</w:t>
      </w:r>
      <w:r w:rsidR="00A809E5">
        <w:rPr>
          <w:lang w:val="en-GB"/>
        </w:rPr>
        <w:t xml:space="preserve"> in initial treatment option discussion</w:t>
      </w:r>
      <w:r w:rsidR="00D16C6B" w:rsidRPr="00C33C0B">
        <w:rPr>
          <w:lang w:val="en-GB"/>
        </w:rPr>
        <w:t xml:space="preserve"> </w:t>
      </w:r>
      <w:r w:rsidR="005D5A68">
        <w:rPr>
          <w:lang w:val="en-GB"/>
        </w:rPr>
        <w:t xml:space="preserve">is not </w:t>
      </w:r>
      <w:r w:rsidR="00D16C6B" w:rsidRPr="00C33C0B">
        <w:rPr>
          <w:lang w:val="en-GB"/>
        </w:rPr>
        <w:t>mandatory</w:t>
      </w:r>
      <w:r w:rsidR="00440330">
        <w:rPr>
          <w:lang w:val="en-GB"/>
        </w:rPr>
        <w:t>.</w:t>
      </w:r>
      <w:bookmarkEnd w:id="180"/>
      <w:bookmarkEnd w:id="181"/>
    </w:p>
    <w:p w14:paraId="4D894B4F" w14:textId="77777777" w:rsidR="00B806E3" w:rsidRPr="00B806E3" w:rsidRDefault="00B25708" w:rsidP="000831A1">
      <w:pPr>
        <w:pStyle w:val="BulletStyle3"/>
        <w:numPr>
          <w:ilvl w:val="0"/>
          <w:numId w:val="60"/>
        </w:numPr>
        <w:rPr>
          <w:lang w:val="en-GB"/>
        </w:rPr>
      </w:pPr>
      <w:r>
        <w:t>Recommend that outcomes be uploaded to My Health Records</w:t>
      </w:r>
      <w:r w:rsidR="00A809E5">
        <w:t>, with the responsibility for uploading resting with</w:t>
      </w:r>
      <w:r>
        <w:t xml:space="preserve"> the case conference organiser</w:t>
      </w:r>
      <w:r w:rsidR="007F6438">
        <w:t xml:space="preserve"> (</w:t>
      </w:r>
      <w:r w:rsidR="007F6438" w:rsidRPr="00607BDA">
        <w:rPr>
          <w:i/>
        </w:rPr>
        <w:t>refer to Recommendation 13</w:t>
      </w:r>
      <w:r w:rsidR="007F6438">
        <w:t>)</w:t>
      </w:r>
      <w:r>
        <w:t>.</w:t>
      </w:r>
    </w:p>
    <w:p w14:paraId="271AF828" w14:textId="77777777" w:rsidR="00047796" w:rsidRPr="00607BDA" w:rsidRDefault="00B806E3" w:rsidP="000831A1">
      <w:pPr>
        <w:pStyle w:val="Bullet-green"/>
        <w:numPr>
          <w:ilvl w:val="0"/>
          <w:numId w:val="55"/>
        </w:numPr>
        <w:rPr>
          <w:lang w:val="en-GB"/>
        </w:rPr>
      </w:pPr>
      <w:r>
        <w:rPr>
          <w:lang w:val="en-GB"/>
        </w:rPr>
        <w:t>m</w:t>
      </w:r>
      <w:r w:rsidR="00047796" w:rsidRPr="00607BDA">
        <w:rPr>
          <w:lang w:val="en-GB"/>
        </w:rPr>
        <w:t xml:space="preserve">aintain </w:t>
      </w:r>
      <w:r w:rsidR="00A93435" w:rsidRPr="00607BDA">
        <w:rPr>
          <w:lang w:val="en-GB"/>
        </w:rPr>
        <w:t xml:space="preserve">the current distinction between organiser/coordinator and </w:t>
      </w:r>
      <w:r w:rsidR="00C27E6B">
        <w:rPr>
          <w:lang w:val="en-GB"/>
        </w:rPr>
        <w:t xml:space="preserve">provider </w:t>
      </w:r>
      <w:r w:rsidR="00A93435" w:rsidRPr="00607BDA">
        <w:rPr>
          <w:lang w:val="en-GB"/>
        </w:rPr>
        <w:t>participant roles</w:t>
      </w:r>
      <w:r w:rsidR="006D683C">
        <w:rPr>
          <w:lang w:val="en-GB"/>
        </w:rPr>
        <w:t>;</w:t>
      </w:r>
    </w:p>
    <w:p w14:paraId="50AEE3EE" w14:textId="77777777" w:rsidR="00A93435" w:rsidRPr="00607BDA" w:rsidRDefault="00B806E3" w:rsidP="000831A1">
      <w:pPr>
        <w:pStyle w:val="Bullet-green"/>
        <w:numPr>
          <w:ilvl w:val="0"/>
          <w:numId w:val="55"/>
        </w:numPr>
        <w:rPr>
          <w:lang w:val="en-GB"/>
        </w:rPr>
      </w:pPr>
      <w:r>
        <w:rPr>
          <w:lang w:val="en-GB"/>
        </w:rPr>
        <w:t>i</w:t>
      </w:r>
      <w:r w:rsidR="00A93435" w:rsidRPr="00047796">
        <w:rPr>
          <w:lang w:val="en-GB"/>
        </w:rPr>
        <w:t>ntroduce a new time tier for less than 15 minutes for each of the three categories</w:t>
      </w:r>
      <w:r w:rsidR="006D683C">
        <w:rPr>
          <w:lang w:val="en-GB"/>
        </w:rPr>
        <w:t>;</w:t>
      </w:r>
      <w:r>
        <w:rPr>
          <w:lang w:val="en-GB"/>
        </w:rPr>
        <w:t xml:space="preserve"> and</w:t>
      </w:r>
    </w:p>
    <w:p w14:paraId="606B13A6" w14:textId="77777777" w:rsidR="00B806E3" w:rsidRPr="00607BDA" w:rsidRDefault="00B806E3" w:rsidP="000831A1">
      <w:pPr>
        <w:pStyle w:val="Bullet-green"/>
        <w:numPr>
          <w:ilvl w:val="0"/>
          <w:numId w:val="55"/>
        </w:numPr>
        <w:rPr>
          <w:lang w:val="en-GB"/>
        </w:rPr>
      </w:pPr>
      <w:r>
        <w:rPr>
          <w:lang w:val="en-GB"/>
        </w:rPr>
        <w:t xml:space="preserve">stipulate </w:t>
      </w:r>
      <w:r w:rsidR="00047796">
        <w:rPr>
          <w:lang w:val="en-GB"/>
        </w:rPr>
        <w:t xml:space="preserve">a minimum of 3 attendees </w:t>
      </w:r>
      <w:r w:rsidR="00FE1840">
        <w:rPr>
          <w:lang w:val="en-GB"/>
        </w:rPr>
        <w:t xml:space="preserve">of different disciplines </w:t>
      </w:r>
      <w:r w:rsidR="00047796">
        <w:rPr>
          <w:lang w:val="en-GB"/>
        </w:rPr>
        <w:t>at each case conference</w:t>
      </w:r>
      <w:r>
        <w:rPr>
          <w:lang w:val="en-GB"/>
        </w:rPr>
        <w:t>, which c</w:t>
      </w:r>
      <w:r>
        <w:rPr>
          <w:lang w:val="en-US"/>
        </w:rPr>
        <w:t>an include consultant specialists, GPs, AHPs, and nurse practitioners (</w:t>
      </w:r>
      <w:r w:rsidRPr="00607BDA">
        <w:rPr>
          <w:i/>
          <w:lang w:val="en-US"/>
        </w:rPr>
        <w:t>refer to Recommendation 8</w:t>
      </w:r>
      <w:r>
        <w:rPr>
          <w:lang w:val="en-US"/>
        </w:rPr>
        <w:t>) but should not include patients or carers.</w:t>
      </w:r>
    </w:p>
    <w:bookmarkEnd w:id="178"/>
    <w:p w14:paraId="06DDC09E" w14:textId="77777777" w:rsidR="001908F4" w:rsidRDefault="00B806E3" w:rsidP="00607BDA">
      <w:pPr>
        <w:pStyle w:val="Bullet-green"/>
        <w:numPr>
          <w:ilvl w:val="0"/>
          <w:numId w:val="0"/>
        </w:numPr>
        <w:rPr>
          <w:rFonts w:eastAsiaTheme="minorHAnsi" w:cs="Arial"/>
          <w:b/>
          <w:color w:val="000000" w:themeColor="text1"/>
          <w:sz w:val="20"/>
          <w:szCs w:val="22"/>
          <w:lang w:eastAsia="en-US"/>
        </w:rPr>
      </w:pPr>
      <w:r>
        <w:rPr>
          <w:lang w:val="en-US"/>
        </w:rPr>
        <w:t xml:space="preserve">To assist in interpreting this recommendation </w:t>
      </w:r>
      <w:r w:rsidR="00E54281">
        <w:rPr>
          <w:lang w:val="en-US"/>
        </w:rPr>
        <w:t>the Committee has provided</w:t>
      </w:r>
      <w:r w:rsidR="002355E9">
        <w:rPr>
          <w:lang w:val="en-US"/>
        </w:rPr>
        <w:t xml:space="preserve"> new item descriptors in Table 7</w:t>
      </w:r>
      <w:r w:rsidR="00E54281">
        <w:rPr>
          <w:lang w:val="en-US"/>
        </w:rPr>
        <w:t>.</w:t>
      </w:r>
      <w:bookmarkEnd w:id="179"/>
      <w:r w:rsidR="001908F4">
        <w:br w:type="page"/>
      </w:r>
    </w:p>
    <w:p w14:paraId="043323CD" w14:textId="77777777" w:rsidR="00EB34DC" w:rsidRDefault="00EB34DC" w:rsidP="00EB34DC">
      <w:pPr>
        <w:pStyle w:val="Caption"/>
      </w:pPr>
      <w:bookmarkStart w:id="182" w:name="_Toc529028299"/>
      <w:r>
        <w:t xml:space="preserve">Table </w:t>
      </w:r>
      <w:r w:rsidR="002355E9">
        <w:rPr>
          <w:noProof/>
        </w:rPr>
        <w:t>7</w:t>
      </w:r>
      <w:r>
        <w:t xml:space="preserve">: </w:t>
      </w:r>
      <w:r w:rsidRPr="00C33C0B">
        <w:rPr>
          <w:lang w:val="en-GB"/>
        </w:rPr>
        <w:t>Case conference item descriptors</w:t>
      </w:r>
      <w:bookmarkEnd w:id="182"/>
    </w:p>
    <w:tbl>
      <w:tblPr>
        <w:tblStyle w:val="TableGrid"/>
        <w:tblW w:w="503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Table 5: Case conference item descriptors"/>
        <w:tblDescription w:val="Table 5 has 4 columns. Column 1 is the item. Column 2 is the duration of the item. Column 3 is the role of the item. Column 4 is the proposed new item descriptor. "/>
      </w:tblPr>
      <w:tblGrid>
        <w:gridCol w:w="590"/>
        <w:gridCol w:w="1808"/>
        <w:gridCol w:w="1036"/>
        <w:gridCol w:w="4924"/>
      </w:tblGrid>
      <w:tr w:rsidR="000F6B85" w:rsidRPr="00C33C0B" w14:paraId="0CAA15E2" w14:textId="77777777" w:rsidTr="00EB34DC">
        <w:trPr>
          <w:tblHeader/>
        </w:trPr>
        <w:tc>
          <w:tcPr>
            <w:tcW w:w="590" w:type="dxa"/>
            <w:shd w:val="clear" w:color="auto" w:fill="01653F"/>
            <w:vAlign w:val="bottom"/>
          </w:tcPr>
          <w:p w14:paraId="38F11E01" w14:textId="77777777" w:rsidR="000F6B85" w:rsidRPr="00C33C0B" w:rsidRDefault="000F6B85" w:rsidP="000E4CBE">
            <w:pPr>
              <w:spacing w:before="20" w:after="20" w:line="240" w:lineRule="auto"/>
              <w:rPr>
                <w:b/>
                <w:bCs/>
                <w:color w:val="FFFFFF" w:themeColor="background1"/>
                <w:szCs w:val="22"/>
                <w:lang w:val="en-GB"/>
              </w:rPr>
            </w:pPr>
            <w:r w:rsidRPr="00C33C0B">
              <w:rPr>
                <w:b/>
                <w:bCs/>
                <w:color w:val="FFFFFF" w:themeColor="background1"/>
                <w:szCs w:val="22"/>
                <w:lang w:val="en-GB"/>
              </w:rPr>
              <w:t>Item</w:t>
            </w:r>
          </w:p>
        </w:tc>
        <w:tc>
          <w:tcPr>
            <w:tcW w:w="1825" w:type="dxa"/>
            <w:shd w:val="clear" w:color="auto" w:fill="01653F"/>
          </w:tcPr>
          <w:p w14:paraId="1518DE7D" w14:textId="77777777" w:rsidR="000F6B85" w:rsidRPr="00C33C0B" w:rsidRDefault="000F6B85" w:rsidP="000E4CBE">
            <w:pPr>
              <w:spacing w:before="20" w:after="20" w:line="240" w:lineRule="auto"/>
              <w:rPr>
                <w:b/>
                <w:bCs/>
                <w:color w:val="FFFFFF" w:themeColor="background1"/>
                <w:szCs w:val="22"/>
                <w:lang w:val="en-GB"/>
              </w:rPr>
            </w:pPr>
            <w:r w:rsidRPr="00C33C0B">
              <w:rPr>
                <w:b/>
                <w:bCs/>
                <w:color w:val="FFFFFF" w:themeColor="background1"/>
                <w:szCs w:val="22"/>
                <w:lang w:val="en-GB"/>
              </w:rPr>
              <w:t>Duration</w:t>
            </w:r>
          </w:p>
        </w:tc>
        <w:tc>
          <w:tcPr>
            <w:tcW w:w="1036" w:type="dxa"/>
            <w:shd w:val="clear" w:color="auto" w:fill="01653F"/>
            <w:vAlign w:val="bottom"/>
          </w:tcPr>
          <w:p w14:paraId="761C17E1" w14:textId="77777777" w:rsidR="000F6B85" w:rsidRPr="00C33C0B" w:rsidRDefault="000F6B85" w:rsidP="000E4CBE">
            <w:pPr>
              <w:spacing w:before="20" w:after="20" w:line="240" w:lineRule="auto"/>
              <w:rPr>
                <w:b/>
                <w:bCs/>
                <w:color w:val="FFFFFF" w:themeColor="background1"/>
                <w:szCs w:val="22"/>
                <w:lang w:val="en-GB"/>
              </w:rPr>
            </w:pPr>
            <w:r w:rsidRPr="00C33C0B">
              <w:rPr>
                <w:b/>
                <w:bCs/>
                <w:color w:val="FFFFFF" w:themeColor="background1"/>
                <w:szCs w:val="22"/>
                <w:lang w:val="en-GB"/>
              </w:rPr>
              <w:t>Role</w:t>
            </w:r>
          </w:p>
        </w:tc>
        <w:tc>
          <w:tcPr>
            <w:tcW w:w="4974" w:type="dxa"/>
            <w:shd w:val="clear" w:color="auto" w:fill="01653F"/>
            <w:vAlign w:val="bottom"/>
          </w:tcPr>
          <w:p w14:paraId="2ECD14F7" w14:textId="77777777" w:rsidR="000F6B85" w:rsidRPr="00C33C0B" w:rsidRDefault="000F6B85" w:rsidP="000E4CBE">
            <w:pPr>
              <w:spacing w:before="20" w:after="20" w:line="240" w:lineRule="auto"/>
              <w:rPr>
                <w:b/>
                <w:bCs/>
                <w:color w:val="FFFFFF" w:themeColor="background1"/>
                <w:szCs w:val="22"/>
                <w:lang w:val="en-GB"/>
              </w:rPr>
            </w:pPr>
            <w:r w:rsidRPr="00C33C0B">
              <w:rPr>
                <w:b/>
                <w:bCs/>
                <w:color w:val="FFFFFF" w:themeColor="background1"/>
                <w:szCs w:val="22"/>
                <w:lang w:val="en-GB"/>
              </w:rPr>
              <w:t>New item descriptor</w:t>
            </w:r>
          </w:p>
        </w:tc>
      </w:tr>
      <w:tr w:rsidR="000F6B85" w:rsidRPr="00C33C0B" w14:paraId="4C7E390C" w14:textId="77777777" w:rsidTr="00EB34DC">
        <w:tc>
          <w:tcPr>
            <w:tcW w:w="590" w:type="dxa"/>
            <w:shd w:val="clear" w:color="auto" w:fill="auto"/>
          </w:tcPr>
          <w:p w14:paraId="741643E2" w14:textId="77777777" w:rsidR="000F6B85" w:rsidRPr="000F6B85" w:rsidRDefault="003A6BD8" w:rsidP="002518AC">
            <w:pPr>
              <w:spacing w:before="20" w:after="20" w:line="240" w:lineRule="auto"/>
              <w:rPr>
                <w:b/>
                <w:szCs w:val="22"/>
                <w:lang w:val="en-GB"/>
              </w:rPr>
            </w:pPr>
            <w:r>
              <w:rPr>
                <w:szCs w:val="22"/>
                <w:lang w:val="en-GB"/>
              </w:rPr>
              <w:t>82X</w:t>
            </w:r>
            <w:r w:rsidR="000F6B85">
              <w:rPr>
                <w:b/>
                <w:szCs w:val="22"/>
                <w:lang w:val="en-GB"/>
              </w:rPr>
              <w:t xml:space="preserve"> (new)</w:t>
            </w:r>
          </w:p>
        </w:tc>
        <w:tc>
          <w:tcPr>
            <w:tcW w:w="1825" w:type="dxa"/>
          </w:tcPr>
          <w:p w14:paraId="15372B91" w14:textId="77777777" w:rsidR="000F6B85" w:rsidRPr="00C33C0B" w:rsidRDefault="000F6B85" w:rsidP="003324EB">
            <w:pPr>
              <w:spacing w:before="20" w:after="20" w:line="240" w:lineRule="auto"/>
              <w:rPr>
                <w:szCs w:val="22"/>
                <w:lang w:val="en-GB"/>
              </w:rPr>
            </w:pPr>
            <w:r>
              <w:rPr>
                <w:szCs w:val="22"/>
                <w:lang w:val="en-GB"/>
              </w:rPr>
              <w:t>&lt;15 minutes</w:t>
            </w:r>
          </w:p>
        </w:tc>
        <w:tc>
          <w:tcPr>
            <w:tcW w:w="1036" w:type="dxa"/>
            <w:vMerge w:val="restart"/>
            <w:shd w:val="clear" w:color="auto" w:fill="auto"/>
          </w:tcPr>
          <w:p w14:paraId="008F13E6" w14:textId="77777777" w:rsidR="000F6B85" w:rsidRPr="00C33C0B" w:rsidRDefault="000F6B85" w:rsidP="002518AC">
            <w:pPr>
              <w:spacing w:before="20" w:after="20" w:line="240" w:lineRule="auto"/>
              <w:rPr>
                <w:szCs w:val="22"/>
                <w:lang w:val="en-GB"/>
              </w:rPr>
            </w:pPr>
            <w:r w:rsidRPr="00C33C0B">
              <w:rPr>
                <w:szCs w:val="22"/>
                <w:lang w:val="en-GB"/>
              </w:rPr>
              <w:t>Organise and coordinate</w:t>
            </w:r>
          </w:p>
          <w:p w14:paraId="0BFB1734" w14:textId="77777777" w:rsidR="000F6B85" w:rsidRPr="00C33C0B" w:rsidRDefault="000F6B85" w:rsidP="002518AC">
            <w:pPr>
              <w:spacing w:before="20" w:after="20" w:line="240" w:lineRule="auto"/>
              <w:rPr>
                <w:szCs w:val="22"/>
                <w:lang w:val="en-GB"/>
              </w:rPr>
            </w:pPr>
          </w:p>
        </w:tc>
        <w:tc>
          <w:tcPr>
            <w:tcW w:w="4974" w:type="dxa"/>
            <w:vMerge w:val="restart"/>
            <w:shd w:val="clear" w:color="auto" w:fill="auto"/>
          </w:tcPr>
          <w:p w14:paraId="3AB5E5A8" w14:textId="77777777" w:rsidR="000F6B85" w:rsidRPr="00C33C0B" w:rsidRDefault="000F6B85" w:rsidP="002518AC">
            <w:pPr>
              <w:spacing w:before="20" w:after="20" w:line="240" w:lineRule="auto"/>
              <w:rPr>
                <w:szCs w:val="22"/>
                <w:lang w:val="en-GB"/>
              </w:rPr>
            </w:pPr>
            <w:r w:rsidRPr="00C33C0B">
              <w:rPr>
                <w:szCs w:val="22"/>
                <w:lang w:val="en-GB"/>
              </w:rPr>
              <w:t xml:space="preserve">Attendance by a </w:t>
            </w:r>
            <w:r>
              <w:rPr>
                <w:szCs w:val="22"/>
                <w:lang w:val="en-GB"/>
              </w:rPr>
              <w:t>consultant specialist</w:t>
            </w:r>
            <w:r w:rsidRPr="00C33C0B">
              <w:rPr>
                <w:szCs w:val="22"/>
                <w:lang w:val="en-GB"/>
              </w:rPr>
              <w:t xml:space="preserve"> in the practice of his or her specialty to </w:t>
            </w:r>
            <w:r>
              <w:rPr>
                <w:szCs w:val="22"/>
                <w:lang w:val="en-GB"/>
              </w:rPr>
              <w:t>[insert role]</w:t>
            </w:r>
            <w:r w:rsidRPr="00C33C0B">
              <w:rPr>
                <w:szCs w:val="22"/>
                <w:lang w:val="en-GB"/>
              </w:rPr>
              <w:t xml:space="preserve"> a</w:t>
            </w:r>
            <w:r w:rsidRPr="00C33C0B">
              <w:rPr>
                <w:b/>
                <w:szCs w:val="22"/>
                <w:lang w:val="en-GB"/>
              </w:rPr>
              <w:t xml:space="preserve"> community case conference</w:t>
            </w:r>
            <w:r w:rsidRPr="00C33C0B">
              <w:rPr>
                <w:szCs w:val="22"/>
                <w:lang w:val="en-GB"/>
              </w:rPr>
              <w:t xml:space="preserve"> of at least [X] minutes but less than [X] minutes, requiring:</w:t>
            </w:r>
          </w:p>
          <w:p w14:paraId="6F38331C" w14:textId="77777777" w:rsidR="00B25708" w:rsidRDefault="000F6B85" w:rsidP="000831A1">
            <w:pPr>
              <w:pStyle w:val="ListParagraph"/>
              <w:numPr>
                <w:ilvl w:val="0"/>
                <w:numId w:val="22"/>
              </w:numPr>
              <w:spacing w:before="20" w:after="20" w:line="240" w:lineRule="auto"/>
              <w:rPr>
                <w:szCs w:val="22"/>
                <w:lang w:val="en-GB"/>
              </w:rPr>
            </w:pPr>
            <w:r w:rsidRPr="00C33C0B">
              <w:rPr>
                <w:szCs w:val="22"/>
                <w:lang w:val="en-GB"/>
              </w:rPr>
              <w:t>Specialist input to the management of a complex patient in the community; and</w:t>
            </w:r>
          </w:p>
          <w:p w14:paraId="5A0DAFDB" w14:textId="77777777" w:rsidR="003645FB" w:rsidRDefault="008400B5" w:rsidP="000831A1">
            <w:pPr>
              <w:pStyle w:val="ListParagraph"/>
              <w:numPr>
                <w:ilvl w:val="0"/>
                <w:numId w:val="22"/>
              </w:numPr>
              <w:spacing w:before="20" w:after="20" w:line="240" w:lineRule="auto"/>
              <w:rPr>
                <w:szCs w:val="22"/>
                <w:lang w:val="en-GB"/>
              </w:rPr>
            </w:pPr>
            <w:r w:rsidRPr="00B25708">
              <w:rPr>
                <w:szCs w:val="22"/>
                <w:lang w:val="en-GB"/>
              </w:rPr>
              <w:t xml:space="preserve">Mandatory GP (or delegate) </w:t>
            </w:r>
            <w:r w:rsidR="003645FB">
              <w:rPr>
                <w:szCs w:val="22"/>
                <w:lang w:val="en-GB"/>
              </w:rPr>
              <w:t>invitation</w:t>
            </w:r>
            <w:r w:rsidR="005D7386">
              <w:rPr>
                <w:szCs w:val="22"/>
                <w:lang w:val="en-GB"/>
              </w:rPr>
              <w:t xml:space="preserve"> and</w:t>
            </w:r>
          </w:p>
          <w:p w14:paraId="5A2059F8" w14:textId="77777777" w:rsidR="000F6B85" w:rsidRPr="00B25708" w:rsidRDefault="003645FB" w:rsidP="003645FB">
            <w:pPr>
              <w:pStyle w:val="ListParagraph"/>
              <w:spacing w:before="20" w:after="20" w:line="240" w:lineRule="auto"/>
              <w:ind w:left="773"/>
              <w:rPr>
                <w:szCs w:val="22"/>
                <w:lang w:val="en-GB"/>
              </w:rPr>
            </w:pPr>
            <w:r>
              <w:rPr>
                <w:szCs w:val="22"/>
                <w:lang w:val="en-GB"/>
              </w:rPr>
              <w:t xml:space="preserve">i) </w:t>
            </w:r>
            <w:r w:rsidR="005D7386">
              <w:rPr>
                <w:szCs w:val="22"/>
                <w:lang w:val="en-GB"/>
              </w:rPr>
              <w:t>participation, or</w:t>
            </w:r>
            <w:r>
              <w:rPr>
                <w:szCs w:val="22"/>
                <w:lang w:val="en-GB"/>
              </w:rPr>
              <w:t xml:space="preserve"> ii)</w:t>
            </w:r>
            <w:r w:rsidR="008400B5" w:rsidRPr="00B25708">
              <w:rPr>
                <w:szCs w:val="22"/>
                <w:lang w:val="en-GB"/>
              </w:rPr>
              <w:t xml:space="preserve"> review of outcomes and</w:t>
            </w:r>
            <w:r w:rsidR="005D5A68">
              <w:rPr>
                <w:szCs w:val="22"/>
                <w:lang w:val="en-GB"/>
              </w:rPr>
              <w:t xml:space="preserve"> </w:t>
            </w:r>
            <w:r w:rsidR="008400B5" w:rsidRPr="00B25708">
              <w:rPr>
                <w:szCs w:val="22"/>
                <w:lang w:val="en-GB"/>
              </w:rPr>
              <w:t>communication of any proposed changes to the patient and to the case conference organiser</w:t>
            </w:r>
            <w:r w:rsidR="000F6B85" w:rsidRPr="00B25708">
              <w:rPr>
                <w:szCs w:val="22"/>
                <w:lang w:val="en-GB"/>
              </w:rPr>
              <w:t>; and</w:t>
            </w:r>
          </w:p>
          <w:p w14:paraId="26287123" w14:textId="77777777" w:rsidR="000F6B85" w:rsidRPr="00C33C0B" w:rsidRDefault="000F6B85" w:rsidP="000831A1">
            <w:pPr>
              <w:pStyle w:val="ListParagraph"/>
              <w:numPr>
                <w:ilvl w:val="0"/>
                <w:numId w:val="22"/>
              </w:numPr>
              <w:spacing w:before="20" w:after="20" w:line="240" w:lineRule="auto"/>
              <w:rPr>
                <w:szCs w:val="22"/>
                <w:lang w:val="en-GB"/>
              </w:rPr>
            </w:pPr>
            <w:r w:rsidRPr="00C33C0B">
              <w:rPr>
                <w:szCs w:val="22"/>
                <w:lang w:val="en-GB"/>
              </w:rPr>
              <w:t xml:space="preserve">Mandatory patient (or delegate) </w:t>
            </w:r>
            <w:r w:rsidR="008400B5">
              <w:rPr>
                <w:szCs w:val="22"/>
                <w:lang w:val="en-GB"/>
              </w:rPr>
              <w:t xml:space="preserve">invitation </w:t>
            </w:r>
            <w:r w:rsidRPr="00C33C0B">
              <w:rPr>
                <w:szCs w:val="22"/>
                <w:lang w:val="en-GB"/>
              </w:rPr>
              <w:t>and to make it possible for them to attend; and</w:t>
            </w:r>
          </w:p>
          <w:p w14:paraId="788910B8" w14:textId="77777777" w:rsidR="000F6B85" w:rsidRPr="00C33C0B" w:rsidRDefault="000F6B85" w:rsidP="000831A1">
            <w:pPr>
              <w:pStyle w:val="ListParagraph"/>
              <w:numPr>
                <w:ilvl w:val="0"/>
                <w:numId w:val="22"/>
              </w:numPr>
              <w:spacing w:before="20" w:after="20" w:line="240" w:lineRule="auto"/>
              <w:rPr>
                <w:szCs w:val="22"/>
                <w:lang w:val="en-GB"/>
              </w:rPr>
            </w:pPr>
            <w:r w:rsidRPr="00C33C0B">
              <w:rPr>
                <w:szCs w:val="22"/>
                <w:lang w:val="en-GB"/>
              </w:rPr>
              <w:t>A</w:t>
            </w:r>
            <w:r>
              <w:rPr>
                <w:szCs w:val="22"/>
                <w:lang w:val="en-GB"/>
              </w:rPr>
              <w:t xml:space="preserve">t least </w:t>
            </w:r>
            <w:r w:rsidR="0048637C">
              <w:rPr>
                <w:szCs w:val="22"/>
                <w:lang w:val="en-GB"/>
              </w:rPr>
              <w:t>two</w:t>
            </w:r>
            <w:r w:rsidR="0048637C" w:rsidRPr="00C33C0B">
              <w:rPr>
                <w:szCs w:val="22"/>
                <w:lang w:val="en-GB"/>
              </w:rPr>
              <w:t xml:space="preserve"> </w:t>
            </w:r>
            <w:r w:rsidRPr="00C33C0B">
              <w:rPr>
                <w:szCs w:val="22"/>
                <w:lang w:val="en-GB"/>
              </w:rPr>
              <w:t>other formal care providers of different disciplines to be present; and</w:t>
            </w:r>
          </w:p>
          <w:p w14:paraId="3D536E36" w14:textId="77777777" w:rsidR="000F6B85" w:rsidRDefault="000F6B85" w:rsidP="000831A1">
            <w:pPr>
              <w:pStyle w:val="ListParagraph"/>
              <w:numPr>
                <w:ilvl w:val="0"/>
                <w:numId w:val="22"/>
              </w:numPr>
              <w:spacing w:before="20" w:after="20" w:line="240" w:lineRule="auto"/>
              <w:rPr>
                <w:szCs w:val="22"/>
                <w:lang w:val="en-GB"/>
              </w:rPr>
            </w:pPr>
            <w:r w:rsidRPr="00C33C0B">
              <w:rPr>
                <w:szCs w:val="22"/>
                <w:lang w:val="en-GB"/>
              </w:rPr>
              <w:t>Outcomes to be documented in writing, including shared decisions made and informed consent sought</w:t>
            </w:r>
            <w:r w:rsidR="00794929">
              <w:rPr>
                <w:szCs w:val="22"/>
                <w:lang w:val="en-GB"/>
              </w:rPr>
              <w:t>; and</w:t>
            </w:r>
          </w:p>
          <w:p w14:paraId="44B7E1C3" w14:textId="77777777" w:rsidR="00C474A8" w:rsidRPr="00C33C0B" w:rsidRDefault="00C474A8" w:rsidP="000831A1">
            <w:pPr>
              <w:pStyle w:val="ListParagraph"/>
              <w:numPr>
                <w:ilvl w:val="0"/>
                <w:numId w:val="22"/>
              </w:numPr>
              <w:spacing w:before="20" w:after="20" w:line="240" w:lineRule="auto"/>
              <w:rPr>
                <w:szCs w:val="22"/>
                <w:lang w:val="en-GB"/>
              </w:rPr>
            </w:pPr>
            <w:r w:rsidRPr="00C474A8">
              <w:rPr>
                <w:szCs w:val="22"/>
                <w:lang w:val="en-GB"/>
              </w:rPr>
              <w:t>A copy of the case conference outcomes to be uploaded to My Health Record, unless patient consent is withdrawn, a</w:t>
            </w:r>
            <w:r w:rsidR="00794929">
              <w:rPr>
                <w:szCs w:val="22"/>
                <w:lang w:val="en-GB"/>
              </w:rPr>
              <w:t>nd where reasonably achievable.</w:t>
            </w:r>
          </w:p>
          <w:p w14:paraId="5D5CCF01" w14:textId="77777777" w:rsidR="000F6B85" w:rsidRPr="00C33C0B" w:rsidRDefault="000F6B85" w:rsidP="001E1F14">
            <w:pPr>
              <w:spacing w:before="20" w:after="20" w:line="240" w:lineRule="auto"/>
              <w:rPr>
                <w:szCs w:val="22"/>
                <w:lang w:val="en-GB"/>
              </w:rPr>
            </w:pPr>
            <w:r w:rsidRPr="00C33C0B">
              <w:rPr>
                <w:szCs w:val="22"/>
                <w:lang w:val="en-GB"/>
              </w:rPr>
              <w:t>All participants must be in communication with each other throughout the conference, either face-to-face, by telephone or by videoconference, or a combination of these</w:t>
            </w:r>
          </w:p>
        </w:tc>
      </w:tr>
      <w:tr w:rsidR="000F6B85" w:rsidRPr="00C33C0B" w14:paraId="3816D45F" w14:textId="77777777" w:rsidTr="00EB34DC">
        <w:tc>
          <w:tcPr>
            <w:tcW w:w="590" w:type="dxa"/>
            <w:shd w:val="clear" w:color="auto" w:fill="auto"/>
          </w:tcPr>
          <w:p w14:paraId="215F597A" w14:textId="77777777" w:rsidR="000F6B85" w:rsidRPr="00C33C0B" w:rsidRDefault="000F6B85" w:rsidP="002518AC">
            <w:pPr>
              <w:spacing w:before="20" w:after="20" w:line="240" w:lineRule="auto"/>
              <w:rPr>
                <w:szCs w:val="22"/>
                <w:lang w:val="en-GB"/>
              </w:rPr>
            </w:pPr>
            <w:r w:rsidRPr="00C33C0B">
              <w:rPr>
                <w:szCs w:val="22"/>
                <w:lang w:val="en-GB"/>
              </w:rPr>
              <w:t>820</w:t>
            </w:r>
          </w:p>
        </w:tc>
        <w:tc>
          <w:tcPr>
            <w:tcW w:w="1825" w:type="dxa"/>
          </w:tcPr>
          <w:p w14:paraId="61F8682C" w14:textId="77777777" w:rsidR="000F6B85" w:rsidRPr="00C33C0B" w:rsidRDefault="000F6B85" w:rsidP="003324EB">
            <w:pPr>
              <w:spacing w:before="20" w:after="20" w:line="240" w:lineRule="auto"/>
              <w:rPr>
                <w:szCs w:val="22"/>
                <w:lang w:val="en-GB"/>
              </w:rPr>
            </w:pPr>
            <w:r w:rsidRPr="00C33C0B">
              <w:rPr>
                <w:szCs w:val="22"/>
                <w:lang w:val="en-GB"/>
              </w:rPr>
              <w:t>15</w:t>
            </w:r>
            <w:r>
              <w:rPr>
                <w:szCs w:val="22"/>
                <w:lang w:val="en-GB"/>
              </w:rPr>
              <w:t>–</w:t>
            </w:r>
            <w:r w:rsidRPr="00C33C0B">
              <w:rPr>
                <w:szCs w:val="22"/>
                <w:lang w:val="en-GB"/>
              </w:rPr>
              <w:t>30</w:t>
            </w:r>
            <w:r>
              <w:rPr>
                <w:szCs w:val="22"/>
                <w:lang w:val="en-GB"/>
              </w:rPr>
              <w:t xml:space="preserve"> </w:t>
            </w:r>
            <w:r w:rsidRPr="00C33C0B">
              <w:rPr>
                <w:szCs w:val="22"/>
                <w:lang w:val="en-GB"/>
              </w:rPr>
              <w:t>min</w:t>
            </w:r>
            <w:r>
              <w:rPr>
                <w:szCs w:val="22"/>
                <w:lang w:val="en-GB"/>
              </w:rPr>
              <w:t>ute</w:t>
            </w:r>
            <w:r w:rsidRPr="00C33C0B">
              <w:rPr>
                <w:szCs w:val="22"/>
                <w:lang w:val="en-GB"/>
              </w:rPr>
              <w:t>s</w:t>
            </w:r>
          </w:p>
          <w:p w14:paraId="11C14B6F" w14:textId="77777777" w:rsidR="000F6B85" w:rsidRPr="00C33C0B" w:rsidRDefault="000F6B85" w:rsidP="002518AC">
            <w:pPr>
              <w:spacing w:before="20" w:after="20" w:line="240" w:lineRule="auto"/>
              <w:rPr>
                <w:szCs w:val="22"/>
                <w:lang w:val="en-GB"/>
              </w:rPr>
            </w:pPr>
          </w:p>
        </w:tc>
        <w:tc>
          <w:tcPr>
            <w:tcW w:w="1036" w:type="dxa"/>
            <w:vMerge/>
            <w:shd w:val="clear" w:color="auto" w:fill="auto"/>
          </w:tcPr>
          <w:p w14:paraId="3F77A6EF" w14:textId="77777777" w:rsidR="000F6B85" w:rsidRPr="00C33C0B" w:rsidRDefault="000F6B85" w:rsidP="002518AC">
            <w:pPr>
              <w:spacing w:before="20" w:after="20" w:line="240" w:lineRule="auto"/>
              <w:rPr>
                <w:szCs w:val="22"/>
                <w:lang w:val="en-GB"/>
              </w:rPr>
            </w:pPr>
          </w:p>
        </w:tc>
        <w:tc>
          <w:tcPr>
            <w:tcW w:w="4974" w:type="dxa"/>
            <w:vMerge/>
            <w:shd w:val="clear" w:color="auto" w:fill="auto"/>
          </w:tcPr>
          <w:p w14:paraId="6C4BEED8" w14:textId="77777777" w:rsidR="000F6B85" w:rsidRPr="00C33C0B" w:rsidRDefault="000F6B85" w:rsidP="001E1F14">
            <w:pPr>
              <w:spacing w:before="20" w:after="20" w:line="240" w:lineRule="auto"/>
              <w:rPr>
                <w:szCs w:val="22"/>
                <w:lang w:val="en-GB"/>
              </w:rPr>
            </w:pPr>
          </w:p>
        </w:tc>
      </w:tr>
      <w:tr w:rsidR="000F6B85" w:rsidRPr="00C33C0B" w14:paraId="1C48CF55" w14:textId="77777777" w:rsidTr="00EB34DC">
        <w:tc>
          <w:tcPr>
            <w:tcW w:w="590" w:type="dxa"/>
            <w:shd w:val="clear" w:color="auto" w:fill="auto"/>
          </w:tcPr>
          <w:p w14:paraId="5EDE1CBF" w14:textId="77777777" w:rsidR="000F6B85" w:rsidRPr="00C33C0B" w:rsidRDefault="000F6B85" w:rsidP="002518AC">
            <w:pPr>
              <w:spacing w:before="20" w:after="20" w:line="240" w:lineRule="auto"/>
              <w:rPr>
                <w:szCs w:val="22"/>
                <w:lang w:val="en-GB"/>
              </w:rPr>
            </w:pPr>
            <w:r w:rsidRPr="00C33C0B">
              <w:rPr>
                <w:szCs w:val="22"/>
                <w:lang w:val="en-GB"/>
              </w:rPr>
              <w:t>822</w:t>
            </w:r>
          </w:p>
        </w:tc>
        <w:tc>
          <w:tcPr>
            <w:tcW w:w="1825" w:type="dxa"/>
          </w:tcPr>
          <w:p w14:paraId="0A01BC3B" w14:textId="77777777" w:rsidR="000F6B85" w:rsidRPr="00C33C0B" w:rsidRDefault="000F6B85" w:rsidP="003324EB">
            <w:pPr>
              <w:spacing w:before="20" w:after="20" w:line="240" w:lineRule="auto"/>
              <w:rPr>
                <w:szCs w:val="22"/>
                <w:lang w:val="en-GB"/>
              </w:rPr>
            </w:pPr>
            <w:r w:rsidRPr="00C33C0B">
              <w:rPr>
                <w:szCs w:val="22"/>
                <w:lang w:val="en-GB"/>
              </w:rPr>
              <w:t>30</w:t>
            </w:r>
            <w:r>
              <w:rPr>
                <w:szCs w:val="22"/>
                <w:lang w:val="en-GB"/>
              </w:rPr>
              <w:t>–</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p w14:paraId="7F9EEC09" w14:textId="77777777" w:rsidR="000F6B85" w:rsidRPr="00C33C0B" w:rsidRDefault="000F6B85" w:rsidP="002518AC">
            <w:pPr>
              <w:spacing w:before="20" w:after="20" w:line="240" w:lineRule="auto"/>
              <w:rPr>
                <w:szCs w:val="22"/>
                <w:lang w:val="en-GB"/>
              </w:rPr>
            </w:pPr>
          </w:p>
        </w:tc>
        <w:tc>
          <w:tcPr>
            <w:tcW w:w="1036" w:type="dxa"/>
            <w:vMerge/>
            <w:shd w:val="clear" w:color="auto" w:fill="auto"/>
          </w:tcPr>
          <w:p w14:paraId="0ED215DA" w14:textId="77777777" w:rsidR="000F6B85" w:rsidRPr="00C33C0B" w:rsidRDefault="000F6B85" w:rsidP="002518AC">
            <w:pPr>
              <w:spacing w:before="20" w:after="20" w:line="240" w:lineRule="auto"/>
              <w:rPr>
                <w:szCs w:val="22"/>
                <w:lang w:val="en-GB"/>
              </w:rPr>
            </w:pPr>
          </w:p>
        </w:tc>
        <w:tc>
          <w:tcPr>
            <w:tcW w:w="4974" w:type="dxa"/>
            <w:vMerge/>
            <w:shd w:val="clear" w:color="auto" w:fill="auto"/>
          </w:tcPr>
          <w:p w14:paraId="2C9CF3FC" w14:textId="77777777" w:rsidR="000F6B85" w:rsidRPr="00C33C0B" w:rsidRDefault="000F6B85" w:rsidP="002518AC">
            <w:pPr>
              <w:spacing w:before="20" w:after="20" w:line="240" w:lineRule="auto"/>
              <w:rPr>
                <w:szCs w:val="22"/>
                <w:lang w:val="en-GB"/>
              </w:rPr>
            </w:pPr>
          </w:p>
        </w:tc>
      </w:tr>
      <w:tr w:rsidR="000F6B85" w:rsidRPr="00C33C0B" w14:paraId="1A29DA84" w14:textId="77777777" w:rsidTr="00EB34DC">
        <w:tc>
          <w:tcPr>
            <w:tcW w:w="590" w:type="dxa"/>
            <w:shd w:val="clear" w:color="auto" w:fill="auto"/>
          </w:tcPr>
          <w:p w14:paraId="3046BFFB" w14:textId="77777777" w:rsidR="000F6B85" w:rsidRPr="00C33C0B" w:rsidRDefault="000F6B85" w:rsidP="002518AC">
            <w:pPr>
              <w:spacing w:before="20" w:after="20" w:line="240" w:lineRule="auto"/>
              <w:rPr>
                <w:szCs w:val="22"/>
                <w:lang w:val="en-GB"/>
              </w:rPr>
            </w:pPr>
            <w:r w:rsidRPr="00C33C0B">
              <w:rPr>
                <w:szCs w:val="22"/>
                <w:lang w:val="en-GB"/>
              </w:rPr>
              <w:t>823</w:t>
            </w:r>
          </w:p>
        </w:tc>
        <w:tc>
          <w:tcPr>
            <w:tcW w:w="1825" w:type="dxa"/>
          </w:tcPr>
          <w:p w14:paraId="253FBA54" w14:textId="77777777" w:rsidR="000F6B85" w:rsidRPr="00C33C0B" w:rsidRDefault="00154B2C" w:rsidP="003324EB">
            <w:pPr>
              <w:spacing w:before="20" w:after="20" w:line="240" w:lineRule="auto"/>
              <w:rPr>
                <w:szCs w:val="22"/>
                <w:lang w:val="en-GB"/>
              </w:rPr>
            </w:pPr>
            <w:r>
              <w:rPr>
                <w:szCs w:val="22"/>
                <w:lang w:val="en-GB"/>
              </w:rPr>
              <w:t>&gt;</w:t>
            </w:r>
            <w:r w:rsidR="000F6B85">
              <w:rPr>
                <w:szCs w:val="22"/>
                <w:lang w:val="en-GB"/>
              </w:rPr>
              <w:t xml:space="preserve"> </w:t>
            </w:r>
            <w:r w:rsidR="000F6B85" w:rsidRPr="00C33C0B">
              <w:rPr>
                <w:szCs w:val="22"/>
                <w:lang w:val="en-GB"/>
              </w:rPr>
              <w:t>45</w:t>
            </w:r>
            <w:r w:rsidR="000F6B85">
              <w:rPr>
                <w:szCs w:val="22"/>
                <w:lang w:val="en-GB"/>
              </w:rPr>
              <w:t xml:space="preserve"> </w:t>
            </w:r>
            <w:r w:rsidR="000F6B85" w:rsidRPr="00C33C0B">
              <w:rPr>
                <w:szCs w:val="22"/>
                <w:lang w:val="en-GB"/>
              </w:rPr>
              <w:t>min</w:t>
            </w:r>
            <w:r w:rsidR="000F6B85">
              <w:rPr>
                <w:szCs w:val="22"/>
                <w:lang w:val="en-GB"/>
              </w:rPr>
              <w:t>ute</w:t>
            </w:r>
            <w:r w:rsidR="000F6B85" w:rsidRPr="00C33C0B">
              <w:rPr>
                <w:szCs w:val="22"/>
                <w:lang w:val="en-GB"/>
              </w:rPr>
              <w:t>s</w:t>
            </w:r>
          </w:p>
          <w:p w14:paraId="18DC008F" w14:textId="77777777" w:rsidR="000F6B85" w:rsidRPr="00C33C0B" w:rsidRDefault="000F6B85" w:rsidP="002518AC">
            <w:pPr>
              <w:spacing w:before="20" w:after="20" w:line="240" w:lineRule="auto"/>
              <w:rPr>
                <w:szCs w:val="22"/>
                <w:lang w:val="en-GB"/>
              </w:rPr>
            </w:pPr>
          </w:p>
        </w:tc>
        <w:tc>
          <w:tcPr>
            <w:tcW w:w="1036" w:type="dxa"/>
            <w:vMerge/>
            <w:shd w:val="clear" w:color="auto" w:fill="auto"/>
          </w:tcPr>
          <w:p w14:paraId="4B0E31D5" w14:textId="77777777" w:rsidR="000F6B85" w:rsidRPr="00C33C0B" w:rsidRDefault="000F6B85" w:rsidP="002518AC">
            <w:pPr>
              <w:spacing w:before="20" w:after="20" w:line="240" w:lineRule="auto"/>
              <w:rPr>
                <w:szCs w:val="22"/>
                <w:lang w:val="en-GB"/>
              </w:rPr>
            </w:pPr>
          </w:p>
        </w:tc>
        <w:tc>
          <w:tcPr>
            <w:tcW w:w="4974" w:type="dxa"/>
            <w:vMerge/>
            <w:shd w:val="clear" w:color="auto" w:fill="auto"/>
          </w:tcPr>
          <w:p w14:paraId="7A9AA7F2" w14:textId="77777777" w:rsidR="000F6B85" w:rsidRPr="00C33C0B" w:rsidRDefault="000F6B85" w:rsidP="002518AC">
            <w:pPr>
              <w:spacing w:before="20" w:after="20" w:line="240" w:lineRule="auto"/>
              <w:rPr>
                <w:szCs w:val="22"/>
                <w:lang w:val="en-GB"/>
              </w:rPr>
            </w:pPr>
          </w:p>
        </w:tc>
      </w:tr>
      <w:tr w:rsidR="000F6B85" w:rsidRPr="00C33C0B" w14:paraId="40527C82" w14:textId="77777777" w:rsidTr="00EB34DC">
        <w:tc>
          <w:tcPr>
            <w:tcW w:w="590" w:type="dxa"/>
            <w:shd w:val="clear" w:color="auto" w:fill="auto"/>
          </w:tcPr>
          <w:p w14:paraId="52B0A722" w14:textId="77777777" w:rsidR="000F6B85" w:rsidRPr="000F6B85" w:rsidRDefault="003A6BD8" w:rsidP="00A7236E">
            <w:pPr>
              <w:spacing w:before="20" w:after="20" w:line="240" w:lineRule="auto"/>
              <w:rPr>
                <w:b/>
                <w:szCs w:val="22"/>
                <w:lang w:val="en-GB"/>
              </w:rPr>
            </w:pPr>
            <w:r>
              <w:rPr>
                <w:szCs w:val="22"/>
                <w:lang w:val="en-GB"/>
              </w:rPr>
              <w:t>82Y</w:t>
            </w:r>
            <w:r w:rsidR="000F6B85">
              <w:rPr>
                <w:b/>
                <w:szCs w:val="22"/>
                <w:lang w:val="en-GB"/>
              </w:rPr>
              <w:t xml:space="preserve"> (new)</w:t>
            </w:r>
          </w:p>
        </w:tc>
        <w:tc>
          <w:tcPr>
            <w:tcW w:w="1825" w:type="dxa"/>
          </w:tcPr>
          <w:p w14:paraId="5E08B17F" w14:textId="77777777" w:rsidR="000F6B85" w:rsidRPr="00C33C0B" w:rsidRDefault="000F6B85" w:rsidP="00A7236E">
            <w:pPr>
              <w:spacing w:before="20" w:after="20" w:line="240" w:lineRule="auto"/>
              <w:rPr>
                <w:szCs w:val="22"/>
                <w:lang w:val="en-GB"/>
              </w:rPr>
            </w:pPr>
            <w:r>
              <w:rPr>
                <w:szCs w:val="22"/>
                <w:lang w:val="en-GB"/>
              </w:rPr>
              <w:t>&lt;15 minutes</w:t>
            </w:r>
          </w:p>
        </w:tc>
        <w:tc>
          <w:tcPr>
            <w:tcW w:w="1036" w:type="dxa"/>
            <w:vMerge w:val="restart"/>
            <w:shd w:val="clear" w:color="auto" w:fill="auto"/>
          </w:tcPr>
          <w:p w14:paraId="0E8E2F6E" w14:textId="77777777" w:rsidR="000F6B85" w:rsidRPr="00C33C0B" w:rsidRDefault="000F6B85" w:rsidP="00A7236E">
            <w:pPr>
              <w:spacing w:before="20" w:after="20" w:line="240" w:lineRule="auto"/>
              <w:rPr>
                <w:szCs w:val="22"/>
                <w:lang w:val="en-GB"/>
              </w:rPr>
            </w:pPr>
            <w:r w:rsidRPr="00C33C0B">
              <w:rPr>
                <w:szCs w:val="22"/>
                <w:lang w:val="en-GB"/>
              </w:rPr>
              <w:t>Participate</w:t>
            </w:r>
          </w:p>
        </w:tc>
        <w:tc>
          <w:tcPr>
            <w:tcW w:w="4974" w:type="dxa"/>
            <w:vMerge/>
            <w:shd w:val="clear" w:color="auto" w:fill="auto"/>
          </w:tcPr>
          <w:p w14:paraId="7FBE3DB6" w14:textId="77777777" w:rsidR="000F6B85" w:rsidRPr="00C33C0B" w:rsidRDefault="000F6B85" w:rsidP="000E4CBE">
            <w:pPr>
              <w:spacing w:before="20" w:after="20" w:line="240" w:lineRule="auto"/>
              <w:rPr>
                <w:szCs w:val="22"/>
                <w:lang w:val="en-GB"/>
              </w:rPr>
            </w:pPr>
          </w:p>
        </w:tc>
      </w:tr>
      <w:tr w:rsidR="000F6B85" w:rsidRPr="00C33C0B" w14:paraId="0296E559" w14:textId="77777777" w:rsidTr="00EB34DC">
        <w:tc>
          <w:tcPr>
            <w:tcW w:w="590" w:type="dxa"/>
            <w:shd w:val="clear" w:color="auto" w:fill="auto"/>
          </w:tcPr>
          <w:p w14:paraId="377F57C6" w14:textId="77777777" w:rsidR="000F6B85" w:rsidRPr="00C33C0B" w:rsidRDefault="000F6B85" w:rsidP="00A7236E">
            <w:pPr>
              <w:spacing w:before="20" w:after="20" w:line="240" w:lineRule="auto"/>
              <w:rPr>
                <w:szCs w:val="22"/>
                <w:lang w:val="en-GB"/>
              </w:rPr>
            </w:pPr>
            <w:r w:rsidRPr="00C33C0B">
              <w:rPr>
                <w:szCs w:val="22"/>
                <w:lang w:val="en-GB"/>
              </w:rPr>
              <w:t>825</w:t>
            </w:r>
          </w:p>
        </w:tc>
        <w:tc>
          <w:tcPr>
            <w:tcW w:w="1825" w:type="dxa"/>
          </w:tcPr>
          <w:p w14:paraId="2B572AE3" w14:textId="77777777" w:rsidR="000F6B85" w:rsidRPr="00C33C0B" w:rsidRDefault="000F6B85" w:rsidP="00A7236E">
            <w:pPr>
              <w:spacing w:before="20" w:after="20" w:line="240" w:lineRule="auto"/>
              <w:rPr>
                <w:szCs w:val="22"/>
                <w:lang w:val="en-GB"/>
              </w:rPr>
            </w:pPr>
            <w:r w:rsidRPr="00C33C0B">
              <w:rPr>
                <w:szCs w:val="22"/>
                <w:lang w:val="en-GB"/>
              </w:rPr>
              <w:t>15</w:t>
            </w:r>
            <w:r>
              <w:rPr>
                <w:szCs w:val="22"/>
                <w:lang w:val="en-GB"/>
              </w:rPr>
              <w:t>–</w:t>
            </w:r>
            <w:r w:rsidRPr="00C33C0B">
              <w:rPr>
                <w:szCs w:val="22"/>
                <w:lang w:val="en-GB"/>
              </w:rPr>
              <w:t>30</w:t>
            </w:r>
            <w:r>
              <w:rPr>
                <w:szCs w:val="22"/>
                <w:lang w:val="en-GB"/>
              </w:rPr>
              <w:t xml:space="preserve"> </w:t>
            </w:r>
            <w:r w:rsidRPr="00C33C0B">
              <w:rPr>
                <w:szCs w:val="22"/>
                <w:lang w:val="en-GB"/>
              </w:rPr>
              <w:t>min</w:t>
            </w:r>
            <w:r>
              <w:rPr>
                <w:szCs w:val="22"/>
                <w:lang w:val="en-GB"/>
              </w:rPr>
              <w:t>ute</w:t>
            </w:r>
            <w:r w:rsidRPr="00C33C0B">
              <w:rPr>
                <w:szCs w:val="22"/>
                <w:lang w:val="en-GB"/>
              </w:rPr>
              <w:t>s</w:t>
            </w:r>
          </w:p>
          <w:p w14:paraId="4A1505C7" w14:textId="77777777" w:rsidR="000F6B85" w:rsidRPr="00C33C0B" w:rsidRDefault="000F6B85" w:rsidP="00A7236E">
            <w:pPr>
              <w:spacing w:before="20" w:after="20" w:line="240" w:lineRule="auto"/>
              <w:rPr>
                <w:szCs w:val="22"/>
                <w:lang w:val="en-GB"/>
              </w:rPr>
            </w:pPr>
          </w:p>
        </w:tc>
        <w:tc>
          <w:tcPr>
            <w:tcW w:w="1036" w:type="dxa"/>
            <w:vMerge/>
            <w:shd w:val="clear" w:color="auto" w:fill="auto"/>
          </w:tcPr>
          <w:p w14:paraId="238B8FCB" w14:textId="77777777" w:rsidR="000F6B85" w:rsidRPr="00C33C0B" w:rsidRDefault="000F6B85" w:rsidP="00A7236E">
            <w:pPr>
              <w:spacing w:before="20" w:after="20" w:line="240" w:lineRule="auto"/>
              <w:rPr>
                <w:szCs w:val="22"/>
                <w:lang w:val="en-GB"/>
              </w:rPr>
            </w:pPr>
          </w:p>
        </w:tc>
        <w:tc>
          <w:tcPr>
            <w:tcW w:w="4974" w:type="dxa"/>
            <w:vMerge/>
            <w:shd w:val="clear" w:color="auto" w:fill="auto"/>
          </w:tcPr>
          <w:p w14:paraId="3C1812D2" w14:textId="77777777" w:rsidR="000F6B85" w:rsidRPr="00C33C0B" w:rsidRDefault="000F6B85" w:rsidP="000E4CBE">
            <w:pPr>
              <w:spacing w:before="20" w:after="20" w:line="240" w:lineRule="auto"/>
              <w:rPr>
                <w:szCs w:val="22"/>
                <w:lang w:val="en-GB"/>
              </w:rPr>
            </w:pPr>
          </w:p>
        </w:tc>
      </w:tr>
      <w:tr w:rsidR="000F6B85" w:rsidRPr="00C33C0B" w14:paraId="435728EB" w14:textId="77777777" w:rsidTr="00EB34DC">
        <w:tc>
          <w:tcPr>
            <w:tcW w:w="590" w:type="dxa"/>
            <w:shd w:val="clear" w:color="auto" w:fill="auto"/>
          </w:tcPr>
          <w:p w14:paraId="71E93FC0" w14:textId="77777777" w:rsidR="000F6B85" w:rsidRPr="00C33C0B" w:rsidRDefault="000F6B85" w:rsidP="00A7236E">
            <w:pPr>
              <w:spacing w:before="20" w:after="20" w:line="240" w:lineRule="auto"/>
              <w:rPr>
                <w:szCs w:val="22"/>
                <w:lang w:val="en-GB"/>
              </w:rPr>
            </w:pPr>
            <w:r w:rsidRPr="00C33C0B">
              <w:rPr>
                <w:szCs w:val="22"/>
                <w:lang w:val="en-GB"/>
              </w:rPr>
              <w:t>826</w:t>
            </w:r>
          </w:p>
        </w:tc>
        <w:tc>
          <w:tcPr>
            <w:tcW w:w="1825" w:type="dxa"/>
          </w:tcPr>
          <w:p w14:paraId="1C3FA057" w14:textId="77777777" w:rsidR="000F6B85" w:rsidRPr="00C33C0B" w:rsidRDefault="000F6B85" w:rsidP="00A7236E">
            <w:pPr>
              <w:spacing w:before="20" w:after="20" w:line="240" w:lineRule="auto"/>
              <w:rPr>
                <w:szCs w:val="22"/>
                <w:lang w:val="en-GB"/>
              </w:rPr>
            </w:pPr>
            <w:r w:rsidRPr="00C33C0B">
              <w:rPr>
                <w:szCs w:val="22"/>
                <w:lang w:val="en-GB"/>
              </w:rPr>
              <w:t>30</w:t>
            </w:r>
            <w:r>
              <w:rPr>
                <w:szCs w:val="22"/>
                <w:lang w:val="en-GB"/>
              </w:rPr>
              <w:t>–</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p w14:paraId="4FF6F043" w14:textId="77777777" w:rsidR="000F6B85" w:rsidRPr="00C33C0B" w:rsidRDefault="000F6B85" w:rsidP="00A7236E">
            <w:pPr>
              <w:spacing w:before="20" w:after="20" w:line="240" w:lineRule="auto"/>
              <w:rPr>
                <w:szCs w:val="22"/>
                <w:lang w:val="en-GB"/>
              </w:rPr>
            </w:pPr>
          </w:p>
        </w:tc>
        <w:tc>
          <w:tcPr>
            <w:tcW w:w="1036" w:type="dxa"/>
            <w:vMerge/>
            <w:shd w:val="clear" w:color="auto" w:fill="auto"/>
          </w:tcPr>
          <w:p w14:paraId="4F6C1F31" w14:textId="77777777" w:rsidR="000F6B85" w:rsidRPr="00C33C0B" w:rsidRDefault="000F6B85" w:rsidP="00A7236E">
            <w:pPr>
              <w:spacing w:before="20" w:after="20" w:line="240" w:lineRule="auto"/>
              <w:rPr>
                <w:szCs w:val="22"/>
                <w:lang w:val="en-GB"/>
              </w:rPr>
            </w:pPr>
          </w:p>
        </w:tc>
        <w:tc>
          <w:tcPr>
            <w:tcW w:w="4974" w:type="dxa"/>
            <w:vMerge/>
            <w:shd w:val="clear" w:color="auto" w:fill="auto"/>
          </w:tcPr>
          <w:p w14:paraId="01F58760" w14:textId="77777777" w:rsidR="000F6B85" w:rsidRPr="00C33C0B" w:rsidRDefault="000F6B85" w:rsidP="00A7236E">
            <w:pPr>
              <w:spacing w:before="20" w:after="20" w:line="240" w:lineRule="auto"/>
              <w:rPr>
                <w:szCs w:val="22"/>
                <w:lang w:val="en-GB"/>
              </w:rPr>
            </w:pPr>
          </w:p>
        </w:tc>
      </w:tr>
      <w:tr w:rsidR="000F6B85" w:rsidRPr="00C33C0B" w14:paraId="56B37C59" w14:textId="77777777" w:rsidTr="00EB34DC">
        <w:tc>
          <w:tcPr>
            <w:tcW w:w="590" w:type="dxa"/>
            <w:shd w:val="clear" w:color="auto" w:fill="auto"/>
          </w:tcPr>
          <w:p w14:paraId="01C99E50" w14:textId="77777777" w:rsidR="000F6B85" w:rsidRPr="00C33C0B" w:rsidRDefault="000F6B85" w:rsidP="00A7236E">
            <w:pPr>
              <w:spacing w:before="20" w:after="20" w:line="240" w:lineRule="auto"/>
              <w:rPr>
                <w:szCs w:val="22"/>
                <w:lang w:val="en-GB"/>
              </w:rPr>
            </w:pPr>
            <w:r w:rsidRPr="00C33C0B">
              <w:rPr>
                <w:szCs w:val="22"/>
                <w:lang w:val="en-GB"/>
              </w:rPr>
              <w:t>828</w:t>
            </w:r>
          </w:p>
        </w:tc>
        <w:tc>
          <w:tcPr>
            <w:tcW w:w="1825" w:type="dxa"/>
          </w:tcPr>
          <w:p w14:paraId="2ECB0C80" w14:textId="77777777" w:rsidR="000F6B85" w:rsidRPr="00C33C0B" w:rsidRDefault="00154B2C" w:rsidP="00A7236E">
            <w:pPr>
              <w:spacing w:before="20" w:after="20" w:line="240" w:lineRule="auto"/>
              <w:rPr>
                <w:szCs w:val="22"/>
                <w:lang w:val="en-GB"/>
              </w:rPr>
            </w:pPr>
            <w:r>
              <w:rPr>
                <w:szCs w:val="22"/>
                <w:lang w:val="en-GB"/>
              </w:rPr>
              <w:t>&gt;</w:t>
            </w:r>
            <w:r w:rsidR="000F6B85" w:rsidRPr="00C33C0B">
              <w:rPr>
                <w:szCs w:val="22"/>
                <w:lang w:val="en-GB"/>
              </w:rPr>
              <w:t>45</w:t>
            </w:r>
            <w:r w:rsidR="000F6B85">
              <w:rPr>
                <w:szCs w:val="22"/>
                <w:lang w:val="en-GB"/>
              </w:rPr>
              <w:t xml:space="preserve"> </w:t>
            </w:r>
            <w:r w:rsidR="000F6B85" w:rsidRPr="00C33C0B">
              <w:rPr>
                <w:szCs w:val="22"/>
                <w:lang w:val="en-GB"/>
              </w:rPr>
              <w:t>min</w:t>
            </w:r>
            <w:r w:rsidR="000F6B85">
              <w:rPr>
                <w:szCs w:val="22"/>
                <w:lang w:val="en-GB"/>
              </w:rPr>
              <w:t>ute</w:t>
            </w:r>
            <w:r w:rsidR="000F6B85" w:rsidRPr="00C33C0B">
              <w:rPr>
                <w:szCs w:val="22"/>
                <w:lang w:val="en-GB"/>
              </w:rPr>
              <w:t>s</w:t>
            </w:r>
          </w:p>
          <w:p w14:paraId="3EAB4F23" w14:textId="77777777" w:rsidR="000F6B85" w:rsidRPr="00C33C0B" w:rsidRDefault="000F6B85" w:rsidP="00A7236E">
            <w:pPr>
              <w:spacing w:before="20" w:after="20" w:line="240" w:lineRule="auto"/>
              <w:rPr>
                <w:szCs w:val="22"/>
                <w:lang w:val="en-GB"/>
              </w:rPr>
            </w:pPr>
          </w:p>
        </w:tc>
        <w:tc>
          <w:tcPr>
            <w:tcW w:w="1036" w:type="dxa"/>
            <w:vMerge/>
            <w:shd w:val="clear" w:color="auto" w:fill="auto"/>
          </w:tcPr>
          <w:p w14:paraId="4D07CAE1" w14:textId="77777777" w:rsidR="000F6B85" w:rsidRPr="00C33C0B" w:rsidRDefault="000F6B85" w:rsidP="00A7236E">
            <w:pPr>
              <w:spacing w:before="20" w:after="20" w:line="240" w:lineRule="auto"/>
              <w:rPr>
                <w:szCs w:val="22"/>
                <w:lang w:val="en-GB"/>
              </w:rPr>
            </w:pPr>
          </w:p>
        </w:tc>
        <w:tc>
          <w:tcPr>
            <w:tcW w:w="4974" w:type="dxa"/>
            <w:vMerge/>
            <w:shd w:val="clear" w:color="auto" w:fill="auto"/>
          </w:tcPr>
          <w:p w14:paraId="3EFEF96C" w14:textId="77777777" w:rsidR="000F6B85" w:rsidRPr="00C33C0B" w:rsidRDefault="000F6B85" w:rsidP="00A7236E">
            <w:pPr>
              <w:spacing w:before="20" w:after="20" w:line="240" w:lineRule="auto"/>
              <w:rPr>
                <w:szCs w:val="22"/>
                <w:lang w:val="en-GB"/>
              </w:rPr>
            </w:pPr>
          </w:p>
        </w:tc>
      </w:tr>
      <w:tr w:rsidR="00154B2C" w:rsidRPr="00C33C0B" w14:paraId="1EAA34B8" w14:textId="77777777" w:rsidTr="00EB34DC">
        <w:tc>
          <w:tcPr>
            <w:tcW w:w="590" w:type="dxa"/>
            <w:shd w:val="clear" w:color="auto" w:fill="auto"/>
          </w:tcPr>
          <w:p w14:paraId="3EB6538D" w14:textId="77777777" w:rsidR="00154B2C" w:rsidRPr="00154B2C" w:rsidRDefault="003A6BD8" w:rsidP="000E4CBE">
            <w:pPr>
              <w:spacing w:before="20" w:after="20" w:line="240" w:lineRule="auto"/>
              <w:rPr>
                <w:b/>
                <w:szCs w:val="22"/>
                <w:lang w:val="en-GB"/>
              </w:rPr>
            </w:pPr>
            <w:r>
              <w:rPr>
                <w:szCs w:val="22"/>
                <w:lang w:val="en-GB"/>
              </w:rPr>
              <w:t>83X</w:t>
            </w:r>
            <w:r w:rsidR="00154B2C">
              <w:rPr>
                <w:b/>
                <w:szCs w:val="22"/>
                <w:lang w:val="en-GB"/>
              </w:rPr>
              <w:t xml:space="preserve"> (new)</w:t>
            </w:r>
          </w:p>
        </w:tc>
        <w:tc>
          <w:tcPr>
            <w:tcW w:w="1825" w:type="dxa"/>
          </w:tcPr>
          <w:p w14:paraId="73B00D4E" w14:textId="77777777" w:rsidR="00154B2C" w:rsidRPr="00C33C0B" w:rsidRDefault="00154B2C" w:rsidP="000E4CBE">
            <w:pPr>
              <w:spacing w:before="20" w:after="20" w:line="240" w:lineRule="auto"/>
              <w:rPr>
                <w:szCs w:val="22"/>
                <w:lang w:val="en-GB"/>
              </w:rPr>
            </w:pPr>
            <w:r>
              <w:rPr>
                <w:szCs w:val="22"/>
                <w:lang w:val="en-GB"/>
              </w:rPr>
              <w:t>&lt;15 minutes</w:t>
            </w:r>
          </w:p>
        </w:tc>
        <w:tc>
          <w:tcPr>
            <w:tcW w:w="1036" w:type="dxa"/>
            <w:vMerge w:val="restart"/>
            <w:shd w:val="clear" w:color="auto" w:fill="auto"/>
          </w:tcPr>
          <w:p w14:paraId="43FB554F" w14:textId="77777777" w:rsidR="00154B2C" w:rsidRPr="00C33C0B" w:rsidRDefault="00154B2C" w:rsidP="000E4CBE">
            <w:pPr>
              <w:spacing w:before="20" w:after="20" w:line="240" w:lineRule="auto"/>
              <w:rPr>
                <w:szCs w:val="22"/>
                <w:lang w:val="en-GB"/>
              </w:rPr>
            </w:pPr>
            <w:r w:rsidRPr="00C33C0B">
              <w:rPr>
                <w:szCs w:val="22"/>
                <w:lang w:val="en-GB"/>
              </w:rPr>
              <w:t>Organise and coordinate</w:t>
            </w:r>
          </w:p>
          <w:p w14:paraId="1C0487CD" w14:textId="77777777" w:rsidR="00154B2C" w:rsidRPr="00C33C0B" w:rsidRDefault="00154B2C" w:rsidP="000E4CBE">
            <w:pPr>
              <w:spacing w:before="20" w:after="20" w:line="240" w:lineRule="auto"/>
              <w:rPr>
                <w:szCs w:val="22"/>
                <w:lang w:val="en-GB"/>
              </w:rPr>
            </w:pPr>
          </w:p>
        </w:tc>
        <w:tc>
          <w:tcPr>
            <w:tcW w:w="4974" w:type="dxa"/>
            <w:vMerge w:val="restart"/>
            <w:shd w:val="clear" w:color="auto" w:fill="auto"/>
          </w:tcPr>
          <w:p w14:paraId="74DA7D9D" w14:textId="77777777" w:rsidR="00154B2C" w:rsidRPr="00C33C0B" w:rsidRDefault="00154B2C" w:rsidP="000E4CBE">
            <w:pPr>
              <w:spacing w:before="20" w:after="20" w:line="240" w:lineRule="auto"/>
              <w:rPr>
                <w:szCs w:val="22"/>
                <w:lang w:val="en-GB"/>
              </w:rPr>
            </w:pPr>
            <w:r w:rsidRPr="00C33C0B">
              <w:rPr>
                <w:szCs w:val="22"/>
                <w:lang w:val="en-GB"/>
              </w:rPr>
              <w:t xml:space="preserve">Attendance by a </w:t>
            </w:r>
            <w:r>
              <w:rPr>
                <w:szCs w:val="22"/>
                <w:lang w:val="en-GB"/>
              </w:rPr>
              <w:t>consultant specialist</w:t>
            </w:r>
            <w:r w:rsidRPr="00C33C0B">
              <w:rPr>
                <w:szCs w:val="22"/>
                <w:lang w:val="en-GB"/>
              </w:rPr>
              <w:t xml:space="preserve"> in the practice of his or her specialty to </w:t>
            </w:r>
            <w:r>
              <w:rPr>
                <w:szCs w:val="22"/>
                <w:lang w:val="en-GB"/>
              </w:rPr>
              <w:t>[insert role]</w:t>
            </w:r>
            <w:r w:rsidRPr="00C33C0B">
              <w:rPr>
                <w:szCs w:val="22"/>
                <w:lang w:val="en-GB"/>
              </w:rPr>
              <w:t xml:space="preserve"> a</w:t>
            </w:r>
            <w:r w:rsidRPr="00C33C0B">
              <w:rPr>
                <w:b/>
                <w:szCs w:val="22"/>
                <w:lang w:val="en-GB"/>
              </w:rPr>
              <w:t xml:space="preserve"> discharge case conference</w:t>
            </w:r>
            <w:r w:rsidRPr="00C33C0B">
              <w:rPr>
                <w:szCs w:val="22"/>
                <w:lang w:val="en-GB"/>
              </w:rPr>
              <w:t xml:space="preserve"> of at least [X] minutes but less than [X] minutes, requiring:</w:t>
            </w:r>
          </w:p>
          <w:p w14:paraId="7D11EE70" w14:textId="77777777" w:rsidR="00154B2C" w:rsidRPr="00C33C0B" w:rsidRDefault="00154B2C" w:rsidP="000831A1">
            <w:pPr>
              <w:pStyle w:val="ListParagraph"/>
              <w:numPr>
                <w:ilvl w:val="0"/>
                <w:numId w:val="23"/>
              </w:numPr>
              <w:spacing w:before="20" w:after="20" w:line="240" w:lineRule="auto"/>
              <w:rPr>
                <w:szCs w:val="22"/>
                <w:lang w:val="en-GB"/>
              </w:rPr>
            </w:pPr>
            <w:r w:rsidRPr="00C33C0B">
              <w:rPr>
                <w:szCs w:val="22"/>
                <w:lang w:val="en-GB"/>
              </w:rPr>
              <w:t>The development and approval of a discharge management plan for transfer of care to the community setting and self-management; and</w:t>
            </w:r>
          </w:p>
          <w:p w14:paraId="33F52903" w14:textId="77777777" w:rsidR="005D7386" w:rsidRDefault="005D7386" w:rsidP="000831A1">
            <w:pPr>
              <w:pStyle w:val="ListParagraph"/>
              <w:numPr>
                <w:ilvl w:val="0"/>
                <w:numId w:val="23"/>
              </w:numPr>
              <w:spacing w:before="20" w:after="20" w:line="240" w:lineRule="auto"/>
              <w:rPr>
                <w:szCs w:val="22"/>
                <w:lang w:val="en-GB"/>
              </w:rPr>
            </w:pPr>
            <w:r w:rsidRPr="00B25708">
              <w:rPr>
                <w:szCs w:val="22"/>
                <w:lang w:val="en-GB"/>
              </w:rPr>
              <w:t xml:space="preserve">Mandatory GP (or delegate) </w:t>
            </w:r>
            <w:r>
              <w:rPr>
                <w:szCs w:val="22"/>
                <w:lang w:val="en-GB"/>
              </w:rPr>
              <w:t>invitation and</w:t>
            </w:r>
          </w:p>
          <w:p w14:paraId="5F332856" w14:textId="77777777" w:rsidR="005D7386" w:rsidRPr="00B25708" w:rsidRDefault="005D7386" w:rsidP="005D7386">
            <w:pPr>
              <w:pStyle w:val="ListParagraph"/>
              <w:spacing w:before="20" w:after="20" w:line="240" w:lineRule="auto"/>
              <w:ind w:left="773"/>
              <w:rPr>
                <w:szCs w:val="22"/>
                <w:lang w:val="en-GB"/>
              </w:rPr>
            </w:pPr>
            <w:r>
              <w:rPr>
                <w:szCs w:val="22"/>
                <w:lang w:val="en-GB"/>
              </w:rPr>
              <w:t>i) participation, or ii)</w:t>
            </w:r>
            <w:r w:rsidRPr="00B25708">
              <w:rPr>
                <w:szCs w:val="22"/>
                <w:lang w:val="en-GB"/>
              </w:rPr>
              <w:t xml:space="preserve"> review of outcomes and</w:t>
            </w:r>
            <w:r w:rsidR="005D5A68">
              <w:rPr>
                <w:szCs w:val="22"/>
                <w:lang w:val="en-GB"/>
              </w:rPr>
              <w:t xml:space="preserve"> </w:t>
            </w:r>
            <w:r w:rsidRPr="00B25708">
              <w:rPr>
                <w:szCs w:val="22"/>
                <w:lang w:val="en-GB"/>
              </w:rPr>
              <w:t>communication of any proposed changes to the patient and to the case conference organiser; and</w:t>
            </w:r>
          </w:p>
          <w:p w14:paraId="489F59B0" w14:textId="77777777" w:rsidR="00B25708" w:rsidRDefault="00B25708" w:rsidP="000831A1">
            <w:pPr>
              <w:pStyle w:val="ListParagraph"/>
              <w:numPr>
                <w:ilvl w:val="0"/>
                <w:numId w:val="23"/>
              </w:numPr>
              <w:spacing w:before="20" w:after="20" w:line="240" w:lineRule="auto"/>
              <w:rPr>
                <w:szCs w:val="22"/>
                <w:lang w:val="en-GB"/>
              </w:rPr>
            </w:pPr>
            <w:r w:rsidRPr="00C33C0B">
              <w:rPr>
                <w:szCs w:val="22"/>
                <w:lang w:val="en-GB"/>
              </w:rPr>
              <w:t xml:space="preserve">Mandatory patient (or delegate) </w:t>
            </w:r>
            <w:r>
              <w:rPr>
                <w:szCs w:val="22"/>
                <w:lang w:val="en-GB"/>
              </w:rPr>
              <w:t xml:space="preserve">invitation </w:t>
            </w:r>
            <w:r w:rsidRPr="00C33C0B">
              <w:rPr>
                <w:szCs w:val="22"/>
                <w:lang w:val="en-GB"/>
              </w:rPr>
              <w:t>and to make it possible for them to attend; and</w:t>
            </w:r>
          </w:p>
          <w:p w14:paraId="244084BD" w14:textId="77777777" w:rsidR="00154B2C" w:rsidRPr="00C33C0B" w:rsidRDefault="00154B2C" w:rsidP="000831A1">
            <w:pPr>
              <w:pStyle w:val="ListParagraph"/>
              <w:numPr>
                <w:ilvl w:val="0"/>
                <w:numId w:val="23"/>
              </w:numPr>
              <w:spacing w:before="20" w:after="20" w:line="240" w:lineRule="auto"/>
              <w:rPr>
                <w:szCs w:val="22"/>
                <w:lang w:val="en-GB"/>
              </w:rPr>
            </w:pPr>
            <w:r w:rsidRPr="00C33C0B">
              <w:rPr>
                <w:szCs w:val="22"/>
                <w:lang w:val="en-GB"/>
              </w:rPr>
              <w:t>A</w:t>
            </w:r>
            <w:r>
              <w:rPr>
                <w:szCs w:val="22"/>
                <w:lang w:val="en-GB"/>
              </w:rPr>
              <w:t xml:space="preserve">t least </w:t>
            </w:r>
            <w:r w:rsidR="0048637C">
              <w:rPr>
                <w:szCs w:val="22"/>
                <w:lang w:val="en-GB"/>
              </w:rPr>
              <w:t>two</w:t>
            </w:r>
            <w:r w:rsidR="0048637C" w:rsidRPr="00C33C0B">
              <w:rPr>
                <w:szCs w:val="22"/>
                <w:lang w:val="en-GB"/>
              </w:rPr>
              <w:t xml:space="preserve"> </w:t>
            </w:r>
            <w:r w:rsidRPr="00C33C0B">
              <w:rPr>
                <w:szCs w:val="22"/>
                <w:lang w:val="en-GB"/>
              </w:rPr>
              <w:t>other formal care providers of different disciplines; and</w:t>
            </w:r>
          </w:p>
          <w:p w14:paraId="5A310B4B" w14:textId="77777777" w:rsidR="00154B2C" w:rsidRDefault="00154B2C" w:rsidP="000831A1">
            <w:pPr>
              <w:pStyle w:val="ListParagraph"/>
              <w:numPr>
                <w:ilvl w:val="0"/>
                <w:numId w:val="23"/>
              </w:numPr>
              <w:spacing w:before="20" w:after="20" w:line="240" w:lineRule="auto"/>
              <w:rPr>
                <w:szCs w:val="22"/>
                <w:lang w:val="en-GB"/>
              </w:rPr>
            </w:pPr>
            <w:r w:rsidRPr="00C33C0B">
              <w:rPr>
                <w:szCs w:val="22"/>
                <w:lang w:val="en-GB"/>
              </w:rPr>
              <w:t>Outcomes to be documented in writing, including shared decisions made and informed consent sought</w:t>
            </w:r>
            <w:r w:rsidR="00794929">
              <w:rPr>
                <w:szCs w:val="22"/>
                <w:lang w:val="en-GB"/>
              </w:rPr>
              <w:t>; and</w:t>
            </w:r>
          </w:p>
          <w:p w14:paraId="268B24C6" w14:textId="77777777" w:rsidR="00794929" w:rsidRPr="00794929" w:rsidRDefault="00794929" w:rsidP="000831A1">
            <w:pPr>
              <w:pStyle w:val="ListParagraph"/>
              <w:numPr>
                <w:ilvl w:val="0"/>
                <w:numId w:val="23"/>
              </w:numPr>
              <w:spacing w:before="20" w:after="20" w:line="240" w:lineRule="auto"/>
              <w:rPr>
                <w:szCs w:val="22"/>
                <w:lang w:val="en-GB"/>
              </w:rPr>
            </w:pPr>
            <w:r w:rsidRPr="00C474A8">
              <w:rPr>
                <w:szCs w:val="22"/>
                <w:lang w:val="en-GB"/>
              </w:rPr>
              <w:t>A copy of the case conference outcomes to be uploaded to My Health Record, unless patient consent is withdrawn, a</w:t>
            </w:r>
            <w:r>
              <w:rPr>
                <w:szCs w:val="22"/>
                <w:lang w:val="en-GB"/>
              </w:rPr>
              <w:t>nd where reasonably achievable.</w:t>
            </w:r>
          </w:p>
          <w:p w14:paraId="430E8251" w14:textId="77777777" w:rsidR="00154B2C" w:rsidRPr="00C33C0B" w:rsidRDefault="00154B2C" w:rsidP="000E4CBE">
            <w:pPr>
              <w:spacing w:before="20" w:after="20" w:line="240" w:lineRule="auto"/>
              <w:rPr>
                <w:szCs w:val="22"/>
                <w:lang w:val="en-GB"/>
              </w:rPr>
            </w:pPr>
            <w:r w:rsidRPr="00C33C0B">
              <w:rPr>
                <w:szCs w:val="22"/>
                <w:lang w:val="en-GB"/>
              </w:rPr>
              <w:t>All participants must be in communication with each other throughout the conference, either face-to-face, by telephone or by videoconference, or a combination of these</w:t>
            </w:r>
          </w:p>
        </w:tc>
      </w:tr>
      <w:tr w:rsidR="00154B2C" w:rsidRPr="00C33C0B" w14:paraId="31A38EF6" w14:textId="77777777" w:rsidTr="00EB34DC">
        <w:tc>
          <w:tcPr>
            <w:tcW w:w="590" w:type="dxa"/>
            <w:shd w:val="clear" w:color="auto" w:fill="auto"/>
          </w:tcPr>
          <w:p w14:paraId="02B541C7" w14:textId="77777777" w:rsidR="00154B2C" w:rsidRPr="00C33C0B" w:rsidRDefault="00154B2C" w:rsidP="000E4CBE">
            <w:pPr>
              <w:spacing w:before="20" w:after="20" w:line="240" w:lineRule="auto"/>
              <w:rPr>
                <w:szCs w:val="22"/>
                <w:lang w:val="en-GB"/>
              </w:rPr>
            </w:pPr>
            <w:r w:rsidRPr="00C33C0B">
              <w:rPr>
                <w:szCs w:val="22"/>
                <w:lang w:val="en-GB"/>
              </w:rPr>
              <w:t>830</w:t>
            </w:r>
          </w:p>
        </w:tc>
        <w:tc>
          <w:tcPr>
            <w:tcW w:w="1825" w:type="dxa"/>
          </w:tcPr>
          <w:p w14:paraId="7EA914FA" w14:textId="77777777" w:rsidR="00154B2C" w:rsidRPr="00C33C0B" w:rsidRDefault="00154B2C" w:rsidP="000E4CBE">
            <w:pPr>
              <w:spacing w:before="20" w:after="20" w:line="240" w:lineRule="auto"/>
              <w:rPr>
                <w:szCs w:val="22"/>
                <w:lang w:val="en-GB"/>
              </w:rPr>
            </w:pPr>
            <w:r w:rsidRPr="00C33C0B">
              <w:rPr>
                <w:szCs w:val="22"/>
                <w:lang w:val="en-GB"/>
              </w:rPr>
              <w:t>15</w:t>
            </w:r>
            <w:r>
              <w:rPr>
                <w:szCs w:val="22"/>
                <w:lang w:val="en-GB"/>
              </w:rPr>
              <w:t>–</w:t>
            </w:r>
            <w:r w:rsidRPr="00C33C0B">
              <w:rPr>
                <w:szCs w:val="22"/>
                <w:lang w:val="en-GB"/>
              </w:rPr>
              <w:t>30</w:t>
            </w:r>
            <w:r>
              <w:rPr>
                <w:szCs w:val="22"/>
                <w:lang w:val="en-GB"/>
              </w:rPr>
              <w:t xml:space="preserve"> </w:t>
            </w:r>
            <w:r w:rsidRPr="00C33C0B">
              <w:rPr>
                <w:szCs w:val="22"/>
                <w:lang w:val="en-GB"/>
              </w:rPr>
              <w:t>min</w:t>
            </w:r>
            <w:r>
              <w:rPr>
                <w:szCs w:val="22"/>
                <w:lang w:val="en-GB"/>
              </w:rPr>
              <w:t>ute</w:t>
            </w:r>
            <w:r w:rsidRPr="00C33C0B">
              <w:rPr>
                <w:szCs w:val="22"/>
                <w:lang w:val="en-GB"/>
              </w:rPr>
              <w:t>s</w:t>
            </w:r>
          </w:p>
          <w:p w14:paraId="3796C90A" w14:textId="77777777" w:rsidR="00154B2C" w:rsidRPr="00C33C0B" w:rsidRDefault="00154B2C" w:rsidP="000E4CBE">
            <w:pPr>
              <w:spacing w:before="20" w:after="20" w:line="240" w:lineRule="auto"/>
              <w:rPr>
                <w:szCs w:val="22"/>
                <w:lang w:val="en-GB"/>
              </w:rPr>
            </w:pPr>
          </w:p>
        </w:tc>
        <w:tc>
          <w:tcPr>
            <w:tcW w:w="1036" w:type="dxa"/>
            <w:vMerge/>
            <w:shd w:val="clear" w:color="auto" w:fill="auto"/>
          </w:tcPr>
          <w:p w14:paraId="2EAB45BF" w14:textId="77777777" w:rsidR="00154B2C" w:rsidRPr="00C33C0B" w:rsidRDefault="00154B2C" w:rsidP="000E4CBE">
            <w:pPr>
              <w:spacing w:before="20" w:after="20" w:line="240" w:lineRule="auto"/>
              <w:rPr>
                <w:szCs w:val="22"/>
                <w:lang w:val="en-GB"/>
              </w:rPr>
            </w:pPr>
          </w:p>
        </w:tc>
        <w:tc>
          <w:tcPr>
            <w:tcW w:w="4974" w:type="dxa"/>
            <w:vMerge/>
            <w:shd w:val="clear" w:color="auto" w:fill="auto"/>
          </w:tcPr>
          <w:p w14:paraId="7B9F844E" w14:textId="77777777" w:rsidR="00154B2C" w:rsidRPr="00C33C0B" w:rsidRDefault="00154B2C" w:rsidP="000E4CBE">
            <w:pPr>
              <w:spacing w:before="20" w:after="20" w:line="240" w:lineRule="auto"/>
              <w:rPr>
                <w:szCs w:val="22"/>
                <w:lang w:val="en-GB"/>
              </w:rPr>
            </w:pPr>
          </w:p>
        </w:tc>
      </w:tr>
      <w:tr w:rsidR="00154B2C" w:rsidRPr="00C33C0B" w14:paraId="3F3E5025" w14:textId="77777777" w:rsidTr="00EB34DC">
        <w:tc>
          <w:tcPr>
            <w:tcW w:w="590" w:type="dxa"/>
            <w:shd w:val="clear" w:color="auto" w:fill="auto"/>
          </w:tcPr>
          <w:p w14:paraId="6AB03920" w14:textId="77777777" w:rsidR="00154B2C" w:rsidRPr="00C33C0B" w:rsidRDefault="00154B2C" w:rsidP="000E4CBE">
            <w:pPr>
              <w:spacing w:before="20" w:after="20" w:line="240" w:lineRule="auto"/>
              <w:rPr>
                <w:szCs w:val="22"/>
                <w:lang w:val="en-GB"/>
              </w:rPr>
            </w:pPr>
            <w:r w:rsidRPr="00C33C0B">
              <w:rPr>
                <w:szCs w:val="22"/>
                <w:lang w:val="en-GB"/>
              </w:rPr>
              <w:t>832</w:t>
            </w:r>
          </w:p>
        </w:tc>
        <w:tc>
          <w:tcPr>
            <w:tcW w:w="1825" w:type="dxa"/>
          </w:tcPr>
          <w:p w14:paraId="058C5E97" w14:textId="77777777" w:rsidR="00154B2C" w:rsidRPr="00C33C0B" w:rsidRDefault="00154B2C" w:rsidP="000E4CBE">
            <w:pPr>
              <w:spacing w:before="20" w:after="20" w:line="240" w:lineRule="auto"/>
              <w:rPr>
                <w:szCs w:val="22"/>
                <w:lang w:val="en-GB"/>
              </w:rPr>
            </w:pPr>
            <w:r w:rsidRPr="00C33C0B">
              <w:rPr>
                <w:szCs w:val="22"/>
                <w:lang w:val="en-GB"/>
              </w:rPr>
              <w:t>30</w:t>
            </w:r>
            <w:r>
              <w:rPr>
                <w:szCs w:val="22"/>
                <w:lang w:val="en-GB"/>
              </w:rPr>
              <w:t>–</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p w14:paraId="751571C9" w14:textId="77777777" w:rsidR="00154B2C" w:rsidRPr="00C33C0B" w:rsidRDefault="00154B2C" w:rsidP="000E4CBE">
            <w:pPr>
              <w:spacing w:before="20" w:after="20" w:line="240" w:lineRule="auto"/>
              <w:rPr>
                <w:szCs w:val="22"/>
                <w:lang w:val="en-GB"/>
              </w:rPr>
            </w:pPr>
          </w:p>
        </w:tc>
        <w:tc>
          <w:tcPr>
            <w:tcW w:w="1036" w:type="dxa"/>
            <w:vMerge/>
            <w:shd w:val="clear" w:color="auto" w:fill="auto"/>
          </w:tcPr>
          <w:p w14:paraId="52BB2F4B" w14:textId="77777777" w:rsidR="00154B2C" w:rsidRPr="00C33C0B" w:rsidRDefault="00154B2C" w:rsidP="000E4CBE">
            <w:pPr>
              <w:spacing w:before="20" w:after="20" w:line="240" w:lineRule="auto"/>
              <w:rPr>
                <w:szCs w:val="22"/>
                <w:lang w:val="en-GB"/>
              </w:rPr>
            </w:pPr>
          </w:p>
        </w:tc>
        <w:tc>
          <w:tcPr>
            <w:tcW w:w="4974" w:type="dxa"/>
            <w:vMerge/>
            <w:shd w:val="clear" w:color="auto" w:fill="auto"/>
          </w:tcPr>
          <w:p w14:paraId="72123313" w14:textId="77777777" w:rsidR="00154B2C" w:rsidRPr="00C33C0B" w:rsidRDefault="00154B2C" w:rsidP="000E4CBE">
            <w:pPr>
              <w:spacing w:before="20" w:after="20" w:line="240" w:lineRule="auto"/>
              <w:rPr>
                <w:szCs w:val="22"/>
                <w:lang w:val="en-GB"/>
              </w:rPr>
            </w:pPr>
          </w:p>
        </w:tc>
      </w:tr>
      <w:tr w:rsidR="00154B2C" w:rsidRPr="00C33C0B" w14:paraId="218FFFDF" w14:textId="77777777" w:rsidTr="00EB34DC">
        <w:tc>
          <w:tcPr>
            <w:tcW w:w="590" w:type="dxa"/>
            <w:shd w:val="clear" w:color="auto" w:fill="auto"/>
          </w:tcPr>
          <w:p w14:paraId="5495792D" w14:textId="77777777" w:rsidR="00154B2C" w:rsidRPr="00C33C0B" w:rsidRDefault="00154B2C" w:rsidP="000E4CBE">
            <w:pPr>
              <w:spacing w:before="20" w:after="20" w:line="240" w:lineRule="auto"/>
              <w:rPr>
                <w:szCs w:val="22"/>
                <w:lang w:val="en-GB"/>
              </w:rPr>
            </w:pPr>
            <w:r w:rsidRPr="00C33C0B">
              <w:rPr>
                <w:szCs w:val="22"/>
                <w:lang w:val="en-GB"/>
              </w:rPr>
              <w:t>834</w:t>
            </w:r>
          </w:p>
        </w:tc>
        <w:tc>
          <w:tcPr>
            <w:tcW w:w="1825" w:type="dxa"/>
          </w:tcPr>
          <w:p w14:paraId="0556961B" w14:textId="77777777" w:rsidR="00154B2C" w:rsidRPr="00C33C0B" w:rsidRDefault="00154B2C" w:rsidP="000E4CBE">
            <w:pPr>
              <w:spacing w:before="20" w:after="20" w:line="240" w:lineRule="auto"/>
              <w:rPr>
                <w:szCs w:val="22"/>
                <w:lang w:val="en-GB"/>
              </w:rPr>
            </w:pPr>
            <w:r>
              <w:rPr>
                <w:szCs w:val="22"/>
                <w:lang w:val="en-GB"/>
              </w:rPr>
              <w:t xml:space="preserve">&gt; </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p w14:paraId="65C94CB8" w14:textId="77777777" w:rsidR="00154B2C" w:rsidRPr="00C33C0B" w:rsidRDefault="00154B2C" w:rsidP="000E4CBE">
            <w:pPr>
              <w:spacing w:before="20" w:after="20" w:line="240" w:lineRule="auto"/>
              <w:rPr>
                <w:szCs w:val="22"/>
                <w:lang w:val="en-GB"/>
              </w:rPr>
            </w:pPr>
          </w:p>
        </w:tc>
        <w:tc>
          <w:tcPr>
            <w:tcW w:w="1036" w:type="dxa"/>
            <w:vMerge/>
            <w:shd w:val="clear" w:color="auto" w:fill="auto"/>
          </w:tcPr>
          <w:p w14:paraId="7691108C" w14:textId="77777777" w:rsidR="00154B2C" w:rsidRPr="00C33C0B" w:rsidRDefault="00154B2C" w:rsidP="000E4CBE">
            <w:pPr>
              <w:spacing w:before="20" w:after="20" w:line="240" w:lineRule="auto"/>
              <w:rPr>
                <w:szCs w:val="22"/>
                <w:lang w:val="en-GB"/>
              </w:rPr>
            </w:pPr>
          </w:p>
        </w:tc>
        <w:tc>
          <w:tcPr>
            <w:tcW w:w="4974" w:type="dxa"/>
            <w:vMerge/>
            <w:shd w:val="clear" w:color="auto" w:fill="auto"/>
          </w:tcPr>
          <w:p w14:paraId="3634C5AB" w14:textId="77777777" w:rsidR="00154B2C" w:rsidRPr="00C33C0B" w:rsidRDefault="00154B2C" w:rsidP="000E4CBE">
            <w:pPr>
              <w:spacing w:before="20" w:after="20" w:line="240" w:lineRule="auto"/>
              <w:rPr>
                <w:szCs w:val="22"/>
                <w:lang w:val="en-GB"/>
              </w:rPr>
            </w:pPr>
          </w:p>
        </w:tc>
      </w:tr>
      <w:tr w:rsidR="00154B2C" w:rsidRPr="00C33C0B" w14:paraId="45D81498" w14:textId="77777777" w:rsidTr="00EB34DC">
        <w:tc>
          <w:tcPr>
            <w:tcW w:w="590" w:type="dxa"/>
            <w:shd w:val="clear" w:color="auto" w:fill="auto"/>
          </w:tcPr>
          <w:p w14:paraId="2C57E42E" w14:textId="77777777" w:rsidR="00154B2C" w:rsidRPr="00154B2C" w:rsidRDefault="003A6BD8" w:rsidP="000E4CBE">
            <w:pPr>
              <w:spacing w:before="20" w:after="20" w:line="240" w:lineRule="auto"/>
              <w:rPr>
                <w:b/>
                <w:szCs w:val="22"/>
                <w:lang w:val="en-GB"/>
              </w:rPr>
            </w:pPr>
            <w:r>
              <w:rPr>
                <w:szCs w:val="22"/>
                <w:lang w:val="en-GB"/>
              </w:rPr>
              <w:t>83Y</w:t>
            </w:r>
            <w:r w:rsidR="00154B2C" w:rsidRPr="00154B2C">
              <w:rPr>
                <w:b/>
                <w:szCs w:val="22"/>
                <w:lang w:val="en-GB"/>
              </w:rPr>
              <w:t xml:space="preserve"> (new)</w:t>
            </w:r>
          </w:p>
        </w:tc>
        <w:tc>
          <w:tcPr>
            <w:tcW w:w="1825" w:type="dxa"/>
          </w:tcPr>
          <w:p w14:paraId="42D98E34" w14:textId="77777777" w:rsidR="00154B2C" w:rsidRPr="00C33C0B" w:rsidRDefault="00154B2C" w:rsidP="000E4CBE">
            <w:pPr>
              <w:spacing w:before="20" w:after="20" w:line="240" w:lineRule="auto"/>
              <w:rPr>
                <w:szCs w:val="22"/>
                <w:lang w:val="en-GB"/>
              </w:rPr>
            </w:pPr>
            <w:r>
              <w:rPr>
                <w:szCs w:val="22"/>
                <w:lang w:val="en-GB"/>
              </w:rPr>
              <w:t>&lt;15 minutes</w:t>
            </w:r>
          </w:p>
        </w:tc>
        <w:tc>
          <w:tcPr>
            <w:tcW w:w="1036" w:type="dxa"/>
            <w:vMerge w:val="restart"/>
            <w:shd w:val="clear" w:color="auto" w:fill="auto"/>
          </w:tcPr>
          <w:p w14:paraId="2F314466" w14:textId="77777777" w:rsidR="00154B2C" w:rsidRPr="00C33C0B" w:rsidRDefault="00154B2C" w:rsidP="000E4CBE">
            <w:pPr>
              <w:spacing w:before="20" w:after="20" w:line="240" w:lineRule="auto"/>
              <w:rPr>
                <w:szCs w:val="22"/>
                <w:lang w:val="en-GB"/>
              </w:rPr>
            </w:pPr>
            <w:r w:rsidRPr="00C33C0B">
              <w:rPr>
                <w:szCs w:val="22"/>
                <w:lang w:val="en-GB"/>
              </w:rPr>
              <w:t>Participate</w:t>
            </w:r>
          </w:p>
        </w:tc>
        <w:tc>
          <w:tcPr>
            <w:tcW w:w="4974" w:type="dxa"/>
            <w:vMerge/>
            <w:shd w:val="clear" w:color="auto" w:fill="auto"/>
          </w:tcPr>
          <w:p w14:paraId="1019B8ED" w14:textId="77777777" w:rsidR="00154B2C" w:rsidRPr="00C33C0B" w:rsidRDefault="00154B2C" w:rsidP="000E4CBE">
            <w:pPr>
              <w:spacing w:before="20" w:after="20" w:line="240" w:lineRule="auto"/>
              <w:rPr>
                <w:szCs w:val="22"/>
                <w:lang w:val="en-GB"/>
              </w:rPr>
            </w:pPr>
          </w:p>
        </w:tc>
      </w:tr>
      <w:tr w:rsidR="00154B2C" w:rsidRPr="00C33C0B" w14:paraId="7C6147F2" w14:textId="77777777" w:rsidTr="00EB34DC">
        <w:tc>
          <w:tcPr>
            <w:tcW w:w="590" w:type="dxa"/>
            <w:shd w:val="clear" w:color="auto" w:fill="auto"/>
          </w:tcPr>
          <w:p w14:paraId="0D9AE36A" w14:textId="77777777" w:rsidR="00154B2C" w:rsidRPr="00C33C0B" w:rsidRDefault="00154B2C" w:rsidP="000E4CBE">
            <w:pPr>
              <w:spacing w:before="20" w:after="20" w:line="240" w:lineRule="auto"/>
              <w:rPr>
                <w:szCs w:val="22"/>
                <w:lang w:val="en-GB"/>
              </w:rPr>
            </w:pPr>
            <w:r w:rsidRPr="00C33C0B">
              <w:rPr>
                <w:szCs w:val="22"/>
                <w:lang w:val="en-GB"/>
              </w:rPr>
              <w:t>835</w:t>
            </w:r>
          </w:p>
        </w:tc>
        <w:tc>
          <w:tcPr>
            <w:tcW w:w="1825" w:type="dxa"/>
          </w:tcPr>
          <w:p w14:paraId="0A1304F8" w14:textId="77777777" w:rsidR="00154B2C" w:rsidRPr="00C33C0B" w:rsidRDefault="00154B2C" w:rsidP="000E4CBE">
            <w:pPr>
              <w:spacing w:before="20" w:after="20" w:line="240" w:lineRule="auto"/>
              <w:rPr>
                <w:szCs w:val="22"/>
                <w:lang w:val="en-GB"/>
              </w:rPr>
            </w:pPr>
            <w:r w:rsidRPr="00C33C0B">
              <w:rPr>
                <w:szCs w:val="22"/>
                <w:lang w:val="en-GB"/>
              </w:rPr>
              <w:t>15</w:t>
            </w:r>
            <w:r>
              <w:rPr>
                <w:szCs w:val="22"/>
                <w:lang w:val="en-GB"/>
              </w:rPr>
              <w:t>–</w:t>
            </w:r>
            <w:r w:rsidRPr="00C33C0B">
              <w:rPr>
                <w:szCs w:val="22"/>
                <w:lang w:val="en-GB"/>
              </w:rPr>
              <w:t>30</w:t>
            </w:r>
            <w:r>
              <w:rPr>
                <w:szCs w:val="22"/>
                <w:lang w:val="en-GB"/>
              </w:rPr>
              <w:t xml:space="preserve"> </w:t>
            </w:r>
            <w:r w:rsidRPr="00C33C0B">
              <w:rPr>
                <w:szCs w:val="22"/>
                <w:lang w:val="en-GB"/>
              </w:rPr>
              <w:t>min</w:t>
            </w:r>
            <w:r>
              <w:rPr>
                <w:szCs w:val="22"/>
                <w:lang w:val="en-GB"/>
              </w:rPr>
              <w:t>ute</w:t>
            </w:r>
            <w:r w:rsidRPr="00C33C0B">
              <w:rPr>
                <w:szCs w:val="22"/>
                <w:lang w:val="en-GB"/>
              </w:rPr>
              <w:t>s</w:t>
            </w:r>
          </w:p>
          <w:p w14:paraId="16B25F0F" w14:textId="77777777" w:rsidR="00154B2C" w:rsidRPr="00C33C0B" w:rsidRDefault="00154B2C" w:rsidP="000E4CBE">
            <w:pPr>
              <w:spacing w:before="20" w:after="20" w:line="240" w:lineRule="auto"/>
              <w:rPr>
                <w:szCs w:val="22"/>
                <w:lang w:val="en-GB"/>
              </w:rPr>
            </w:pPr>
          </w:p>
        </w:tc>
        <w:tc>
          <w:tcPr>
            <w:tcW w:w="1036" w:type="dxa"/>
            <w:vMerge/>
            <w:shd w:val="clear" w:color="auto" w:fill="auto"/>
          </w:tcPr>
          <w:p w14:paraId="53F5886E" w14:textId="77777777" w:rsidR="00154B2C" w:rsidRPr="00C33C0B" w:rsidRDefault="00154B2C" w:rsidP="000E4CBE">
            <w:pPr>
              <w:spacing w:before="20" w:after="20" w:line="240" w:lineRule="auto"/>
              <w:rPr>
                <w:szCs w:val="22"/>
                <w:lang w:val="en-GB"/>
              </w:rPr>
            </w:pPr>
          </w:p>
        </w:tc>
        <w:tc>
          <w:tcPr>
            <w:tcW w:w="4974" w:type="dxa"/>
            <w:vMerge/>
            <w:shd w:val="clear" w:color="auto" w:fill="auto"/>
          </w:tcPr>
          <w:p w14:paraId="0D7FD6D4" w14:textId="77777777" w:rsidR="00154B2C" w:rsidRPr="00C33C0B" w:rsidRDefault="00154B2C" w:rsidP="000E4CBE">
            <w:pPr>
              <w:spacing w:before="20" w:after="20" w:line="240" w:lineRule="auto"/>
              <w:rPr>
                <w:szCs w:val="22"/>
                <w:lang w:val="en-GB"/>
              </w:rPr>
            </w:pPr>
          </w:p>
        </w:tc>
      </w:tr>
      <w:tr w:rsidR="00154B2C" w:rsidRPr="00C33C0B" w14:paraId="119175E9" w14:textId="77777777" w:rsidTr="00EB34DC">
        <w:tc>
          <w:tcPr>
            <w:tcW w:w="590" w:type="dxa"/>
            <w:shd w:val="clear" w:color="auto" w:fill="auto"/>
          </w:tcPr>
          <w:p w14:paraId="3B121350" w14:textId="77777777" w:rsidR="00154B2C" w:rsidRPr="00C33C0B" w:rsidRDefault="00154B2C" w:rsidP="000E4CBE">
            <w:pPr>
              <w:spacing w:before="20" w:after="20" w:line="240" w:lineRule="auto"/>
              <w:rPr>
                <w:szCs w:val="22"/>
                <w:lang w:val="en-GB"/>
              </w:rPr>
            </w:pPr>
            <w:r w:rsidRPr="00C33C0B">
              <w:rPr>
                <w:szCs w:val="22"/>
                <w:lang w:val="en-GB"/>
              </w:rPr>
              <w:t>837</w:t>
            </w:r>
          </w:p>
        </w:tc>
        <w:tc>
          <w:tcPr>
            <w:tcW w:w="1825" w:type="dxa"/>
          </w:tcPr>
          <w:p w14:paraId="3F7BBC67" w14:textId="77777777" w:rsidR="00154B2C" w:rsidRPr="00C33C0B" w:rsidRDefault="00154B2C" w:rsidP="000E4CBE">
            <w:pPr>
              <w:spacing w:before="20" w:after="20" w:line="240" w:lineRule="auto"/>
              <w:rPr>
                <w:szCs w:val="22"/>
                <w:lang w:val="en-GB"/>
              </w:rPr>
            </w:pPr>
            <w:r w:rsidRPr="00C33C0B">
              <w:rPr>
                <w:szCs w:val="22"/>
                <w:lang w:val="en-GB"/>
              </w:rPr>
              <w:t>30</w:t>
            </w:r>
            <w:r>
              <w:rPr>
                <w:szCs w:val="22"/>
                <w:lang w:val="en-GB"/>
              </w:rPr>
              <w:t>–</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p w14:paraId="08F79B2E" w14:textId="77777777" w:rsidR="00154B2C" w:rsidRPr="00C33C0B" w:rsidRDefault="00154B2C" w:rsidP="000E4CBE">
            <w:pPr>
              <w:spacing w:before="20" w:after="20" w:line="240" w:lineRule="auto"/>
              <w:rPr>
                <w:szCs w:val="22"/>
                <w:lang w:val="en-GB"/>
              </w:rPr>
            </w:pPr>
          </w:p>
        </w:tc>
        <w:tc>
          <w:tcPr>
            <w:tcW w:w="1036" w:type="dxa"/>
            <w:vMerge/>
            <w:shd w:val="clear" w:color="auto" w:fill="auto"/>
          </w:tcPr>
          <w:p w14:paraId="1E08EC6F" w14:textId="77777777" w:rsidR="00154B2C" w:rsidRPr="00C33C0B" w:rsidRDefault="00154B2C" w:rsidP="000E4CBE">
            <w:pPr>
              <w:spacing w:before="20" w:after="20" w:line="240" w:lineRule="auto"/>
              <w:rPr>
                <w:szCs w:val="22"/>
                <w:lang w:val="en-GB"/>
              </w:rPr>
            </w:pPr>
          </w:p>
        </w:tc>
        <w:tc>
          <w:tcPr>
            <w:tcW w:w="4974" w:type="dxa"/>
            <w:vMerge/>
            <w:shd w:val="clear" w:color="auto" w:fill="auto"/>
          </w:tcPr>
          <w:p w14:paraId="5763250E" w14:textId="77777777" w:rsidR="00154B2C" w:rsidRPr="00C33C0B" w:rsidRDefault="00154B2C" w:rsidP="000E4CBE">
            <w:pPr>
              <w:spacing w:before="20" w:after="20" w:line="240" w:lineRule="auto"/>
              <w:rPr>
                <w:szCs w:val="22"/>
                <w:lang w:val="en-GB"/>
              </w:rPr>
            </w:pPr>
          </w:p>
        </w:tc>
      </w:tr>
      <w:tr w:rsidR="00154B2C" w:rsidRPr="00C33C0B" w14:paraId="2DCB7F76" w14:textId="77777777" w:rsidTr="00EB34DC">
        <w:tc>
          <w:tcPr>
            <w:tcW w:w="590" w:type="dxa"/>
            <w:shd w:val="clear" w:color="auto" w:fill="auto"/>
          </w:tcPr>
          <w:p w14:paraId="14652DBC" w14:textId="77777777" w:rsidR="00154B2C" w:rsidRPr="00C33C0B" w:rsidRDefault="00154B2C" w:rsidP="000E4CBE">
            <w:pPr>
              <w:spacing w:before="20" w:after="20" w:line="240" w:lineRule="auto"/>
              <w:rPr>
                <w:szCs w:val="22"/>
                <w:lang w:val="en-GB"/>
              </w:rPr>
            </w:pPr>
            <w:r w:rsidRPr="00C33C0B">
              <w:rPr>
                <w:szCs w:val="22"/>
                <w:lang w:val="en-GB"/>
              </w:rPr>
              <w:t>838</w:t>
            </w:r>
          </w:p>
        </w:tc>
        <w:tc>
          <w:tcPr>
            <w:tcW w:w="1825" w:type="dxa"/>
          </w:tcPr>
          <w:p w14:paraId="089840B8" w14:textId="77777777" w:rsidR="00154B2C" w:rsidRPr="00C33C0B" w:rsidRDefault="00154B2C" w:rsidP="000E4CBE">
            <w:pPr>
              <w:spacing w:before="20" w:after="20" w:line="240" w:lineRule="auto"/>
              <w:rPr>
                <w:szCs w:val="22"/>
                <w:lang w:val="en-GB"/>
              </w:rPr>
            </w:pPr>
            <w:r>
              <w:rPr>
                <w:szCs w:val="22"/>
                <w:lang w:val="en-GB"/>
              </w:rPr>
              <w:t xml:space="preserve">More than </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p w14:paraId="53F787E4" w14:textId="77777777" w:rsidR="00154B2C" w:rsidRPr="00C33C0B" w:rsidRDefault="00154B2C" w:rsidP="000E4CBE">
            <w:pPr>
              <w:spacing w:before="20" w:after="20" w:line="240" w:lineRule="auto"/>
              <w:rPr>
                <w:szCs w:val="22"/>
                <w:lang w:val="en-GB"/>
              </w:rPr>
            </w:pPr>
          </w:p>
        </w:tc>
        <w:tc>
          <w:tcPr>
            <w:tcW w:w="1036" w:type="dxa"/>
            <w:vMerge/>
            <w:shd w:val="clear" w:color="auto" w:fill="auto"/>
          </w:tcPr>
          <w:p w14:paraId="5A2526BE" w14:textId="77777777" w:rsidR="00154B2C" w:rsidRPr="00C33C0B" w:rsidRDefault="00154B2C" w:rsidP="000E4CBE">
            <w:pPr>
              <w:spacing w:before="20" w:after="20" w:line="240" w:lineRule="auto"/>
              <w:rPr>
                <w:szCs w:val="22"/>
                <w:lang w:val="en-GB"/>
              </w:rPr>
            </w:pPr>
          </w:p>
        </w:tc>
        <w:tc>
          <w:tcPr>
            <w:tcW w:w="4974" w:type="dxa"/>
            <w:vMerge/>
            <w:shd w:val="clear" w:color="auto" w:fill="auto"/>
          </w:tcPr>
          <w:p w14:paraId="5E4C3CF6" w14:textId="77777777" w:rsidR="00154B2C" w:rsidRPr="00C33C0B" w:rsidRDefault="00154B2C" w:rsidP="000E4CBE">
            <w:pPr>
              <w:spacing w:before="20" w:after="20" w:line="240" w:lineRule="auto"/>
              <w:rPr>
                <w:szCs w:val="22"/>
                <w:lang w:val="en-GB"/>
              </w:rPr>
            </w:pPr>
          </w:p>
        </w:tc>
      </w:tr>
      <w:tr w:rsidR="008F5ABE" w:rsidRPr="00C33C0B" w14:paraId="43149EBF" w14:textId="77777777" w:rsidTr="00EB34DC">
        <w:tc>
          <w:tcPr>
            <w:tcW w:w="590" w:type="dxa"/>
            <w:shd w:val="clear" w:color="auto" w:fill="auto"/>
          </w:tcPr>
          <w:p w14:paraId="72E5A064" w14:textId="77777777" w:rsidR="008F5ABE" w:rsidRPr="00EC2D91" w:rsidRDefault="008F5ABE" w:rsidP="003A3AC6">
            <w:pPr>
              <w:spacing w:before="20" w:after="20" w:line="240" w:lineRule="auto"/>
              <w:rPr>
                <w:b/>
                <w:szCs w:val="22"/>
                <w:lang w:val="en-GB"/>
              </w:rPr>
            </w:pPr>
            <w:r w:rsidRPr="008F5ABE">
              <w:rPr>
                <w:szCs w:val="22"/>
                <w:lang w:val="en-GB"/>
              </w:rPr>
              <w:t>8TA</w:t>
            </w:r>
            <w:r w:rsidRPr="00EC2D91">
              <w:rPr>
                <w:b/>
                <w:szCs w:val="22"/>
                <w:lang w:val="en-GB"/>
              </w:rPr>
              <w:t xml:space="preserve"> (new)</w:t>
            </w:r>
          </w:p>
        </w:tc>
        <w:tc>
          <w:tcPr>
            <w:tcW w:w="1825" w:type="dxa"/>
          </w:tcPr>
          <w:p w14:paraId="6E4703F4" w14:textId="77777777" w:rsidR="008F5ABE" w:rsidRPr="00C33C0B" w:rsidRDefault="008F5ABE" w:rsidP="003A3AC6">
            <w:pPr>
              <w:spacing w:before="20" w:after="20" w:line="240" w:lineRule="auto"/>
              <w:rPr>
                <w:szCs w:val="22"/>
                <w:lang w:val="en-GB"/>
              </w:rPr>
            </w:pPr>
            <w:r>
              <w:rPr>
                <w:szCs w:val="22"/>
                <w:lang w:val="en-GB"/>
              </w:rPr>
              <w:t>&lt;15 minutes</w:t>
            </w:r>
          </w:p>
        </w:tc>
        <w:tc>
          <w:tcPr>
            <w:tcW w:w="1036" w:type="dxa"/>
            <w:vMerge w:val="restart"/>
            <w:shd w:val="clear" w:color="auto" w:fill="auto"/>
          </w:tcPr>
          <w:p w14:paraId="356F8993" w14:textId="77777777" w:rsidR="008F5ABE" w:rsidRPr="00C33C0B" w:rsidRDefault="008F5ABE" w:rsidP="003A3AC6">
            <w:pPr>
              <w:spacing w:before="20" w:after="20" w:line="240" w:lineRule="auto"/>
              <w:rPr>
                <w:szCs w:val="22"/>
                <w:lang w:val="en-GB"/>
              </w:rPr>
            </w:pPr>
            <w:r w:rsidRPr="00C33C0B">
              <w:rPr>
                <w:szCs w:val="22"/>
                <w:lang w:val="en-GB"/>
              </w:rPr>
              <w:t>Organise and coordinate</w:t>
            </w:r>
          </w:p>
        </w:tc>
        <w:tc>
          <w:tcPr>
            <w:tcW w:w="4974" w:type="dxa"/>
            <w:vMerge w:val="restart"/>
            <w:shd w:val="clear" w:color="auto" w:fill="auto"/>
          </w:tcPr>
          <w:p w14:paraId="12FD8F77" w14:textId="77777777" w:rsidR="008F5ABE" w:rsidRPr="00C33C0B" w:rsidRDefault="008F5ABE" w:rsidP="00284391">
            <w:pPr>
              <w:spacing w:before="20" w:after="20" w:line="240" w:lineRule="auto"/>
              <w:rPr>
                <w:szCs w:val="22"/>
                <w:lang w:val="en-GB"/>
              </w:rPr>
            </w:pPr>
            <w:r w:rsidRPr="00C33C0B">
              <w:rPr>
                <w:szCs w:val="22"/>
                <w:lang w:val="en-GB"/>
              </w:rPr>
              <w:t xml:space="preserve">Attendance by a </w:t>
            </w:r>
            <w:r>
              <w:rPr>
                <w:szCs w:val="22"/>
                <w:lang w:val="en-GB"/>
              </w:rPr>
              <w:t>consultant specialist</w:t>
            </w:r>
            <w:r w:rsidRPr="00C33C0B">
              <w:rPr>
                <w:szCs w:val="22"/>
                <w:lang w:val="en-GB"/>
              </w:rPr>
              <w:t xml:space="preserve"> in the practice of his or her specialty to </w:t>
            </w:r>
            <w:r>
              <w:rPr>
                <w:szCs w:val="22"/>
                <w:lang w:val="en-GB"/>
              </w:rPr>
              <w:t>[insert role]</w:t>
            </w:r>
            <w:r w:rsidRPr="00C33C0B">
              <w:rPr>
                <w:szCs w:val="22"/>
                <w:lang w:val="en-GB"/>
              </w:rPr>
              <w:t xml:space="preserve"> a</w:t>
            </w:r>
            <w:r w:rsidRPr="00C33C0B">
              <w:rPr>
                <w:b/>
                <w:szCs w:val="22"/>
                <w:lang w:val="en-GB"/>
              </w:rPr>
              <w:t xml:space="preserve"> treatment planning case conference</w:t>
            </w:r>
            <w:r w:rsidRPr="00C33C0B">
              <w:rPr>
                <w:szCs w:val="22"/>
                <w:lang w:val="en-GB"/>
              </w:rPr>
              <w:t xml:space="preserve"> of at least [X] minutes but less than [X] minutes, requiring:</w:t>
            </w:r>
          </w:p>
          <w:p w14:paraId="24759183" w14:textId="77777777" w:rsidR="008F5ABE" w:rsidRPr="00C33C0B" w:rsidRDefault="008F5ABE" w:rsidP="000831A1">
            <w:pPr>
              <w:pStyle w:val="ListParagraph"/>
              <w:numPr>
                <w:ilvl w:val="0"/>
                <w:numId w:val="24"/>
              </w:numPr>
              <w:spacing w:before="20" w:after="20" w:line="240" w:lineRule="auto"/>
              <w:rPr>
                <w:szCs w:val="22"/>
                <w:lang w:val="en-GB"/>
              </w:rPr>
            </w:pPr>
            <w:r w:rsidRPr="00C33C0B">
              <w:rPr>
                <w:szCs w:val="22"/>
                <w:lang w:val="en-GB"/>
              </w:rPr>
              <w:t>Discussion of treatment options, including risks and benefits, for patients who have been diagnosed but not yet received treatment, or where a significant change in ongoing treatment requires MDT input; and</w:t>
            </w:r>
          </w:p>
          <w:p w14:paraId="4D5C1ACB" w14:textId="77777777" w:rsidR="008F5ABE" w:rsidRPr="00C33C0B" w:rsidRDefault="008F5ABE" w:rsidP="000831A1">
            <w:pPr>
              <w:pStyle w:val="ListParagraph"/>
              <w:numPr>
                <w:ilvl w:val="0"/>
                <w:numId w:val="24"/>
              </w:numPr>
              <w:spacing w:before="20" w:after="20" w:line="240" w:lineRule="auto"/>
              <w:rPr>
                <w:szCs w:val="22"/>
                <w:lang w:val="en-GB"/>
              </w:rPr>
            </w:pPr>
            <w:r w:rsidRPr="00C33C0B">
              <w:rPr>
                <w:szCs w:val="22"/>
                <w:lang w:val="en-GB"/>
              </w:rPr>
              <w:t>Written pre-brief materials to be sent prior to the conference that outlines available treatment options; and</w:t>
            </w:r>
          </w:p>
          <w:p w14:paraId="617CAD2B" w14:textId="77777777" w:rsidR="008F5ABE" w:rsidRPr="00C33C0B" w:rsidRDefault="008F5ABE" w:rsidP="000831A1">
            <w:pPr>
              <w:pStyle w:val="ListParagraph"/>
              <w:numPr>
                <w:ilvl w:val="0"/>
                <w:numId w:val="24"/>
              </w:numPr>
              <w:spacing w:before="20" w:after="20" w:line="240" w:lineRule="auto"/>
              <w:rPr>
                <w:szCs w:val="22"/>
                <w:lang w:val="en-GB"/>
              </w:rPr>
            </w:pPr>
            <w:r w:rsidRPr="00C33C0B">
              <w:rPr>
                <w:szCs w:val="22"/>
                <w:lang w:val="en-GB"/>
              </w:rPr>
              <w:t xml:space="preserve">Final treatment decisions to be made together with the patient (unless there are </w:t>
            </w:r>
            <w:r w:rsidRPr="00A72F58">
              <w:rPr>
                <w:szCs w:val="22"/>
                <w:lang w:val="en-GB"/>
              </w:rPr>
              <w:t>exceptional circumstances</w:t>
            </w:r>
            <w:r w:rsidRPr="00C33C0B">
              <w:rPr>
                <w:szCs w:val="22"/>
                <w:lang w:val="en-GB"/>
              </w:rPr>
              <w:t>); and</w:t>
            </w:r>
          </w:p>
          <w:p w14:paraId="070C3925" w14:textId="77777777" w:rsidR="008F5ABE" w:rsidRPr="00C33C0B" w:rsidRDefault="008F5ABE" w:rsidP="000831A1">
            <w:pPr>
              <w:pStyle w:val="ListParagraph"/>
              <w:numPr>
                <w:ilvl w:val="0"/>
                <w:numId w:val="24"/>
              </w:numPr>
              <w:spacing w:before="20" w:after="20" w:line="240" w:lineRule="auto"/>
              <w:rPr>
                <w:szCs w:val="22"/>
                <w:lang w:val="en-GB"/>
              </w:rPr>
            </w:pPr>
            <w:r w:rsidRPr="00C33C0B">
              <w:rPr>
                <w:szCs w:val="22"/>
                <w:lang w:val="en-GB"/>
              </w:rPr>
              <w:t>A</w:t>
            </w:r>
            <w:r>
              <w:rPr>
                <w:szCs w:val="22"/>
                <w:lang w:val="en-GB"/>
              </w:rPr>
              <w:t>t least 2</w:t>
            </w:r>
            <w:r w:rsidRPr="00C33C0B">
              <w:rPr>
                <w:szCs w:val="22"/>
                <w:lang w:val="en-GB"/>
              </w:rPr>
              <w:t xml:space="preserve"> other formal care providers of different disciplines to be present; and</w:t>
            </w:r>
          </w:p>
          <w:p w14:paraId="7AF8F0D8" w14:textId="77777777" w:rsidR="008F5ABE" w:rsidRDefault="008F5ABE" w:rsidP="000831A1">
            <w:pPr>
              <w:pStyle w:val="ListParagraph"/>
              <w:numPr>
                <w:ilvl w:val="0"/>
                <w:numId w:val="24"/>
              </w:numPr>
              <w:spacing w:before="20" w:after="20" w:line="240" w:lineRule="auto"/>
              <w:rPr>
                <w:szCs w:val="22"/>
                <w:lang w:val="en-GB"/>
              </w:rPr>
            </w:pPr>
            <w:r w:rsidRPr="00C33C0B">
              <w:rPr>
                <w:szCs w:val="22"/>
                <w:lang w:val="en-GB"/>
              </w:rPr>
              <w:t>Outcomes to be documented in writing, including shared decisions made and informed consent sought</w:t>
            </w:r>
            <w:r w:rsidR="00794929">
              <w:rPr>
                <w:szCs w:val="22"/>
                <w:lang w:val="en-GB"/>
              </w:rPr>
              <w:t>; and</w:t>
            </w:r>
          </w:p>
          <w:p w14:paraId="3B3C7559" w14:textId="77777777" w:rsidR="00794929" w:rsidRPr="00794929" w:rsidRDefault="00794929" w:rsidP="000831A1">
            <w:pPr>
              <w:pStyle w:val="ListParagraph"/>
              <w:numPr>
                <w:ilvl w:val="0"/>
                <w:numId w:val="24"/>
              </w:numPr>
              <w:spacing w:before="20" w:after="20" w:line="240" w:lineRule="auto"/>
              <w:rPr>
                <w:szCs w:val="22"/>
                <w:lang w:val="en-GB"/>
              </w:rPr>
            </w:pPr>
            <w:r w:rsidRPr="00C474A8">
              <w:rPr>
                <w:szCs w:val="22"/>
                <w:lang w:val="en-GB"/>
              </w:rPr>
              <w:t>A copy of the case conference outcomes to be uploaded to My Health Record, unless patient consent is withdrawn, a</w:t>
            </w:r>
            <w:r>
              <w:rPr>
                <w:szCs w:val="22"/>
                <w:lang w:val="en-GB"/>
              </w:rPr>
              <w:t>nd where reasonably achievable.</w:t>
            </w:r>
          </w:p>
          <w:p w14:paraId="196E99F2" w14:textId="77777777" w:rsidR="008F5ABE" w:rsidRPr="00C33C0B" w:rsidRDefault="008F5ABE" w:rsidP="00284391">
            <w:pPr>
              <w:spacing w:before="20" w:after="20" w:line="240" w:lineRule="auto"/>
              <w:rPr>
                <w:szCs w:val="22"/>
                <w:lang w:val="en-GB"/>
              </w:rPr>
            </w:pPr>
            <w:r w:rsidRPr="00C33C0B">
              <w:rPr>
                <w:szCs w:val="22"/>
                <w:lang w:val="en-GB"/>
              </w:rPr>
              <w:t>All participants must be in communication with each other throughout the conference, either face-to-face, by telephone or by videoconference, or a combination of these</w:t>
            </w:r>
          </w:p>
        </w:tc>
      </w:tr>
      <w:tr w:rsidR="008F5ABE" w:rsidRPr="00C33C0B" w14:paraId="55B5E3DA" w14:textId="77777777" w:rsidTr="00EB34DC">
        <w:tc>
          <w:tcPr>
            <w:tcW w:w="590" w:type="dxa"/>
            <w:shd w:val="clear" w:color="auto" w:fill="auto"/>
          </w:tcPr>
          <w:p w14:paraId="091AEA52" w14:textId="77777777" w:rsidR="008F5ABE" w:rsidRPr="00EC2D91" w:rsidRDefault="008F5ABE" w:rsidP="003A3AC6">
            <w:pPr>
              <w:spacing w:before="20" w:after="20" w:line="240" w:lineRule="auto"/>
              <w:rPr>
                <w:b/>
                <w:szCs w:val="22"/>
                <w:lang w:val="en-GB"/>
              </w:rPr>
            </w:pPr>
            <w:r w:rsidRPr="008F5ABE">
              <w:rPr>
                <w:szCs w:val="22"/>
                <w:lang w:val="en-GB"/>
              </w:rPr>
              <w:t>8TB</w:t>
            </w:r>
            <w:r w:rsidRPr="00EC2D91">
              <w:rPr>
                <w:b/>
                <w:szCs w:val="22"/>
                <w:lang w:val="en-GB"/>
              </w:rPr>
              <w:t xml:space="preserve"> (new)</w:t>
            </w:r>
          </w:p>
        </w:tc>
        <w:tc>
          <w:tcPr>
            <w:tcW w:w="1825" w:type="dxa"/>
          </w:tcPr>
          <w:p w14:paraId="689BF29A" w14:textId="77777777" w:rsidR="008F5ABE" w:rsidRPr="00C33C0B" w:rsidRDefault="008F5ABE" w:rsidP="003A3AC6">
            <w:pPr>
              <w:spacing w:before="20" w:after="20" w:line="240" w:lineRule="auto"/>
              <w:rPr>
                <w:szCs w:val="22"/>
                <w:lang w:val="en-GB"/>
              </w:rPr>
            </w:pPr>
            <w:r w:rsidRPr="00C33C0B">
              <w:rPr>
                <w:szCs w:val="22"/>
                <w:lang w:val="en-GB"/>
              </w:rPr>
              <w:t>15</w:t>
            </w:r>
            <w:r>
              <w:rPr>
                <w:szCs w:val="22"/>
                <w:lang w:val="en-GB"/>
              </w:rPr>
              <w:t>–</w:t>
            </w:r>
            <w:r w:rsidRPr="00C33C0B">
              <w:rPr>
                <w:szCs w:val="22"/>
                <w:lang w:val="en-GB"/>
              </w:rPr>
              <w:t>30</w:t>
            </w:r>
            <w:r>
              <w:rPr>
                <w:szCs w:val="22"/>
                <w:lang w:val="en-GB"/>
              </w:rPr>
              <w:t xml:space="preserve"> </w:t>
            </w:r>
            <w:r w:rsidRPr="00C33C0B">
              <w:rPr>
                <w:szCs w:val="22"/>
                <w:lang w:val="en-GB"/>
              </w:rPr>
              <w:t>min</w:t>
            </w:r>
            <w:r>
              <w:rPr>
                <w:szCs w:val="22"/>
                <w:lang w:val="en-GB"/>
              </w:rPr>
              <w:t>ute</w:t>
            </w:r>
            <w:r w:rsidRPr="00C33C0B">
              <w:rPr>
                <w:szCs w:val="22"/>
                <w:lang w:val="en-GB"/>
              </w:rPr>
              <w:t>s</w:t>
            </w:r>
          </w:p>
          <w:p w14:paraId="41B6DB3B" w14:textId="77777777" w:rsidR="008F5ABE" w:rsidRPr="00C33C0B" w:rsidRDefault="008F5ABE" w:rsidP="003A3AC6">
            <w:pPr>
              <w:spacing w:before="20" w:after="20" w:line="240" w:lineRule="auto"/>
              <w:rPr>
                <w:szCs w:val="22"/>
                <w:lang w:val="en-GB"/>
              </w:rPr>
            </w:pPr>
          </w:p>
        </w:tc>
        <w:tc>
          <w:tcPr>
            <w:tcW w:w="1036" w:type="dxa"/>
            <w:vMerge/>
            <w:shd w:val="clear" w:color="auto" w:fill="auto"/>
          </w:tcPr>
          <w:p w14:paraId="1F0545BF" w14:textId="77777777" w:rsidR="008F5ABE" w:rsidRPr="00C33C0B" w:rsidRDefault="008F5ABE" w:rsidP="003A3AC6">
            <w:pPr>
              <w:spacing w:before="20" w:after="20" w:line="240" w:lineRule="auto"/>
              <w:rPr>
                <w:szCs w:val="22"/>
                <w:lang w:val="en-GB"/>
              </w:rPr>
            </w:pPr>
          </w:p>
        </w:tc>
        <w:tc>
          <w:tcPr>
            <w:tcW w:w="4974" w:type="dxa"/>
            <w:vMerge/>
            <w:shd w:val="clear" w:color="auto" w:fill="auto"/>
          </w:tcPr>
          <w:p w14:paraId="285165AA" w14:textId="77777777" w:rsidR="008F5ABE" w:rsidRPr="00C33C0B" w:rsidRDefault="008F5ABE" w:rsidP="00284391">
            <w:pPr>
              <w:spacing w:before="20" w:after="20" w:line="240" w:lineRule="auto"/>
              <w:rPr>
                <w:szCs w:val="22"/>
                <w:lang w:val="en-GB"/>
              </w:rPr>
            </w:pPr>
          </w:p>
        </w:tc>
      </w:tr>
      <w:tr w:rsidR="008F5ABE" w:rsidRPr="00C33C0B" w14:paraId="2366C7B1" w14:textId="77777777" w:rsidTr="00EB34DC">
        <w:tc>
          <w:tcPr>
            <w:tcW w:w="590" w:type="dxa"/>
            <w:shd w:val="clear" w:color="auto" w:fill="auto"/>
          </w:tcPr>
          <w:p w14:paraId="3DF30BC5" w14:textId="77777777" w:rsidR="008F5ABE" w:rsidRPr="00EC2D91" w:rsidRDefault="008F5ABE" w:rsidP="003A3AC6">
            <w:pPr>
              <w:spacing w:before="20" w:after="20" w:line="240" w:lineRule="auto"/>
              <w:rPr>
                <w:b/>
                <w:szCs w:val="22"/>
                <w:lang w:val="en-GB"/>
              </w:rPr>
            </w:pPr>
            <w:r w:rsidRPr="008F5ABE">
              <w:rPr>
                <w:szCs w:val="22"/>
                <w:lang w:val="en-GB"/>
              </w:rPr>
              <w:t>8TC</w:t>
            </w:r>
            <w:r w:rsidRPr="00EC2D91">
              <w:rPr>
                <w:b/>
                <w:szCs w:val="22"/>
                <w:lang w:val="en-GB"/>
              </w:rPr>
              <w:t xml:space="preserve"> (new)</w:t>
            </w:r>
          </w:p>
        </w:tc>
        <w:tc>
          <w:tcPr>
            <w:tcW w:w="1825" w:type="dxa"/>
          </w:tcPr>
          <w:p w14:paraId="30175BC9" w14:textId="77777777" w:rsidR="008F5ABE" w:rsidRPr="00C33C0B" w:rsidRDefault="008F5ABE" w:rsidP="003A3AC6">
            <w:pPr>
              <w:spacing w:before="20" w:after="20" w:line="240" w:lineRule="auto"/>
              <w:rPr>
                <w:szCs w:val="22"/>
                <w:lang w:val="en-GB"/>
              </w:rPr>
            </w:pPr>
            <w:r w:rsidRPr="00C33C0B">
              <w:rPr>
                <w:szCs w:val="22"/>
                <w:lang w:val="en-GB"/>
              </w:rPr>
              <w:t>30</w:t>
            </w:r>
            <w:r>
              <w:rPr>
                <w:szCs w:val="22"/>
                <w:lang w:val="en-GB"/>
              </w:rPr>
              <w:t>–</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p w14:paraId="0B28F1FC" w14:textId="77777777" w:rsidR="008F5ABE" w:rsidRPr="00C33C0B" w:rsidRDefault="008F5ABE" w:rsidP="003A3AC6">
            <w:pPr>
              <w:spacing w:before="20" w:after="20" w:line="240" w:lineRule="auto"/>
              <w:rPr>
                <w:szCs w:val="22"/>
                <w:lang w:val="en-GB"/>
              </w:rPr>
            </w:pPr>
          </w:p>
        </w:tc>
        <w:tc>
          <w:tcPr>
            <w:tcW w:w="1036" w:type="dxa"/>
            <w:vMerge/>
            <w:shd w:val="clear" w:color="auto" w:fill="auto"/>
          </w:tcPr>
          <w:p w14:paraId="3CD7FA5B" w14:textId="77777777" w:rsidR="008F5ABE" w:rsidRPr="00C33C0B" w:rsidRDefault="008F5ABE" w:rsidP="003A3AC6">
            <w:pPr>
              <w:spacing w:before="20" w:after="20" w:line="240" w:lineRule="auto"/>
              <w:rPr>
                <w:szCs w:val="22"/>
                <w:lang w:val="en-GB"/>
              </w:rPr>
            </w:pPr>
          </w:p>
        </w:tc>
        <w:tc>
          <w:tcPr>
            <w:tcW w:w="4974" w:type="dxa"/>
            <w:vMerge/>
            <w:shd w:val="clear" w:color="auto" w:fill="auto"/>
          </w:tcPr>
          <w:p w14:paraId="44AC5C89" w14:textId="77777777" w:rsidR="008F5ABE" w:rsidRPr="00C33C0B" w:rsidRDefault="008F5ABE" w:rsidP="003A3AC6">
            <w:pPr>
              <w:spacing w:before="20" w:after="20" w:line="240" w:lineRule="auto"/>
              <w:rPr>
                <w:szCs w:val="22"/>
                <w:lang w:val="en-GB"/>
              </w:rPr>
            </w:pPr>
          </w:p>
        </w:tc>
      </w:tr>
      <w:tr w:rsidR="008F5ABE" w:rsidRPr="00C33C0B" w14:paraId="3CD6FA2B" w14:textId="77777777" w:rsidTr="00EB34DC">
        <w:tc>
          <w:tcPr>
            <w:tcW w:w="590" w:type="dxa"/>
            <w:shd w:val="clear" w:color="auto" w:fill="auto"/>
          </w:tcPr>
          <w:p w14:paraId="39079590" w14:textId="77777777" w:rsidR="008F5ABE" w:rsidRPr="00EC2D91" w:rsidRDefault="008F5ABE" w:rsidP="003A3AC6">
            <w:pPr>
              <w:spacing w:before="20" w:after="20" w:line="240" w:lineRule="auto"/>
              <w:rPr>
                <w:b/>
                <w:szCs w:val="22"/>
                <w:lang w:val="en-GB"/>
              </w:rPr>
            </w:pPr>
            <w:r w:rsidRPr="008F5ABE">
              <w:rPr>
                <w:szCs w:val="22"/>
                <w:lang w:val="en-GB"/>
              </w:rPr>
              <w:t>8TD</w:t>
            </w:r>
            <w:r w:rsidRPr="00EC2D91">
              <w:rPr>
                <w:b/>
                <w:szCs w:val="22"/>
                <w:lang w:val="en-GB"/>
              </w:rPr>
              <w:t xml:space="preserve"> (new)</w:t>
            </w:r>
          </w:p>
        </w:tc>
        <w:tc>
          <w:tcPr>
            <w:tcW w:w="1825" w:type="dxa"/>
          </w:tcPr>
          <w:p w14:paraId="73017AFE" w14:textId="77777777" w:rsidR="008F5ABE" w:rsidRPr="00C33C0B" w:rsidRDefault="008F5ABE" w:rsidP="003A3AC6">
            <w:pPr>
              <w:spacing w:before="20" w:after="20" w:line="240" w:lineRule="auto"/>
              <w:rPr>
                <w:szCs w:val="22"/>
                <w:lang w:val="en-GB"/>
              </w:rPr>
            </w:pPr>
            <w:r>
              <w:rPr>
                <w:szCs w:val="22"/>
                <w:lang w:val="en-GB"/>
              </w:rPr>
              <w:t xml:space="preserve">More than </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p w14:paraId="1AD85FA2" w14:textId="77777777" w:rsidR="008F5ABE" w:rsidRPr="00C33C0B" w:rsidRDefault="008F5ABE" w:rsidP="003A3AC6">
            <w:pPr>
              <w:spacing w:before="20" w:after="20" w:line="240" w:lineRule="auto"/>
              <w:rPr>
                <w:szCs w:val="22"/>
                <w:lang w:val="en-GB"/>
              </w:rPr>
            </w:pPr>
          </w:p>
        </w:tc>
        <w:tc>
          <w:tcPr>
            <w:tcW w:w="1036" w:type="dxa"/>
            <w:vMerge/>
            <w:shd w:val="clear" w:color="auto" w:fill="auto"/>
          </w:tcPr>
          <w:p w14:paraId="79D978FA" w14:textId="77777777" w:rsidR="008F5ABE" w:rsidRPr="00C33C0B" w:rsidRDefault="008F5ABE" w:rsidP="003A3AC6">
            <w:pPr>
              <w:spacing w:before="20" w:after="20" w:line="240" w:lineRule="auto"/>
              <w:rPr>
                <w:szCs w:val="22"/>
                <w:lang w:val="en-GB"/>
              </w:rPr>
            </w:pPr>
          </w:p>
        </w:tc>
        <w:tc>
          <w:tcPr>
            <w:tcW w:w="4974" w:type="dxa"/>
            <w:vMerge/>
            <w:shd w:val="clear" w:color="auto" w:fill="auto"/>
          </w:tcPr>
          <w:p w14:paraId="270318B1" w14:textId="77777777" w:rsidR="008F5ABE" w:rsidRPr="00C33C0B" w:rsidRDefault="008F5ABE" w:rsidP="003A3AC6">
            <w:pPr>
              <w:spacing w:before="20" w:after="20" w:line="240" w:lineRule="auto"/>
              <w:rPr>
                <w:szCs w:val="22"/>
                <w:lang w:val="en-GB"/>
              </w:rPr>
            </w:pPr>
          </w:p>
        </w:tc>
      </w:tr>
      <w:tr w:rsidR="008F5ABE" w:rsidRPr="00C33C0B" w14:paraId="12E733D6" w14:textId="77777777" w:rsidTr="00EB34DC">
        <w:tc>
          <w:tcPr>
            <w:tcW w:w="590" w:type="dxa"/>
            <w:shd w:val="clear" w:color="auto" w:fill="auto"/>
          </w:tcPr>
          <w:p w14:paraId="1E48227C" w14:textId="77777777" w:rsidR="008F5ABE" w:rsidRPr="00EC2D91" w:rsidRDefault="008F5ABE" w:rsidP="003A3AC6">
            <w:pPr>
              <w:spacing w:before="20" w:after="20" w:line="240" w:lineRule="auto"/>
              <w:rPr>
                <w:b/>
                <w:szCs w:val="22"/>
                <w:lang w:val="en-GB"/>
              </w:rPr>
            </w:pPr>
            <w:r w:rsidRPr="008F5ABE">
              <w:rPr>
                <w:szCs w:val="22"/>
                <w:lang w:val="en-GB"/>
              </w:rPr>
              <w:t>8TE</w:t>
            </w:r>
            <w:r w:rsidRPr="00EC2D91">
              <w:rPr>
                <w:b/>
                <w:szCs w:val="22"/>
                <w:lang w:val="en-GB"/>
              </w:rPr>
              <w:t xml:space="preserve"> (new)</w:t>
            </w:r>
          </w:p>
        </w:tc>
        <w:tc>
          <w:tcPr>
            <w:tcW w:w="1825" w:type="dxa"/>
          </w:tcPr>
          <w:p w14:paraId="505FA0E0" w14:textId="77777777" w:rsidR="008F5ABE" w:rsidRPr="00C33C0B" w:rsidRDefault="008F5ABE" w:rsidP="003A3AC6">
            <w:pPr>
              <w:spacing w:before="20" w:after="20" w:line="240" w:lineRule="auto"/>
              <w:rPr>
                <w:szCs w:val="22"/>
                <w:lang w:val="en-GB"/>
              </w:rPr>
            </w:pPr>
            <w:r>
              <w:rPr>
                <w:szCs w:val="22"/>
                <w:lang w:val="en-GB"/>
              </w:rPr>
              <w:t>&lt;15 minutes</w:t>
            </w:r>
          </w:p>
        </w:tc>
        <w:tc>
          <w:tcPr>
            <w:tcW w:w="1036" w:type="dxa"/>
            <w:vMerge w:val="restart"/>
            <w:shd w:val="clear" w:color="auto" w:fill="auto"/>
          </w:tcPr>
          <w:p w14:paraId="7FAB8331" w14:textId="77777777" w:rsidR="008F5ABE" w:rsidRPr="00C33C0B" w:rsidRDefault="008F5ABE" w:rsidP="003A3AC6">
            <w:pPr>
              <w:spacing w:before="20" w:after="20" w:line="240" w:lineRule="auto"/>
              <w:rPr>
                <w:szCs w:val="22"/>
                <w:lang w:val="en-GB"/>
              </w:rPr>
            </w:pPr>
            <w:r w:rsidRPr="00C33C0B">
              <w:rPr>
                <w:szCs w:val="22"/>
                <w:lang w:val="en-GB"/>
              </w:rPr>
              <w:t>Participate</w:t>
            </w:r>
          </w:p>
        </w:tc>
        <w:tc>
          <w:tcPr>
            <w:tcW w:w="4974" w:type="dxa"/>
            <w:vMerge/>
            <w:shd w:val="clear" w:color="auto" w:fill="auto"/>
          </w:tcPr>
          <w:p w14:paraId="71D4FC7D" w14:textId="77777777" w:rsidR="008F5ABE" w:rsidRPr="00C33C0B" w:rsidRDefault="008F5ABE" w:rsidP="00284391">
            <w:pPr>
              <w:spacing w:before="20" w:after="20" w:line="240" w:lineRule="auto"/>
              <w:rPr>
                <w:szCs w:val="22"/>
                <w:lang w:val="en-GB"/>
              </w:rPr>
            </w:pPr>
          </w:p>
        </w:tc>
      </w:tr>
      <w:tr w:rsidR="008F5ABE" w:rsidRPr="00C33C0B" w14:paraId="1A29B0B6" w14:textId="77777777" w:rsidTr="00EB34DC">
        <w:tc>
          <w:tcPr>
            <w:tcW w:w="590" w:type="dxa"/>
            <w:shd w:val="clear" w:color="auto" w:fill="auto"/>
          </w:tcPr>
          <w:p w14:paraId="4ABC45EC" w14:textId="77777777" w:rsidR="008F5ABE" w:rsidRPr="00EC2D91" w:rsidRDefault="008F5ABE" w:rsidP="003A3AC6">
            <w:pPr>
              <w:spacing w:before="20" w:after="20" w:line="240" w:lineRule="auto"/>
              <w:rPr>
                <w:b/>
                <w:szCs w:val="22"/>
                <w:lang w:val="en-GB"/>
              </w:rPr>
            </w:pPr>
            <w:r w:rsidRPr="008F5ABE">
              <w:rPr>
                <w:szCs w:val="22"/>
                <w:lang w:val="en-GB"/>
              </w:rPr>
              <w:t>8TF</w:t>
            </w:r>
            <w:r w:rsidRPr="00EC2D91">
              <w:rPr>
                <w:b/>
                <w:szCs w:val="22"/>
                <w:lang w:val="en-GB"/>
              </w:rPr>
              <w:t xml:space="preserve"> (new)</w:t>
            </w:r>
          </w:p>
        </w:tc>
        <w:tc>
          <w:tcPr>
            <w:tcW w:w="1825" w:type="dxa"/>
          </w:tcPr>
          <w:p w14:paraId="33D35CE1" w14:textId="77777777" w:rsidR="008F5ABE" w:rsidRPr="00C33C0B" w:rsidRDefault="008F5ABE" w:rsidP="003A3AC6">
            <w:pPr>
              <w:spacing w:before="20" w:after="20" w:line="240" w:lineRule="auto"/>
              <w:rPr>
                <w:szCs w:val="22"/>
                <w:lang w:val="en-GB"/>
              </w:rPr>
            </w:pPr>
            <w:r w:rsidRPr="00C33C0B">
              <w:rPr>
                <w:szCs w:val="22"/>
                <w:lang w:val="en-GB"/>
              </w:rPr>
              <w:t>15</w:t>
            </w:r>
            <w:r>
              <w:rPr>
                <w:szCs w:val="22"/>
                <w:lang w:val="en-GB"/>
              </w:rPr>
              <w:t>–</w:t>
            </w:r>
            <w:r w:rsidRPr="00C33C0B">
              <w:rPr>
                <w:szCs w:val="22"/>
                <w:lang w:val="en-GB"/>
              </w:rPr>
              <w:t>30</w:t>
            </w:r>
            <w:r>
              <w:rPr>
                <w:szCs w:val="22"/>
                <w:lang w:val="en-GB"/>
              </w:rPr>
              <w:t xml:space="preserve"> </w:t>
            </w:r>
            <w:r w:rsidRPr="00C33C0B">
              <w:rPr>
                <w:szCs w:val="22"/>
                <w:lang w:val="en-GB"/>
              </w:rPr>
              <w:t>min</w:t>
            </w:r>
            <w:r>
              <w:rPr>
                <w:szCs w:val="22"/>
                <w:lang w:val="en-GB"/>
              </w:rPr>
              <w:t>ute</w:t>
            </w:r>
            <w:r w:rsidRPr="00C33C0B">
              <w:rPr>
                <w:szCs w:val="22"/>
                <w:lang w:val="en-GB"/>
              </w:rPr>
              <w:t>s</w:t>
            </w:r>
          </w:p>
          <w:p w14:paraId="4E9EFE07" w14:textId="77777777" w:rsidR="008F5ABE" w:rsidRPr="00C33C0B" w:rsidRDefault="008F5ABE" w:rsidP="003A3AC6">
            <w:pPr>
              <w:spacing w:before="20" w:after="20" w:line="240" w:lineRule="auto"/>
              <w:rPr>
                <w:szCs w:val="22"/>
                <w:lang w:val="en-GB"/>
              </w:rPr>
            </w:pPr>
          </w:p>
        </w:tc>
        <w:tc>
          <w:tcPr>
            <w:tcW w:w="1036" w:type="dxa"/>
            <w:vMerge/>
            <w:shd w:val="clear" w:color="auto" w:fill="auto"/>
          </w:tcPr>
          <w:p w14:paraId="448427A9" w14:textId="77777777" w:rsidR="008F5ABE" w:rsidRPr="00C33C0B" w:rsidRDefault="008F5ABE" w:rsidP="003A3AC6">
            <w:pPr>
              <w:spacing w:before="20" w:after="20" w:line="240" w:lineRule="auto"/>
              <w:rPr>
                <w:szCs w:val="22"/>
                <w:lang w:val="en-GB"/>
              </w:rPr>
            </w:pPr>
          </w:p>
        </w:tc>
        <w:tc>
          <w:tcPr>
            <w:tcW w:w="4974" w:type="dxa"/>
            <w:vMerge/>
            <w:shd w:val="clear" w:color="auto" w:fill="auto"/>
          </w:tcPr>
          <w:p w14:paraId="1CF2656C" w14:textId="77777777" w:rsidR="008F5ABE" w:rsidRPr="00C33C0B" w:rsidRDefault="008F5ABE" w:rsidP="00284391">
            <w:pPr>
              <w:spacing w:before="20" w:after="20" w:line="240" w:lineRule="auto"/>
              <w:rPr>
                <w:szCs w:val="22"/>
                <w:lang w:val="en-GB"/>
              </w:rPr>
            </w:pPr>
          </w:p>
        </w:tc>
      </w:tr>
      <w:tr w:rsidR="008F5ABE" w:rsidRPr="00C33C0B" w14:paraId="57D2D0CB" w14:textId="77777777" w:rsidTr="00EB34DC">
        <w:tc>
          <w:tcPr>
            <w:tcW w:w="590" w:type="dxa"/>
            <w:shd w:val="clear" w:color="auto" w:fill="auto"/>
          </w:tcPr>
          <w:p w14:paraId="4C6CECBD" w14:textId="77777777" w:rsidR="008F5ABE" w:rsidRPr="00EC2D91" w:rsidRDefault="008F5ABE" w:rsidP="003A3AC6">
            <w:pPr>
              <w:spacing w:before="20" w:after="20" w:line="240" w:lineRule="auto"/>
              <w:rPr>
                <w:b/>
                <w:szCs w:val="22"/>
                <w:lang w:val="en-GB"/>
              </w:rPr>
            </w:pPr>
            <w:r w:rsidRPr="008F5ABE">
              <w:rPr>
                <w:szCs w:val="22"/>
                <w:lang w:val="en-GB"/>
              </w:rPr>
              <w:t>8TG</w:t>
            </w:r>
            <w:r w:rsidRPr="00EC2D91">
              <w:rPr>
                <w:b/>
                <w:szCs w:val="22"/>
                <w:lang w:val="en-GB"/>
              </w:rPr>
              <w:t xml:space="preserve"> (new)</w:t>
            </w:r>
          </w:p>
        </w:tc>
        <w:tc>
          <w:tcPr>
            <w:tcW w:w="1825" w:type="dxa"/>
          </w:tcPr>
          <w:p w14:paraId="09C2F876" w14:textId="77777777" w:rsidR="008F5ABE" w:rsidRPr="00C33C0B" w:rsidRDefault="008F5ABE" w:rsidP="003A3AC6">
            <w:pPr>
              <w:spacing w:before="20" w:after="20" w:line="240" w:lineRule="auto"/>
              <w:rPr>
                <w:szCs w:val="22"/>
                <w:lang w:val="en-GB"/>
              </w:rPr>
            </w:pPr>
            <w:r w:rsidRPr="00C33C0B">
              <w:rPr>
                <w:szCs w:val="22"/>
                <w:lang w:val="en-GB"/>
              </w:rPr>
              <w:t>30</w:t>
            </w:r>
            <w:r>
              <w:rPr>
                <w:szCs w:val="22"/>
                <w:lang w:val="en-GB"/>
              </w:rPr>
              <w:t>–</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p w14:paraId="17C28CA1" w14:textId="77777777" w:rsidR="008F5ABE" w:rsidRPr="00C33C0B" w:rsidRDefault="008F5ABE" w:rsidP="003A3AC6">
            <w:pPr>
              <w:spacing w:before="20" w:after="20" w:line="240" w:lineRule="auto"/>
              <w:rPr>
                <w:szCs w:val="22"/>
                <w:lang w:val="en-GB"/>
              </w:rPr>
            </w:pPr>
          </w:p>
        </w:tc>
        <w:tc>
          <w:tcPr>
            <w:tcW w:w="1036" w:type="dxa"/>
            <w:vMerge/>
            <w:shd w:val="clear" w:color="auto" w:fill="auto"/>
          </w:tcPr>
          <w:p w14:paraId="1D99B416" w14:textId="77777777" w:rsidR="008F5ABE" w:rsidRPr="00C33C0B" w:rsidRDefault="008F5ABE" w:rsidP="003A3AC6">
            <w:pPr>
              <w:spacing w:before="20" w:after="20" w:line="240" w:lineRule="auto"/>
              <w:rPr>
                <w:szCs w:val="22"/>
                <w:lang w:val="en-GB"/>
              </w:rPr>
            </w:pPr>
          </w:p>
        </w:tc>
        <w:tc>
          <w:tcPr>
            <w:tcW w:w="4974" w:type="dxa"/>
            <w:vMerge/>
            <w:shd w:val="clear" w:color="auto" w:fill="auto"/>
          </w:tcPr>
          <w:p w14:paraId="2C9E814A" w14:textId="77777777" w:rsidR="008F5ABE" w:rsidRPr="00C33C0B" w:rsidRDefault="008F5ABE" w:rsidP="003A3AC6">
            <w:pPr>
              <w:spacing w:before="20" w:after="20" w:line="240" w:lineRule="auto"/>
              <w:rPr>
                <w:szCs w:val="22"/>
                <w:lang w:val="en-GB"/>
              </w:rPr>
            </w:pPr>
          </w:p>
        </w:tc>
      </w:tr>
      <w:tr w:rsidR="008F5ABE" w:rsidRPr="00C33C0B" w14:paraId="09FF4126" w14:textId="77777777" w:rsidTr="00EB34DC">
        <w:tc>
          <w:tcPr>
            <w:tcW w:w="590" w:type="dxa"/>
            <w:shd w:val="clear" w:color="auto" w:fill="auto"/>
          </w:tcPr>
          <w:p w14:paraId="4DA0DE93" w14:textId="77777777" w:rsidR="008F5ABE" w:rsidRPr="00EC2D91" w:rsidRDefault="008F5ABE" w:rsidP="003A3AC6">
            <w:pPr>
              <w:spacing w:before="20" w:after="20" w:line="240" w:lineRule="auto"/>
              <w:rPr>
                <w:b/>
                <w:szCs w:val="22"/>
                <w:lang w:val="en-GB"/>
              </w:rPr>
            </w:pPr>
            <w:r w:rsidRPr="008F5ABE">
              <w:rPr>
                <w:szCs w:val="22"/>
                <w:lang w:val="en-GB"/>
              </w:rPr>
              <w:t>8TH</w:t>
            </w:r>
            <w:r w:rsidRPr="00EC2D91">
              <w:rPr>
                <w:b/>
                <w:szCs w:val="22"/>
                <w:lang w:val="en-GB"/>
              </w:rPr>
              <w:t xml:space="preserve"> (new)</w:t>
            </w:r>
          </w:p>
        </w:tc>
        <w:tc>
          <w:tcPr>
            <w:tcW w:w="1825" w:type="dxa"/>
          </w:tcPr>
          <w:p w14:paraId="2F879DA5" w14:textId="77777777" w:rsidR="008F5ABE" w:rsidRPr="00C33C0B" w:rsidRDefault="008F5ABE" w:rsidP="003A3AC6">
            <w:pPr>
              <w:spacing w:before="20" w:after="20" w:line="240" w:lineRule="auto"/>
              <w:rPr>
                <w:szCs w:val="22"/>
                <w:lang w:val="en-GB"/>
              </w:rPr>
            </w:pPr>
            <w:r>
              <w:rPr>
                <w:szCs w:val="22"/>
                <w:lang w:val="en-GB"/>
              </w:rPr>
              <w:t xml:space="preserve">More than </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p w14:paraId="00B7A088" w14:textId="77777777" w:rsidR="008F5ABE" w:rsidRPr="00C33C0B" w:rsidRDefault="008F5ABE" w:rsidP="003A3AC6">
            <w:pPr>
              <w:spacing w:before="20" w:after="20" w:line="240" w:lineRule="auto"/>
              <w:rPr>
                <w:szCs w:val="22"/>
                <w:lang w:val="en-GB"/>
              </w:rPr>
            </w:pPr>
          </w:p>
        </w:tc>
        <w:tc>
          <w:tcPr>
            <w:tcW w:w="1036" w:type="dxa"/>
            <w:vMerge/>
            <w:shd w:val="clear" w:color="auto" w:fill="auto"/>
          </w:tcPr>
          <w:p w14:paraId="1F962FDD" w14:textId="77777777" w:rsidR="008F5ABE" w:rsidRPr="00C33C0B" w:rsidRDefault="008F5ABE" w:rsidP="003A3AC6">
            <w:pPr>
              <w:spacing w:before="20" w:after="20" w:line="240" w:lineRule="auto"/>
              <w:rPr>
                <w:szCs w:val="22"/>
                <w:lang w:val="en-GB"/>
              </w:rPr>
            </w:pPr>
          </w:p>
        </w:tc>
        <w:tc>
          <w:tcPr>
            <w:tcW w:w="4974" w:type="dxa"/>
            <w:vMerge/>
            <w:shd w:val="clear" w:color="auto" w:fill="auto"/>
          </w:tcPr>
          <w:p w14:paraId="5FB6FC70" w14:textId="77777777" w:rsidR="008F5ABE" w:rsidRPr="00C33C0B" w:rsidRDefault="008F5ABE" w:rsidP="003A3AC6">
            <w:pPr>
              <w:spacing w:before="20" w:after="20" w:line="240" w:lineRule="auto"/>
              <w:rPr>
                <w:szCs w:val="22"/>
                <w:lang w:val="en-GB"/>
              </w:rPr>
            </w:pPr>
          </w:p>
        </w:tc>
      </w:tr>
    </w:tbl>
    <w:p w14:paraId="2073128B" w14:textId="77777777" w:rsidR="0051463D" w:rsidRPr="00C33C0B" w:rsidRDefault="0051463D" w:rsidP="003C5D5A">
      <w:pPr>
        <w:pStyle w:val="Heading2"/>
      </w:pPr>
      <w:bookmarkStart w:id="183" w:name="_Toc24544716"/>
      <w:r w:rsidRPr="00C33C0B">
        <w:t>Rationale</w:t>
      </w:r>
      <w:r w:rsidR="00BF3FEC">
        <w:t xml:space="preserve"> </w:t>
      </w:r>
      <w:r w:rsidR="00246852">
        <w:t>11</w:t>
      </w:r>
      <w:bookmarkEnd w:id="183"/>
    </w:p>
    <w:p w14:paraId="799B19C3" w14:textId="77777777" w:rsidR="00747E8F" w:rsidRDefault="00747E8F" w:rsidP="00723915">
      <w:pPr>
        <w:rPr>
          <w:lang w:val="en-GB"/>
        </w:rPr>
      </w:pPr>
      <w:r>
        <w:rPr>
          <w:lang w:val="en-GB"/>
        </w:rPr>
        <w:t xml:space="preserve">This recommendation focuses on </w:t>
      </w:r>
      <w:r w:rsidR="00B754BB">
        <w:rPr>
          <w:lang w:val="en-GB"/>
        </w:rPr>
        <w:t xml:space="preserve">better enabling </w:t>
      </w:r>
      <w:r w:rsidR="00131546">
        <w:rPr>
          <w:lang w:val="en-GB"/>
        </w:rPr>
        <w:t xml:space="preserve">use of multidisciplinary case conferences, </w:t>
      </w:r>
      <w:r w:rsidR="005A58D1">
        <w:rPr>
          <w:lang w:val="en-GB"/>
        </w:rPr>
        <w:t xml:space="preserve">encompassing </w:t>
      </w:r>
      <w:r w:rsidR="00131546">
        <w:rPr>
          <w:lang w:val="en-GB"/>
        </w:rPr>
        <w:t xml:space="preserve">GP participation, and shared decision-making with patients. </w:t>
      </w:r>
      <w:r>
        <w:rPr>
          <w:lang w:val="en-GB"/>
        </w:rPr>
        <w:t>It is based on the following</w:t>
      </w:r>
      <w:r w:rsidR="00CB271F">
        <w:rPr>
          <w:lang w:val="en-GB"/>
        </w:rPr>
        <w:t>:</w:t>
      </w:r>
    </w:p>
    <w:p w14:paraId="4E3841AE" w14:textId="77777777" w:rsidR="00EF0274" w:rsidRPr="00C33C0B" w:rsidRDefault="00F57E9E" w:rsidP="006241D5">
      <w:pPr>
        <w:pStyle w:val="Bullet-green"/>
        <w:rPr>
          <w:lang w:val="en-GB"/>
        </w:rPr>
      </w:pPr>
      <w:r w:rsidRPr="00C33C0B">
        <w:rPr>
          <w:lang w:val="en-GB"/>
        </w:rPr>
        <w:t>The Committee believes that case conference items should reflect the full breadth of clinical needs for multidisciplinary care. The item descriptors should clearly specify</w:t>
      </w:r>
      <w:r w:rsidR="005D4E3F">
        <w:rPr>
          <w:lang w:val="en-GB"/>
        </w:rPr>
        <w:t xml:space="preserve"> the</w:t>
      </w:r>
      <w:r w:rsidRPr="00C33C0B">
        <w:rPr>
          <w:lang w:val="en-GB"/>
        </w:rPr>
        <w:t xml:space="preserve"> requirements for participant</w:t>
      </w:r>
      <w:r w:rsidR="00723915" w:rsidRPr="00C33C0B">
        <w:rPr>
          <w:lang w:val="en-GB"/>
        </w:rPr>
        <w:t xml:space="preserve">s and </w:t>
      </w:r>
      <w:r w:rsidR="00621170">
        <w:rPr>
          <w:lang w:val="en-GB"/>
        </w:rPr>
        <w:t xml:space="preserve">the </w:t>
      </w:r>
      <w:r w:rsidR="00723915" w:rsidRPr="00C33C0B">
        <w:rPr>
          <w:lang w:val="en-GB"/>
        </w:rPr>
        <w:t xml:space="preserve">outputs of a case conference. </w:t>
      </w:r>
    </w:p>
    <w:p w14:paraId="5F3C8328" w14:textId="77777777" w:rsidR="00723915" w:rsidRPr="006241D5" w:rsidRDefault="00B14D9D" w:rsidP="00723915">
      <w:pPr>
        <w:pStyle w:val="Bullet-green"/>
        <w:rPr>
          <w:lang w:val="en-GB"/>
        </w:rPr>
      </w:pPr>
      <w:r>
        <w:rPr>
          <w:lang w:val="en-GB"/>
        </w:rPr>
        <w:t>The Committee</w:t>
      </w:r>
      <w:r w:rsidR="006322C6">
        <w:rPr>
          <w:lang w:val="en-GB"/>
        </w:rPr>
        <w:t xml:space="preserve"> re</w:t>
      </w:r>
      <w:r w:rsidR="00453887">
        <w:rPr>
          <w:lang w:val="en-GB"/>
        </w:rPr>
        <w:t xml:space="preserve">commends </w:t>
      </w:r>
      <w:r w:rsidR="006322C6">
        <w:rPr>
          <w:lang w:val="en-GB"/>
        </w:rPr>
        <w:t>m</w:t>
      </w:r>
      <w:r w:rsidR="008045F3" w:rsidRPr="006241D5">
        <w:rPr>
          <w:lang w:val="en-GB"/>
        </w:rPr>
        <w:t xml:space="preserve">andatory GP </w:t>
      </w:r>
      <w:r w:rsidR="005D7386">
        <w:rPr>
          <w:lang w:val="en-GB"/>
        </w:rPr>
        <w:t xml:space="preserve">(or delegate) invitation </w:t>
      </w:r>
      <w:r w:rsidR="005D7386" w:rsidRPr="005051F0">
        <w:rPr>
          <w:b/>
          <w:lang w:val="en-GB"/>
        </w:rPr>
        <w:t>and</w:t>
      </w:r>
      <w:r w:rsidR="005D7386">
        <w:rPr>
          <w:lang w:val="en-GB"/>
        </w:rPr>
        <w:t xml:space="preserve"> either participation or review of outcomes </w:t>
      </w:r>
      <w:r w:rsidR="000F6D2F" w:rsidRPr="006241D5">
        <w:rPr>
          <w:lang w:val="en-GB"/>
        </w:rPr>
        <w:t xml:space="preserve">for </w:t>
      </w:r>
      <w:r w:rsidR="008045F3" w:rsidRPr="006241D5">
        <w:rPr>
          <w:lang w:val="en-GB"/>
        </w:rPr>
        <w:t xml:space="preserve">discharge and community </w:t>
      </w:r>
      <w:r w:rsidR="00723915" w:rsidRPr="006241D5">
        <w:rPr>
          <w:lang w:val="en-GB"/>
        </w:rPr>
        <w:t>case conferences</w:t>
      </w:r>
      <w:r w:rsidR="006322C6">
        <w:rPr>
          <w:lang w:val="en-GB"/>
        </w:rPr>
        <w:t>.</w:t>
      </w:r>
    </w:p>
    <w:p w14:paraId="2F80724B" w14:textId="77777777" w:rsidR="0028758E" w:rsidRPr="005051F0" w:rsidRDefault="00723915" w:rsidP="0028758E">
      <w:pPr>
        <w:pStyle w:val="Bullet2"/>
        <w:rPr>
          <w:lang w:val="en-GB"/>
        </w:rPr>
      </w:pPr>
      <w:r w:rsidRPr="00C33C0B">
        <w:rPr>
          <w:lang w:val="en-GB"/>
        </w:rPr>
        <w:t>GP</w:t>
      </w:r>
      <w:r w:rsidR="008045F3" w:rsidRPr="00C33C0B">
        <w:rPr>
          <w:lang w:val="en-GB"/>
        </w:rPr>
        <w:t>s</w:t>
      </w:r>
      <w:r w:rsidRPr="00C33C0B">
        <w:rPr>
          <w:lang w:val="en-GB"/>
        </w:rPr>
        <w:t xml:space="preserve"> </w:t>
      </w:r>
      <w:r w:rsidR="008045F3" w:rsidRPr="00C33C0B">
        <w:rPr>
          <w:lang w:val="en-GB"/>
        </w:rPr>
        <w:t xml:space="preserve">are </w:t>
      </w:r>
      <w:r w:rsidRPr="00C33C0B">
        <w:rPr>
          <w:lang w:val="en-GB"/>
        </w:rPr>
        <w:t>critical participant</w:t>
      </w:r>
      <w:r w:rsidR="00641092">
        <w:rPr>
          <w:lang w:val="en-GB"/>
        </w:rPr>
        <w:t>s</w:t>
      </w:r>
      <w:r w:rsidRPr="00C33C0B">
        <w:rPr>
          <w:lang w:val="en-GB"/>
        </w:rPr>
        <w:t xml:space="preserve"> in </w:t>
      </w:r>
      <w:r w:rsidR="008045F3" w:rsidRPr="00C33C0B">
        <w:rPr>
          <w:lang w:val="en-GB"/>
        </w:rPr>
        <w:t>case conference</w:t>
      </w:r>
      <w:r w:rsidR="00641092">
        <w:rPr>
          <w:lang w:val="en-GB"/>
        </w:rPr>
        <w:t>s</w:t>
      </w:r>
      <w:r w:rsidR="00FF679D">
        <w:rPr>
          <w:lang w:val="en-GB"/>
        </w:rPr>
        <w:t xml:space="preserve">, </w:t>
      </w:r>
      <w:r w:rsidRPr="00C33C0B">
        <w:rPr>
          <w:lang w:val="en-GB"/>
        </w:rPr>
        <w:t>provid</w:t>
      </w:r>
      <w:r w:rsidR="00FF679D">
        <w:rPr>
          <w:lang w:val="en-GB"/>
        </w:rPr>
        <w:t>ing</w:t>
      </w:r>
      <w:r w:rsidRPr="00C33C0B">
        <w:rPr>
          <w:lang w:val="en-GB"/>
        </w:rPr>
        <w:t xml:space="preserve"> contextual knowledge of the patient</w:t>
      </w:r>
      <w:r w:rsidR="00B754BB">
        <w:rPr>
          <w:lang w:val="en-GB"/>
        </w:rPr>
        <w:t xml:space="preserve">’s overall health care </w:t>
      </w:r>
      <w:r w:rsidRPr="00C33C0B">
        <w:rPr>
          <w:lang w:val="en-GB"/>
        </w:rPr>
        <w:t>and improv</w:t>
      </w:r>
      <w:r w:rsidR="00FF679D">
        <w:rPr>
          <w:lang w:val="en-GB"/>
        </w:rPr>
        <w:t>ing</w:t>
      </w:r>
      <w:r w:rsidRPr="00C33C0B">
        <w:rPr>
          <w:lang w:val="en-GB"/>
        </w:rPr>
        <w:t xml:space="preserve"> post</w:t>
      </w:r>
      <w:r w:rsidR="00641092">
        <w:rPr>
          <w:lang w:val="en-GB"/>
        </w:rPr>
        <w:t>-</w:t>
      </w:r>
      <w:r w:rsidR="00B754BB">
        <w:rPr>
          <w:lang w:val="en-GB"/>
        </w:rPr>
        <w:t>multidisciplinary t</w:t>
      </w:r>
      <w:r w:rsidR="009C2A4A">
        <w:rPr>
          <w:lang w:val="en-GB"/>
        </w:rPr>
        <w:t>eam</w:t>
      </w:r>
      <w:r w:rsidR="00B754BB">
        <w:rPr>
          <w:lang w:val="en-GB"/>
        </w:rPr>
        <w:t xml:space="preserve"> (</w:t>
      </w:r>
      <w:r w:rsidRPr="00C33C0B">
        <w:rPr>
          <w:lang w:val="en-GB"/>
        </w:rPr>
        <w:t>MDT</w:t>
      </w:r>
      <w:r w:rsidR="00B754BB">
        <w:rPr>
          <w:lang w:val="en-GB"/>
        </w:rPr>
        <w:t>)</w:t>
      </w:r>
      <w:r w:rsidRPr="00C33C0B">
        <w:rPr>
          <w:lang w:val="en-GB"/>
        </w:rPr>
        <w:t xml:space="preserve"> outcomes</w:t>
      </w:r>
      <w:r w:rsidR="00FF679D">
        <w:rPr>
          <w:lang w:val="en-GB"/>
        </w:rPr>
        <w:t>.</w:t>
      </w:r>
      <w:r w:rsidRPr="00C33C0B">
        <w:rPr>
          <w:lang w:val="en-GB"/>
        </w:rPr>
        <w:t xml:space="preserve"> </w:t>
      </w:r>
      <w:r w:rsidR="00B754BB">
        <w:rPr>
          <w:lang w:val="en-GB"/>
        </w:rPr>
        <w:t>C</w:t>
      </w:r>
      <w:r w:rsidR="009163DB" w:rsidRPr="005051F0">
        <w:rPr>
          <w:lang w:val="en-GB"/>
        </w:rPr>
        <w:t xml:space="preserve">urrently </w:t>
      </w:r>
      <w:r w:rsidRPr="005051F0">
        <w:rPr>
          <w:lang w:val="en-GB"/>
        </w:rPr>
        <w:t>only 0.7</w:t>
      </w:r>
      <w:r w:rsidR="00495F02" w:rsidRPr="005051F0">
        <w:rPr>
          <w:lang w:val="en-GB"/>
        </w:rPr>
        <w:t xml:space="preserve"> per cent</w:t>
      </w:r>
      <w:r w:rsidRPr="005051F0">
        <w:rPr>
          <w:lang w:val="en-GB"/>
        </w:rPr>
        <w:t xml:space="preserve"> of community case conferences include a GP</w:t>
      </w:r>
      <w:r w:rsidR="009771CE">
        <w:rPr>
          <w:rStyle w:val="FootnoteReference"/>
          <w:lang w:val="en-GB"/>
        </w:rPr>
        <w:footnoteReference w:id="12"/>
      </w:r>
      <w:r w:rsidR="00424FED" w:rsidRPr="005051F0">
        <w:rPr>
          <w:lang w:val="en-GB"/>
        </w:rPr>
        <w:t>.</w:t>
      </w:r>
      <w:r w:rsidRPr="005051F0">
        <w:rPr>
          <w:lang w:val="en-GB"/>
        </w:rPr>
        <w:t xml:space="preserve"> </w:t>
      </w:r>
    </w:p>
    <w:p w14:paraId="6DAD7C23" w14:textId="77777777" w:rsidR="006A39E5" w:rsidRPr="00C33C0B" w:rsidRDefault="00723915" w:rsidP="00061104">
      <w:pPr>
        <w:pStyle w:val="Bullet2"/>
      </w:pPr>
      <w:r w:rsidRPr="00C33C0B">
        <w:t xml:space="preserve">The Committee acknowledges the logistical </w:t>
      </w:r>
      <w:r w:rsidR="004D6A64" w:rsidRPr="00C33C0B">
        <w:t>challenges</w:t>
      </w:r>
      <w:r w:rsidRPr="00C33C0B">
        <w:t xml:space="preserve"> </w:t>
      </w:r>
      <w:r w:rsidR="001B5C81" w:rsidRPr="00C33C0B">
        <w:t>of</w:t>
      </w:r>
      <w:r w:rsidR="004D6A64" w:rsidRPr="00C33C0B">
        <w:t xml:space="preserve"> GPs </w:t>
      </w:r>
      <w:r w:rsidRPr="00C33C0B">
        <w:t xml:space="preserve">attending all </w:t>
      </w:r>
      <w:r w:rsidR="00061104">
        <w:t xml:space="preserve">community and </w:t>
      </w:r>
      <w:r w:rsidRPr="00C33C0B">
        <w:t>discharge case conferences</w:t>
      </w:r>
      <w:r w:rsidR="00061104">
        <w:t>. I</w:t>
      </w:r>
      <w:r w:rsidRPr="00C33C0B">
        <w:t>f a GP</w:t>
      </w:r>
      <w:r w:rsidR="008045F3" w:rsidRPr="00C33C0B">
        <w:t xml:space="preserve"> (or delegate)</w:t>
      </w:r>
      <w:r w:rsidRPr="00C33C0B">
        <w:t xml:space="preserve"> cannot attend, </w:t>
      </w:r>
      <w:r w:rsidR="00061104">
        <w:t xml:space="preserve">the Committee recommends mandatory review of the case conference </w:t>
      </w:r>
      <w:r w:rsidR="009163DB">
        <w:t xml:space="preserve">outcomes by the GP </w:t>
      </w:r>
      <w:r w:rsidR="00061104">
        <w:t>and</w:t>
      </w:r>
      <w:r w:rsidR="008B761F">
        <w:t xml:space="preserve"> </w:t>
      </w:r>
      <w:r w:rsidR="00061104" w:rsidRPr="00061104">
        <w:rPr>
          <w:lang w:val="en-GB"/>
        </w:rPr>
        <w:t xml:space="preserve">communication </w:t>
      </w:r>
      <w:r w:rsidR="006D5FFA">
        <w:rPr>
          <w:lang w:val="en-GB"/>
        </w:rPr>
        <w:t xml:space="preserve">to the GP </w:t>
      </w:r>
      <w:r w:rsidR="00061104" w:rsidRPr="00061104">
        <w:rPr>
          <w:lang w:val="en-GB"/>
        </w:rPr>
        <w:t>of any proposed changes to the patient and to the case conference organiser</w:t>
      </w:r>
      <w:r w:rsidR="006A39E5" w:rsidRPr="00C33C0B">
        <w:t xml:space="preserve">. The Committee notes that GP </w:t>
      </w:r>
      <w:r w:rsidR="00061104">
        <w:t xml:space="preserve">participation or review of outcomes </w:t>
      </w:r>
      <w:r w:rsidR="006A39E5" w:rsidRPr="00C33C0B">
        <w:t>should not be a pre-requisite for the item being claimed</w:t>
      </w:r>
      <w:r w:rsidR="00061104">
        <w:t xml:space="preserve"> by the consultant specialist</w:t>
      </w:r>
      <w:r w:rsidR="00F94AE2">
        <w:t>.</w:t>
      </w:r>
    </w:p>
    <w:p w14:paraId="33804333" w14:textId="77777777" w:rsidR="0028758E" w:rsidRPr="00C33C0B" w:rsidRDefault="0024317B" w:rsidP="0028758E">
      <w:pPr>
        <w:pStyle w:val="Bullet2"/>
        <w:rPr>
          <w:lang w:val="en-GB"/>
        </w:rPr>
      </w:pPr>
      <w:r>
        <w:rPr>
          <w:lang w:val="en-GB"/>
        </w:rPr>
        <w:t>Noting</w:t>
      </w:r>
      <w:r w:rsidR="0028758E" w:rsidRPr="00C33C0B">
        <w:rPr>
          <w:lang w:val="en-GB"/>
        </w:rPr>
        <w:t xml:space="preserve"> a current </w:t>
      </w:r>
      <w:r w:rsidR="009163DB">
        <w:rPr>
          <w:lang w:val="en-GB"/>
        </w:rPr>
        <w:t>mistaken perception</w:t>
      </w:r>
      <w:r w:rsidR="009163DB" w:rsidRPr="00C33C0B">
        <w:rPr>
          <w:lang w:val="en-GB"/>
        </w:rPr>
        <w:t xml:space="preserve"> </w:t>
      </w:r>
      <w:r w:rsidR="0028758E" w:rsidRPr="00C33C0B">
        <w:rPr>
          <w:lang w:val="en-GB"/>
        </w:rPr>
        <w:t xml:space="preserve">that case conferences must be attended </w:t>
      </w:r>
      <w:r w:rsidR="00EF0274" w:rsidRPr="00C33C0B">
        <w:rPr>
          <w:lang w:val="en-GB"/>
        </w:rPr>
        <w:t>in person</w:t>
      </w:r>
      <w:r>
        <w:rPr>
          <w:lang w:val="en-GB"/>
        </w:rPr>
        <w:t>,</w:t>
      </w:r>
      <w:r w:rsidR="00C85332">
        <w:rPr>
          <w:lang w:val="en-GB"/>
        </w:rPr>
        <w:t xml:space="preserve"> the Committee also</w:t>
      </w:r>
      <w:r w:rsidR="00EF0274" w:rsidRPr="00C33C0B">
        <w:rPr>
          <w:lang w:val="en-GB"/>
        </w:rPr>
        <w:t xml:space="preserve"> recommends including </w:t>
      </w:r>
      <w:r w:rsidR="009163DB">
        <w:rPr>
          <w:lang w:val="en-GB"/>
        </w:rPr>
        <w:t xml:space="preserve">reference to </w:t>
      </w:r>
      <w:r w:rsidR="00EF0274" w:rsidRPr="00C33C0B">
        <w:rPr>
          <w:lang w:val="en-GB"/>
        </w:rPr>
        <w:t>attendance over the phone and via videoconferencing in the item descriptor</w:t>
      </w:r>
      <w:r w:rsidR="008420AC">
        <w:rPr>
          <w:lang w:val="en-GB"/>
        </w:rPr>
        <w:t>.</w:t>
      </w:r>
    </w:p>
    <w:p w14:paraId="5A9ED85D" w14:textId="77777777" w:rsidR="000F6D2F" w:rsidRPr="006241D5" w:rsidRDefault="00A45CDA" w:rsidP="00723915">
      <w:pPr>
        <w:pStyle w:val="Bullet-green"/>
        <w:rPr>
          <w:lang w:val="en-GB"/>
        </w:rPr>
      </w:pPr>
      <w:r>
        <w:rPr>
          <w:lang w:val="en-GB"/>
        </w:rPr>
        <w:t xml:space="preserve">The Committee </w:t>
      </w:r>
      <w:r w:rsidR="00453887">
        <w:rPr>
          <w:lang w:val="en-GB"/>
        </w:rPr>
        <w:t xml:space="preserve">recommends </w:t>
      </w:r>
      <w:r>
        <w:rPr>
          <w:lang w:val="en-GB"/>
        </w:rPr>
        <w:t>m</w:t>
      </w:r>
      <w:r w:rsidR="000F6D2F" w:rsidRPr="006241D5">
        <w:rPr>
          <w:lang w:val="en-GB"/>
        </w:rPr>
        <w:t xml:space="preserve">andatory </w:t>
      </w:r>
      <w:r w:rsidR="00246852">
        <w:rPr>
          <w:lang w:val="en-GB"/>
        </w:rPr>
        <w:t xml:space="preserve">invitation of the </w:t>
      </w:r>
      <w:r w:rsidR="000F6D2F" w:rsidRPr="006241D5">
        <w:rPr>
          <w:lang w:val="en-GB"/>
        </w:rPr>
        <w:t xml:space="preserve">patient </w:t>
      </w:r>
      <w:r w:rsidR="004B0D27">
        <w:rPr>
          <w:lang w:val="en-GB"/>
        </w:rPr>
        <w:t xml:space="preserve">(or delegate) </w:t>
      </w:r>
      <w:r w:rsidR="000F6D2F" w:rsidRPr="006241D5">
        <w:rPr>
          <w:lang w:val="en-GB"/>
        </w:rPr>
        <w:t xml:space="preserve">to </w:t>
      </w:r>
      <w:r w:rsidR="00246852">
        <w:rPr>
          <w:lang w:val="en-GB"/>
        </w:rPr>
        <w:t xml:space="preserve">attend </w:t>
      </w:r>
      <w:r w:rsidR="000F6D2F" w:rsidRPr="006241D5">
        <w:rPr>
          <w:lang w:val="en-GB"/>
        </w:rPr>
        <w:t xml:space="preserve">discharge and community </w:t>
      </w:r>
      <w:r w:rsidR="00723915" w:rsidRPr="006241D5">
        <w:rPr>
          <w:lang w:val="en-GB"/>
        </w:rPr>
        <w:t>case conferences</w:t>
      </w:r>
      <w:r w:rsidR="004B0D27">
        <w:rPr>
          <w:lang w:val="en-GB"/>
        </w:rPr>
        <w:t xml:space="preserve"> and to make it possible for them to attend if they so choose</w:t>
      </w:r>
      <w:r w:rsidR="00DA5F4D">
        <w:rPr>
          <w:lang w:val="en-GB"/>
        </w:rPr>
        <w:t>.</w:t>
      </w:r>
    </w:p>
    <w:p w14:paraId="1ADF43A6" w14:textId="77777777" w:rsidR="00C81B99" w:rsidRPr="00C33C0B" w:rsidRDefault="00C81B99" w:rsidP="00C81B99">
      <w:pPr>
        <w:pStyle w:val="Bullet2"/>
        <w:rPr>
          <w:lang w:val="en-GB"/>
        </w:rPr>
      </w:pPr>
      <w:r w:rsidRPr="00C33C0B">
        <w:rPr>
          <w:lang w:val="en-GB"/>
        </w:rPr>
        <w:t xml:space="preserve">Patients </w:t>
      </w:r>
      <w:r w:rsidRPr="00946E7F">
        <w:rPr>
          <w:lang w:val="en-GB"/>
        </w:rPr>
        <w:t xml:space="preserve">should be </w:t>
      </w:r>
      <w:r w:rsidR="00B86394">
        <w:rPr>
          <w:lang w:val="en-GB"/>
        </w:rPr>
        <w:t>provided with information on</w:t>
      </w:r>
      <w:r w:rsidRPr="00946E7F">
        <w:rPr>
          <w:lang w:val="en-GB"/>
        </w:rPr>
        <w:t xml:space="preserve"> treatment options</w:t>
      </w:r>
      <w:r w:rsidR="00946E7F">
        <w:rPr>
          <w:lang w:val="en-GB"/>
        </w:rPr>
        <w:t xml:space="preserve">, </w:t>
      </w:r>
      <w:r w:rsidR="00946E7F" w:rsidRPr="00946E7F">
        <w:rPr>
          <w:lang w:val="en-GB"/>
        </w:rPr>
        <w:t xml:space="preserve">costs and the associated risk and benefits. </w:t>
      </w:r>
      <w:r w:rsidRPr="00946E7F">
        <w:rPr>
          <w:lang w:val="en-GB"/>
        </w:rPr>
        <w:t>An effective</w:t>
      </w:r>
      <w:r w:rsidRPr="00C33C0B">
        <w:rPr>
          <w:lang w:val="en-GB"/>
        </w:rPr>
        <w:t xml:space="preserve"> plan starts with the consumer’s goals and priorities</w:t>
      </w:r>
      <w:r w:rsidR="00F5580F">
        <w:rPr>
          <w:lang w:val="en-GB"/>
        </w:rPr>
        <w:t>.</w:t>
      </w:r>
    </w:p>
    <w:p w14:paraId="0233054F" w14:textId="77777777" w:rsidR="00723915" w:rsidRPr="00C33C0B" w:rsidRDefault="000F6D2F" w:rsidP="000F6D2F">
      <w:pPr>
        <w:pStyle w:val="Bullet2"/>
        <w:rPr>
          <w:lang w:val="en-GB"/>
        </w:rPr>
      </w:pPr>
      <w:r w:rsidRPr="00C33C0B">
        <w:rPr>
          <w:lang w:val="en-GB"/>
        </w:rPr>
        <w:t>C</w:t>
      </w:r>
      <w:r w:rsidR="00723915" w:rsidRPr="00C33C0B">
        <w:rPr>
          <w:lang w:val="en-GB"/>
        </w:rPr>
        <w:t>linicians</w:t>
      </w:r>
      <w:r w:rsidR="001C38FE">
        <w:rPr>
          <w:lang w:val="en-GB"/>
        </w:rPr>
        <w:t xml:space="preserve"> </w:t>
      </w:r>
      <w:r w:rsidR="006D5FFA">
        <w:rPr>
          <w:lang w:val="en-GB"/>
        </w:rPr>
        <w:t>(either the GP or consultant specialist)</w:t>
      </w:r>
      <w:r w:rsidR="006D5FFA" w:rsidRPr="00C33C0B">
        <w:rPr>
          <w:lang w:val="en-GB"/>
        </w:rPr>
        <w:t xml:space="preserve"> </w:t>
      </w:r>
      <w:r w:rsidR="00723915" w:rsidRPr="00C33C0B">
        <w:rPr>
          <w:lang w:val="en-GB"/>
        </w:rPr>
        <w:t xml:space="preserve">should discuss and provide patients with written information </w:t>
      </w:r>
      <w:r w:rsidR="00950E6D" w:rsidRPr="00C33C0B">
        <w:rPr>
          <w:lang w:val="en-GB"/>
        </w:rPr>
        <w:t>on</w:t>
      </w:r>
      <w:r w:rsidR="00723915" w:rsidRPr="00C33C0B">
        <w:rPr>
          <w:lang w:val="en-GB"/>
        </w:rPr>
        <w:t xml:space="preserve"> guideline-endorsed treatment options for their condition</w:t>
      </w:r>
      <w:r w:rsidR="00B44FFB">
        <w:rPr>
          <w:lang w:val="en-GB"/>
        </w:rPr>
        <w:t>,</w:t>
      </w:r>
      <w:r w:rsidR="00723915" w:rsidRPr="00C33C0B">
        <w:rPr>
          <w:lang w:val="en-GB"/>
        </w:rPr>
        <w:t xml:space="preserve"> </w:t>
      </w:r>
      <w:r w:rsidR="00FC0268">
        <w:rPr>
          <w:lang w:val="en-GB"/>
        </w:rPr>
        <w:t xml:space="preserve">along </w:t>
      </w:r>
      <w:r w:rsidR="00723915" w:rsidRPr="00C33C0B">
        <w:rPr>
          <w:lang w:val="en-GB"/>
        </w:rPr>
        <w:t>with the clinician’s view of what is appropriate in the patient’s context. This is critical to ensuring informed consent as patients make critical decision</w:t>
      </w:r>
      <w:r w:rsidRPr="00C33C0B">
        <w:rPr>
          <w:lang w:val="en-GB"/>
        </w:rPr>
        <w:t>s about their treatment options</w:t>
      </w:r>
      <w:r w:rsidR="00C97230">
        <w:rPr>
          <w:lang w:val="en-GB"/>
        </w:rPr>
        <w:t>.</w:t>
      </w:r>
    </w:p>
    <w:p w14:paraId="7A5F5E8B" w14:textId="77777777" w:rsidR="00F57E9E" w:rsidRPr="0052060D" w:rsidRDefault="00034764" w:rsidP="00EF0274">
      <w:pPr>
        <w:pStyle w:val="Bullet-green"/>
        <w:rPr>
          <w:lang w:val="en-GB"/>
        </w:rPr>
      </w:pPr>
      <w:r>
        <w:rPr>
          <w:lang w:val="en-GB"/>
        </w:rPr>
        <w:t xml:space="preserve">The Committee </w:t>
      </w:r>
      <w:r w:rsidR="00453887">
        <w:rPr>
          <w:lang w:val="en-GB"/>
        </w:rPr>
        <w:t xml:space="preserve">recommends </w:t>
      </w:r>
      <w:r w:rsidR="000E0FE7" w:rsidRPr="0052060D">
        <w:rPr>
          <w:lang w:val="en-GB"/>
        </w:rPr>
        <w:t>new treatment planning case conference items</w:t>
      </w:r>
      <w:r w:rsidR="00CD27DB">
        <w:rPr>
          <w:lang w:val="en-GB"/>
        </w:rPr>
        <w:t>.</w:t>
      </w:r>
    </w:p>
    <w:p w14:paraId="37BAF934" w14:textId="77777777" w:rsidR="00AF5054" w:rsidRPr="00C33C0B" w:rsidRDefault="005862F9" w:rsidP="005862F9">
      <w:pPr>
        <w:pStyle w:val="Bullet2"/>
        <w:rPr>
          <w:lang w:val="en-GB"/>
        </w:rPr>
      </w:pPr>
      <w:r w:rsidRPr="00C33C0B">
        <w:rPr>
          <w:lang w:val="en-GB"/>
        </w:rPr>
        <w:t>Multidisciplinary care is a critical component of integrated care</w:t>
      </w:r>
      <w:r w:rsidR="00241C48">
        <w:rPr>
          <w:lang w:val="en-GB"/>
        </w:rPr>
        <w:t>.</w:t>
      </w:r>
      <w:r w:rsidRPr="00C33C0B">
        <w:rPr>
          <w:lang w:val="en-GB"/>
        </w:rPr>
        <w:t xml:space="preserve"> </w:t>
      </w:r>
      <w:r w:rsidR="00241C48">
        <w:rPr>
          <w:lang w:val="en-GB"/>
        </w:rPr>
        <w:t>D</w:t>
      </w:r>
      <w:r w:rsidRPr="00C33C0B">
        <w:rPr>
          <w:lang w:val="en-GB"/>
        </w:rPr>
        <w:t>eveloping the right treatment plan</w:t>
      </w:r>
      <w:r w:rsidR="00B754BB">
        <w:rPr>
          <w:lang w:val="en-GB"/>
        </w:rPr>
        <w:t xml:space="preserve"> with</w:t>
      </w:r>
      <w:r w:rsidRPr="00C33C0B">
        <w:rPr>
          <w:lang w:val="en-GB"/>
        </w:rPr>
        <w:t xml:space="preserve"> patients </w:t>
      </w:r>
      <w:r w:rsidR="00B754BB">
        <w:rPr>
          <w:lang w:val="en-GB"/>
        </w:rPr>
        <w:t xml:space="preserve">who have complex care needs related to </w:t>
      </w:r>
      <w:r w:rsidRPr="00C33C0B">
        <w:rPr>
          <w:lang w:val="en-GB"/>
        </w:rPr>
        <w:t xml:space="preserve">chronic illnesses </w:t>
      </w:r>
      <w:r w:rsidR="00B754BB">
        <w:rPr>
          <w:lang w:val="en-GB"/>
        </w:rPr>
        <w:t xml:space="preserve">and </w:t>
      </w:r>
      <w:r w:rsidRPr="00C33C0B">
        <w:rPr>
          <w:lang w:val="en-GB"/>
        </w:rPr>
        <w:t>acute care planning</w:t>
      </w:r>
      <w:r w:rsidR="00877160">
        <w:rPr>
          <w:lang w:val="en-GB"/>
        </w:rPr>
        <w:t xml:space="preserve"> </w:t>
      </w:r>
      <w:r w:rsidR="00B754BB">
        <w:rPr>
          <w:lang w:val="en-GB"/>
        </w:rPr>
        <w:t xml:space="preserve">has been demonstrated to improve outcomes for patients </w:t>
      </w:r>
      <w:sdt>
        <w:sdtPr>
          <w:rPr>
            <w:lang w:val="en-GB"/>
          </w:rPr>
          <w:id w:val="-1354963566"/>
          <w:citation/>
        </w:sdtPr>
        <w:sdtEndPr/>
        <w:sdtContent>
          <w:r w:rsidR="00B85D72">
            <w:rPr>
              <w:lang w:val="en-GB"/>
            </w:rPr>
            <w:fldChar w:fldCharType="begin"/>
          </w:r>
          <w:r w:rsidR="00B85D72">
            <w:rPr>
              <w:lang w:val="en-AU"/>
            </w:rPr>
            <w:instrText xml:space="preserve"> CITATION McD06 \l 3081 </w:instrText>
          </w:r>
          <w:r w:rsidR="00B85D72">
            <w:rPr>
              <w:lang w:val="en-GB"/>
            </w:rPr>
            <w:fldChar w:fldCharType="separate"/>
          </w:r>
          <w:r w:rsidR="00B85D72" w:rsidRPr="00B85D72">
            <w:rPr>
              <w:noProof/>
              <w:lang w:val="en-AU"/>
            </w:rPr>
            <w:t>(10)</w:t>
          </w:r>
          <w:r w:rsidR="00B85D72">
            <w:rPr>
              <w:lang w:val="en-GB"/>
            </w:rPr>
            <w:fldChar w:fldCharType="end"/>
          </w:r>
        </w:sdtContent>
      </w:sdt>
      <w:sdt>
        <w:sdtPr>
          <w:rPr>
            <w:lang w:val="en-GB"/>
          </w:rPr>
          <w:id w:val="-2082441218"/>
          <w:citation/>
        </w:sdtPr>
        <w:sdtEndPr/>
        <w:sdtContent>
          <w:r w:rsidR="00B85D72">
            <w:rPr>
              <w:lang w:val="en-GB"/>
            </w:rPr>
            <w:fldChar w:fldCharType="begin"/>
          </w:r>
          <w:r w:rsidR="00B85D72">
            <w:rPr>
              <w:lang w:val="en-AU"/>
            </w:rPr>
            <w:instrText xml:space="preserve"> CITATION Wag00 \l 3081 </w:instrText>
          </w:r>
          <w:r w:rsidR="00B85D72">
            <w:rPr>
              <w:lang w:val="en-GB"/>
            </w:rPr>
            <w:fldChar w:fldCharType="separate"/>
          </w:r>
          <w:r w:rsidR="00B85D72">
            <w:rPr>
              <w:noProof/>
              <w:lang w:val="en-AU"/>
            </w:rPr>
            <w:t xml:space="preserve"> </w:t>
          </w:r>
          <w:r w:rsidR="00B85D72" w:rsidRPr="00B85D72">
            <w:rPr>
              <w:noProof/>
              <w:lang w:val="en-AU"/>
            </w:rPr>
            <w:t>(11)</w:t>
          </w:r>
          <w:r w:rsidR="00B85D72">
            <w:rPr>
              <w:lang w:val="en-GB"/>
            </w:rPr>
            <w:fldChar w:fldCharType="end"/>
          </w:r>
        </w:sdtContent>
      </w:sdt>
      <w:r w:rsidR="00B85D72">
        <w:rPr>
          <w:lang w:val="en-GB"/>
        </w:rPr>
        <w:t>.</w:t>
      </w:r>
    </w:p>
    <w:p w14:paraId="1AF7104B" w14:textId="77777777" w:rsidR="000E0FE7" w:rsidRPr="00C33C0B" w:rsidRDefault="005862F9" w:rsidP="005862F9">
      <w:pPr>
        <w:pStyle w:val="Bullet2"/>
        <w:rPr>
          <w:lang w:val="en-GB"/>
        </w:rPr>
      </w:pPr>
      <w:r w:rsidRPr="00C33C0B">
        <w:rPr>
          <w:lang w:val="en-GB"/>
        </w:rPr>
        <w:t>T</w:t>
      </w:r>
      <w:r w:rsidR="000E0FE7" w:rsidRPr="00C33C0B">
        <w:rPr>
          <w:lang w:val="en-GB"/>
        </w:rPr>
        <w:t>he Committee recognises that there are many conditions that require a case conference for treatment planning</w:t>
      </w:r>
      <w:r w:rsidR="006D2449">
        <w:rPr>
          <w:lang w:val="en-GB"/>
        </w:rPr>
        <w:t xml:space="preserve"> (for example, inflammatory bowel disease)</w:t>
      </w:r>
      <w:r w:rsidR="000E0FE7" w:rsidRPr="00C33C0B">
        <w:rPr>
          <w:lang w:val="en-GB"/>
        </w:rPr>
        <w:t xml:space="preserve"> and that </w:t>
      </w:r>
      <w:r w:rsidR="001C6F68">
        <w:rPr>
          <w:lang w:val="en-GB"/>
        </w:rPr>
        <w:t>access to the benefits of treatment planning case conferences</w:t>
      </w:r>
      <w:r w:rsidR="001C6F68" w:rsidRPr="00C33C0B">
        <w:rPr>
          <w:lang w:val="en-GB"/>
        </w:rPr>
        <w:t xml:space="preserve"> </w:t>
      </w:r>
      <w:r w:rsidR="000E0FE7" w:rsidRPr="00C33C0B">
        <w:rPr>
          <w:lang w:val="en-GB"/>
        </w:rPr>
        <w:t>should not be limited to patients with cancer</w:t>
      </w:r>
      <w:r w:rsidR="00C203A8">
        <w:rPr>
          <w:lang w:val="en-GB"/>
        </w:rPr>
        <w:t>.</w:t>
      </w:r>
      <w:r w:rsidR="000F1A82" w:rsidRPr="00C33C0B">
        <w:rPr>
          <w:lang w:val="en-GB"/>
        </w:rPr>
        <w:t xml:space="preserve"> </w:t>
      </w:r>
    </w:p>
    <w:p w14:paraId="1338BCE7" w14:textId="77777777" w:rsidR="00B55212" w:rsidRDefault="0051463D" w:rsidP="006D6FE4">
      <w:pPr>
        <w:pStyle w:val="Bullet2"/>
        <w:rPr>
          <w:lang w:val="en-GB"/>
        </w:rPr>
      </w:pPr>
      <w:r w:rsidRPr="00C33C0B">
        <w:rPr>
          <w:lang w:val="en-GB"/>
        </w:rPr>
        <w:t>The Committee note</w:t>
      </w:r>
      <w:r w:rsidR="00585031">
        <w:rPr>
          <w:lang w:val="en-GB"/>
        </w:rPr>
        <w:t>s</w:t>
      </w:r>
      <w:r w:rsidRPr="00C33C0B">
        <w:rPr>
          <w:lang w:val="en-GB"/>
        </w:rPr>
        <w:t xml:space="preserve"> that treatment planning may be more efficient </w:t>
      </w:r>
      <w:r w:rsidR="003213C2">
        <w:rPr>
          <w:lang w:val="en-GB"/>
        </w:rPr>
        <w:t>if</w:t>
      </w:r>
      <w:r w:rsidR="003213C2" w:rsidRPr="00C33C0B">
        <w:rPr>
          <w:lang w:val="en-GB"/>
        </w:rPr>
        <w:t xml:space="preserve"> </w:t>
      </w:r>
      <w:r w:rsidRPr="00C33C0B">
        <w:rPr>
          <w:lang w:val="en-GB"/>
        </w:rPr>
        <w:t xml:space="preserve">clinicians initially explore treatment options as a clinical team, </w:t>
      </w:r>
      <w:r w:rsidR="004E53EC" w:rsidRPr="00C33C0B">
        <w:rPr>
          <w:lang w:val="en-GB"/>
        </w:rPr>
        <w:t xml:space="preserve">recognising </w:t>
      </w:r>
      <w:r w:rsidRPr="00C33C0B">
        <w:rPr>
          <w:lang w:val="en-GB"/>
        </w:rPr>
        <w:t xml:space="preserve">that final treatment decisions </w:t>
      </w:r>
      <w:r w:rsidR="004E53EC" w:rsidRPr="00C33C0B">
        <w:rPr>
          <w:lang w:val="en-GB"/>
        </w:rPr>
        <w:t xml:space="preserve">should </w:t>
      </w:r>
      <w:r w:rsidRPr="00C33C0B">
        <w:rPr>
          <w:lang w:val="en-GB"/>
        </w:rPr>
        <w:t xml:space="preserve">always </w:t>
      </w:r>
      <w:r w:rsidR="004E53EC" w:rsidRPr="00C33C0B">
        <w:rPr>
          <w:lang w:val="en-GB"/>
        </w:rPr>
        <w:t xml:space="preserve">be </w:t>
      </w:r>
      <w:r w:rsidRPr="00C33C0B">
        <w:rPr>
          <w:lang w:val="en-GB"/>
        </w:rPr>
        <w:t xml:space="preserve">made together with the patient/delegate. </w:t>
      </w:r>
      <w:r w:rsidR="001B3A43">
        <w:rPr>
          <w:lang w:val="en-GB"/>
        </w:rPr>
        <w:t>For this reason,</w:t>
      </w:r>
      <w:r w:rsidRPr="00C33C0B">
        <w:rPr>
          <w:lang w:val="en-GB"/>
        </w:rPr>
        <w:t xml:space="preserve"> the Committee did not recommend mandatory </w:t>
      </w:r>
      <w:r w:rsidR="000D512F" w:rsidRPr="00C33C0B">
        <w:rPr>
          <w:lang w:val="en-GB"/>
        </w:rPr>
        <w:t xml:space="preserve">invitation of </w:t>
      </w:r>
      <w:r w:rsidRPr="00C33C0B">
        <w:rPr>
          <w:lang w:val="en-GB"/>
        </w:rPr>
        <w:t xml:space="preserve">patients </w:t>
      </w:r>
      <w:r w:rsidR="000D512F" w:rsidRPr="00C33C0B">
        <w:rPr>
          <w:lang w:val="en-GB"/>
        </w:rPr>
        <w:t>to</w:t>
      </w:r>
      <w:r w:rsidR="004E53EC" w:rsidRPr="00C33C0B">
        <w:rPr>
          <w:lang w:val="en-GB"/>
        </w:rPr>
        <w:t xml:space="preserve"> treatment planning case conferences</w:t>
      </w:r>
      <w:r w:rsidR="00086E0B">
        <w:rPr>
          <w:lang w:val="en-GB"/>
        </w:rPr>
        <w:t>.</w:t>
      </w:r>
      <w:r w:rsidR="004E53EC" w:rsidRPr="00C33C0B">
        <w:rPr>
          <w:lang w:val="en-GB"/>
        </w:rPr>
        <w:t xml:space="preserve"> </w:t>
      </w:r>
    </w:p>
    <w:p w14:paraId="02B3B17B" w14:textId="77777777" w:rsidR="00EA48D5" w:rsidRDefault="00EA48D5" w:rsidP="00EA48D5">
      <w:pPr>
        <w:pStyle w:val="Bullet-green"/>
        <w:rPr>
          <w:lang w:val="en-GB"/>
        </w:rPr>
      </w:pPr>
      <w:r>
        <w:rPr>
          <w:lang w:val="en-GB"/>
        </w:rPr>
        <w:t xml:space="preserve">The Committee recommends keeping item 880 for geriatrics and rehabilitation medicine in the MBS with no change, as this item </w:t>
      </w:r>
      <w:r w:rsidR="003B4EED">
        <w:rPr>
          <w:lang w:val="en-GB"/>
        </w:rPr>
        <w:t xml:space="preserve">is used for ongoing subacute care of inpatients and would not fit neatly into the three categories of case conferences (i.e., community, discharge, and treatment planning). This item also has a much lower schedule fee compared to other case conference items and </w:t>
      </w:r>
      <w:r w:rsidR="00C426B1">
        <w:rPr>
          <w:lang w:val="en-GB"/>
        </w:rPr>
        <w:t>accounted</w:t>
      </w:r>
      <w:r w:rsidR="003B4EED">
        <w:rPr>
          <w:lang w:val="en-GB"/>
        </w:rPr>
        <w:t xml:space="preserve"> for </w:t>
      </w:r>
      <w:r w:rsidR="00C426B1">
        <w:rPr>
          <w:lang w:val="en-GB"/>
        </w:rPr>
        <w:t>33% of all case conferences in 2016/17.</w:t>
      </w:r>
    </w:p>
    <w:p w14:paraId="42AC5AB4" w14:textId="77777777" w:rsidR="008D7F80" w:rsidRDefault="008D7F80" w:rsidP="008D7F80">
      <w:pPr>
        <w:pStyle w:val="Bullet-green"/>
        <w:rPr>
          <w:lang w:val="en-GB"/>
        </w:rPr>
      </w:pPr>
      <w:r>
        <w:rPr>
          <w:lang w:val="en-GB"/>
        </w:rPr>
        <w:t xml:space="preserve">The Committee </w:t>
      </w:r>
      <w:r w:rsidR="00453887">
        <w:rPr>
          <w:lang w:val="en-GB"/>
        </w:rPr>
        <w:t xml:space="preserve">recommends </w:t>
      </w:r>
      <w:r>
        <w:rPr>
          <w:lang w:val="en-GB"/>
        </w:rPr>
        <w:t>introducing a new time tier for case conferences of less than 15 minutes duration</w:t>
      </w:r>
      <w:r w:rsidR="00794929">
        <w:rPr>
          <w:lang w:val="en-GB"/>
        </w:rPr>
        <w:t>.</w:t>
      </w:r>
      <w:r>
        <w:rPr>
          <w:lang w:val="en-GB"/>
        </w:rPr>
        <w:t xml:space="preserve"> </w:t>
      </w:r>
      <w:r w:rsidR="00794929">
        <w:rPr>
          <w:lang w:val="en-GB"/>
        </w:rPr>
        <w:t>M</w:t>
      </w:r>
      <w:r w:rsidR="00453887">
        <w:rPr>
          <w:lang w:val="en-GB"/>
        </w:rPr>
        <w:t>any Committee members noted that case conferences where the treatment plan was straightforward often last just 5-10 minutes. This time tier also already exists for addiction medicine</w:t>
      </w:r>
      <w:r w:rsidR="001C6F68">
        <w:rPr>
          <w:lang w:val="en-GB"/>
        </w:rPr>
        <w:t xml:space="preserve"> practitioners</w:t>
      </w:r>
      <w:r w:rsidR="00453887">
        <w:rPr>
          <w:lang w:val="en-GB"/>
        </w:rPr>
        <w:t xml:space="preserve">, who use it much more often than </w:t>
      </w:r>
      <w:r w:rsidR="00B754BB">
        <w:rPr>
          <w:lang w:val="en-GB"/>
        </w:rPr>
        <w:t xml:space="preserve">they use </w:t>
      </w:r>
      <w:r w:rsidR="00453887">
        <w:rPr>
          <w:lang w:val="en-GB"/>
        </w:rPr>
        <w:t xml:space="preserve">any of the longer time tiers. </w:t>
      </w:r>
    </w:p>
    <w:p w14:paraId="69208CDF" w14:textId="77777777" w:rsidR="00453887" w:rsidRDefault="00453887" w:rsidP="008D7F80">
      <w:pPr>
        <w:pStyle w:val="Bullet-green"/>
        <w:rPr>
          <w:lang w:val="en-GB"/>
        </w:rPr>
      </w:pPr>
      <w:r>
        <w:rPr>
          <w:lang w:val="en-GB"/>
        </w:rPr>
        <w:t xml:space="preserve">The Committee has recommended a minimum number of </w:t>
      </w:r>
      <w:r w:rsidR="00877160">
        <w:rPr>
          <w:lang w:val="en-GB"/>
        </w:rPr>
        <w:t xml:space="preserve">three </w:t>
      </w:r>
      <w:r>
        <w:rPr>
          <w:lang w:val="en-GB"/>
        </w:rPr>
        <w:t xml:space="preserve">attendees of different disciplines </w:t>
      </w:r>
      <w:r w:rsidR="00340324">
        <w:rPr>
          <w:lang w:val="en-GB"/>
        </w:rPr>
        <w:t xml:space="preserve">for each case conference. The MBS currently states that there must be a minimum of </w:t>
      </w:r>
      <w:r w:rsidR="00877160">
        <w:rPr>
          <w:lang w:val="en-GB"/>
        </w:rPr>
        <w:t xml:space="preserve">three </w:t>
      </w:r>
      <w:r w:rsidR="00340324">
        <w:rPr>
          <w:lang w:val="en-GB"/>
        </w:rPr>
        <w:t xml:space="preserve">attendees to claim a participant item and </w:t>
      </w:r>
      <w:r w:rsidR="00877160">
        <w:rPr>
          <w:lang w:val="en-GB"/>
        </w:rPr>
        <w:t>four</w:t>
      </w:r>
      <w:r w:rsidR="00CE45C2">
        <w:rPr>
          <w:lang w:val="en-GB"/>
        </w:rPr>
        <w:t xml:space="preserve"> </w:t>
      </w:r>
      <w:r w:rsidR="00340324">
        <w:rPr>
          <w:lang w:val="en-GB"/>
        </w:rPr>
        <w:t>attendees to claim a</w:t>
      </w:r>
      <w:r w:rsidR="00C90552">
        <w:rPr>
          <w:lang w:val="en-GB"/>
        </w:rPr>
        <w:t>n</w:t>
      </w:r>
      <w:r w:rsidR="00340324">
        <w:rPr>
          <w:lang w:val="en-GB"/>
        </w:rPr>
        <w:t xml:space="preserve"> organiser/coordinator item. The Committee was of the opinion that changing this to a minimum of </w:t>
      </w:r>
      <w:r w:rsidR="00877160">
        <w:rPr>
          <w:lang w:val="en-GB"/>
        </w:rPr>
        <w:t xml:space="preserve">three </w:t>
      </w:r>
      <w:r w:rsidR="00340324">
        <w:rPr>
          <w:lang w:val="en-GB"/>
        </w:rPr>
        <w:t xml:space="preserve">attendees </w:t>
      </w:r>
      <w:r w:rsidR="00EA48D5">
        <w:rPr>
          <w:lang w:val="en-GB"/>
        </w:rPr>
        <w:t xml:space="preserve">for all items was a </w:t>
      </w:r>
      <w:r w:rsidR="00C90552">
        <w:rPr>
          <w:lang w:val="en-GB"/>
        </w:rPr>
        <w:t xml:space="preserve">simpler </w:t>
      </w:r>
      <w:r w:rsidR="00EA48D5">
        <w:rPr>
          <w:lang w:val="en-GB"/>
        </w:rPr>
        <w:t xml:space="preserve">approach. </w:t>
      </w:r>
    </w:p>
    <w:p w14:paraId="20C943EB" w14:textId="77777777" w:rsidR="006D6FE4" w:rsidRPr="00C33C0B" w:rsidRDefault="00B55212" w:rsidP="003C5D5A">
      <w:pPr>
        <w:pStyle w:val="Heading2"/>
      </w:pPr>
      <w:bookmarkStart w:id="184" w:name="_Toc24544717"/>
      <w:bookmarkStart w:id="185" w:name="_Hlk524440592"/>
      <w:bookmarkStart w:id="186" w:name="_Hlk529008823"/>
      <w:r w:rsidRPr="00C33C0B">
        <w:t xml:space="preserve">Recommendation </w:t>
      </w:r>
      <w:bookmarkStart w:id="187" w:name="_Toc521442209"/>
      <w:r w:rsidR="00E26569">
        <w:t>1</w:t>
      </w:r>
      <w:r w:rsidR="00246852">
        <w:t>2</w:t>
      </w:r>
      <w:r w:rsidR="006022F5">
        <w:t xml:space="preserve"> - </w:t>
      </w:r>
      <w:r w:rsidR="006022F5">
        <w:rPr>
          <w:lang w:val="en-GB"/>
        </w:rPr>
        <w:t>Introduce case conference items for allied health professionals (AHPs) and nurse practitioners</w:t>
      </w:r>
      <w:bookmarkEnd w:id="184"/>
    </w:p>
    <w:p w14:paraId="643F6057" w14:textId="77777777" w:rsidR="005355FD" w:rsidRPr="00806CC6" w:rsidRDefault="00412F32" w:rsidP="00607BDA">
      <w:pPr>
        <w:rPr>
          <w:lang w:val="en-GB"/>
        </w:rPr>
      </w:pPr>
      <w:bookmarkStart w:id="188" w:name="_Hlk524440538"/>
      <w:bookmarkEnd w:id="185"/>
      <w:r w:rsidRPr="00607BDA">
        <w:rPr>
          <w:lang w:val="en-GB" w:eastAsia="en-US"/>
        </w:rPr>
        <w:t xml:space="preserve">The Committee </w:t>
      </w:r>
      <w:r w:rsidR="005355FD" w:rsidRPr="00607BDA">
        <w:rPr>
          <w:lang w:val="en-GB" w:eastAsia="en-US"/>
        </w:rPr>
        <w:t>recommends that AHPs who access these items should be limited to those who are eligible to access AHP items under Group M3</w:t>
      </w:r>
      <w:r w:rsidR="00806CC6" w:rsidRPr="00607BDA">
        <w:rPr>
          <w:lang w:val="en-GB" w:eastAsia="en-US"/>
        </w:rPr>
        <w:t xml:space="preserve"> of the MBS</w:t>
      </w:r>
      <w:r w:rsidR="003E5720">
        <w:rPr>
          <w:lang w:val="en-GB" w:eastAsia="en-US"/>
        </w:rPr>
        <w:t>.</w:t>
      </w:r>
      <w:r w:rsidR="00246852">
        <w:rPr>
          <w:rStyle w:val="FootnoteReference"/>
          <w:lang w:val="en-GB" w:eastAsia="en-US"/>
        </w:rPr>
        <w:footnoteReference w:id="13"/>
      </w:r>
    </w:p>
    <w:p w14:paraId="6E5FDEDE" w14:textId="77777777" w:rsidR="007C2075" w:rsidRPr="00C33C0B" w:rsidRDefault="007C2075" w:rsidP="003C5D5A">
      <w:pPr>
        <w:pStyle w:val="Heading2"/>
      </w:pPr>
      <w:bookmarkStart w:id="189" w:name="_Toc24544718"/>
      <w:bookmarkEnd w:id="186"/>
      <w:bookmarkEnd w:id="188"/>
      <w:r w:rsidRPr="00C33C0B">
        <w:t>Rationale</w:t>
      </w:r>
      <w:r w:rsidR="0057608E">
        <w:t xml:space="preserve"> </w:t>
      </w:r>
      <w:r w:rsidR="00ED04AD">
        <w:t>1</w:t>
      </w:r>
      <w:r w:rsidR="003E5720">
        <w:t>2</w:t>
      </w:r>
      <w:bookmarkEnd w:id="189"/>
    </w:p>
    <w:p w14:paraId="6EF5CEC0" w14:textId="77777777" w:rsidR="00833306" w:rsidRDefault="00833306" w:rsidP="00FB362B">
      <w:pPr>
        <w:rPr>
          <w:lang w:val="en-GB" w:eastAsia="en-US"/>
        </w:rPr>
      </w:pPr>
      <w:r>
        <w:rPr>
          <w:lang w:val="en-GB" w:eastAsia="en-US"/>
        </w:rPr>
        <w:t xml:space="preserve">This recommendation focuses on </w:t>
      </w:r>
      <w:r w:rsidR="006B2C13">
        <w:rPr>
          <w:lang w:val="en-GB" w:eastAsia="en-US"/>
        </w:rPr>
        <w:t xml:space="preserve">recognising the role of </w:t>
      </w:r>
      <w:r w:rsidR="00566F49">
        <w:rPr>
          <w:lang w:val="en-GB" w:eastAsia="en-US"/>
        </w:rPr>
        <w:t xml:space="preserve">AHPs and </w:t>
      </w:r>
      <w:r w:rsidR="00806CC6">
        <w:rPr>
          <w:lang w:val="en-GB" w:eastAsia="en-US"/>
        </w:rPr>
        <w:t xml:space="preserve">nurse practitioners </w:t>
      </w:r>
      <w:r w:rsidR="006B2C13">
        <w:rPr>
          <w:lang w:val="en-GB" w:eastAsia="en-US"/>
        </w:rPr>
        <w:t xml:space="preserve">in multidisciplinary patient care. </w:t>
      </w:r>
      <w:r>
        <w:rPr>
          <w:lang w:val="en-GB" w:eastAsia="en-US"/>
        </w:rPr>
        <w:t>It is based on the following</w:t>
      </w:r>
      <w:r w:rsidR="00CB271F">
        <w:rPr>
          <w:lang w:val="en-GB" w:eastAsia="en-US"/>
        </w:rPr>
        <w:t>:</w:t>
      </w:r>
    </w:p>
    <w:p w14:paraId="67098F5D" w14:textId="77777777" w:rsidR="006022F5" w:rsidRPr="003C4FE3" w:rsidRDefault="006022F5" w:rsidP="006022F5">
      <w:pPr>
        <w:pStyle w:val="Bullet-green"/>
        <w:rPr>
          <w:lang w:val="en-GB" w:eastAsia="en-US"/>
        </w:rPr>
      </w:pPr>
      <w:r w:rsidRPr="003C4FE3">
        <w:rPr>
          <w:lang w:val="en-GB" w:eastAsia="en-US"/>
        </w:rPr>
        <w:t>The Committee supports the recommendation put forward by the GPPCCC to create new items for attendance at community and discharge case conferences for both AHPs and nurse practitioners.</w:t>
      </w:r>
    </w:p>
    <w:p w14:paraId="74CDC71C" w14:textId="77777777" w:rsidR="007E2E14" w:rsidRPr="006022F5" w:rsidRDefault="008636B7" w:rsidP="006022F5">
      <w:pPr>
        <w:pStyle w:val="Bullet-green"/>
        <w:rPr>
          <w:lang w:val="en-GB" w:eastAsia="en-US"/>
        </w:rPr>
      </w:pPr>
      <w:r w:rsidRPr="00C33C0B">
        <w:rPr>
          <w:lang w:val="en-GB" w:eastAsia="en-US"/>
        </w:rPr>
        <w:t>T</w:t>
      </w:r>
      <w:r w:rsidRPr="006022F5">
        <w:rPr>
          <w:lang w:val="en-GB" w:eastAsia="en-US"/>
        </w:rPr>
        <w:t xml:space="preserve">he Committee </w:t>
      </w:r>
      <w:r w:rsidR="007E2E14" w:rsidRPr="006022F5">
        <w:rPr>
          <w:lang w:val="en-GB" w:eastAsia="en-US"/>
        </w:rPr>
        <w:t xml:space="preserve">recognises that </w:t>
      </w:r>
      <w:r w:rsidR="00566F49" w:rsidRPr="006022F5">
        <w:rPr>
          <w:lang w:val="en-GB" w:eastAsia="en-US"/>
        </w:rPr>
        <w:t xml:space="preserve">AHPs and </w:t>
      </w:r>
      <w:r w:rsidR="007E2E14" w:rsidRPr="006022F5">
        <w:rPr>
          <w:lang w:val="en-GB" w:eastAsia="en-US"/>
        </w:rPr>
        <w:t>nurse practitioners often have a central role to play in patient care, particularly in a community setting.</w:t>
      </w:r>
    </w:p>
    <w:p w14:paraId="155C85B2" w14:textId="77777777" w:rsidR="00B23A93" w:rsidRPr="00C33C0B" w:rsidRDefault="003B2193" w:rsidP="003C5D5A">
      <w:pPr>
        <w:pStyle w:val="Heading2"/>
      </w:pPr>
      <w:bookmarkStart w:id="190" w:name="_Toc24544719"/>
      <w:bookmarkStart w:id="191" w:name="_Hlk529008794"/>
      <w:r>
        <w:t xml:space="preserve">Recommendation </w:t>
      </w:r>
      <w:r w:rsidR="00ED04AD">
        <w:t>1</w:t>
      </w:r>
      <w:r w:rsidR="003E5720">
        <w:t>3</w:t>
      </w:r>
      <w:r w:rsidR="00ED04AD">
        <w:t xml:space="preserve"> </w:t>
      </w:r>
      <w:r w:rsidR="006022F5">
        <w:t>– Referral for examination of informed financial consent</w:t>
      </w:r>
      <w:bookmarkEnd w:id="190"/>
    </w:p>
    <w:p w14:paraId="1981AF58" w14:textId="77777777" w:rsidR="003B2193" w:rsidRDefault="003B2193" w:rsidP="00607BDA">
      <w:pPr>
        <w:pStyle w:val="Bullet-green"/>
        <w:numPr>
          <w:ilvl w:val="0"/>
          <w:numId w:val="0"/>
        </w:numPr>
        <w:rPr>
          <w:lang w:val="en-GB"/>
        </w:rPr>
      </w:pPr>
      <w:r>
        <w:rPr>
          <w:lang w:val="en-GB"/>
        </w:rPr>
        <w:t xml:space="preserve">The Committee recommends that the Principles and Rules Committee </w:t>
      </w:r>
      <w:r w:rsidR="00E47C64">
        <w:rPr>
          <w:lang w:val="en-GB"/>
        </w:rPr>
        <w:t>examine the issue of informed financial consent for out-of-pocket fees charged with case conference items.</w:t>
      </w:r>
    </w:p>
    <w:p w14:paraId="1F3086DB" w14:textId="77777777" w:rsidR="003B2193" w:rsidRPr="003B2193" w:rsidRDefault="008F28D4" w:rsidP="003C5D5A">
      <w:pPr>
        <w:pStyle w:val="Heading2"/>
      </w:pPr>
      <w:bookmarkStart w:id="192" w:name="_Toc24544720"/>
      <w:bookmarkEnd w:id="191"/>
      <w:r>
        <w:t xml:space="preserve">Rationale </w:t>
      </w:r>
      <w:r w:rsidR="00ED04AD">
        <w:t>1</w:t>
      </w:r>
      <w:r w:rsidR="003E5720">
        <w:t>3</w:t>
      </w:r>
      <w:bookmarkEnd w:id="192"/>
    </w:p>
    <w:p w14:paraId="23B248C4" w14:textId="77777777" w:rsidR="006B2C13" w:rsidRDefault="00A423C8" w:rsidP="00607BDA">
      <w:pPr>
        <w:pStyle w:val="Bullet-green"/>
        <w:numPr>
          <w:ilvl w:val="0"/>
          <w:numId w:val="0"/>
        </w:numPr>
      </w:pPr>
      <w:r>
        <w:t xml:space="preserve">This recommendation focuses on </w:t>
      </w:r>
      <w:r w:rsidR="006B2C13">
        <w:t>enabling patients to give informed financial consent for case conference items. It is based on the following</w:t>
      </w:r>
      <w:r w:rsidR="00CB271F">
        <w:t>:</w:t>
      </w:r>
    </w:p>
    <w:p w14:paraId="099E4C71" w14:textId="77777777" w:rsidR="005C4E6E" w:rsidRPr="00607BDA" w:rsidRDefault="001D71A1" w:rsidP="00607BDA">
      <w:pPr>
        <w:pStyle w:val="Bullet-green"/>
        <w:rPr>
          <w:lang w:val="en-GB"/>
        </w:rPr>
      </w:pPr>
      <w:r w:rsidRPr="00607BDA">
        <w:rPr>
          <w:lang w:val="en-GB" w:eastAsia="en-US"/>
        </w:rPr>
        <w:t xml:space="preserve">Allowing all </w:t>
      </w:r>
      <w:r w:rsidR="005C4E6E" w:rsidRPr="00607BDA">
        <w:rPr>
          <w:lang w:val="en-GB" w:eastAsia="en-US"/>
        </w:rPr>
        <w:t xml:space="preserve">consultant specialists </w:t>
      </w:r>
      <w:r w:rsidRPr="00607BDA">
        <w:rPr>
          <w:lang w:val="en-GB" w:eastAsia="en-US"/>
        </w:rPr>
        <w:t xml:space="preserve">to access case conference items </w:t>
      </w:r>
      <w:r w:rsidR="005C4E6E" w:rsidRPr="00607BDA">
        <w:rPr>
          <w:lang w:val="en-GB" w:eastAsia="en-US"/>
        </w:rPr>
        <w:t xml:space="preserve">and introducing new items for </w:t>
      </w:r>
      <w:r w:rsidR="00566F49" w:rsidRPr="00607BDA">
        <w:rPr>
          <w:lang w:val="en-GB" w:eastAsia="en-US"/>
        </w:rPr>
        <w:t>AHPs and nurse practitioners</w:t>
      </w:r>
      <w:r w:rsidR="005C4E6E" w:rsidRPr="00607BDA">
        <w:rPr>
          <w:lang w:val="en-GB" w:eastAsia="en-US"/>
        </w:rPr>
        <w:t xml:space="preserve"> </w:t>
      </w:r>
      <w:r w:rsidR="00566F49" w:rsidRPr="00607BDA">
        <w:rPr>
          <w:lang w:val="en-GB" w:eastAsia="en-US"/>
        </w:rPr>
        <w:t xml:space="preserve">will </w:t>
      </w:r>
      <w:r w:rsidRPr="00607BDA">
        <w:rPr>
          <w:lang w:val="en-GB" w:eastAsia="en-US"/>
        </w:rPr>
        <w:t xml:space="preserve">increase </w:t>
      </w:r>
      <w:r w:rsidR="005C4E6E" w:rsidRPr="00607BDA">
        <w:rPr>
          <w:lang w:val="en-GB" w:eastAsia="en-US"/>
        </w:rPr>
        <w:t xml:space="preserve">usage of </w:t>
      </w:r>
      <w:r w:rsidR="00566F49" w:rsidRPr="00607BDA">
        <w:rPr>
          <w:lang w:val="en-GB" w:eastAsia="en-US"/>
        </w:rPr>
        <w:t xml:space="preserve">case conference </w:t>
      </w:r>
      <w:r w:rsidR="005C4E6E" w:rsidRPr="00607BDA">
        <w:rPr>
          <w:lang w:val="en-GB" w:eastAsia="en-US"/>
        </w:rPr>
        <w:t>items</w:t>
      </w:r>
      <w:r w:rsidR="001C6F68" w:rsidRPr="00607BDA">
        <w:rPr>
          <w:lang w:val="en-GB" w:eastAsia="en-US"/>
        </w:rPr>
        <w:t>, and may impact on out-of-pocket costs for patients.</w:t>
      </w:r>
    </w:p>
    <w:p w14:paraId="18E7383C" w14:textId="77777777" w:rsidR="003B2193" w:rsidRPr="00607BDA" w:rsidRDefault="004A6F15" w:rsidP="00607BDA">
      <w:pPr>
        <w:pStyle w:val="Bullet-green"/>
        <w:rPr>
          <w:lang w:val="en-GB"/>
        </w:rPr>
      </w:pPr>
      <w:r w:rsidRPr="00607BDA">
        <w:rPr>
          <w:lang w:val="en-GB" w:eastAsia="en-US"/>
        </w:rPr>
        <w:t>However, t</w:t>
      </w:r>
      <w:r w:rsidR="001662A2" w:rsidRPr="00607BDA">
        <w:rPr>
          <w:lang w:val="en-GB" w:eastAsia="en-US"/>
        </w:rPr>
        <w:t xml:space="preserve">he Committee </w:t>
      </w:r>
      <w:r w:rsidRPr="00607BDA">
        <w:rPr>
          <w:lang w:val="en-GB" w:eastAsia="en-US"/>
        </w:rPr>
        <w:t xml:space="preserve">recognises </w:t>
      </w:r>
      <w:r w:rsidR="001662A2" w:rsidRPr="00607BDA">
        <w:rPr>
          <w:lang w:val="en-GB" w:eastAsia="en-US"/>
        </w:rPr>
        <w:t xml:space="preserve">that patients </w:t>
      </w:r>
      <w:r w:rsidRPr="00607BDA">
        <w:rPr>
          <w:lang w:val="en-GB" w:eastAsia="en-US"/>
        </w:rPr>
        <w:t xml:space="preserve">often </w:t>
      </w:r>
      <w:r w:rsidR="001662A2" w:rsidRPr="00607BDA">
        <w:rPr>
          <w:lang w:val="en-GB" w:eastAsia="en-US"/>
        </w:rPr>
        <w:t xml:space="preserve">have </w:t>
      </w:r>
      <w:r w:rsidRPr="00607BDA">
        <w:rPr>
          <w:lang w:val="en-GB" w:eastAsia="en-US"/>
        </w:rPr>
        <w:t xml:space="preserve">no </w:t>
      </w:r>
      <w:r w:rsidR="001662A2" w:rsidRPr="00607BDA">
        <w:rPr>
          <w:lang w:val="en-GB" w:eastAsia="en-US"/>
        </w:rPr>
        <w:t xml:space="preserve">control over </w:t>
      </w:r>
      <w:r w:rsidR="00894CB3" w:rsidRPr="00607BDA">
        <w:rPr>
          <w:lang w:val="en-GB" w:eastAsia="en-US"/>
        </w:rPr>
        <w:t xml:space="preserve">(and may not be aware of) </w:t>
      </w:r>
      <w:r w:rsidR="001662A2" w:rsidRPr="00607BDA">
        <w:rPr>
          <w:lang w:val="en-GB" w:eastAsia="en-US"/>
        </w:rPr>
        <w:t xml:space="preserve">who attends their case conference, and </w:t>
      </w:r>
      <w:r w:rsidR="00B754BB">
        <w:rPr>
          <w:lang w:val="en-GB" w:eastAsia="en-US"/>
        </w:rPr>
        <w:t xml:space="preserve">therefore </w:t>
      </w:r>
      <w:r w:rsidR="00085979">
        <w:rPr>
          <w:lang w:val="en-GB" w:eastAsia="en-US"/>
        </w:rPr>
        <w:t xml:space="preserve">do not in practice </w:t>
      </w:r>
      <w:r w:rsidR="001662A2" w:rsidRPr="00607BDA">
        <w:rPr>
          <w:lang w:val="en-GB" w:eastAsia="en-US"/>
        </w:rPr>
        <w:t>provide informed fi</w:t>
      </w:r>
      <w:r w:rsidR="003B2193" w:rsidRPr="00607BDA">
        <w:rPr>
          <w:lang w:val="en-GB" w:eastAsia="en-US"/>
        </w:rPr>
        <w:t xml:space="preserve">nancial consent </w:t>
      </w:r>
      <w:r w:rsidRPr="00607BDA">
        <w:rPr>
          <w:lang w:val="en-GB" w:eastAsia="en-US"/>
        </w:rPr>
        <w:t xml:space="preserve">for any </w:t>
      </w:r>
      <w:r w:rsidR="005C4E6E" w:rsidRPr="00607BDA">
        <w:rPr>
          <w:lang w:val="en-GB" w:eastAsia="en-US"/>
        </w:rPr>
        <w:t>associated</w:t>
      </w:r>
      <w:r w:rsidR="003B2193" w:rsidRPr="00607BDA">
        <w:rPr>
          <w:lang w:val="en-GB" w:eastAsia="en-US"/>
        </w:rPr>
        <w:t xml:space="preserve"> </w:t>
      </w:r>
      <w:r w:rsidR="005C4E6E" w:rsidRPr="00607BDA">
        <w:rPr>
          <w:lang w:val="en-GB" w:eastAsia="en-US"/>
        </w:rPr>
        <w:t>out-of-pocket costs</w:t>
      </w:r>
      <w:r w:rsidR="003B2193" w:rsidRPr="00607BDA">
        <w:rPr>
          <w:lang w:val="en-GB" w:eastAsia="en-US"/>
        </w:rPr>
        <w:t>.</w:t>
      </w:r>
    </w:p>
    <w:p w14:paraId="79651D93" w14:textId="77777777" w:rsidR="001662A2" w:rsidRPr="00607BDA" w:rsidRDefault="001662A2" w:rsidP="00607BDA">
      <w:pPr>
        <w:pStyle w:val="Bullet-green"/>
        <w:rPr>
          <w:lang w:val="en-GB"/>
        </w:rPr>
      </w:pPr>
      <w:r w:rsidRPr="00607BDA">
        <w:rPr>
          <w:lang w:val="en-GB" w:eastAsia="en-US"/>
        </w:rPr>
        <w:t xml:space="preserve">The Committee also notes that it is not possible to prohibit clinicians from charging out-of-pocket </w:t>
      </w:r>
      <w:r w:rsidR="003B2193" w:rsidRPr="00607BDA">
        <w:rPr>
          <w:lang w:val="en-GB" w:eastAsia="en-US"/>
        </w:rPr>
        <w:t>fees for case conferences.</w:t>
      </w:r>
    </w:p>
    <w:p w14:paraId="372C910E" w14:textId="77777777" w:rsidR="007C2075" w:rsidRPr="00C33C0B" w:rsidRDefault="007C2075" w:rsidP="00E47C64">
      <w:pPr>
        <w:pStyle w:val="Bullet2"/>
        <w:numPr>
          <w:ilvl w:val="0"/>
          <w:numId w:val="0"/>
        </w:numPr>
      </w:pPr>
      <w:r w:rsidRPr="00C33C0B">
        <w:br w:type="page"/>
      </w:r>
    </w:p>
    <w:p w14:paraId="43C59B48" w14:textId="77777777" w:rsidR="00993C3A" w:rsidRPr="00993C3A" w:rsidRDefault="00993C3A" w:rsidP="00993C3A">
      <w:pPr>
        <w:pStyle w:val="Heading1"/>
      </w:pPr>
      <w:bookmarkStart w:id="193" w:name="_Toc24544721"/>
      <w:bookmarkEnd w:id="187"/>
      <w:r w:rsidRPr="00993C3A">
        <w:t>Use of data to inform quality care and patient</w:t>
      </w:r>
      <w:r w:rsidR="00E55F15">
        <w:t xml:space="preserve"> </w:t>
      </w:r>
      <w:r w:rsidRPr="00993C3A">
        <w:t>informed choice and consent recommendations</w:t>
      </w:r>
      <w:bookmarkEnd w:id="193"/>
    </w:p>
    <w:p w14:paraId="0EE2E0CB" w14:textId="77777777" w:rsidR="008B43C9" w:rsidRDefault="00C0022A" w:rsidP="003C5D5A">
      <w:pPr>
        <w:pStyle w:val="Heading2"/>
        <w:rPr>
          <w:lang w:val="en-GB"/>
        </w:rPr>
      </w:pPr>
      <w:bookmarkStart w:id="194" w:name="_Toc24544722"/>
      <w:r>
        <w:rPr>
          <w:lang w:val="en-GB"/>
        </w:rPr>
        <w:t>The role of data in patient care</w:t>
      </w:r>
      <w:bookmarkEnd w:id="194"/>
    </w:p>
    <w:p w14:paraId="30D671BC" w14:textId="77777777" w:rsidR="00FB4475" w:rsidRPr="00C33C0B" w:rsidRDefault="00FB4475" w:rsidP="00FB4475">
      <w:pPr>
        <w:rPr>
          <w:lang w:val="en-GB"/>
        </w:rPr>
      </w:pPr>
      <w:r w:rsidRPr="00C33C0B">
        <w:rPr>
          <w:lang w:val="en-GB"/>
        </w:rPr>
        <w:t xml:space="preserve">The Committee </w:t>
      </w:r>
      <w:r w:rsidR="00994DCB" w:rsidRPr="00C33C0B">
        <w:rPr>
          <w:lang w:val="en-GB"/>
        </w:rPr>
        <w:t>recognises</w:t>
      </w:r>
      <w:r w:rsidRPr="00C33C0B">
        <w:rPr>
          <w:lang w:val="en-GB"/>
        </w:rPr>
        <w:t xml:space="preserve"> that using data to </w:t>
      </w:r>
      <w:r w:rsidR="00A76E6A" w:rsidRPr="00C33C0B">
        <w:rPr>
          <w:lang w:val="en-GB"/>
        </w:rPr>
        <w:t>inform</w:t>
      </w:r>
      <w:r w:rsidRPr="00C33C0B">
        <w:rPr>
          <w:lang w:val="en-GB"/>
        </w:rPr>
        <w:t xml:space="preserve"> quality </w:t>
      </w:r>
      <w:r w:rsidR="00A76E6A" w:rsidRPr="00C33C0B">
        <w:rPr>
          <w:lang w:val="en-GB"/>
        </w:rPr>
        <w:t xml:space="preserve">care </w:t>
      </w:r>
      <w:r w:rsidRPr="00C33C0B">
        <w:rPr>
          <w:lang w:val="en-GB"/>
        </w:rPr>
        <w:t xml:space="preserve">and </w:t>
      </w:r>
      <w:r w:rsidR="00E357A5" w:rsidRPr="00C33C0B">
        <w:rPr>
          <w:lang w:val="en-GB"/>
        </w:rPr>
        <w:t>improv</w:t>
      </w:r>
      <w:r w:rsidR="003F7B43">
        <w:rPr>
          <w:lang w:val="en-GB"/>
        </w:rPr>
        <w:t>ing</w:t>
      </w:r>
      <w:r w:rsidR="00E357A5" w:rsidRPr="00C33C0B">
        <w:rPr>
          <w:lang w:val="en-GB"/>
        </w:rPr>
        <w:t xml:space="preserve"> the </w:t>
      </w:r>
      <w:r w:rsidRPr="00C33C0B">
        <w:rPr>
          <w:lang w:val="en-GB"/>
        </w:rPr>
        <w:t xml:space="preserve">patient consent process are mechanisms to </w:t>
      </w:r>
      <w:r w:rsidR="00F60812">
        <w:rPr>
          <w:lang w:val="en-GB"/>
        </w:rPr>
        <w:t>support</w:t>
      </w:r>
      <w:r w:rsidRPr="00C33C0B">
        <w:rPr>
          <w:lang w:val="en-GB"/>
        </w:rPr>
        <w:t xml:space="preserve"> quality consultative care. The Committee does not consider </w:t>
      </w:r>
      <w:r w:rsidR="00165514">
        <w:rPr>
          <w:lang w:val="en-GB"/>
        </w:rPr>
        <w:t xml:space="preserve">the </w:t>
      </w:r>
      <w:r w:rsidRPr="00C33C0B">
        <w:rPr>
          <w:lang w:val="en-GB"/>
        </w:rPr>
        <w:t xml:space="preserve">MBS the </w:t>
      </w:r>
      <w:r w:rsidR="00A76E6A" w:rsidRPr="00C33C0B">
        <w:rPr>
          <w:lang w:val="en-GB"/>
        </w:rPr>
        <w:t xml:space="preserve">primary </w:t>
      </w:r>
      <w:r w:rsidRPr="00C33C0B">
        <w:rPr>
          <w:lang w:val="en-GB"/>
        </w:rPr>
        <w:t>vehicle for addressing this issue</w:t>
      </w:r>
      <w:r w:rsidR="00850EC4">
        <w:rPr>
          <w:lang w:val="en-GB"/>
        </w:rPr>
        <w:t xml:space="preserve"> </w:t>
      </w:r>
      <w:r w:rsidR="004564DA" w:rsidRPr="00C33C0B">
        <w:rPr>
          <w:lang w:val="en-GB"/>
        </w:rPr>
        <w:t xml:space="preserve">and </w:t>
      </w:r>
      <w:r w:rsidR="00227F0B">
        <w:rPr>
          <w:lang w:val="en-GB"/>
        </w:rPr>
        <w:t xml:space="preserve">has </w:t>
      </w:r>
      <w:r w:rsidR="00AA533E">
        <w:rPr>
          <w:lang w:val="en-GB"/>
        </w:rPr>
        <w:t xml:space="preserve">therefore </w:t>
      </w:r>
      <w:r w:rsidRPr="00C33C0B">
        <w:rPr>
          <w:lang w:val="en-GB"/>
        </w:rPr>
        <w:t xml:space="preserve">made </w:t>
      </w:r>
      <w:r w:rsidR="00E357A5" w:rsidRPr="00C33C0B">
        <w:rPr>
          <w:lang w:val="en-GB"/>
        </w:rPr>
        <w:t xml:space="preserve">both MBS and non-MBS </w:t>
      </w:r>
      <w:r w:rsidRPr="00C33C0B">
        <w:rPr>
          <w:lang w:val="en-GB"/>
        </w:rPr>
        <w:t xml:space="preserve">recommendations. </w:t>
      </w:r>
    </w:p>
    <w:p w14:paraId="2DD616A9" w14:textId="77777777" w:rsidR="00FB4475" w:rsidRPr="00C33C0B" w:rsidRDefault="00FB4475" w:rsidP="00FB4475">
      <w:pPr>
        <w:rPr>
          <w:lang w:val="en-GB"/>
        </w:rPr>
      </w:pPr>
      <w:r w:rsidRPr="00C33C0B">
        <w:rPr>
          <w:lang w:val="en-GB"/>
        </w:rPr>
        <w:t>Clinicians and consumers are partners in health care</w:t>
      </w:r>
      <w:r w:rsidR="00894CB3">
        <w:rPr>
          <w:lang w:val="en-GB"/>
        </w:rPr>
        <w:t xml:space="preserve">, </w:t>
      </w:r>
      <w:r w:rsidRPr="00C33C0B">
        <w:rPr>
          <w:lang w:val="en-GB"/>
        </w:rPr>
        <w:t>at the level</w:t>
      </w:r>
      <w:r w:rsidR="00894CB3">
        <w:rPr>
          <w:lang w:val="en-GB"/>
        </w:rPr>
        <w:t>s</w:t>
      </w:r>
      <w:r w:rsidRPr="00C33C0B">
        <w:rPr>
          <w:lang w:val="en-GB"/>
        </w:rPr>
        <w:t xml:space="preserve"> of individual care, service provision and health system governance. At the level of individual care, decisions must be informed by the clinician’s expert health knowledge and judgement and </w:t>
      </w:r>
      <w:r w:rsidR="00894CB3">
        <w:rPr>
          <w:lang w:val="en-GB"/>
        </w:rPr>
        <w:t xml:space="preserve">the </w:t>
      </w:r>
      <w:r w:rsidR="006D7557">
        <w:rPr>
          <w:lang w:val="en-GB"/>
        </w:rPr>
        <w:t>patient’s</w:t>
      </w:r>
      <w:r w:rsidR="00B401EA" w:rsidRPr="00C33C0B">
        <w:rPr>
          <w:lang w:val="en-GB"/>
        </w:rPr>
        <w:t xml:space="preserve"> </w:t>
      </w:r>
      <w:r w:rsidRPr="00C33C0B">
        <w:rPr>
          <w:lang w:val="en-GB"/>
        </w:rPr>
        <w:t>unique knowledge, experience, needs, preferences and priori</w:t>
      </w:r>
      <w:r w:rsidR="001F3A83" w:rsidRPr="00C33C0B">
        <w:rPr>
          <w:lang w:val="en-GB"/>
        </w:rPr>
        <w:t>ties. Shared decision-making by clinicians</w:t>
      </w:r>
      <w:r w:rsidRPr="00C33C0B">
        <w:rPr>
          <w:lang w:val="en-GB"/>
        </w:rPr>
        <w:t xml:space="preserve"> </w:t>
      </w:r>
      <w:r w:rsidR="00A73794">
        <w:rPr>
          <w:lang w:val="en-GB"/>
        </w:rPr>
        <w:t>and</w:t>
      </w:r>
      <w:r w:rsidR="00A73794" w:rsidRPr="00C33C0B">
        <w:rPr>
          <w:lang w:val="en-GB"/>
        </w:rPr>
        <w:t xml:space="preserve"> </w:t>
      </w:r>
      <w:r w:rsidR="001F3A83" w:rsidRPr="00C33C0B">
        <w:rPr>
          <w:lang w:val="en-GB"/>
        </w:rPr>
        <w:t>patients (and carers/</w:t>
      </w:r>
      <w:r w:rsidRPr="00C33C0B">
        <w:rPr>
          <w:lang w:val="en-GB"/>
        </w:rPr>
        <w:t>legal guardians/substitute decision-makers</w:t>
      </w:r>
      <w:r w:rsidR="001F3A83" w:rsidRPr="00C33C0B">
        <w:rPr>
          <w:lang w:val="en-GB"/>
        </w:rPr>
        <w:t>)</w:t>
      </w:r>
      <w:r w:rsidRPr="00C33C0B">
        <w:rPr>
          <w:lang w:val="en-GB"/>
        </w:rPr>
        <w:t xml:space="preserve"> is fundamental to informed </w:t>
      </w:r>
      <w:r w:rsidR="00894CB3" w:rsidRPr="00C33C0B">
        <w:rPr>
          <w:lang w:val="en-GB"/>
        </w:rPr>
        <w:t>consent</w:t>
      </w:r>
      <w:sdt>
        <w:sdtPr>
          <w:rPr>
            <w:lang w:val="en-GB"/>
          </w:rPr>
          <w:id w:val="-499736388"/>
          <w:citation/>
        </w:sdtPr>
        <w:sdtEndPr/>
        <w:sdtContent>
          <w:r w:rsidR="009C7990">
            <w:rPr>
              <w:lang w:val="en-GB"/>
            </w:rPr>
            <w:fldChar w:fldCharType="begin"/>
          </w:r>
          <w:r w:rsidR="009C7990">
            <w:instrText xml:space="preserve"> CITATION Goo14 \l 3081 </w:instrText>
          </w:r>
          <w:r w:rsidR="009C7990">
            <w:rPr>
              <w:lang w:val="en-GB"/>
            </w:rPr>
            <w:fldChar w:fldCharType="separate"/>
          </w:r>
          <w:r w:rsidR="009C7990">
            <w:rPr>
              <w:noProof/>
            </w:rPr>
            <w:t xml:space="preserve"> (12)</w:t>
          </w:r>
          <w:r w:rsidR="009C7990">
            <w:rPr>
              <w:lang w:val="en-GB"/>
            </w:rPr>
            <w:fldChar w:fldCharType="end"/>
          </w:r>
        </w:sdtContent>
      </w:sdt>
      <w:r w:rsidR="00894CB3">
        <w:rPr>
          <w:lang w:val="en-GB"/>
        </w:rPr>
        <w:t>.</w:t>
      </w:r>
      <w:r w:rsidRPr="00C33C0B">
        <w:rPr>
          <w:lang w:val="en-GB"/>
        </w:rPr>
        <w:t xml:space="preserve"> </w:t>
      </w:r>
      <w:r w:rsidR="00894CB3">
        <w:rPr>
          <w:lang w:val="en-GB"/>
        </w:rPr>
        <w:t>The Committee</w:t>
      </w:r>
      <w:r w:rsidR="00894CB3" w:rsidRPr="00C33C0B">
        <w:rPr>
          <w:lang w:val="en-GB"/>
        </w:rPr>
        <w:t xml:space="preserve"> </w:t>
      </w:r>
      <w:r w:rsidRPr="00C33C0B">
        <w:rPr>
          <w:lang w:val="en-GB"/>
        </w:rPr>
        <w:t>also acknowledges that</w:t>
      </w:r>
      <w:r w:rsidR="006D5A1D">
        <w:rPr>
          <w:lang w:val="en-GB"/>
        </w:rPr>
        <w:t xml:space="preserve"> it is</w:t>
      </w:r>
      <w:r w:rsidRPr="00C33C0B">
        <w:rPr>
          <w:lang w:val="en-GB"/>
        </w:rPr>
        <w:t xml:space="preserve"> ultimately </w:t>
      </w:r>
      <w:r w:rsidR="00DA517E">
        <w:rPr>
          <w:lang w:val="en-GB"/>
        </w:rPr>
        <w:t>the patient</w:t>
      </w:r>
      <w:r w:rsidRPr="00C33C0B">
        <w:rPr>
          <w:lang w:val="en-GB"/>
        </w:rPr>
        <w:t xml:space="preserve"> who manages their overall health and wellbeing and the consequences of </w:t>
      </w:r>
      <w:r w:rsidR="006B5271">
        <w:rPr>
          <w:lang w:val="en-GB"/>
        </w:rPr>
        <w:t xml:space="preserve">any </w:t>
      </w:r>
      <w:r w:rsidRPr="00C33C0B">
        <w:rPr>
          <w:lang w:val="en-GB"/>
        </w:rPr>
        <w:t>dec</w:t>
      </w:r>
      <w:r w:rsidR="008C1B45">
        <w:rPr>
          <w:lang w:val="en-GB"/>
        </w:rPr>
        <w:t xml:space="preserve">isions made about their care, and so it logically follows that </w:t>
      </w:r>
      <w:r w:rsidR="007B41AC">
        <w:rPr>
          <w:lang w:val="en-GB"/>
        </w:rPr>
        <w:t>patient</w:t>
      </w:r>
      <w:r w:rsidR="008C1B45">
        <w:rPr>
          <w:lang w:val="en-GB"/>
        </w:rPr>
        <w:t xml:space="preserve">s should participate </w:t>
      </w:r>
      <w:r w:rsidRPr="00C33C0B">
        <w:rPr>
          <w:lang w:val="en-GB"/>
        </w:rPr>
        <w:t xml:space="preserve">in decision-making to the degree they are willing and able. It is incumbent on clinicians to support health literacy and engagement by creating care environments where </w:t>
      </w:r>
      <w:r w:rsidR="002B2596">
        <w:rPr>
          <w:lang w:val="en-GB"/>
        </w:rPr>
        <w:t>people</w:t>
      </w:r>
      <w:r w:rsidRPr="00C33C0B">
        <w:rPr>
          <w:lang w:val="en-GB"/>
        </w:rPr>
        <w:t xml:space="preserve"> </w:t>
      </w:r>
      <w:r w:rsidR="007156CF" w:rsidRPr="00C33C0B">
        <w:rPr>
          <w:lang w:val="en-GB"/>
        </w:rPr>
        <w:t>can</w:t>
      </w:r>
      <w:r w:rsidRPr="00C33C0B">
        <w:rPr>
          <w:lang w:val="en-GB"/>
        </w:rPr>
        <w:t xml:space="preserve"> actively participa</w:t>
      </w:r>
      <w:r w:rsidR="007156CF" w:rsidRPr="00C33C0B">
        <w:rPr>
          <w:lang w:val="en-GB"/>
        </w:rPr>
        <w:t xml:space="preserve">te in and agree </w:t>
      </w:r>
      <w:r w:rsidR="00640F5D">
        <w:rPr>
          <w:lang w:val="en-GB"/>
        </w:rPr>
        <w:t xml:space="preserve">on </w:t>
      </w:r>
      <w:r w:rsidR="007156CF" w:rsidRPr="00C33C0B">
        <w:rPr>
          <w:lang w:val="en-GB"/>
        </w:rPr>
        <w:t>health</w:t>
      </w:r>
      <w:r w:rsidR="001D6B44">
        <w:rPr>
          <w:lang w:val="en-GB"/>
        </w:rPr>
        <w:t xml:space="preserve"> </w:t>
      </w:r>
      <w:r w:rsidRPr="00C33C0B">
        <w:rPr>
          <w:lang w:val="en-GB"/>
        </w:rPr>
        <w:t xml:space="preserve">care decisions that affect them. </w:t>
      </w:r>
    </w:p>
    <w:p w14:paraId="09301150" w14:textId="77777777" w:rsidR="00FB4475" w:rsidRDefault="00643FD7" w:rsidP="00FB4475">
      <w:pPr>
        <w:rPr>
          <w:lang w:val="en-GB"/>
        </w:rPr>
      </w:pPr>
      <w:r>
        <w:rPr>
          <w:lang w:val="en-GB"/>
        </w:rPr>
        <w:t>Evaluating and improving</w:t>
      </w:r>
      <w:r w:rsidR="00FB4475" w:rsidRPr="00C33C0B">
        <w:rPr>
          <w:lang w:val="en-GB"/>
        </w:rPr>
        <w:t xml:space="preserve"> </w:t>
      </w:r>
      <w:r w:rsidR="001B64DC">
        <w:rPr>
          <w:lang w:val="en-GB"/>
        </w:rPr>
        <w:t xml:space="preserve">the </w:t>
      </w:r>
      <w:r w:rsidR="00FB4475" w:rsidRPr="00C33C0B">
        <w:rPr>
          <w:lang w:val="en-GB"/>
        </w:rPr>
        <w:t xml:space="preserve">quality of care provided to patients </w:t>
      </w:r>
      <w:r w:rsidR="006913C1">
        <w:rPr>
          <w:lang w:val="en-GB"/>
        </w:rPr>
        <w:t>is</w:t>
      </w:r>
      <w:r w:rsidR="00FB4475" w:rsidRPr="00C33C0B">
        <w:rPr>
          <w:lang w:val="en-GB"/>
        </w:rPr>
        <w:t xml:space="preserve"> crucial in clinical practice. Alongside the requirements for improvement in outcomes and patient experience, there has also been considerable emphasis on informing patient choice and increasing patient involv</w:t>
      </w:r>
      <w:r w:rsidR="009B2481" w:rsidRPr="00C33C0B">
        <w:rPr>
          <w:lang w:val="en-GB"/>
        </w:rPr>
        <w:t xml:space="preserve">ement in all aspects of care. An important </w:t>
      </w:r>
      <w:r w:rsidR="00FB4475" w:rsidRPr="00C33C0B">
        <w:rPr>
          <w:lang w:val="en-GB"/>
        </w:rPr>
        <w:t>enabler of this is increasing the availability and transparency of data</w:t>
      </w:r>
      <w:r w:rsidR="00894CB3">
        <w:rPr>
          <w:lang w:val="en-GB"/>
        </w:rPr>
        <w:t>.</w:t>
      </w:r>
      <w:r w:rsidR="009B2481" w:rsidRPr="00C33C0B">
        <w:rPr>
          <w:lang w:val="en-GB"/>
        </w:rPr>
        <w:t xml:space="preserve"> The</w:t>
      </w:r>
      <w:r w:rsidR="00FB4475" w:rsidRPr="00C33C0B">
        <w:rPr>
          <w:lang w:val="en-GB"/>
        </w:rPr>
        <w:t xml:space="preserve"> Committee </w:t>
      </w:r>
      <w:r w:rsidR="00F95672">
        <w:rPr>
          <w:lang w:val="en-GB"/>
        </w:rPr>
        <w:t>has therefore provided</w:t>
      </w:r>
      <w:r w:rsidR="00FB4475" w:rsidRPr="00C33C0B">
        <w:rPr>
          <w:lang w:val="en-GB"/>
        </w:rPr>
        <w:t xml:space="preserve"> recommendations on how data can be used to monitor and improve quality of care</w:t>
      </w:r>
      <w:r w:rsidR="00F533F0">
        <w:rPr>
          <w:lang w:val="en-GB"/>
        </w:rPr>
        <w:t>,</w:t>
      </w:r>
      <w:r w:rsidR="00FB4475" w:rsidRPr="00C33C0B">
        <w:rPr>
          <w:lang w:val="en-GB"/>
        </w:rPr>
        <w:t xml:space="preserve"> and enable informed consumer choice. The Committee also outlines the principles of informed patient consent</w:t>
      </w:r>
      <w:r w:rsidR="00BB10A8" w:rsidRPr="00C33C0B">
        <w:rPr>
          <w:lang w:val="en-GB"/>
        </w:rPr>
        <w:t>.</w:t>
      </w:r>
    </w:p>
    <w:p w14:paraId="1414DB38" w14:textId="77777777" w:rsidR="00FC2F6F" w:rsidRPr="00C33C0B" w:rsidRDefault="00FC2F6F" w:rsidP="00FB4475">
      <w:pPr>
        <w:rPr>
          <w:lang w:val="en-GB"/>
        </w:rPr>
      </w:pPr>
    </w:p>
    <w:p w14:paraId="7F2AACCF" w14:textId="77777777" w:rsidR="00FB4475" w:rsidRPr="00C33C0B" w:rsidRDefault="00684874" w:rsidP="003C5D5A">
      <w:pPr>
        <w:pStyle w:val="Heading2"/>
      </w:pPr>
      <w:bookmarkStart w:id="195" w:name="_Toc24544723"/>
      <w:bookmarkStart w:id="196" w:name="_Hlk529008753"/>
      <w:r w:rsidRPr="006E00E1">
        <w:t>Recommendation</w:t>
      </w:r>
      <w:r w:rsidRPr="00C33C0B">
        <w:t xml:space="preserve"> </w:t>
      </w:r>
      <w:r w:rsidR="00DA1590">
        <w:t>1</w:t>
      </w:r>
      <w:r w:rsidR="003E5720">
        <w:t>4</w:t>
      </w:r>
      <w:r w:rsidR="0081794A">
        <w:t xml:space="preserve"> - </w:t>
      </w:r>
      <w:r w:rsidR="0081794A">
        <w:rPr>
          <w:lang w:val="en-GB"/>
        </w:rPr>
        <w:t xml:space="preserve">Establish a </w:t>
      </w:r>
      <w:r w:rsidR="00FC2F6F">
        <w:rPr>
          <w:lang w:val="en-GB"/>
        </w:rPr>
        <w:t xml:space="preserve">national </w:t>
      </w:r>
      <w:r w:rsidR="0081794A">
        <w:rPr>
          <w:lang w:val="en-GB"/>
        </w:rPr>
        <w:t>minimum data set to inform evidence-based clinical practice and inform patient choice</w:t>
      </w:r>
      <w:bookmarkEnd w:id="195"/>
    </w:p>
    <w:p w14:paraId="23348D9E" w14:textId="77777777" w:rsidR="00FB4475" w:rsidRPr="0081794A" w:rsidRDefault="0081794A" w:rsidP="00607BDA">
      <w:pPr>
        <w:pStyle w:val="Bullet-green"/>
        <w:numPr>
          <w:ilvl w:val="0"/>
          <w:numId w:val="0"/>
        </w:numPr>
        <w:rPr>
          <w:lang w:val="en-GB"/>
        </w:rPr>
      </w:pPr>
      <w:r>
        <w:rPr>
          <w:lang w:val="en-GB"/>
        </w:rPr>
        <w:t>T</w:t>
      </w:r>
      <w:r w:rsidR="00FB4475" w:rsidRPr="0081794A">
        <w:rPr>
          <w:lang w:val="en-GB"/>
        </w:rPr>
        <w:t>he Committee recommends a step-wise approach</w:t>
      </w:r>
      <w:r w:rsidR="00AB5C0B" w:rsidRPr="0081794A">
        <w:rPr>
          <w:lang w:val="en-GB"/>
        </w:rPr>
        <w:t xml:space="preserve"> to </w:t>
      </w:r>
      <w:r w:rsidR="006764C4" w:rsidRPr="0081794A">
        <w:rPr>
          <w:lang w:val="en-GB"/>
        </w:rPr>
        <w:t xml:space="preserve">establishing </w:t>
      </w:r>
      <w:r w:rsidR="00CD63AF" w:rsidRPr="0081794A">
        <w:rPr>
          <w:lang w:val="en-GB"/>
        </w:rPr>
        <w:t xml:space="preserve">a </w:t>
      </w:r>
      <w:r w:rsidR="00FC2F6F">
        <w:rPr>
          <w:lang w:val="en-GB"/>
        </w:rPr>
        <w:t xml:space="preserve">national </w:t>
      </w:r>
      <w:r w:rsidR="00CD63AF" w:rsidRPr="0081794A">
        <w:rPr>
          <w:lang w:val="en-GB"/>
        </w:rPr>
        <w:t>minimum data set</w:t>
      </w:r>
      <w:r>
        <w:rPr>
          <w:lang w:val="en-GB"/>
        </w:rPr>
        <w:t>, through</w:t>
      </w:r>
      <w:r w:rsidR="00FC2F6F">
        <w:rPr>
          <w:lang w:val="en-GB"/>
        </w:rPr>
        <w:t>:</w:t>
      </w:r>
    </w:p>
    <w:p w14:paraId="3229A929" w14:textId="77777777" w:rsidR="00231AB8" w:rsidRPr="00607BDA" w:rsidRDefault="00FC2F6F" w:rsidP="000831A1">
      <w:pPr>
        <w:pStyle w:val="Bullet2"/>
        <w:numPr>
          <w:ilvl w:val="0"/>
          <w:numId w:val="46"/>
        </w:numPr>
        <w:rPr>
          <w:lang w:val="en-GB"/>
        </w:rPr>
      </w:pPr>
      <w:bookmarkStart w:id="197" w:name="_Hlk524447058"/>
      <w:r>
        <w:rPr>
          <w:lang w:val="en-GB"/>
        </w:rPr>
        <w:t>C</w:t>
      </w:r>
      <w:r w:rsidR="009B2481" w:rsidRPr="00607BDA">
        <w:rPr>
          <w:lang w:val="en-GB"/>
        </w:rPr>
        <w:t>reat</w:t>
      </w:r>
      <w:r w:rsidR="0081794A">
        <w:rPr>
          <w:lang w:val="en-GB"/>
        </w:rPr>
        <w:t>ing</w:t>
      </w:r>
      <w:r w:rsidR="009B2481" w:rsidRPr="00607BDA">
        <w:rPr>
          <w:lang w:val="en-GB"/>
        </w:rPr>
        <w:t xml:space="preserve"> l</w:t>
      </w:r>
      <w:r w:rsidR="00231AB8" w:rsidRPr="00607BDA">
        <w:rPr>
          <w:lang w:val="en-GB"/>
        </w:rPr>
        <w:t xml:space="preserve">inkages with the Australian Commission on Safety and Quality </w:t>
      </w:r>
      <w:r w:rsidR="009A75C9" w:rsidRPr="00607BDA">
        <w:rPr>
          <w:lang w:val="en-GB"/>
        </w:rPr>
        <w:t xml:space="preserve">in </w:t>
      </w:r>
      <w:r w:rsidR="00640F5D" w:rsidRPr="00607BDA">
        <w:rPr>
          <w:lang w:val="en-GB"/>
        </w:rPr>
        <w:t>Health C</w:t>
      </w:r>
      <w:r w:rsidR="00231AB8" w:rsidRPr="00607BDA">
        <w:rPr>
          <w:lang w:val="en-GB"/>
        </w:rPr>
        <w:t xml:space="preserve">are </w:t>
      </w:r>
      <w:r w:rsidR="009B2481" w:rsidRPr="00607BDA">
        <w:rPr>
          <w:lang w:val="en-GB"/>
        </w:rPr>
        <w:t xml:space="preserve">to </w:t>
      </w:r>
      <w:r w:rsidR="00231AB8" w:rsidRPr="00607BDA">
        <w:rPr>
          <w:lang w:val="en-GB"/>
        </w:rPr>
        <w:t>support a data</w:t>
      </w:r>
      <w:r w:rsidR="00957037" w:rsidRPr="00607BDA">
        <w:rPr>
          <w:lang w:val="en-GB"/>
        </w:rPr>
        <w:t>-</w:t>
      </w:r>
      <w:r w:rsidR="00231AB8" w:rsidRPr="00607BDA">
        <w:rPr>
          <w:lang w:val="en-GB"/>
        </w:rPr>
        <w:t xml:space="preserve">driven picture of variation in clinical practice nationally. </w:t>
      </w:r>
    </w:p>
    <w:bookmarkEnd w:id="197"/>
    <w:p w14:paraId="034B5DAB" w14:textId="77777777" w:rsidR="007A18BD" w:rsidRPr="00607BDA" w:rsidRDefault="00FC2F6F" w:rsidP="000831A1">
      <w:pPr>
        <w:pStyle w:val="Bullet2"/>
        <w:numPr>
          <w:ilvl w:val="0"/>
          <w:numId w:val="46"/>
        </w:numPr>
        <w:rPr>
          <w:lang w:val="en-GB"/>
        </w:rPr>
      </w:pPr>
      <w:r>
        <w:rPr>
          <w:lang w:val="en-GB"/>
        </w:rPr>
        <w:t>E</w:t>
      </w:r>
      <w:r w:rsidR="009B2481" w:rsidRPr="00607BDA">
        <w:rPr>
          <w:lang w:val="en-GB"/>
        </w:rPr>
        <w:t>stablish</w:t>
      </w:r>
      <w:r w:rsidR="0081794A">
        <w:rPr>
          <w:lang w:val="en-GB"/>
        </w:rPr>
        <w:t>ing</w:t>
      </w:r>
      <w:r w:rsidR="009B2481" w:rsidRPr="00607BDA">
        <w:rPr>
          <w:lang w:val="en-GB"/>
        </w:rPr>
        <w:t xml:space="preserve"> a</w:t>
      </w:r>
      <w:r w:rsidR="00892FAD" w:rsidRPr="00607BDA">
        <w:rPr>
          <w:lang w:val="en-GB"/>
        </w:rPr>
        <w:t xml:space="preserve"> </w:t>
      </w:r>
      <w:r>
        <w:rPr>
          <w:lang w:val="en-GB"/>
        </w:rPr>
        <w:t xml:space="preserve">national </w:t>
      </w:r>
      <w:r w:rsidR="00892FAD" w:rsidRPr="00607BDA">
        <w:rPr>
          <w:lang w:val="en-GB"/>
        </w:rPr>
        <w:t>minimum data set</w:t>
      </w:r>
      <w:r w:rsidR="00CE6373" w:rsidRPr="00607BDA">
        <w:rPr>
          <w:lang w:val="en-GB"/>
        </w:rPr>
        <w:t xml:space="preserve"> </w:t>
      </w:r>
      <w:r w:rsidR="00892FAD" w:rsidRPr="00607BDA">
        <w:rPr>
          <w:lang w:val="en-GB"/>
        </w:rPr>
        <w:t>to record</w:t>
      </w:r>
      <w:r w:rsidR="00FB4475" w:rsidRPr="00607BDA">
        <w:rPr>
          <w:lang w:val="en-GB"/>
        </w:rPr>
        <w:t xml:space="preserve"> outcome and process data </w:t>
      </w:r>
      <w:r w:rsidR="008B7DF7" w:rsidRPr="00607BDA">
        <w:rPr>
          <w:lang w:val="en-GB"/>
        </w:rPr>
        <w:t xml:space="preserve">on topics </w:t>
      </w:r>
      <w:r w:rsidR="00640F5D" w:rsidRPr="00607BDA">
        <w:rPr>
          <w:lang w:val="en-GB"/>
        </w:rPr>
        <w:t xml:space="preserve">such as mortality, morbidity, </w:t>
      </w:r>
      <w:r w:rsidR="00FB4475" w:rsidRPr="00607BDA">
        <w:rPr>
          <w:lang w:val="en-GB"/>
        </w:rPr>
        <w:t>readmissions</w:t>
      </w:r>
      <w:r w:rsidR="00640F5D" w:rsidRPr="00607BDA">
        <w:rPr>
          <w:lang w:val="en-GB"/>
        </w:rPr>
        <w:t xml:space="preserve">, </w:t>
      </w:r>
      <w:r w:rsidR="003E5720">
        <w:rPr>
          <w:lang w:val="en-GB"/>
        </w:rPr>
        <w:t xml:space="preserve">quality measures of consultations </w:t>
      </w:r>
      <w:r w:rsidR="00640F5D" w:rsidRPr="00607BDA">
        <w:rPr>
          <w:lang w:val="en-GB"/>
        </w:rPr>
        <w:t>and patient-reported outcomes</w:t>
      </w:r>
      <w:r w:rsidR="00FB4475" w:rsidRPr="00607BDA">
        <w:rPr>
          <w:lang w:val="en-GB"/>
        </w:rPr>
        <w:t xml:space="preserve">. It is recommended </w:t>
      </w:r>
      <w:r w:rsidR="00E74930" w:rsidRPr="00607BDA">
        <w:rPr>
          <w:lang w:val="en-GB"/>
        </w:rPr>
        <w:t>the</w:t>
      </w:r>
      <w:r w:rsidR="00FB4475" w:rsidRPr="00607BDA">
        <w:rPr>
          <w:lang w:val="en-GB"/>
        </w:rPr>
        <w:t xml:space="preserve"> data be used </w:t>
      </w:r>
      <w:r w:rsidR="007A18BD" w:rsidRPr="00607BDA">
        <w:rPr>
          <w:lang w:val="en-GB"/>
        </w:rPr>
        <w:t>to:</w:t>
      </w:r>
      <w:r w:rsidR="00FB4475" w:rsidRPr="00607BDA">
        <w:rPr>
          <w:lang w:val="en-GB"/>
        </w:rPr>
        <w:t xml:space="preserve"> </w:t>
      </w:r>
    </w:p>
    <w:p w14:paraId="7D551F71" w14:textId="77777777" w:rsidR="006E00E1" w:rsidRDefault="006D683C" w:rsidP="000831A1">
      <w:pPr>
        <w:pStyle w:val="BulletStyle3"/>
        <w:numPr>
          <w:ilvl w:val="0"/>
          <w:numId w:val="52"/>
        </w:numPr>
      </w:pPr>
      <w:r>
        <w:t>b</w:t>
      </w:r>
      <w:r w:rsidR="00640F5D">
        <w:t>enchmark</w:t>
      </w:r>
      <w:r w:rsidR="00FB4475" w:rsidRPr="00C33C0B">
        <w:t xml:space="preserve"> </w:t>
      </w:r>
      <w:r w:rsidR="007A18BD">
        <w:t xml:space="preserve">internally </w:t>
      </w:r>
      <w:r w:rsidR="00D71486">
        <w:t xml:space="preserve">and </w:t>
      </w:r>
      <w:r w:rsidR="00FB4475" w:rsidRPr="00C33C0B">
        <w:t>with peers (</w:t>
      </w:r>
      <w:r w:rsidR="008205CC">
        <w:t xml:space="preserve">determined by </w:t>
      </w:r>
      <w:r w:rsidR="003D72E0" w:rsidRPr="00C33C0B">
        <w:t xml:space="preserve">the professional group) </w:t>
      </w:r>
      <w:r>
        <w:t>to drive quality improvement; and</w:t>
      </w:r>
    </w:p>
    <w:p w14:paraId="45A42658" w14:textId="77777777" w:rsidR="007A18BD" w:rsidRDefault="006D683C" w:rsidP="000831A1">
      <w:pPr>
        <w:pStyle w:val="BulletStyle3"/>
        <w:numPr>
          <w:ilvl w:val="0"/>
          <w:numId w:val="52"/>
        </w:numPr>
      </w:pPr>
      <w:r>
        <w:t>i</w:t>
      </w:r>
      <w:r w:rsidR="007A18BD">
        <w:t xml:space="preserve">nform patient choice of institution and consultant specialist (see further </w:t>
      </w:r>
      <w:r w:rsidR="00DA1590">
        <w:t>information in Recommendation 1</w:t>
      </w:r>
      <w:r w:rsidR="003E5720">
        <w:t>5</w:t>
      </w:r>
      <w:r w:rsidR="007A18BD">
        <w:t>).</w:t>
      </w:r>
    </w:p>
    <w:p w14:paraId="455FC4ED" w14:textId="77777777" w:rsidR="00D16149" w:rsidRPr="00607BDA" w:rsidRDefault="00FC2F6F" w:rsidP="000831A1">
      <w:pPr>
        <w:pStyle w:val="Bullet2"/>
        <w:numPr>
          <w:ilvl w:val="0"/>
          <w:numId w:val="46"/>
        </w:numPr>
        <w:rPr>
          <w:lang w:val="en-GB"/>
        </w:rPr>
      </w:pPr>
      <w:r>
        <w:rPr>
          <w:lang w:val="en-GB"/>
        </w:rPr>
        <w:t>E</w:t>
      </w:r>
      <w:r w:rsidR="005D451B" w:rsidRPr="00607BDA">
        <w:rPr>
          <w:lang w:val="en-GB"/>
        </w:rPr>
        <w:t>nsur</w:t>
      </w:r>
      <w:r w:rsidR="0081794A">
        <w:rPr>
          <w:lang w:val="en-GB"/>
        </w:rPr>
        <w:t>ing</w:t>
      </w:r>
      <w:r w:rsidR="005D451B" w:rsidRPr="00607BDA">
        <w:rPr>
          <w:lang w:val="en-GB"/>
        </w:rPr>
        <w:t xml:space="preserve"> </w:t>
      </w:r>
      <w:r w:rsidR="00D16149" w:rsidRPr="00607BDA">
        <w:rPr>
          <w:lang w:val="en-GB"/>
        </w:rPr>
        <w:t xml:space="preserve">complete integrity </w:t>
      </w:r>
      <w:r w:rsidR="00640F5D" w:rsidRPr="00607BDA">
        <w:rPr>
          <w:lang w:val="en-GB"/>
        </w:rPr>
        <w:t>in</w:t>
      </w:r>
      <w:r w:rsidR="00D16149" w:rsidRPr="00607BDA">
        <w:rPr>
          <w:lang w:val="en-GB"/>
        </w:rPr>
        <w:t xml:space="preserve"> the accuracy of the data</w:t>
      </w:r>
      <w:r w:rsidR="004A386F" w:rsidRPr="00607BDA">
        <w:rPr>
          <w:lang w:val="en-GB"/>
        </w:rPr>
        <w:t xml:space="preserve">, </w:t>
      </w:r>
      <w:r w:rsidR="009E09EC" w:rsidRPr="00607BDA">
        <w:rPr>
          <w:lang w:val="en-GB"/>
        </w:rPr>
        <w:t xml:space="preserve">the rigour of its analysis, </w:t>
      </w:r>
      <w:r w:rsidR="004A386F" w:rsidRPr="00607BDA">
        <w:rPr>
          <w:lang w:val="en-GB"/>
        </w:rPr>
        <w:t>and its appropriate risk-weighting</w:t>
      </w:r>
      <w:r w:rsidR="005D78F0" w:rsidRPr="00607BDA">
        <w:rPr>
          <w:lang w:val="en-GB"/>
        </w:rPr>
        <w:t xml:space="preserve"> before being used for the purposes of comparison</w:t>
      </w:r>
      <w:r w:rsidR="004A386F" w:rsidRPr="00607BDA">
        <w:rPr>
          <w:lang w:val="en-GB"/>
        </w:rPr>
        <w:t>. This include</w:t>
      </w:r>
      <w:r w:rsidR="00F51D45" w:rsidRPr="00607BDA">
        <w:rPr>
          <w:lang w:val="en-GB"/>
        </w:rPr>
        <w:t>s</w:t>
      </w:r>
      <w:r w:rsidR="009E09EC" w:rsidRPr="00607BDA">
        <w:rPr>
          <w:lang w:val="en-GB"/>
        </w:rPr>
        <w:t xml:space="preserve">, but </w:t>
      </w:r>
      <w:r w:rsidR="00F51D45" w:rsidRPr="00607BDA">
        <w:rPr>
          <w:lang w:val="en-GB"/>
        </w:rPr>
        <w:t>should not be</w:t>
      </w:r>
      <w:r w:rsidR="004A386F" w:rsidRPr="00607BDA">
        <w:rPr>
          <w:lang w:val="en-GB"/>
        </w:rPr>
        <w:t xml:space="preserve"> </w:t>
      </w:r>
      <w:r w:rsidR="009E09EC" w:rsidRPr="00607BDA">
        <w:rPr>
          <w:lang w:val="en-GB"/>
        </w:rPr>
        <w:t>limited to, addressing the following challenges:</w:t>
      </w:r>
    </w:p>
    <w:p w14:paraId="06129277" w14:textId="77777777" w:rsidR="009E09EC" w:rsidRDefault="006D683C" w:rsidP="000831A1">
      <w:pPr>
        <w:pStyle w:val="BulletStyle3"/>
        <w:numPr>
          <w:ilvl w:val="0"/>
          <w:numId w:val="53"/>
        </w:numPr>
      </w:pPr>
      <w:r>
        <w:t>n</w:t>
      </w:r>
      <w:r w:rsidR="009E09EC">
        <w:t>ewly qualified consultant specialists</w:t>
      </w:r>
      <w:r w:rsidR="00FC2F6F">
        <w:t>;</w:t>
      </w:r>
    </w:p>
    <w:p w14:paraId="118994F5" w14:textId="77777777" w:rsidR="009E09EC" w:rsidRDefault="006D683C" w:rsidP="000831A1">
      <w:pPr>
        <w:pStyle w:val="BulletStyle3"/>
        <w:numPr>
          <w:ilvl w:val="0"/>
          <w:numId w:val="53"/>
        </w:numPr>
      </w:pPr>
      <w:r>
        <w:t>c</w:t>
      </w:r>
      <w:r w:rsidR="009E09EC">
        <w:t xml:space="preserve">onsultant specialists returning from a long </w:t>
      </w:r>
      <w:r w:rsidR="004A386F">
        <w:t>leave of absence</w:t>
      </w:r>
      <w:r w:rsidR="00FC2F6F">
        <w:t>;</w:t>
      </w:r>
    </w:p>
    <w:p w14:paraId="6624378B" w14:textId="77777777" w:rsidR="007C4CF3" w:rsidRPr="00C33C0B" w:rsidRDefault="006D683C" w:rsidP="000831A1">
      <w:pPr>
        <w:pStyle w:val="BulletStyle3"/>
        <w:numPr>
          <w:ilvl w:val="0"/>
          <w:numId w:val="53"/>
        </w:numPr>
      </w:pPr>
      <w:r>
        <w:t>t</w:t>
      </w:r>
      <w:r w:rsidR="007C4CF3">
        <w:t>he effect of a complication where the incidence of that complication is extremely low</w:t>
      </w:r>
      <w:r w:rsidR="00FC2F6F">
        <w:t>;</w:t>
      </w:r>
    </w:p>
    <w:p w14:paraId="1673C6B6" w14:textId="77777777" w:rsidR="00F51D45" w:rsidRDefault="006D683C" w:rsidP="000831A1">
      <w:pPr>
        <w:pStyle w:val="BulletStyle3"/>
        <w:numPr>
          <w:ilvl w:val="0"/>
          <w:numId w:val="53"/>
        </w:numPr>
      </w:pPr>
      <w:r>
        <w:t>c</w:t>
      </w:r>
      <w:r w:rsidR="00F51D45">
        <w:t xml:space="preserve">onsultant specialists who </w:t>
      </w:r>
      <w:r w:rsidR="00506B5B">
        <w:t>treat low volume disease of high complexity</w:t>
      </w:r>
      <w:r w:rsidR="00FC2F6F">
        <w:t>;</w:t>
      </w:r>
    </w:p>
    <w:p w14:paraId="729AE737" w14:textId="77777777" w:rsidR="004A386F" w:rsidRDefault="006D683C" w:rsidP="000831A1">
      <w:pPr>
        <w:pStyle w:val="BulletStyle3"/>
        <w:numPr>
          <w:ilvl w:val="0"/>
          <w:numId w:val="53"/>
        </w:numPr>
      </w:pPr>
      <w:r>
        <w:t>t</w:t>
      </w:r>
      <w:r w:rsidR="004A386F">
        <w:t>he introduction of new technologies for a service</w:t>
      </w:r>
      <w:r w:rsidR="00FC2F6F">
        <w:t>;</w:t>
      </w:r>
    </w:p>
    <w:p w14:paraId="3BA5248A" w14:textId="77777777" w:rsidR="004A386F" w:rsidRDefault="006D683C" w:rsidP="000831A1">
      <w:pPr>
        <w:pStyle w:val="BulletStyle3"/>
        <w:numPr>
          <w:ilvl w:val="0"/>
          <w:numId w:val="53"/>
        </w:numPr>
      </w:pPr>
      <w:r>
        <w:t>t</w:t>
      </w:r>
      <w:r w:rsidR="004A386F">
        <w:t xml:space="preserve">he opening of </w:t>
      </w:r>
      <w:r w:rsidR="007C4CF3">
        <w:t xml:space="preserve">new units (e.g., new </w:t>
      </w:r>
      <w:r w:rsidR="00BF60D2">
        <w:t>hospital developments</w:t>
      </w:r>
      <w:r w:rsidR="007C4CF3">
        <w:t>)</w:t>
      </w:r>
      <w:r w:rsidR="00FC2F6F">
        <w:t>;</w:t>
      </w:r>
    </w:p>
    <w:p w14:paraId="497789D7" w14:textId="77777777" w:rsidR="00F51D45" w:rsidRDefault="006D683C" w:rsidP="000831A1">
      <w:pPr>
        <w:pStyle w:val="BulletStyle3"/>
        <w:numPr>
          <w:ilvl w:val="0"/>
          <w:numId w:val="53"/>
        </w:numPr>
      </w:pPr>
      <w:r>
        <w:t>consultant s</w:t>
      </w:r>
      <w:r w:rsidR="00F51D45" w:rsidRPr="007C4CF3">
        <w:t>pecialists whose referral base provides high risk patients</w:t>
      </w:r>
      <w:r w:rsidR="00FC2F6F">
        <w:t xml:space="preserve">; </w:t>
      </w:r>
      <w:r w:rsidR="00F002A1">
        <w:t>and</w:t>
      </w:r>
    </w:p>
    <w:p w14:paraId="09EFD06E" w14:textId="77777777" w:rsidR="007C4CF3" w:rsidRDefault="006D683C" w:rsidP="000831A1">
      <w:pPr>
        <w:pStyle w:val="BulletStyle3"/>
        <w:numPr>
          <w:ilvl w:val="0"/>
          <w:numId w:val="53"/>
        </w:numPr>
      </w:pPr>
      <w:r>
        <w:t>c</w:t>
      </w:r>
      <w:r w:rsidR="007C4CF3">
        <w:t>omplication “clusters”</w:t>
      </w:r>
      <w:r w:rsidR="00FC2F6F">
        <w:t>.</w:t>
      </w:r>
    </w:p>
    <w:p w14:paraId="501BBED6" w14:textId="77777777" w:rsidR="00FB4475" w:rsidRPr="00607BDA" w:rsidRDefault="00FC2F6F" w:rsidP="000831A1">
      <w:pPr>
        <w:pStyle w:val="Bullet2"/>
        <w:numPr>
          <w:ilvl w:val="0"/>
          <w:numId w:val="46"/>
        </w:numPr>
        <w:rPr>
          <w:lang w:val="en-GB"/>
        </w:rPr>
      </w:pPr>
      <w:r>
        <w:rPr>
          <w:lang w:val="en-GB"/>
        </w:rPr>
        <w:t>P</w:t>
      </w:r>
      <w:r w:rsidR="002F16A9" w:rsidRPr="00607BDA">
        <w:rPr>
          <w:lang w:val="en-GB"/>
        </w:rPr>
        <w:t>rogress</w:t>
      </w:r>
      <w:r w:rsidR="0081794A">
        <w:rPr>
          <w:lang w:val="en-GB"/>
        </w:rPr>
        <w:t>ing</w:t>
      </w:r>
      <w:r w:rsidR="00384070" w:rsidRPr="00607BDA">
        <w:rPr>
          <w:lang w:val="en-GB"/>
        </w:rPr>
        <w:t xml:space="preserve"> </w:t>
      </w:r>
      <w:r w:rsidR="009B2481" w:rsidRPr="00607BDA">
        <w:rPr>
          <w:lang w:val="en-GB"/>
        </w:rPr>
        <w:t>the</w:t>
      </w:r>
      <w:r w:rsidR="00FB4475" w:rsidRPr="00607BDA">
        <w:rPr>
          <w:lang w:val="en-GB"/>
        </w:rPr>
        <w:t xml:space="preserve"> minimum data set </w:t>
      </w:r>
      <w:r w:rsidR="0057592C" w:rsidRPr="00607BDA">
        <w:rPr>
          <w:lang w:val="en-GB"/>
        </w:rPr>
        <w:t>in</w:t>
      </w:r>
      <w:r w:rsidR="00FB4475" w:rsidRPr="00607BDA">
        <w:rPr>
          <w:lang w:val="en-GB"/>
        </w:rPr>
        <w:t xml:space="preserve">to a comprehensive data set, populated by data available from private health insurers and </w:t>
      </w:r>
      <w:r w:rsidR="00B01385" w:rsidRPr="00607BDA">
        <w:rPr>
          <w:lang w:val="en-GB"/>
        </w:rPr>
        <w:t>st</w:t>
      </w:r>
      <w:r w:rsidR="00616D90" w:rsidRPr="00607BDA">
        <w:rPr>
          <w:lang w:val="en-GB"/>
        </w:rPr>
        <w:t>ate public health systems</w:t>
      </w:r>
      <w:r w:rsidR="006D683C">
        <w:rPr>
          <w:lang w:val="en-GB"/>
        </w:rPr>
        <w:t>.</w:t>
      </w:r>
    </w:p>
    <w:p w14:paraId="5374FE65" w14:textId="77777777" w:rsidR="00FB4475" w:rsidRPr="00607BDA" w:rsidRDefault="00FC2F6F" w:rsidP="000831A1">
      <w:pPr>
        <w:pStyle w:val="Bullet2"/>
        <w:numPr>
          <w:ilvl w:val="0"/>
          <w:numId w:val="46"/>
        </w:numPr>
        <w:rPr>
          <w:lang w:val="en-GB"/>
        </w:rPr>
      </w:pPr>
      <w:r>
        <w:rPr>
          <w:lang w:val="en-GB"/>
        </w:rPr>
        <w:t>U</w:t>
      </w:r>
      <w:r w:rsidR="0098330A" w:rsidRPr="00607BDA">
        <w:rPr>
          <w:lang w:val="en-GB"/>
        </w:rPr>
        <w:t>s</w:t>
      </w:r>
      <w:r w:rsidR="0081794A">
        <w:rPr>
          <w:lang w:val="en-GB"/>
        </w:rPr>
        <w:t>ing</w:t>
      </w:r>
      <w:r w:rsidR="0098330A" w:rsidRPr="00607BDA">
        <w:rPr>
          <w:lang w:val="en-GB"/>
        </w:rPr>
        <w:t xml:space="preserve"> t</w:t>
      </w:r>
      <w:r w:rsidR="00FB4475" w:rsidRPr="00607BDA">
        <w:rPr>
          <w:lang w:val="en-GB"/>
        </w:rPr>
        <w:t xml:space="preserve">he collection of homogenous data </w:t>
      </w:r>
      <w:r w:rsidR="0098330A" w:rsidRPr="00607BDA">
        <w:rPr>
          <w:lang w:val="en-GB"/>
        </w:rPr>
        <w:t>to</w:t>
      </w:r>
      <w:r w:rsidR="00FB4475" w:rsidRPr="00607BDA">
        <w:rPr>
          <w:lang w:val="en-GB"/>
        </w:rPr>
        <w:t xml:space="preserve"> inform </w:t>
      </w:r>
      <w:r w:rsidR="00F002A1">
        <w:rPr>
          <w:lang w:val="en-GB"/>
        </w:rPr>
        <w:t>c</w:t>
      </w:r>
      <w:r w:rsidR="00FB4475" w:rsidRPr="00607BDA">
        <w:rPr>
          <w:lang w:val="en-GB"/>
        </w:rPr>
        <w:t xml:space="preserve">olleges and peak bodies of trends in </w:t>
      </w:r>
      <w:r w:rsidR="007D7C98" w:rsidRPr="00607BDA">
        <w:rPr>
          <w:lang w:val="en-GB"/>
        </w:rPr>
        <w:t xml:space="preserve">clinical </w:t>
      </w:r>
      <w:r w:rsidR="00FB4475" w:rsidRPr="00607BDA">
        <w:rPr>
          <w:lang w:val="en-GB"/>
        </w:rPr>
        <w:t>practice s</w:t>
      </w:r>
      <w:r w:rsidR="007D7C98" w:rsidRPr="00607BDA">
        <w:rPr>
          <w:lang w:val="en-GB"/>
        </w:rPr>
        <w:t xml:space="preserve">o that </w:t>
      </w:r>
      <w:r w:rsidR="00085979">
        <w:rPr>
          <w:lang w:val="en-GB"/>
        </w:rPr>
        <w:t xml:space="preserve">continuing professional </w:t>
      </w:r>
      <w:r w:rsidR="00BA29AE">
        <w:rPr>
          <w:lang w:val="en-GB"/>
        </w:rPr>
        <w:t>development (</w:t>
      </w:r>
      <w:r w:rsidR="00FB4475" w:rsidRPr="00607BDA">
        <w:rPr>
          <w:lang w:val="en-GB"/>
        </w:rPr>
        <w:t>CPD and other improvement levers can be more targeted</w:t>
      </w:r>
      <w:r w:rsidR="003A5BF4" w:rsidRPr="00607BDA">
        <w:rPr>
          <w:lang w:val="en-GB"/>
        </w:rPr>
        <w:t>.</w:t>
      </w:r>
    </w:p>
    <w:p w14:paraId="4A503CB0" w14:textId="77777777" w:rsidR="00231AB8" w:rsidRPr="00607BDA" w:rsidRDefault="0098330A" w:rsidP="000831A1">
      <w:pPr>
        <w:pStyle w:val="Bullet2"/>
        <w:numPr>
          <w:ilvl w:val="0"/>
          <w:numId w:val="46"/>
        </w:numPr>
        <w:rPr>
          <w:lang w:val="en-GB"/>
        </w:rPr>
      </w:pPr>
      <w:r w:rsidRPr="00607BDA">
        <w:rPr>
          <w:lang w:val="en-GB"/>
        </w:rPr>
        <w:t>S</w:t>
      </w:r>
      <w:r w:rsidR="00FB4475" w:rsidRPr="00607BDA">
        <w:rPr>
          <w:lang w:val="en-GB"/>
        </w:rPr>
        <w:t xml:space="preserve">upport clinical audits as a mandatory part of CPD and </w:t>
      </w:r>
      <w:r w:rsidR="00425360" w:rsidRPr="00607BDA">
        <w:rPr>
          <w:lang w:val="en-GB"/>
        </w:rPr>
        <w:t>required attendance of</w:t>
      </w:r>
      <w:r w:rsidR="00FB4475" w:rsidRPr="00607BDA">
        <w:rPr>
          <w:lang w:val="en-GB"/>
        </w:rPr>
        <w:t xml:space="preserve"> 80</w:t>
      </w:r>
      <w:r w:rsidR="00097CE7" w:rsidRPr="00607BDA">
        <w:rPr>
          <w:lang w:val="en-GB"/>
        </w:rPr>
        <w:t xml:space="preserve"> per cent</w:t>
      </w:r>
      <w:r w:rsidR="00FB4475" w:rsidRPr="00607BDA">
        <w:rPr>
          <w:lang w:val="en-GB"/>
        </w:rPr>
        <w:t xml:space="preserve"> </w:t>
      </w:r>
      <w:r w:rsidR="00936769" w:rsidRPr="00607BDA">
        <w:rPr>
          <w:lang w:val="en-GB"/>
        </w:rPr>
        <w:t xml:space="preserve">of </w:t>
      </w:r>
      <w:r w:rsidR="00FB4475" w:rsidRPr="00607BDA">
        <w:rPr>
          <w:lang w:val="en-GB"/>
        </w:rPr>
        <w:t>mo</w:t>
      </w:r>
      <w:r w:rsidR="007D7C98" w:rsidRPr="00607BDA">
        <w:rPr>
          <w:lang w:val="en-GB"/>
        </w:rPr>
        <w:t>rtality and morbidity meetings</w:t>
      </w:r>
      <w:r w:rsidR="000B234F" w:rsidRPr="00607BDA">
        <w:rPr>
          <w:lang w:val="en-GB"/>
        </w:rPr>
        <w:t>.</w:t>
      </w:r>
    </w:p>
    <w:p w14:paraId="0334F72B" w14:textId="77777777" w:rsidR="00231AB8" w:rsidRPr="00C33C0B" w:rsidRDefault="00684874" w:rsidP="0046317E">
      <w:pPr>
        <w:pStyle w:val="Heading2"/>
      </w:pPr>
      <w:bookmarkStart w:id="198" w:name="_Toc24544724"/>
      <w:bookmarkEnd w:id="196"/>
      <w:r w:rsidRPr="00C33C0B">
        <w:t>Rationale</w:t>
      </w:r>
      <w:r w:rsidR="0075296D">
        <w:t xml:space="preserve"> </w:t>
      </w:r>
      <w:r w:rsidR="00DA1590">
        <w:t>1</w:t>
      </w:r>
      <w:r w:rsidR="003E5720">
        <w:t>4</w:t>
      </w:r>
      <w:bookmarkEnd w:id="198"/>
    </w:p>
    <w:p w14:paraId="21FAEE2F" w14:textId="77777777" w:rsidR="00231AB8" w:rsidRPr="00C33C0B" w:rsidRDefault="00FE796F" w:rsidP="00231AB8">
      <w:pPr>
        <w:pStyle w:val="BoldTextStyle3"/>
        <w:rPr>
          <w:i/>
          <w:lang w:val="en-GB"/>
        </w:rPr>
      </w:pPr>
      <w:r>
        <w:rPr>
          <w:rStyle w:val="Heading4Char"/>
          <w:b w:val="0"/>
          <w:color w:val="000000" w:themeColor="text1"/>
          <w:lang w:val="en-GB"/>
        </w:rPr>
        <w:t xml:space="preserve">This recommendation focuses on </w:t>
      </w:r>
      <w:r w:rsidR="00925650">
        <w:rPr>
          <w:rStyle w:val="Heading4Char"/>
          <w:b w:val="0"/>
          <w:color w:val="000000" w:themeColor="text1"/>
          <w:lang w:val="en-GB"/>
        </w:rPr>
        <w:t>establishing a consistent</w:t>
      </w:r>
      <w:r w:rsidR="00FC2F6F">
        <w:rPr>
          <w:rStyle w:val="Heading4Char"/>
          <w:b w:val="0"/>
          <w:color w:val="000000" w:themeColor="text1"/>
          <w:lang w:val="en-GB"/>
        </w:rPr>
        <w:t xml:space="preserve"> national</w:t>
      </w:r>
      <w:r w:rsidR="00925650">
        <w:rPr>
          <w:rStyle w:val="Heading4Char"/>
          <w:b w:val="0"/>
          <w:color w:val="000000" w:themeColor="text1"/>
          <w:lang w:val="en-GB"/>
        </w:rPr>
        <w:t xml:space="preserve"> minimum data set </w:t>
      </w:r>
      <w:r w:rsidR="006E7D62">
        <w:rPr>
          <w:rStyle w:val="Heading4Char"/>
          <w:b w:val="0"/>
          <w:color w:val="000000" w:themeColor="text1"/>
          <w:lang w:val="en-GB"/>
        </w:rPr>
        <w:t xml:space="preserve">for the purposes of comparison that will </w:t>
      </w:r>
      <w:r w:rsidR="00925650">
        <w:rPr>
          <w:rStyle w:val="Heading4Char"/>
          <w:b w:val="0"/>
          <w:color w:val="000000" w:themeColor="text1"/>
          <w:lang w:val="en-GB"/>
        </w:rPr>
        <w:t>inform evidence-based care</w:t>
      </w:r>
      <w:r w:rsidR="00892FAD">
        <w:rPr>
          <w:rStyle w:val="Heading4Char"/>
          <w:b w:val="0"/>
          <w:color w:val="000000" w:themeColor="text1"/>
          <w:lang w:val="en-GB"/>
        </w:rPr>
        <w:t xml:space="preserve"> and patient choice</w:t>
      </w:r>
      <w:r w:rsidR="006E7D62">
        <w:rPr>
          <w:rStyle w:val="Heading4Char"/>
          <w:b w:val="0"/>
          <w:color w:val="000000" w:themeColor="text1"/>
          <w:lang w:val="en-GB"/>
        </w:rPr>
        <w:t xml:space="preserve">. </w:t>
      </w:r>
      <w:r>
        <w:rPr>
          <w:rStyle w:val="Heading4Char"/>
          <w:b w:val="0"/>
          <w:color w:val="000000" w:themeColor="text1"/>
          <w:lang w:val="en-GB"/>
        </w:rPr>
        <w:t>It is based on the following</w:t>
      </w:r>
      <w:r w:rsidR="00CB271F">
        <w:rPr>
          <w:rStyle w:val="Heading4Char"/>
          <w:b w:val="0"/>
          <w:color w:val="000000" w:themeColor="text1"/>
          <w:lang w:val="en-GB"/>
        </w:rPr>
        <w:t>:</w:t>
      </w:r>
    </w:p>
    <w:p w14:paraId="32905872" w14:textId="77777777" w:rsidR="00A759F9" w:rsidRPr="00A759F9" w:rsidRDefault="00231AB8" w:rsidP="00231AB8">
      <w:pPr>
        <w:pStyle w:val="Bullet-green"/>
        <w:rPr>
          <w:lang w:val="en-GB"/>
        </w:rPr>
      </w:pPr>
      <w:r w:rsidRPr="00A759F9">
        <w:rPr>
          <w:lang w:val="en-GB"/>
        </w:rPr>
        <w:t>Clinical care sh</w:t>
      </w:r>
      <w:r w:rsidR="00957037" w:rsidRPr="00A759F9">
        <w:rPr>
          <w:lang w:val="en-GB"/>
        </w:rPr>
        <w:t>ould be evidence-based and data-</w:t>
      </w:r>
      <w:r w:rsidRPr="00A759F9">
        <w:rPr>
          <w:lang w:val="en-GB"/>
        </w:rPr>
        <w:t>driven</w:t>
      </w:r>
      <w:r w:rsidR="00F23A06" w:rsidRPr="00A759F9">
        <w:rPr>
          <w:lang w:val="en-GB"/>
        </w:rPr>
        <w:t xml:space="preserve">. </w:t>
      </w:r>
    </w:p>
    <w:p w14:paraId="669DCFF3" w14:textId="77777777" w:rsidR="00231AB8" w:rsidRPr="00C33C0B" w:rsidRDefault="00F23A06" w:rsidP="005D78F0">
      <w:pPr>
        <w:pStyle w:val="Bullet-green"/>
      </w:pPr>
      <w:r>
        <w:t>The</w:t>
      </w:r>
      <w:r w:rsidR="00231AB8" w:rsidRPr="00C33C0B">
        <w:t xml:space="preserve"> provision of timely, relevant and reliable information on patient care to clinicians has been shown to </w:t>
      </w:r>
      <w:r w:rsidR="00957037" w:rsidRPr="00C33C0B">
        <w:t>support</w:t>
      </w:r>
      <w:r w:rsidR="00231AB8" w:rsidRPr="00C33C0B">
        <w:t xml:space="preserve"> improvements in health care quality</w:t>
      </w:r>
      <w:r w:rsidR="00CD0604">
        <w:t>.</w:t>
      </w:r>
    </w:p>
    <w:p w14:paraId="4F3F8281" w14:textId="77777777" w:rsidR="006E7D62" w:rsidRPr="00D851D7" w:rsidRDefault="006E7D62" w:rsidP="006E7D62">
      <w:pPr>
        <w:pStyle w:val="Bullet-green"/>
        <w:rPr>
          <w:lang w:val="en-GB"/>
        </w:rPr>
      </w:pPr>
      <w:r>
        <w:rPr>
          <w:lang w:val="en-GB"/>
        </w:rPr>
        <w:t xml:space="preserve">The Committee </w:t>
      </w:r>
      <w:r w:rsidR="00B348B6">
        <w:rPr>
          <w:lang w:val="en-GB"/>
        </w:rPr>
        <w:t>recognises</w:t>
      </w:r>
      <w:r>
        <w:rPr>
          <w:lang w:val="en-GB"/>
        </w:rPr>
        <w:t xml:space="preserve"> that the integrity of </w:t>
      </w:r>
      <w:r w:rsidR="00E74930">
        <w:rPr>
          <w:lang w:val="en-GB"/>
        </w:rPr>
        <w:t>the</w:t>
      </w:r>
      <w:r>
        <w:rPr>
          <w:lang w:val="en-GB"/>
        </w:rPr>
        <w:t xml:space="preserve"> data is crucial to this recommendation’s success</w:t>
      </w:r>
      <w:r w:rsidR="00894CB3">
        <w:rPr>
          <w:lang w:val="en-GB"/>
        </w:rPr>
        <w:t>, and its acceptance by the profession, individual clinicians, and consumers</w:t>
      </w:r>
      <w:r>
        <w:rPr>
          <w:lang w:val="en-GB"/>
        </w:rPr>
        <w:t xml:space="preserve">. </w:t>
      </w:r>
      <w:r w:rsidR="000648A0">
        <w:rPr>
          <w:lang w:val="en-GB"/>
        </w:rPr>
        <w:t xml:space="preserve">All challenges identified by clinicians should be addressed prior to using </w:t>
      </w:r>
      <w:r w:rsidR="00E74930">
        <w:rPr>
          <w:lang w:val="en-GB"/>
        </w:rPr>
        <w:t>the</w:t>
      </w:r>
      <w:r w:rsidR="000648A0">
        <w:rPr>
          <w:lang w:val="en-GB"/>
        </w:rPr>
        <w:t xml:space="preserve"> data for comparison purposes to minimise </w:t>
      </w:r>
      <w:r w:rsidR="001967A2">
        <w:rPr>
          <w:lang w:val="en-GB"/>
        </w:rPr>
        <w:t xml:space="preserve">the possibility of </w:t>
      </w:r>
      <w:r w:rsidR="000648A0">
        <w:rPr>
          <w:lang w:val="en-GB"/>
        </w:rPr>
        <w:t xml:space="preserve">the data set </w:t>
      </w:r>
      <w:r w:rsidR="001967A2">
        <w:rPr>
          <w:lang w:val="en-GB"/>
        </w:rPr>
        <w:t xml:space="preserve">being </w:t>
      </w:r>
      <w:r w:rsidR="000648A0">
        <w:rPr>
          <w:lang w:val="en-GB"/>
        </w:rPr>
        <w:t>discredited</w:t>
      </w:r>
      <w:r w:rsidR="001967A2">
        <w:rPr>
          <w:lang w:val="en-GB"/>
        </w:rPr>
        <w:t xml:space="preserve"> upon implementation</w:t>
      </w:r>
      <w:r w:rsidR="000648A0">
        <w:rPr>
          <w:lang w:val="en-GB"/>
        </w:rPr>
        <w:t>.</w:t>
      </w:r>
    </w:p>
    <w:p w14:paraId="527E77E9" w14:textId="77777777" w:rsidR="00C55B59" w:rsidRPr="00D851D7" w:rsidRDefault="00C55B59" w:rsidP="00C55B59">
      <w:pPr>
        <w:pStyle w:val="Bullet-green"/>
        <w:rPr>
          <w:lang w:val="en-GB"/>
        </w:rPr>
      </w:pPr>
      <w:r w:rsidRPr="00A759F9">
        <w:rPr>
          <w:lang w:val="en-GB"/>
        </w:rPr>
        <w:t>Many health</w:t>
      </w:r>
      <w:r w:rsidR="00581AB9" w:rsidRPr="00A759F9">
        <w:rPr>
          <w:lang w:val="en-GB"/>
        </w:rPr>
        <w:t xml:space="preserve"> </w:t>
      </w:r>
      <w:r w:rsidRPr="00A759F9">
        <w:rPr>
          <w:lang w:val="en-GB"/>
        </w:rPr>
        <w:t xml:space="preserve">care providers </w:t>
      </w:r>
      <w:r w:rsidR="00F77630" w:rsidRPr="00A759F9">
        <w:rPr>
          <w:lang w:val="en-GB"/>
        </w:rPr>
        <w:t>are not aware of</w:t>
      </w:r>
      <w:r w:rsidRPr="00A759F9">
        <w:rPr>
          <w:lang w:val="en-GB"/>
        </w:rPr>
        <w:t xml:space="preserve"> how their clinical practice compares to</w:t>
      </w:r>
      <w:r w:rsidR="0040407B">
        <w:rPr>
          <w:lang w:val="en-GB"/>
        </w:rPr>
        <w:t xml:space="preserve"> that of their</w:t>
      </w:r>
      <w:r w:rsidRPr="00A759F9">
        <w:rPr>
          <w:lang w:val="en-GB"/>
        </w:rPr>
        <w:t xml:space="preserve"> peers</w:t>
      </w:r>
      <w:r w:rsidR="00BF41FF" w:rsidRPr="00A759F9">
        <w:rPr>
          <w:lang w:val="en-GB"/>
        </w:rPr>
        <w:t>. U</w:t>
      </w:r>
      <w:r w:rsidRPr="00A759F9">
        <w:rPr>
          <w:lang w:val="en-GB"/>
        </w:rPr>
        <w:t>nderstanding variation in clinical practice is critical to improving</w:t>
      </w:r>
      <w:r w:rsidRPr="00D851D7">
        <w:rPr>
          <w:lang w:val="en-GB"/>
        </w:rPr>
        <w:t xml:space="preserve"> the quality, value and appropriateness of health</w:t>
      </w:r>
      <w:r w:rsidR="008B07A4" w:rsidRPr="00D851D7">
        <w:rPr>
          <w:lang w:val="en-GB"/>
        </w:rPr>
        <w:t xml:space="preserve"> </w:t>
      </w:r>
      <w:r w:rsidRPr="00D851D7">
        <w:rPr>
          <w:lang w:val="en-GB"/>
        </w:rPr>
        <w:t>care</w:t>
      </w:r>
      <w:r w:rsidR="008B07A4" w:rsidRPr="00D851D7">
        <w:rPr>
          <w:lang w:val="en-GB"/>
        </w:rPr>
        <w:t>.</w:t>
      </w:r>
    </w:p>
    <w:p w14:paraId="58CB18CF" w14:textId="77777777" w:rsidR="00231AB8" w:rsidRPr="00D851D7" w:rsidRDefault="00231AB8" w:rsidP="00231AB8">
      <w:pPr>
        <w:pStyle w:val="Bullet-green"/>
        <w:rPr>
          <w:lang w:val="en-GB"/>
        </w:rPr>
      </w:pPr>
      <w:r w:rsidRPr="00D851D7">
        <w:rPr>
          <w:lang w:val="en-GB"/>
        </w:rPr>
        <w:t xml:space="preserve">Data </w:t>
      </w:r>
      <w:r w:rsidR="008A1AAC">
        <w:rPr>
          <w:lang w:val="en-GB"/>
        </w:rPr>
        <w:t>are</w:t>
      </w:r>
      <w:r w:rsidRPr="00D851D7">
        <w:rPr>
          <w:lang w:val="en-GB"/>
        </w:rPr>
        <w:t xml:space="preserve"> fundamental to audit</w:t>
      </w:r>
      <w:r w:rsidR="00C35F23" w:rsidRPr="00D851D7">
        <w:rPr>
          <w:lang w:val="en-GB"/>
        </w:rPr>
        <w:t>ing</w:t>
      </w:r>
      <w:r w:rsidRPr="00D851D7">
        <w:rPr>
          <w:lang w:val="en-GB"/>
        </w:rPr>
        <w:t>, benchmarking and monitoring</w:t>
      </w:r>
      <w:r w:rsidRPr="00A759F9">
        <w:rPr>
          <w:lang w:val="en-GB"/>
        </w:rPr>
        <w:t xml:space="preserve"> outcomes of care</w:t>
      </w:r>
      <w:r w:rsidR="00B43F7D" w:rsidRPr="00D851D7">
        <w:rPr>
          <w:lang w:val="en-GB"/>
        </w:rPr>
        <w:t>.</w:t>
      </w:r>
    </w:p>
    <w:p w14:paraId="02839E03" w14:textId="77777777" w:rsidR="00231AB8" w:rsidRDefault="00231AB8" w:rsidP="00231AB8">
      <w:pPr>
        <w:pStyle w:val="Bullet-green"/>
        <w:rPr>
          <w:lang w:val="en-GB"/>
        </w:rPr>
      </w:pPr>
      <w:r w:rsidRPr="00D851D7">
        <w:rPr>
          <w:lang w:val="en-GB"/>
        </w:rPr>
        <w:t>Audit</w:t>
      </w:r>
      <w:r w:rsidR="00B75632" w:rsidRPr="00D851D7">
        <w:rPr>
          <w:lang w:val="en-GB"/>
        </w:rPr>
        <w:t>ing</w:t>
      </w:r>
      <w:r w:rsidRPr="00D851D7">
        <w:rPr>
          <w:lang w:val="en-GB"/>
        </w:rPr>
        <w:t xml:space="preserve"> and benchmarking are important quality assurance and quality improvement tools </w:t>
      </w:r>
      <w:r w:rsidRPr="00A759F9">
        <w:rPr>
          <w:lang w:val="en-GB"/>
        </w:rPr>
        <w:t>that can lead to reflection, learning and change in practice</w:t>
      </w:r>
      <w:r w:rsidR="00FA01CD" w:rsidRPr="00D851D7">
        <w:rPr>
          <w:lang w:val="en-GB"/>
        </w:rPr>
        <w:t>.</w:t>
      </w:r>
      <w:r w:rsidRPr="00D851D7">
        <w:rPr>
          <w:lang w:val="en-GB"/>
        </w:rPr>
        <w:t xml:space="preserve"> </w:t>
      </w:r>
    </w:p>
    <w:p w14:paraId="0E518048" w14:textId="77777777" w:rsidR="00FB4475" w:rsidRPr="00C33C0B" w:rsidRDefault="00FB4475" w:rsidP="0046317E">
      <w:pPr>
        <w:pStyle w:val="Heading2"/>
        <w:ind w:hanging="576"/>
      </w:pPr>
      <w:bookmarkStart w:id="199" w:name="_Toc24544725"/>
      <w:bookmarkStart w:id="200" w:name="_Hlk529008716"/>
      <w:r w:rsidRPr="00C33C0B">
        <w:t xml:space="preserve">Recommendation </w:t>
      </w:r>
      <w:r w:rsidR="004A6F15">
        <w:t>1</w:t>
      </w:r>
      <w:r w:rsidR="003E5720">
        <w:t>5</w:t>
      </w:r>
      <w:r w:rsidR="007474AD">
        <w:t xml:space="preserve"> – Provide </w:t>
      </w:r>
      <w:r w:rsidR="007474AD">
        <w:rPr>
          <w:lang w:val="en-GB"/>
        </w:rPr>
        <w:t>transparency on the cost and quality of consultant specialist services</w:t>
      </w:r>
      <w:bookmarkEnd w:id="199"/>
    </w:p>
    <w:p w14:paraId="67B2FD8F" w14:textId="77777777" w:rsidR="00982319" w:rsidRPr="00C33C0B" w:rsidRDefault="00B233BE" w:rsidP="00607BDA">
      <w:pPr>
        <w:pStyle w:val="Bullet-green"/>
        <w:numPr>
          <w:ilvl w:val="0"/>
          <w:numId w:val="0"/>
        </w:numPr>
        <w:ind w:left="431" w:hanging="431"/>
        <w:rPr>
          <w:lang w:val="en-GB"/>
        </w:rPr>
      </w:pPr>
      <w:r>
        <w:rPr>
          <w:lang w:val="en-GB"/>
        </w:rPr>
        <w:t xml:space="preserve">The </w:t>
      </w:r>
      <w:r w:rsidR="00C8572C" w:rsidRPr="00C33C0B">
        <w:rPr>
          <w:lang w:val="en-GB"/>
        </w:rPr>
        <w:t>Committee recommends that</w:t>
      </w:r>
      <w:r w:rsidR="00982319" w:rsidRPr="00C33C0B">
        <w:rPr>
          <w:lang w:val="en-GB"/>
        </w:rPr>
        <w:t>:</w:t>
      </w:r>
    </w:p>
    <w:p w14:paraId="58B638A8" w14:textId="77777777" w:rsidR="00FB4475" w:rsidRPr="00607BDA" w:rsidRDefault="00B348B6" w:rsidP="000831A1">
      <w:pPr>
        <w:pStyle w:val="Bullet2"/>
        <w:numPr>
          <w:ilvl w:val="0"/>
          <w:numId w:val="50"/>
        </w:numPr>
        <w:rPr>
          <w:lang w:val="en-GB"/>
        </w:rPr>
      </w:pPr>
      <w:r w:rsidRPr="00607BDA">
        <w:rPr>
          <w:lang w:val="en-GB"/>
        </w:rPr>
        <w:t>MBS c</w:t>
      </w:r>
      <w:r w:rsidR="001967A2" w:rsidRPr="00607BDA">
        <w:rPr>
          <w:lang w:val="en-GB"/>
        </w:rPr>
        <w:t>ost</w:t>
      </w:r>
      <w:r w:rsidR="00FB4475" w:rsidRPr="00607BDA">
        <w:rPr>
          <w:lang w:val="en-GB"/>
        </w:rPr>
        <w:t xml:space="preserve"> data</w:t>
      </w:r>
      <w:r w:rsidR="007474AD">
        <w:rPr>
          <w:lang w:val="en-GB"/>
        </w:rPr>
        <w:t>,</w:t>
      </w:r>
      <w:r w:rsidR="00790BF8" w:rsidRPr="00607BDA">
        <w:rPr>
          <w:lang w:val="en-GB"/>
        </w:rPr>
        <w:t xml:space="preserve"> including data on out-of-pocket fees</w:t>
      </w:r>
      <w:r w:rsidR="007474AD">
        <w:rPr>
          <w:lang w:val="en-GB"/>
        </w:rPr>
        <w:t>,</w:t>
      </w:r>
      <w:r w:rsidR="00790BF8" w:rsidRPr="00607BDA">
        <w:rPr>
          <w:lang w:val="en-GB"/>
        </w:rPr>
        <w:t xml:space="preserve"> </w:t>
      </w:r>
      <w:r w:rsidR="00F71E4B" w:rsidRPr="00607BDA">
        <w:rPr>
          <w:lang w:val="en-GB"/>
        </w:rPr>
        <w:t xml:space="preserve">is </w:t>
      </w:r>
      <w:r w:rsidRPr="00607BDA">
        <w:rPr>
          <w:lang w:val="en-GB"/>
        </w:rPr>
        <w:t xml:space="preserve">shared </w:t>
      </w:r>
      <w:r w:rsidR="006C5141" w:rsidRPr="00607BDA">
        <w:rPr>
          <w:lang w:val="en-GB"/>
        </w:rPr>
        <w:t xml:space="preserve">at an institutional </w:t>
      </w:r>
      <w:r w:rsidR="001967A2" w:rsidRPr="00607BDA">
        <w:rPr>
          <w:lang w:val="en-GB"/>
        </w:rPr>
        <w:t>level</w:t>
      </w:r>
      <w:r w:rsidR="00FC2F6F">
        <w:rPr>
          <w:lang w:val="en-GB"/>
        </w:rPr>
        <w:t>;</w:t>
      </w:r>
      <w:r w:rsidR="001967A2" w:rsidRPr="00607BDA">
        <w:rPr>
          <w:lang w:val="en-GB"/>
        </w:rPr>
        <w:t xml:space="preserve"> </w:t>
      </w:r>
    </w:p>
    <w:p w14:paraId="61A85979" w14:textId="77777777" w:rsidR="00EF3390" w:rsidRPr="00607BDA" w:rsidRDefault="00CA1122" w:rsidP="000831A1">
      <w:pPr>
        <w:pStyle w:val="Bullet2"/>
        <w:numPr>
          <w:ilvl w:val="0"/>
          <w:numId w:val="50"/>
        </w:numPr>
        <w:rPr>
          <w:lang w:val="en-GB"/>
        </w:rPr>
      </w:pPr>
      <w:r>
        <w:rPr>
          <w:lang w:val="en-GB"/>
        </w:rPr>
        <w:t>c</w:t>
      </w:r>
      <w:r w:rsidR="00AA329D" w:rsidRPr="00607BDA">
        <w:rPr>
          <w:lang w:val="en-GB"/>
        </w:rPr>
        <w:t>onsultant specialist</w:t>
      </w:r>
      <w:r w:rsidR="00CE6373" w:rsidRPr="00607BDA">
        <w:rPr>
          <w:lang w:val="en-GB"/>
        </w:rPr>
        <w:t xml:space="preserve"> </w:t>
      </w:r>
      <w:r w:rsidR="00FB4475" w:rsidRPr="00607BDA">
        <w:rPr>
          <w:lang w:val="en-GB"/>
        </w:rPr>
        <w:t xml:space="preserve">risk-weighted outcome </w:t>
      </w:r>
      <w:r w:rsidR="00B348B6" w:rsidRPr="00607BDA">
        <w:rPr>
          <w:lang w:val="en-GB"/>
        </w:rPr>
        <w:t xml:space="preserve">data </w:t>
      </w:r>
      <w:r w:rsidR="00DA1590" w:rsidRPr="00607BDA">
        <w:rPr>
          <w:lang w:val="en-GB"/>
        </w:rPr>
        <w:t>discussed in Recommendation</w:t>
      </w:r>
      <w:r w:rsidR="003E5720">
        <w:rPr>
          <w:lang w:val="en-GB"/>
        </w:rPr>
        <w:t> </w:t>
      </w:r>
      <w:r w:rsidR="00DA1590" w:rsidRPr="00607BDA">
        <w:rPr>
          <w:lang w:val="en-GB"/>
        </w:rPr>
        <w:t>1</w:t>
      </w:r>
      <w:r w:rsidR="003E5720">
        <w:rPr>
          <w:lang w:val="en-GB"/>
        </w:rPr>
        <w:t>4</w:t>
      </w:r>
      <w:r w:rsidR="00DA1590" w:rsidRPr="00607BDA">
        <w:rPr>
          <w:lang w:val="en-GB"/>
        </w:rPr>
        <w:t xml:space="preserve"> </w:t>
      </w:r>
      <w:r w:rsidR="008F1CD5" w:rsidRPr="00607BDA">
        <w:rPr>
          <w:lang w:val="en-GB"/>
        </w:rPr>
        <w:t xml:space="preserve">is </w:t>
      </w:r>
      <w:r w:rsidR="00FB4475" w:rsidRPr="00607BDA">
        <w:rPr>
          <w:lang w:val="en-GB"/>
        </w:rPr>
        <w:t xml:space="preserve">shared </w:t>
      </w:r>
      <w:r w:rsidR="00F71E4B" w:rsidRPr="00607BDA">
        <w:rPr>
          <w:lang w:val="en-GB"/>
        </w:rPr>
        <w:t>at an institutional</w:t>
      </w:r>
      <w:r w:rsidR="003E5720">
        <w:rPr>
          <w:lang w:val="en-GB"/>
        </w:rPr>
        <w:t>, disease</w:t>
      </w:r>
      <w:r w:rsidR="003E5720">
        <w:rPr>
          <w:lang w:val="en-GB"/>
        </w:rPr>
        <w:noBreakHyphen/>
        <w:t>specific unit</w:t>
      </w:r>
      <w:r w:rsidR="00F71E4B" w:rsidRPr="00607BDA">
        <w:rPr>
          <w:lang w:val="en-GB"/>
        </w:rPr>
        <w:t xml:space="preserve"> </w:t>
      </w:r>
      <w:r w:rsidR="00D71486" w:rsidRPr="00607BDA">
        <w:rPr>
          <w:lang w:val="en-GB"/>
        </w:rPr>
        <w:t>level</w:t>
      </w:r>
      <w:r w:rsidR="00FC2F6F">
        <w:rPr>
          <w:lang w:val="en-GB"/>
        </w:rPr>
        <w:t>;</w:t>
      </w:r>
    </w:p>
    <w:p w14:paraId="127D6C00" w14:textId="77777777" w:rsidR="008C35A5" w:rsidRPr="00607BDA" w:rsidRDefault="00CA1122" w:rsidP="000831A1">
      <w:pPr>
        <w:pStyle w:val="Bullet2"/>
        <w:numPr>
          <w:ilvl w:val="0"/>
          <w:numId w:val="50"/>
        </w:numPr>
        <w:rPr>
          <w:lang w:val="en-GB"/>
        </w:rPr>
      </w:pPr>
      <w:r>
        <w:rPr>
          <w:lang w:val="en-GB"/>
        </w:rPr>
        <w:t>c</w:t>
      </w:r>
      <w:r w:rsidR="00EF3390" w:rsidRPr="00607BDA">
        <w:rPr>
          <w:lang w:val="en-GB"/>
        </w:rPr>
        <w:t xml:space="preserve">ost and outcome data </w:t>
      </w:r>
      <w:r w:rsidR="00F67299" w:rsidRPr="00607BDA">
        <w:rPr>
          <w:lang w:val="en-GB"/>
        </w:rPr>
        <w:t>are</w:t>
      </w:r>
      <w:r w:rsidR="00EF3390" w:rsidRPr="00607BDA">
        <w:rPr>
          <w:lang w:val="en-GB"/>
        </w:rPr>
        <w:t xml:space="preserve"> </w:t>
      </w:r>
      <w:r w:rsidR="003E5720">
        <w:rPr>
          <w:lang w:val="en-GB"/>
        </w:rPr>
        <w:t xml:space="preserve">publicly available to enable discussion with the </w:t>
      </w:r>
      <w:r w:rsidR="00304E74" w:rsidRPr="00607BDA">
        <w:rPr>
          <w:lang w:val="en-GB"/>
        </w:rPr>
        <w:t>GP at the time of referral</w:t>
      </w:r>
      <w:r w:rsidR="00FC2F6F">
        <w:rPr>
          <w:lang w:val="en-GB"/>
        </w:rPr>
        <w:t>;</w:t>
      </w:r>
      <w:r>
        <w:rPr>
          <w:lang w:val="en-GB"/>
        </w:rPr>
        <w:t xml:space="preserve"> and</w:t>
      </w:r>
    </w:p>
    <w:p w14:paraId="70A4E4D5" w14:textId="77777777" w:rsidR="00FB4475" w:rsidRPr="00607BDA" w:rsidRDefault="00CA1122" w:rsidP="000831A1">
      <w:pPr>
        <w:pStyle w:val="Bullet2"/>
        <w:numPr>
          <w:ilvl w:val="0"/>
          <w:numId w:val="50"/>
        </w:numPr>
        <w:rPr>
          <w:lang w:val="en-GB"/>
        </w:rPr>
      </w:pPr>
      <w:r>
        <w:rPr>
          <w:lang w:val="en-GB"/>
        </w:rPr>
        <w:t>t</w:t>
      </w:r>
      <w:r w:rsidR="00B83F38" w:rsidRPr="00607BDA">
        <w:rPr>
          <w:lang w:val="en-GB"/>
        </w:rPr>
        <w:t>he presentation of c</w:t>
      </w:r>
      <w:r w:rsidR="00330931" w:rsidRPr="00607BDA">
        <w:rPr>
          <w:lang w:val="en-GB"/>
        </w:rPr>
        <w:t xml:space="preserve">ost and outcome data should be co-designed </w:t>
      </w:r>
      <w:r w:rsidR="00B83F38" w:rsidRPr="00607BDA">
        <w:rPr>
          <w:lang w:val="en-GB"/>
        </w:rPr>
        <w:t xml:space="preserve">with consumers </w:t>
      </w:r>
      <w:r w:rsidR="009806D3" w:rsidRPr="00607BDA">
        <w:rPr>
          <w:lang w:val="en-GB"/>
        </w:rPr>
        <w:t>and include</w:t>
      </w:r>
      <w:r w:rsidR="00FB4475" w:rsidRPr="00607BDA">
        <w:rPr>
          <w:lang w:val="en-GB"/>
        </w:rPr>
        <w:t xml:space="preserve"> </w:t>
      </w:r>
      <w:r w:rsidR="002E01EF" w:rsidRPr="00607BDA">
        <w:rPr>
          <w:lang w:val="en-GB"/>
        </w:rPr>
        <w:t xml:space="preserve">a </w:t>
      </w:r>
      <w:r w:rsidR="00FB4475" w:rsidRPr="00607BDA">
        <w:rPr>
          <w:lang w:val="en-GB"/>
        </w:rPr>
        <w:t xml:space="preserve">clear explanation of </w:t>
      </w:r>
      <w:r w:rsidR="002E01EF" w:rsidRPr="00607BDA">
        <w:rPr>
          <w:lang w:val="en-GB"/>
        </w:rPr>
        <w:t xml:space="preserve">the </w:t>
      </w:r>
      <w:r w:rsidR="00FB4475" w:rsidRPr="00607BDA">
        <w:rPr>
          <w:lang w:val="en-GB"/>
        </w:rPr>
        <w:t>data and its limitations</w:t>
      </w:r>
      <w:r w:rsidR="008B6778" w:rsidRPr="00607BDA">
        <w:rPr>
          <w:lang w:val="en-GB"/>
        </w:rPr>
        <w:t>.</w:t>
      </w:r>
    </w:p>
    <w:p w14:paraId="00EBBF5C" w14:textId="77777777" w:rsidR="00C8572C" w:rsidRPr="00C33C0B" w:rsidRDefault="00C8572C" w:rsidP="0046317E">
      <w:pPr>
        <w:pStyle w:val="Heading2"/>
      </w:pPr>
      <w:bookmarkStart w:id="201" w:name="_Toc24544726"/>
      <w:bookmarkEnd w:id="200"/>
      <w:r w:rsidRPr="00C33C0B">
        <w:t>Rationale</w:t>
      </w:r>
      <w:r w:rsidR="00F92B14">
        <w:t xml:space="preserve"> </w:t>
      </w:r>
      <w:r w:rsidR="004A6F15">
        <w:t>1</w:t>
      </w:r>
      <w:r w:rsidR="003E5720">
        <w:t>5</w:t>
      </w:r>
      <w:bookmarkEnd w:id="201"/>
    </w:p>
    <w:p w14:paraId="6F18E930" w14:textId="77777777" w:rsidR="003F3900" w:rsidRPr="00C33C0B" w:rsidRDefault="00A27CE8" w:rsidP="003F3900">
      <w:pPr>
        <w:pStyle w:val="BoldTextStyle3"/>
        <w:rPr>
          <w:i/>
          <w:lang w:val="en-GB"/>
        </w:rPr>
      </w:pPr>
      <w:r>
        <w:rPr>
          <w:rStyle w:val="Heading4Char"/>
          <w:b w:val="0"/>
          <w:color w:val="000000" w:themeColor="text1"/>
          <w:lang w:val="en-GB"/>
        </w:rPr>
        <w:t xml:space="preserve">This recommendation focuses on </w:t>
      </w:r>
      <w:r w:rsidR="00231559">
        <w:rPr>
          <w:rStyle w:val="Heading4Char"/>
          <w:b w:val="0"/>
          <w:color w:val="000000" w:themeColor="text1"/>
          <w:lang w:val="en-GB"/>
        </w:rPr>
        <w:t xml:space="preserve">providing patients with transparency on cost and outcomes when choosing </w:t>
      </w:r>
      <w:r w:rsidR="00790BF8">
        <w:rPr>
          <w:rStyle w:val="Heading4Char"/>
          <w:b w:val="0"/>
          <w:color w:val="000000" w:themeColor="text1"/>
          <w:lang w:val="en-GB"/>
        </w:rPr>
        <w:t>an institution</w:t>
      </w:r>
      <w:r w:rsidR="009806D3">
        <w:rPr>
          <w:rStyle w:val="Heading4Char"/>
          <w:b w:val="0"/>
          <w:color w:val="000000" w:themeColor="text1"/>
          <w:lang w:val="en-GB"/>
        </w:rPr>
        <w:t xml:space="preserve"> and </w:t>
      </w:r>
      <w:r w:rsidR="007474AD">
        <w:rPr>
          <w:rStyle w:val="Heading4Char"/>
          <w:b w:val="0"/>
          <w:color w:val="000000" w:themeColor="text1"/>
          <w:lang w:val="en-GB"/>
        </w:rPr>
        <w:t xml:space="preserve">seeks </w:t>
      </w:r>
      <w:r w:rsidR="002A07E5">
        <w:rPr>
          <w:rStyle w:val="Heading4Char"/>
          <w:b w:val="0"/>
          <w:color w:val="000000" w:themeColor="text1"/>
          <w:lang w:val="en-GB"/>
        </w:rPr>
        <w:t>to support value-based health care</w:t>
      </w:r>
      <w:r>
        <w:rPr>
          <w:rStyle w:val="Heading4Char"/>
          <w:b w:val="0"/>
          <w:color w:val="000000" w:themeColor="text1"/>
          <w:lang w:val="en-GB"/>
        </w:rPr>
        <w:t>. It is based on the following</w:t>
      </w:r>
      <w:r w:rsidR="00CB271F">
        <w:rPr>
          <w:rStyle w:val="Heading4Char"/>
          <w:b w:val="0"/>
          <w:color w:val="000000" w:themeColor="text1"/>
          <w:lang w:val="en-GB"/>
        </w:rPr>
        <w:t>:</w:t>
      </w:r>
    </w:p>
    <w:p w14:paraId="29B6BC31" w14:textId="77777777" w:rsidR="00071373" w:rsidRPr="00A339AD" w:rsidRDefault="00071373" w:rsidP="00071373">
      <w:pPr>
        <w:pStyle w:val="Bullet-green"/>
        <w:rPr>
          <w:lang w:val="en-GB"/>
        </w:rPr>
      </w:pPr>
      <w:r w:rsidRPr="00A339AD">
        <w:rPr>
          <w:lang w:val="en-GB"/>
        </w:rPr>
        <w:t>Increasing the availability and transparency of data on service-level practice will inform choice and improve patient involvement in all aspects of care. It may also improve average standards of quality of care through competition between providers</w:t>
      </w:r>
      <w:sdt>
        <w:sdtPr>
          <w:rPr>
            <w:lang w:val="en-GB"/>
          </w:rPr>
          <w:id w:val="1877119911"/>
          <w:citation/>
        </w:sdtPr>
        <w:sdtEndPr/>
        <w:sdtContent>
          <w:r w:rsidR="009C7990">
            <w:rPr>
              <w:lang w:val="en-GB"/>
            </w:rPr>
            <w:fldChar w:fldCharType="begin"/>
          </w:r>
          <w:r w:rsidR="009C7990">
            <w:instrText xml:space="preserve"> CITATION Cam16 \l 3081 </w:instrText>
          </w:r>
          <w:r w:rsidR="009C7990">
            <w:rPr>
              <w:lang w:val="en-GB"/>
            </w:rPr>
            <w:fldChar w:fldCharType="separate"/>
          </w:r>
          <w:r w:rsidR="009C7990">
            <w:rPr>
              <w:noProof/>
            </w:rPr>
            <w:t xml:space="preserve"> (13)</w:t>
          </w:r>
          <w:r w:rsidR="009C7990">
            <w:rPr>
              <w:lang w:val="en-GB"/>
            </w:rPr>
            <w:fldChar w:fldCharType="end"/>
          </w:r>
        </w:sdtContent>
      </w:sdt>
      <w:r w:rsidR="00497F80">
        <w:rPr>
          <w:lang w:val="en-GB"/>
        </w:rPr>
        <w:t>.</w:t>
      </w:r>
    </w:p>
    <w:p w14:paraId="625E7C70" w14:textId="77777777" w:rsidR="00C8572C" w:rsidRPr="00A339AD" w:rsidRDefault="00C8572C" w:rsidP="00C8572C">
      <w:pPr>
        <w:pStyle w:val="Bullet-green"/>
        <w:rPr>
          <w:lang w:val="en-GB"/>
        </w:rPr>
      </w:pPr>
      <w:r w:rsidRPr="00F63951">
        <w:rPr>
          <w:lang w:val="en-GB"/>
        </w:rPr>
        <w:t xml:space="preserve">Patients must </w:t>
      </w:r>
      <w:r w:rsidR="00640F5D">
        <w:rPr>
          <w:lang w:val="en-GB"/>
        </w:rPr>
        <w:t xml:space="preserve">have </w:t>
      </w:r>
      <w:r w:rsidRPr="00F63951">
        <w:rPr>
          <w:lang w:val="en-GB"/>
        </w:rPr>
        <w:t>adequate</w:t>
      </w:r>
      <w:r w:rsidR="00071373">
        <w:rPr>
          <w:lang w:val="en-GB"/>
        </w:rPr>
        <w:t xml:space="preserve"> </w:t>
      </w:r>
      <w:r w:rsidRPr="00F63951">
        <w:rPr>
          <w:lang w:val="en-GB"/>
        </w:rPr>
        <w:t xml:space="preserve">information </w:t>
      </w:r>
      <w:r w:rsidR="00640F5D">
        <w:rPr>
          <w:lang w:val="en-GB"/>
        </w:rPr>
        <w:t>conveyed in</w:t>
      </w:r>
      <w:r w:rsidR="003F179F">
        <w:rPr>
          <w:lang w:val="en-GB"/>
        </w:rPr>
        <w:t xml:space="preserve"> accessible</w:t>
      </w:r>
      <w:r w:rsidRPr="00F63951">
        <w:rPr>
          <w:lang w:val="en-GB"/>
        </w:rPr>
        <w:t xml:space="preserve"> language</w:t>
      </w:r>
      <w:r w:rsidR="00640F5D">
        <w:rPr>
          <w:lang w:val="en-GB"/>
        </w:rPr>
        <w:t xml:space="preserve"> </w:t>
      </w:r>
      <w:r w:rsidRPr="00F63951">
        <w:rPr>
          <w:lang w:val="en-GB"/>
        </w:rPr>
        <w:t xml:space="preserve">to </w:t>
      </w:r>
      <w:r w:rsidR="00640F5D">
        <w:rPr>
          <w:lang w:val="en-GB"/>
        </w:rPr>
        <w:t xml:space="preserve">make an informed decision on </w:t>
      </w:r>
      <w:r w:rsidRPr="00F63951">
        <w:rPr>
          <w:lang w:val="en-GB"/>
        </w:rPr>
        <w:t xml:space="preserve">a preferred </w:t>
      </w:r>
      <w:r w:rsidR="00AA329D">
        <w:rPr>
          <w:lang w:val="en-GB"/>
        </w:rPr>
        <w:t>consultant specialist</w:t>
      </w:r>
      <w:r w:rsidR="003137A7" w:rsidRPr="00A339AD">
        <w:rPr>
          <w:lang w:val="en-GB"/>
        </w:rPr>
        <w:t>.</w:t>
      </w:r>
    </w:p>
    <w:p w14:paraId="5DD8D051" w14:textId="77777777" w:rsidR="009806D3" w:rsidRPr="00231559" w:rsidRDefault="009806D3" w:rsidP="009806D3">
      <w:pPr>
        <w:pStyle w:val="Bullet-green"/>
        <w:rPr>
          <w:lang w:val="en-GB"/>
        </w:rPr>
      </w:pPr>
      <w:r>
        <w:t>I</w:t>
      </w:r>
      <w:r w:rsidRPr="00B233BE">
        <w:t xml:space="preserve">nformed patient decision-making </w:t>
      </w:r>
      <w:r>
        <w:t xml:space="preserve">will </w:t>
      </w:r>
      <w:r w:rsidRPr="00B233BE">
        <w:t>increase competition so that price can reflect quality of care.</w:t>
      </w:r>
    </w:p>
    <w:p w14:paraId="61BCA863" w14:textId="77777777" w:rsidR="0027616B" w:rsidRDefault="00C8572C" w:rsidP="00607BDA">
      <w:pPr>
        <w:pStyle w:val="Bullet-green"/>
      </w:pPr>
      <w:r w:rsidRPr="00607BDA">
        <w:t xml:space="preserve">Patients should have transparency </w:t>
      </w:r>
      <w:r w:rsidR="00D40625" w:rsidRPr="00607BDA">
        <w:t>on</w:t>
      </w:r>
      <w:r w:rsidRPr="00607BDA">
        <w:t xml:space="preserve"> the full financial costs they will bear</w:t>
      </w:r>
      <w:r w:rsidR="00A1248F" w:rsidRPr="00607BDA">
        <w:t xml:space="preserve">. </w:t>
      </w:r>
      <w:r w:rsidR="00C55B59" w:rsidRPr="00F63951">
        <w:t xml:space="preserve">A </w:t>
      </w:r>
      <w:r w:rsidR="00C33AB5">
        <w:t xml:space="preserve">2017 </w:t>
      </w:r>
      <w:r w:rsidR="00C55B59" w:rsidRPr="00F63951">
        <w:t xml:space="preserve">study by Freed </w:t>
      </w:r>
      <w:r w:rsidR="00E30D4D" w:rsidRPr="00F63951">
        <w:t>and</w:t>
      </w:r>
      <w:r w:rsidR="00C55B59" w:rsidRPr="00F63951">
        <w:t xml:space="preserve"> Allen </w:t>
      </w:r>
      <w:sdt>
        <w:sdtPr>
          <w:id w:val="931169487"/>
          <w:citation/>
        </w:sdtPr>
        <w:sdtEndPr/>
        <w:sdtContent>
          <w:r w:rsidR="009C7990">
            <w:fldChar w:fldCharType="begin"/>
          </w:r>
          <w:r w:rsidR="009C7990">
            <w:instrText xml:space="preserve"> CITATION Fre17 \l 3081 </w:instrText>
          </w:r>
          <w:r w:rsidR="009C7990">
            <w:fldChar w:fldCharType="separate"/>
          </w:r>
          <w:r w:rsidR="009C7990">
            <w:rPr>
              <w:noProof/>
            </w:rPr>
            <w:t>(14)</w:t>
          </w:r>
          <w:r w:rsidR="009C7990">
            <w:fldChar w:fldCharType="end"/>
          </w:r>
        </w:sdtContent>
      </w:sdt>
      <w:r w:rsidR="006E1F47" w:rsidRPr="00F63951">
        <w:t xml:space="preserve"> on out-of-</w:t>
      </w:r>
      <w:r w:rsidR="00C55B59" w:rsidRPr="00F63951">
        <w:t xml:space="preserve">pocket </w:t>
      </w:r>
      <w:r w:rsidR="00505CCB">
        <w:t>costs</w:t>
      </w:r>
      <w:r w:rsidR="00505CCB" w:rsidRPr="00F63951">
        <w:t xml:space="preserve"> </w:t>
      </w:r>
      <w:r w:rsidR="00C55B59" w:rsidRPr="00F63951">
        <w:t xml:space="preserve">for an initial outpatient consultation </w:t>
      </w:r>
      <w:r w:rsidR="006E1F47" w:rsidRPr="00F63951">
        <w:t xml:space="preserve">showed </w:t>
      </w:r>
      <w:r w:rsidR="00970789" w:rsidRPr="00F63951">
        <w:t>wide</w:t>
      </w:r>
      <w:r w:rsidR="006E1F47" w:rsidRPr="00607BDA">
        <w:t xml:space="preserve"> </w:t>
      </w:r>
      <w:r w:rsidR="00A1248F" w:rsidRPr="00607BDA">
        <w:t>variation</w:t>
      </w:r>
      <w:r w:rsidR="00FB5B19" w:rsidRPr="00607BDA">
        <w:t>.</w:t>
      </w:r>
      <w:r w:rsidR="007474AD">
        <w:t xml:space="preserve"> For example, t</w:t>
      </w:r>
      <w:r w:rsidR="007474AD" w:rsidRPr="007474AD">
        <w:t>here is variation in the mean, median and 10th/90th percentile levels of fees for an initial outpatient consultation between specialties. Mean fees for an initial consultation were less than $200 (including Medicare benefits and patient contribution) in only three of the 11 specialties.</w:t>
      </w:r>
      <w:r w:rsidR="004253DB">
        <w:t xml:space="preserve"> </w:t>
      </w:r>
    </w:p>
    <w:p w14:paraId="1D94CC90" w14:textId="77777777" w:rsidR="00C55B59" w:rsidRPr="00C33C0B" w:rsidRDefault="004253DB" w:rsidP="00607BDA">
      <w:pPr>
        <w:pStyle w:val="Bullet-green"/>
      </w:pPr>
      <w:r>
        <w:t>T</w:t>
      </w:r>
      <w:r w:rsidR="006E1F47" w:rsidRPr="00F63951">
        <w:t xml:space="preserve">here </w:t>
      </w:r>
      <w:r w:rsidR="00AA4DAF">
        <w:t>are</w:t>
      </w:r>
      <w:r w:rsidR="006E1F47" w:rsidRPr="00F63951">
        <w:t xml:space="preserve"> no data on quality of</w:t>
      </w:r>
      <w:r w:rsidR="006E1F47" w:rsidRPr="00C33C0B">
        <w:t xml:space="preserve"> care in the outpatient setting</w:t>
      </w:r>
      <w:r w:rsidR="009A4172">
        <w:t>,</w:t>
      </w:r>
      <w:r w:rsidR="006E1F47" w:rsidRPr="00C33C0B">
        <w:t xml:space="preserve"> and patients </w:t>
      </w:r>
      <w:r w:rsidR="00AD34B6">
        <w:t xml:space="preserve">do not have access to information on </w:t>
      </w:r>
      <w:r w:rsidR="006E1F47" w:rsidRPr="00C33C0B">
        <w:t>the range of appropriate fees</w:t>
      </w:r>
      <w:r w:rsidR="00E0568F">
        <w:t xml:space="preserve"> and</w:t>
      </w:r>
      <w:r w:rsidR="006E1F47" w:rsidRPr="00C33C0B">
        <w:t xml:space="preserve"> the value of the service they receive</w:t>
      </w:r>
      <w:r w:rsidR="001F7E8A">
        <w:t>.</w:t>
      </w:r>
    </w:p>
    <w:p w14:paraId="707867AF" w14:textId="77777777" w:rsidR="00A1248F" w:rsidRDefault="00F9208F" w:rsidP="00607BDA">
      <w:pPr>
        <w:pStyle w:val="Bullet-green"/>
      </w:pPr>
      <w:r w:rsidRPr="007474AD">
        <w:rPr>
          <w:lang w:val="en-GB"/>
        </w:rPr>
        <w:t xml:space="preserve">There are </w:t>
      </w:r>
      <w:r w:rsidR="00A80E30" w:rsidRPr="007474AD">
        <w:rPr>
          <w:lang w:val="en-GB"/>
        </w:rPr>
        <w:t xml:space="preserve">global </w:t>
      </w:r>
      <w:r w:rsidRPr="007474AD">
        <w:rPr>
          <w:lang w:val="en-GB"/>
        </w:rPr>
        <w:t xml:space="preserve">trends towards public reporting </w:t>
      </w:r>
      <w:r w:rsidR="00607274" w:rsidRPr="007474AD">
        <w:rPr>
          <w:lang w:val="en-GB"/>
        </w:rPr>
        <w:t xml:space="preserve">on </w:t>
      </w:r>
      <w:r w:rsidRPr="007474AD">
        <w:rPr>
          <w:lang w:val="en-GB"/>
        </w:rPr>
        <w:t>quality and performance</w:t>
      </w:r>
      <w:r w:rsidR="00F427DF" w:rsidRPr="007474AD">
        <w:rPr>
          <w:lang w:val="en-GB"/>
        </w:rPr>
        <w:t>,</w:t>
      </w:r>
      <w:r w:rsidRPr="007474AD">
        <w:rPr>
          <w:lang w:val="en-GB"/>
        </w:rPr>
        <w:t xml:space="preserve"> with the objective of improving patient information and choice. </w:t>
      </w:r>
      <w:r w:rsidRPr="00C33C0B">
        <w:t xml:space="preserve">In the </w:t>
      </w:r>
      <w:r w:rsidR="00F427DF">
        <w:t>U</w:t>
      </w:r>
      <w:r w:rsidR="00133B1C">
        <w:t xml:space="preserve">nited </w:t>
      </w:r>
      <w:r w:rsidR="00F427DF">
        <w:t>K</w:t>
      </w:r>
      <w:r w:rsidR="00133B1C">
        <w:t>ingdom</w:t>
      </w:r>
      <w:r w:rsidR="00F427DF">
        <w:t xml:space="preserve">’s </w:t>
      </w:r>
      <w:r w:rsidR="007474AD">
        <w:t xml:space="preserve">(UK) </w:t>
      </w:r>
      <w:r w:rsidRPr="00C33C0B">
        <w:t xml:space="preserve">National Health Service (NHS), the NHS Choices website </w:t>
      </w:r>
      <w:r w:rsidR="00AD34B6">
        <w:t xml:space="preserve">has been established for patients </w:t>
      </w:r>
      <w:r w:rsidRPr="00C33C0B">
        <w:t>to score providers and add commentary about their experience. In addition surgeon</w:t>
      </w:r>
      <w:r w:rsidR="002B574A">
        <w:t>-</w:t>
      </w:r>
      <w:r w:rsidRPr="00C33C0B">
        <w:t>level</w:t>
      </w:r>
      <w:r w:rsidR="002B574A">
        <w:t>,</w:t>
      </w:r>
      <w:r w:rsidRPr="00C33C0B">
        <w:t xml:space="preserve"> risk-adjusted </w:t>
      </w:r>
      <w:r w:rsidR="00FD70AD">
        <w:t xml:space="preserve">information on </w:t>
      </w:r>
      <w:r w:rsidRPr="00C33C0B">
        <w:t>mortality rates, waiting times and volume</w:t>
      </w:r>
      <w:r w:rsidR="00DD0BF9">
        <w:t>s</w:t>
      </w:r>
      <w:r w:rsidRPr="00C33C0B">
        <w:t xml:space="preserve"> of procedures is publicly available. GPs in the </w:t>
      </w:r>
      <w:r w:rsidR="007474AD">
        <w:t>UK</w:t>
      </w:r>
      <w:r w:rsidRPr="00C33C0B">
        <w:t xml:space="preserve"> are legally required to offer patients a choice of </w:t>
      </w:r>
      <w:r w:rsidR="00AA329D">
        <w:t>consultant specialist</w:t>
      </w:r>
      <w:r w:rsidR="00CF27FC" w:rsidRPr="00C33C0B">
        <w:t>s</w:t>
      </w:r>
      <w:r w:rsidR="00CE6373" w:rsidRPr="00C33C0B">
        <w:t xml:space="preserve"> </w:t>
      </w:r>
      <w:r w:rsidR="00E56C6C">
        <w:t>for referral</w:t>
      </w:r>
      <w:r w:rsidRPr="00C33C0B">
        <w:t>, along</w:t>
      </w:r>
      <w:r w:rsidR="00D401DC">
        <w:t xml:space="preserve"> with</w:t>
      </w:r>
      <w:r w:rsidRPr="00C33C0B">
        <w:t xml:space="preserve"> the above information, under the </w:t>
      </w:r>
      <w:r w:rsidR="00540176">
        <w:t>“</w:t>
      </w:r>
      <w:r w:rsidRPr="00C33C0B">
        <w:t>Any qualified provider</w:t>
      </w:r>
      <w:r w:rsidR="00540176">
        <w:t>”</w:t>
      </w:r>
      <w:r w:rsidRPr="00C33C0B">
        <w:t xml:space="preserve"> policy</w:t>
      </w:r>
      <w:sdt>
        <w:sdtPr>
          <w:id w:val="-2068721467"/>
          <w:citation/>
        </w:sdtPr>
        <w:sdtEndPr/>
        <w:sdtContent>
          <w:r w:rsidR="009C7990">
            <w:fldChar w:fldCharType="begin"/>
          </w:r>
          <w:r w:rsidR="009C7990">
            <w:instrText xml:space="preserve"> CITATION Pro18 \l 3081 </w:instrText>
          </w:r>
          <w:r w:rsidR="009C7990">
            <w:fldChar w:fldCharType="separate"/>
          </w:r>
          <w:r w:rsidR="009C7990">
            <w:rPr>
              <w:noProof/>
            </w:rPr>
            <w:t xml:space="preserve"> (15)</w:t>
          </w:r>
          <w:r w:rsidR="009C7990">
            <w:fldChar w:fldCharType="end"/>
          </w:r>
        </w:sdtContent>
      </w:sdt>
      <w:r w:rsidR="00497F80">
        <w:t>.</w:t>
      </w:r>
    </w:p>
    <w:p w14:paraId="562E8754" w14:textId="77777777" w:rsidR="00B6474A" w:rsidRDefault="00B6474A" w:rsidP="00B6474A">
      <w:pPr>
        <w:pStyle w:val="Bullet-green"/>
        <w:numPr>
          <w:ilvl w:val="0"/>
          <w:numId w:val="0"/>
        </w:numPr>
        <w:ind w:left="431" w:hanging="431"/>
      </w:pPr>
    </w:p>
    <w:p w14:paraId="520A8AF0" w14:textId="77777777" w:rsidR="00B6474A" w:rsidRPr="00C33C0B" w:rsidRDefault="00B6474A" w:rsidP="00B6474A">
      <w:pPr>
        <w:pStyle w:val="Bullet-green"/>
        <w:numPr>
          <w:ilvl w:val="0"/>
          <w:numId w:val="0"/>
        </w:numPr>
        <w:ind w:left="431" w:hanging="431"/>
      </w:pPr>
    </w:p>
    <w:p w14:paraId="798108D4" w14:textId="77777777" w:rsidR="00FB4475" w:rsidRPr="00C33C0B" w:rsidRDefault="00684874" w:rsidP="0046317E">
      <w:pPr>
        <w:pStyle w:val="Heading2"/>
      </w:pPr>
      <w:bookmarkStart w:id="202" w:name="_Toc24544727"/>
      <w:r w:rsidRPr="00C33C0B">
        <w:t>Recommendation 1</w:t>
      </w:r>
      <w:r w:rsidR="003E5720">
        <w:t>6</w:t>
      </w:r>
      <w:r w:rsidR="00C0022A">
        <w:t xml:space="preserve"> - </w:t>
      </w:r>
      <w:r w:rsidR="00C0022A">
        <w:rPr>
          <w:lang w:val="en-GB"/>
        </w:rPr>
        <w:t xml:space="preserve">Improve informed </w:t>
      </w:r>
      <w:r w:rsidR="003E5720">
        <w:rPr>
          <w:lang w:val="en-GB"/>
        </w:rPr>
        <w:t xml:space="preserve">comprehensive </w:t>
      </w:r>
      <w:r w:rsidR="00C0022A">
        <w:rPr>
          <w:lang w:val="en-GB"/>
        </w:rPr>
        <w:t>patient consent and shared decision-making practices</w:t>
      </w:r>
      <w:bookmarkEnd w:id="202"/>
    </w:p>
    <w:p w14:paraId="663C9F94" w14:textId="77777777" w:rsidR="00C0022A" w:rsidRDefault="00E22689" w:rsidP="00607BDA">
      <w:pPr>
        <w:pStyle w:val="Bullet-green"/>
        <w:numPr>
          <w:ilvl w:val="0"/>
          <w:numId w:val="0"/>
        </w:numPr>
        <w:rPr>
          <w:lang w:val="en-GB"/>
        </w:rPr>
      </w:pPr>
      <w:r w:rsidRPr="00C33C0B">
        <w:rPr>
          <w:lang w:val="en-GB"/>
        </w:rPr>
        <w:t>The Committee recommends</w:t>
      </w:r>
      <w:r w:rsidR="00C0022A">
        <w:rPr>
          <w:lang w:val="en-GB"/>
        </w:rPr>
        <w:t>:</w:t>
      </w:r>
    </w:p>
    <w:p w14:paraId="3EC2E6A1" w14:textId="77777777" w:rsidR="009C65F6" w:rsidRPr="00607BDA" w:rsidRDefault="00F9208F" w:rsidP="000831A1">
      <w:pPr>
        <w:pStyle w:val="Bullet2"/>
        <w:numPr>
          <w:ilvl w:val="0"/>
          <w:numId w:val="51"/>
        </w:numPr>
      </w:pPr>
      <w:r w:rsidRPr="00C33C0B">
        <w:rPr>
          <w:lang w:val="en-GB"/>
        </w:rPr>
        <w:t xml:space="preserve">including </w:t>
      </w:r>
      <w:r w:rsidR="000C2B97" w:rsidRPr="00C33C0B">
        <w:rPr>
          <w:lang w:val="en-GB"/>
        </w:rPr>
        <w:t xml:space="preserve">the following </w:t>
      </w:r>
      <w:r w:rsidRPr="00C33C0B">
        <w:rPr>
          <w:lang w:val="en-GB"/>
        </w:rPr>
        <w:t xml:space="preserve">in standard </w:t>
      </w:r>
      <w:r w:rsidR="00BC196C" w:rsidRPr="00C33C0B">
        <w:rPr>
          <w:lang w:val="en-GB"/>
        </w:rPr>
        <w:t xml:space="preserve">attendance item descriptors </w:t>
      </w:r>
      <w:r w:rsidR="00C0022A">
        <w:rPr>
          <w:lang w:val="en-GB"/>
        </w:rPr>
        <w:t xml:space="preserve">(refer to </w:t>
      </w:r>
      <w:r w:rsidR="00C0022A" w:rsidRPr="00607BDA">
        <w:t xml:space="preserve">Recommendation 1) </w:t>
      </w:r>
      <w:r w:rsidR="00E22689" w:rsidRPr="00607BDA">
        <w:t>when multiple treatment options are available</w:t>
      </w:r>
      <w:r w:rsidR="00497F80" w:rsidRPr="00607BDA">
        <w:t>:</w:t>
      </w:r>
    </w:p>
    <w:p w14:paraId="56167D9D" w14:textId="77777777" w:rsidR="009C65F6" w:rsidRPr="00C33C0B" w:rsidRDefault="00FC2F6F" w:rsidP="000831A1">
      <w:pPr>
        <w:pStyle w:val="Bullet2"/>
        <w:numPr>
          <w:ilvl w:val="0"/>
          <w:numId w:val="47"/>
        </w:numPr>
      </w:pPr>
      <w:r>
        <w:t>d</w:t>
      </w:r>
      <w:r w:rsidR="009C65F6" w:rsidRPr="00C33C0B">
        <w:t xml:space="preserve">iscussion of patient treatment options to assess </w:t>
      </w:r>
      <w:r w:rsidR="00A717C7">
        <w:t xml:space="preserve">the </w:t>
      </w:r>
      <w:r w:rsidR="00AD34B6">
        <w:t xml:space="preserve">risks and benefits </w:t>
      </w:r>
      <w:r w:rsidR="009C65F6" w:rsidRPr="00C33C0B">
        <w:t>of each option</w:t>
      </w:r>
      <w:r w:rsidR="000A7958">
        <w:t>,</w:t>
      </w:r>
      <w:r w:rsidR="009C65F6" w:rsidRPr="00C33C0B">
        <w:t xml:space="preserve"> given the patient</w:t>
      </w:r>
      <w:r w:rsidR="003F4862">
        <w:t>’s</w:t>
      </w:r>
      <w:r w:rsidR="009C65F6" w:rsidRPr="00C33C0B">
        <w:t xml:space="preserve"> characteristics</w:t>
      </w:r>
      <w:r w:rsidR="003F179F">
        <w:t xml:space="preserve">, </w:t>
      </w:r>
      <w:r w:rsidR="009C65F6" w:rsidRPr="00C33C0B">
        <w:t>medical history</w:t>
      </w:r>
      <w:r w:rsidR="003F179F">
        <w:t xml:space="preserve"> and life circumstance</w:t>
      </w:r>
      <w:r>
        <w:t>;</w:t>
      </w:r>
    </w:p>
    <w:p w14:paraId="37DDC2AF" w14:textId="77777777" w:rsidR="009C65F6" w:rsidRPr="00C33C0B" w:rsidRDefault="00FC2F6F" w:rsidP="000831A1">
      <w:pPr>
        <w:pStyle w:val="Bullet2"/>
        <w:numPr>
          <w:ilvl w:val="0"/>
          <w:numId w:val="47"/>
        </w:numPr>
      </w:pPr>
      <w:r>
        <w:t>c</w:t>
      </w:r>
      <w:r w:rsidR="009C65F6" w:rsidRPr="00C33C0B">
        <w:t>onsideration and discussion of referrals to other health professionals</w:t>
      </w:r>
      <w:r w:rsidR="003F179F">
        <w:t xml:space="preserve"> and services</w:t>
      </w:r>
      <w:r>
        <w:t>;</w:t>
      </w:r>
      <w:r w:rsidR="001A44E7">
        <w:t xml:space="preserve"> and</w:t>
      </w:r>
    </w:p>
    <w:p w14:paraId="51827476" w14:textId="77777777" w:rsidR="009C65F6" w:rsidRPr="00C33C0B" w:rsidRDefault="00FC2F6F" w:rsidP="000831A1">
      <w:pPr>
        <w:pStyle w:val="Bullet2"/>
        <w:numPr>
          <w:ilvl w:val="0"/>
          <w:numId w:val="47"/>
        </w:numPr>
      </w:pPr>
      <w:r>
        <w:t>a</w:t>
      </w:r>
      <w:r w:rsidR="00BE1D72">
        <w:t xml:space="preserve"> requirement for</w:t>
      </w:r>
      <w:r w:rsidR="00BE1D72" w:rsidRPr="00C33C0B">
        <w:t xml:space="preserve"> </w:t>
      </w:r>
      <w:r w:rsidR="009C65F6" w:rsidRPr="00C33C0B">
        <w:t>written document</w:t>
      </w:r>
      <w:r w:rsidR="00124833" w:rsidRPr="00C33C0B">
        <w:t>ation</w:t>
      </w:r>
      <w:r w:rsidR="001E7A37">
        <w:t>,</w:t>
      </w:r>
      <w:r w:rsidR="009C65F6" w:rsidRPr="00C33C0B">
        <w:t xml:space="preserve"> </w:t>
      </w:r>
      <w:r w:rsidR="00124833" w:rsidRPr="00C33C0B">
        <w:rPr>
          <w:szCs w:val="22"/>
        </w:rPr>
        <w:t xml:space="preserve">made available </w:t>
      </w:r>
      <w:r w:rsidR="007C426B">
        <w:rPr>
          <w:szCs w:val="22"/>
        </w:rPr>
        <w:t>to</w:t>
      </w:r>
      <w:r w:rsidR="007C426B" w:rsidRPr="00C33C0B">
        <w:rPr>
          <w:szCs w:val="22"/>
        </w:rPr>
        <w:t xml:space="preserve"> </w:t>
      </w:r>
      <w:r w:rsidR="00124833" w:rsidRPr="00C33C0B">
        <w:rPr>
          <w:szCs w:val="22"/>
        </w:rPr>
        <w:t xml:space="preserve">the patient and/or </w:t>
      </w:r>
      <w:r w:rsidR="00497F80" w:rsidRPr="00C33C0B">
        <w:rPr>
          <w:szCs w:val="22"/>
        </w:rPr>
        <w:t>carer</w:t>
      </w:r>
      <w:r w:rsidR="00497F80">
        <w:rPr>
          <w:szCs w:val="22"/>
        </w:rPr>
        <w:t>,</w:t>
      </w:r>
      <w:r w:rsidR="00497F80" w:rsidRPr="00C33C0B">
        <w:rPr>
          <w:szCs w:val="22"/>
        </w:rPr>
        <w:t xml:space="preserve"> </w:t>
      </w:r>
      <w:r w:rsidR="00497F80" w:rsidRPr="00C33C0B">
        <w:t>which</w:t>
      </w:r>
      <w:r w:rsidR="00124833" w:rsidRPr="00C33C0B">
        <w:t xml:space="preserve"> </w:t>
      </w:r>
      <w:r w:rsidR="009C65F6" w:rsidRPr="00C33C0B">
        <w:t>outlines treatment options and information on associated risks and benefits</w:t>
      </w:r>
      <w:r w:rsidR="009C2A63">
        <w:t>.</w:t>
      </w:r>
    </w:p>
    <w:p w14:paraId="14BAB840" w14:textId="77777777" w:rsidR="00BC196C" w:rsidRPr="00607BDA" w:rsidRDefault="00BC196C" w:rsidP="000831A1">
      <w:pPr>
        <w:pStyle w:val="Bullet2"/>
        <w:numPr>
          <w:ilvl w:val="0"/>
          <w:numId w:val="51"/>
        </w:numPr>
      </w:pPr>
      <w:r w:rsidRPr="00607BDA">
        <w:t>that provider education on the patient consent process be promoted through:</w:t>
      </w:r>
    </w:p>
    <w:p w14:paraId="5A3B1982" w14:textId="77777777" w:rsidR="009C65F6" w:rsidRPr="00C33C0B" w:rsidRDefault="00EC490A" w:rsidP="000831A1">
      <w:pPr>
        <w:pStyle w:val="Bullet2"/>
        <w:numPr>
          <w:ilvl w:val="0"/>
          <w:numId w:val="48"/>
        </w:numPr>
      </w:pPr>
      <w:r>
        <w:t>c</w:t>
      </w:r>
      <w:r w:rsidR="009C65F6" w:rsidRPr="00C33C0B">
        <w:t>olleges</w:t>
      </w:r>
      <w:r w:rsidR="00475589" w:rsidRPr="00C33C0B">
        <w:t>, using CPD as a lever</w:t>
      </w:r>
      <w:r w:rsidR="00B85435">
        <w:t>; and</w:t>
      </w:r>
    </w:p>
    <w:p w14:paraId="284E7B27" w14:textId="77777777" w:rsidR="009C65F6" w:rsidRPr="00C33C0B" w:rsidRDefault="00B85435" w:rsidP="000831A1">
      <w:pPr>
        <w:pStyle w:val="Bullet2"/>
        <w:numPr>
          <w:ilvl w:val="0"/>
          <w:numId w:val="48"/>
        </w:numPr>
      </w:pPr>
      <w:r>
        <w:t>i</w:t>
      </w:r>
      <w:r w:rsidR="008B66D4">
        <w:t>ncreased</w:t>
      </w:r>
      <w:r w:rsidR="008B66D4" w:rsidRPr="00C33C0B">
        <w:t xml:space="preserve"> </w:t>
      </w:r>
      <w:r w:rsidR="008232D7" w:rsidRPr="00C33C0B">
        <w:t>p</w:t>
      </w:r>
      <w:r w:rsidR="009C65F6" w:rsidRPr="00C33C0B">
        <w:t xml:space="preserve">atient awareness of the Australian Commission </w:t>
      </w:r>
      <w:r w:rsidR="00AD34B6">
        <w:t>on Safety and Quality in Health C</w:t>
      </w:r>
      <w:r w:rsidR="00946E7F">
        <w:t>are’s</w:t>
      </w:r>
      <w:r w:rsidR="009C65F6" w:rsidRPr="00C33C0B">
        <w:t xml:space="preserve"> standards</w:t>
      </w:r>
      <w:r w:rsidR="00691A78">
        <w:t>, achieved</w:t>
      </w:r>
      <w:r w:rsidR="008232D7" w:rsidRPr="00C33C0B">
        <w:t xml:space="preserve"> </w:t>
      </w:r>
      <w:r w:rsidR="00475589" w:rsidRPr="00C33C0B">
        <w:t>via</w:t>
      </w:r>
      <w:r w:rsidR="008232D7" w:rsidRPr="00C33C0B">
        <w:t xml:space="preserve"> media campaigns and by </w:t>
      </w:r>
      <w:r w:rsidR="009C65F6" w:rsidRPr="00C33C0B">
        <w:t xml:space="preserve">informing </w:t>
      </w:r>
      <w:r w:rsidR="00474551">
        <w:t>general practice</w:t>
      </w:r>
      <w:r w:rsidR="009C65F6" w:rsidRPr="00C33C0B">
        <w:t xml:space="preserve">. </w:t>
      </w:r>
    </w:p>
    <w:p w14:paraId="65D7425C" w14:textId="77777777" w:rsidR="00FB4475" w:rsidRPr="00C33C0B" w:rsidRDefault="00EC490A" w:rsidP="000831A1">
      <w:pPr>
        <w:pStyle w:val="Bullet2"/>
        <w:numPr>
          <w:ilvl w:val="0"/>
          <w:numId w:val="51"/>
        </w:numPr>
        <w:rPr>
          <w:lang w:val="en-GB"/>
        </w:rPr>
      </w:pPr>
      <w:r>
        <w:rPr>
          <w:lang w:val="en-GB"/>
        </w:rPr>
        <w:t>improving</w:t>
      </w:r>
      <w:r w:rsidR="00A221D0">
        <w:rPr>
          <w:lang w:val="en-GB"/>
        </w:rPr>
        <w:t xml:space="preserve"> the consent process</w:t>
      </w:r>
      <w:r>
        <w:rPr>
          <w:lang w:val="en-GB"/>
        </w:rPr>
        <w:t xml:space="preserve"> by including in provider education materials</w:t>
      </w:r>
      <w:r w:rsidR="00474551">
        <w:rPr>
          <w:lang w:val="en-GB"/>
        </w:rPr>
        <w:t xml:space="preserve">, consumer information </w:t>
      </w:r>
      <w:r>
        <w:rPr>
          <w:lang w:val="en-GB"/>
        </w:rPr>
        <w:t>and other relevant materials the following information</w:t>
      </w:r>
      <w:r w:rsidR="00497F80">
        <w:rPr>
          <w:lang w:val="en-GB"/>
        </w:rPr>
        <w:t>:</w:t>
      </w:r>
    </w:p>
    <w:p w14:paraId="0E19B04C" w14:textId="77777777" w:rsidR="001A0F70" w:rsidRPr="00C33C0B" w:rsidRDefault="00EC490A" w:rsidP="000831A1">
      <w:pPr>
        <w:pStyle w:val="Bullet2"/>
        <w:numPr>
          <w:ilvl w:val="0"/>
          <w:numId w:val="49"/>
        </w:numPr>
      </w:pPr>
      <w:r>
        <w:t>t</w:t>
      </w:r>
      <w:r w:rsidR="001A0F70" w:rsidRPr="00C33C0B">
        <w:t xml:space="preserve">he aim of the informed consent discussion is to give </w:t>
      </w:r>
      <w:r w:rsidR="00A30D95">
        <w:t>a</w:t>
      </w:r>
      <w:r w:rsidR="001A0F70" w:rsidRPr="00C33C0B">
        <w:t xml:space="preserve"> patient the information they need to make a decision about </w:t>
      </w:r>
      <w:r w:rsidR="00D76629">
        <w:t>the</w:t>
      </w:r>
      <w:r w:rsidR="006B7CF5">
        <w:t>ir</w:t>
      </w:r>
      <w:r w:rsidR="00D76629" w:rsidRPr="00C33C0B">
        <w:t xml:space="preserve"> </w:t>
      </w:r>
      <w:r w:rsidR="001A0F70" w:rsidRPr="00C33C0B">
        <w:t>treatment or procedure</w:t>
      </w:r>
      <w:r w:rsidR="006D2667">
        <w:t xml:space="preserve"> </w:t>
      </w:r>
      <w:r w:rsidR="001A0F70" w:rsidRPr="00C33C0B">
        <w:t>(if any)</w:t>
      </w:r>
      <w:r w:rsidR="00474551">
        <w:t xml:space="preserve"> and their overall care</w:t>
      </w:r>
    </w:p>
    <w:p w14:paraId="0A8D042B" w14:textId="77777777" w:rsidR="00FB4475" w:rsidRPr="00C33C0B" w:rsidRDefault="00EC490A" w:rsidP="000831A1">
      <w:pPr>
        <w:pStyle w:val="Bullet2"/>
        <w:numPr>
          <w:ilvl w:val="0"/>
          <w:numId w:val="49"/>
        </w:numPr>
      </w:pPr>
      <w:r>
        <w:t>t</w:t>
      </w:r>
      <w:r w:rsidR="00475589" w:rsidRPr="00C33C0B">
        <w:t>he discussion must</w:t>
      </w:r>
      <w:r w:rsidR="00FB4475" w:rsidRPr="00C33C0B">
        <w:t xml:space="preserve"> be tai</w:t>
      </w:r>
      <w:r w:rsidR="00475589" w:rsidRPr="00C33C0B">
        <w:t>lored to the individual patient</w:t>
      </w:r>
      <w:r w:rsidR="00474551">
        <w:t xml:space="preserve"> and their circumstances</w:t>
      </w:r>
    </w:p>
    <w:p w14:paraId="5EE58DB5" w14:textId="77777777" w:rsidR="00FB4475" w:rsidRPr="00C33C0B" w:rsidRDefault="00EC490A" w:rsidP="000831A1">
      <w:pPr>
        <w:pStyle w:val="Bullet2"/>
        <w:numPr>
          <w:ilvl w:val="0"/>
          <w:numId w:val="49"/>
        </w:numPr>
      </w:pPr>
      <w:r>
        <w:t>i</w:t>
      </w:r>
      <w:r w:rsidR="00FB4475" w:rsidRPr="00C33C0B">
        <w:t>nformed consent during medical practice</w:t>
      </w:r>
      <w:r w:rsidR="00415A4F">
        <w:t>—</w:t>
      </w:r>
      <w:r w:rsidR="00FB4475" w:rsidRPr="00C33C0B">
        <w:t>on both treatment options and financial costs</w:t>
      </w:r>
      <w:r w:rsidR="00415A4F">
        <w:t>—</w:t>
      </w:r>
      <w:r w:rsidR="00FB4475" w:rsidRPr="00C33C0B">
        <w:t xml:space="preserve">is an essential component of comprehensive medical care. </w:t>
      </w:r>
      <w:r w:rsidR="00102075">
        <w:t>Patient a</w:t>
      </w:r>
      <w:r w:rsidR="00FB4475" w:rsidRPr="00C33C0B">
        <w:t>uthorisation is “informed” when the physician discloses and the patient understands the diagnosis, the relevant options for treatment (including no treatment) and any respective risks and benefits</w:t>
      </w:r>
    </w:p>
    <w:p w14:paraId="277A396A" w14:textId="77777777" w:rsidR="00FB4475" w:rsidRPr="00C33C0B" w:rsidRDefault="00EC490A" w:rsidP="000831A1">
      <w:pPr>
        <w:pStyle w:val="Bullet2"/>
        <w:numPr>
          <w:ilvl w:val="0"/>
          <w:numId w:val="49"/>
        </w:numPr>
      </w:pPr>
      <w:r>
        <w:t>d</w:t>
      </w:r>
      <w:r w:rsidR="00FB4475" w:rsidRPr="00C33C0B">
        <w:t>octors should give advice</w:t>
      </w:r>
      <w:r w:rsidR="00474551">
        <w:t xml:space="preserve"> in accordance with their scope of practice. T</w:t>
      </w:r>
      <w:r w:rsidR="00FB4475" w:rsidRPr="00C33C0B">
        <w:t xml:space="preserve">here should be no coercion. The patient </w:t>
      </w:r>
      <w:r w:rsidR="00474551">
        <w:t xml:space="preserve">is always </w:t>
      </w:r>
      <w:r w:rsidR="00FB4475" w:rsidRPr="00C33C0B">
        <w:t>free to accept or reject the advice offered</w:t>
      </w:r>
    </w:p>
    <w:p w14:paraId="16F95720" w14:textId="77777777" w:rsidR="00FB4475" w:rsidRPr="00C33C0B" w:rsidRDefault="00EC490A" w:rsidP="000831A1">
      <w:pPr>
        <w:pStyle w:val="Bullet2"/>
        <w:numPr>
          <w:ilvl w:val="0"/>
          <w:numId w:val="49"/>
        </w:numPr>
      </w:pPr>
      <w:r>
        <w:t>c</w:t>
      </w:r>
      <w:r w:rsidR="00A221D0">
        <w:t>linicians</w:t>
      </w:r>
      <w:r w:rsidR="00A221D0" w:rsidRPr="00C33C0B">
        <w:t xml:space="preserve"> </w:t>
      </w:r>
      <w:r w:rsidR="00FB4475" w:rsidRPr="00C33C0B">
        <w:t xml:space="preserve">should give information about the risks of any intervention, especially those that are likely to influence the patient’s decisions </w:t>
      </w:r>
    </w:p>
    <w:p w14:paraId="76902244" w14:textId="77777777" w:rsidR="00FB4475" w:rsidRPr="00C33C0B" w:rsidRDefault="00EC490A" w:rsidP="000831A1">
      <w:pPr>
        <w:pStyle w:val="Bullet2"/>
        <w:numPr>
          <w:ilvl w:val="0"/>
          <w:numId w:val="49"/>
        </w:numPr>
      </w:pPr>
      <w:r>
        <w:t>t</w:t>
      </w:r>
      <w:r w:rsidR="00FB4475" w:rsidRPr="00C33C0B">
        <w:t>he informed consent process should be documented thoroughly, using an electronic medical record, procedure-specific consent forms, patient education materials and other options whenever possible</w:t>
      </w:r>
      <w:r>
        <w:t>, and</w:t>
      </w:r>
    </w:p>
    <w:p w14:paraId="127F7B06" w14:textId="77777777" w:rsidR="00FB4475" w:rsidRPr="00C33C0B" w:rsidRDefault="00EC490A" w:rsidP="000831A1">
      <w:pPr>
        <w:pStyle w:val="Bullet2"/>
        <w:numPr>
          <w:ilvl w:val="0"/>
          <w:numId w:val="49"/>
        </w:numPr>
      </w:pPr>
      <w:r>
        <w:t>m</w:t>
      </w:r>
      <w:r w:rsidR="00FB4475" w:rsidRPr="00C33C0B">
        <w:t xml:space="preserve">echanisms should be in place to monitor the quality of </w:t>
      </w:r>
      <w:r w:rsidR="006E0886">
        <w:t xml:space="preserve">the </w:t>
      </w:r>
      <w:r w:rsidR="00FB4475" w:rsidRPr="00C33C0B">
        <w:t>patient consent process</w:t>
      </w:r>
      <w:r w:rsidR="00D33F0A">
        <w:t>,</w:t>
      </w:r>
      <w:r w:rsidR="00FB4475" w:rsidRPr="00C33C0B">
        <w:t xml:space="preserve"> such as peer</w:t>
      </w:r>
      <w:r w:rsidR="00CC3A63">
        <w:t xml:space="preserve"> </w:t>
      </w:r>
      <w:r w:rsidR="00FB4475" w:rsidRPr="00C33C0B">
        <w:t>review and patient reported outcomes</w:t>
      </w:r>
      <w:r w:rsidR="006255E6">
        <w:t>.</w:t>
      </w:r>
    </w:p>
    <w:p w14:paraId="3F9F5372" w14:textId="77777777" w:rsidR="00A1248F" w:rsidRPr="00C33C0B" w:rsidRDefault="00684874" w:rsidP="0046317E">
      <w:pPr>
        <w:pStyle w:val="Heading2"/>
      </w:pPr>
      <w:bookmarkStart w:id="203" w:name="_Toc24544728"/>
      <w:r w:rsidRPr="00C33C0B">
        <w:t>Rationale</w:t>
      </w:r>
      <w:r w:rsidR="00391665">
        <w:t xml:space="preserve"> </w:t>
      </w:r>
      <w:r w:rsidRPr="00C33C0B">
        <w:t>1</w:t>
      </w:r>
      <w:r w:rsidR="003E5720">
        <w:t>6</w:t>
      </w:r>
      <w:bookmarkEnd w:id="203"/>
    </w:p>
    <w:p w14:paraId="5E511414" w14:textId="77777777" w:rsidR="00407609" w:rsidRDefault="00407609" w:rsidP="006B36E9">
      <w:pPr>
        <w:pStyle w:val="Bullet-green"/>
        <w:numPr>
          <w:ilvl w:val="0"/>
          <w:numId w:val="0"/>
        </w:numPr>
        <w:rPr>
          <w:lang w:val="en-GB"/>
        </w:rPr>
      </w:pPr>
      <w:r>
        <w:rPr>
          <w:lang w:val="en-GB"/>
        </w:rPr>
        <w:t xml:space="preserve">This recommendation focuses on </w:t>
      </w:r>
      <w:r w:rsidR="00D16B84">
        <w:rPr>
          <w:lang w:val="en-GB"/>
        </w:rPr>
        <w:t xml:space="preserve">improving the patient consent process </w:t>
      </w:r>
      <w:r w:rsidR="00A423C8">
        <w:rPr>
          <w:lang w:val="en-GB"/>
        </w:rPr>
        <w:t xml:space="preserve">and encouraging shared decision-making during consultant specialist attendances. It </w:t>
      </w:r>
      <w:r>
        <w:rPr>
          <w:lang w:val="en-GB"/>
        </w:rPr>
        <w:t>is based on the following</w:t>
      </w:r>
      <w:r w:rsidR="00CB271F">
        <w:rPr>
          <w:lang w:val="en-GB"/>
        </w:rPr>
        <w:t>:</w:t>
      </w:r>
    </w:p>
    <w:p w14:paraId="677C3109" w14:textId="77777777" w:rsidR="00C0022A" w:rsidRDefault="00A968D6" w:rsidP="006504E4">
      <w:pPr>
        <w:pStyle w:val="Bullet-green"/>
        <w:rPr>
          <w:lang w:val="en-GB"/>
        </w:rPr>
      </w:pPr>
      <w:r w:rsidRPr="00C33C0B">
        <w:rPr>
          <w:lang w:val="en-GB"/>
        </w:rPr>
        <w:t xml:space="preserve">The Committee recognises that </w:t>
      </w:r>
      <w:r w:rsidR="00AD34B6">
        <w:rPr>
          <w:lang w:val="en-GB"/>
        </w:rPr>
        <w:t>consent processes may vary</w:t>
      </w:r>
      <w:r w:rsidR="00FE3F90" w:rsidRPr="00C33C0B">
        <w:rPr>
          <w:lang w:val="en-GB"/>
        </w:rPr>
        <w:t xml:space="preserve"> </w:t>
      </w:r>
      <w:r w:rsidR="00AD34B6">
        <w:rPr>
          <w:lang w:val="en-GB"/>
        </w:rPr>
        <w:t xml:space="preserve">in different </w:t>
      </w:r>
      <w:r w:rsidR="00FE3F90" w:rsidRPr="00C33C0B">
        <w:rPr>
          <w:lang w:val="en-GB"/>
        </w:rPr>
        <w:t>clinical situations</w:t>
      </w:r>
      <w:sdt>
        <w:sdtPr>
          <w:rPr>
            <w:lang w:val="en-GB"/>
          </w:rPr>
          <w:id w:val="-480620119"/>
          <w:citation/>
        </w:sdtPr>
        <w:sdtEndPr/>
        <w:sdtContent>
          <w:r w:rsidR="00C7146A">
            <w:rPr>
              <w:lang w:val="en-GB"/>
            </w:rPr>
            <w:fldChar w:fldCharType="begin"/>
          </w:r>
          <w:r w:rsidR="00C7146A">
            <w:instrText xml:space="preserve"> CITATION Roy16 \l 3081 </w:instrText>
          </w:r>
          <w:r w:rsidR="00C7146A">
            <w:rPr>
              <w:lang w:val="en-GB"/>
            </w:rPr>
            <w:fldChar w:fldCharType="separate"/>
          </w:r>
          <w:r w:rsidR="00C7146A">
            <w:rPr>
              <w:noProof/>
            </w:rPr>
            <w:t xml:space="preserve"> (16)</w:t>
          </w:r>
          <w:r w:rsidR="00C7146A">
            <w:rPr>
              <w:lang w:val="en-GB"/>
            </w:rPr>
            <w:fldChar w:fldCharType="end"/>
          </w:r>
        </w:sdtContent>
      </w:sdt>
      <w:r w:rsidR="000C5002">
        <w:rPr>
          <w:lang w:val="en-GB"/>
        </w:rPr>
        <w:t>,</w:t>
      </w:r>
      <w:r w:rsidR="00FE3F90" w:rsidRPr="00C33C0B">
        <w:rPr>
          <w:lang w:val="en-GB"/>
        </w:rPr>
        <w:t xml:space="preserve"> </w:t>
      </w:r>
      <w:r w:rsidR="000A2DF2">
        <w:rPr>
          <w:lang w:val="en-GB"/>
        </w:rPr>
        <w:t xml:space="preserve">but </w:t>
      </w:r>
      <w:r w:rsidR="00FE3F90" w:rsidRPr="00C33C0B">
        <w:rPr>
          <w:lang w:val="en-GB"/>
        </w:rPr>
        <w:t>the basic principle remains</w:t>
      </w:r>
      <w:r w:rsidR="00CB3348">
        <w:rPr>
          <w:lang w:val="en-GB"/>
        </w:rPr>
        <w:t xml:space="preserve"> the same:</w:t>
      </w:r>
      <w:r w:rsidR="00FE3F90" w:rsidRPr="00C33C0B">
        <w:rPr>
          <w:lang w:val="en-GB"/>
        </w:rPr>
        <w:t xml:space="preserve"> the provider must outline any material risk</w:t>
      </w:r>
      <w:r w:rsidR="00AD34B6">
        <w:rPr>
          <w:lang w:val="en-GB"/>
        </w:rPr>
        <w:t xml:space="preserve"> and benefit</w:t>
      </w:r>
      <w:r w:rsidR="00FE3F90" w:rsidRPr="00C33C0B">
        <w:rPr>
          <w:lang w:val="en-GB"/>
        </w:rPr>
        <w:t xml:space="preserve"> to the patient</w:t>
      </w:r>
      <w:sdt>
        <w:sdtPr>
          <w:rPr>
            <w:lang w:val="en-GB"/>
          </w:rPr>
          <w:id w:val="-1134013795"/>
          <w:citation/>
        </w:sdtPr>
        <w:sdtEndPr/>
        <w:sdtContent>
          <w:r w:rsidR="00C7146A">
            <w:rPr>
              <w:lang w:val="en-GB"/>
            </w:rPr>
            <w:fldChar w:fldCharType="begin"/>
          </w:r>
          <w:r w:rsidR="00C7146A">
            <w:instrText xml:space="preserve"> CITATION Roy \l 3081 </w:instrText>
          </w:r>
          <w:r w:rsidR="00C7146A">
            <w:rPr>
              <w:lang w:val="en-GB"/>
            </w:rPr>
            <w:fldChar w:fldCharType="separate"/>
          </w:r>
          <w:r w:rsidR="00C7146A">
            <w:rPr>
              <w:noProof/>
            </w:rPr>
            <w:t xml:space="preserve"> (17)</w:t>
          </w:r>
          <w:r w:rsidR="00C7146A">
            <w:rPr>
              <w:lang w:val="en-GB"/>
            </w:rPr>
            <w:fldChar w:fldCharType="end"/>
          </w:r>
        </w:sdtContent>
      </w:sdt>
      <w:r w:rsidR="00497F80">
        <w:rPr>
          <w:lang w:val="en-GB"/>
        </w:rPr>
        <w:t>.</w:t>
      </w:r>
      <w:r w:rsidR="00FE3F90" w:rsidRPr="00C33C0B">
        <w:rPr>
          <w:lang w:val="en-GB"/>
        </w:rPr>
        <w:t xml:space="preserve"> </w:t>
      </w:r>
    </w:p>
    <w:p w14:paraId="22720415" w14:textId="77777777" w:rsidR="00C0022A" w:rsidRDefault="006B36E9" w:rsidP="006504E4">
      <w:pPr>
        <w:pStyle w:val="Bullet-green"/>
        <w:rPr>
          <w:lang w:val="en-GB"/>
        </w:rPr>
      </w:pPr>
      <w:r w:rsidRPr="00C33C0B">
        <w:rPr>
          <w:lang w:val="en-GB"/>
        </w:rPr>
        <w:t>To protect the rights of patients and guide ethical practice, i</w:t>
      </w:r>
      <w:r w:rsidR="00A1248F" w:rsidRPr="00C33C0B">
        <w:rPr>
          <w:lang w:val="en-GB"/>
        </w:rPr>
        <w:t xml:space="preserve">nformed consent is </w:t>
      </w:r>
      <w:r w:rsidR="00A968D6" w:rsidRPr="00C33C0B">
        <w:rPr>
          <w:lang w:val="en-GB"/>
        </w:rPr>
        <w:t>essential</w:t>
      </w:r>
      <w:r w:rsidR="00C0022A">
        <w:rPr>
          <w:lang w:val="en-GB"/>
        </w:rPr>
        <w:t xml:space="preserve">, </w:t>
      </w:r>
      <w:r w:rsidRPr="00C33C0B">
        <w:rPr>
          <w:lang w:val="en-GB"/>
        </w:rPr>
        <w:t>particularly where there is a high rate of interventions associated with potential side</w:t>
      </w:r>
      <w:r w:rsidR="006B7CF5">
        <w:rPr>
          <w:lang w:val="en-GB"/>
        </w:rPr>
        <w:t xml:space="preserve"> </w:t>
      </w:r>
      <w:r w:rsidRPr="00C33C0B">
        <w:rPr>
          <w:lang w:val="en-GB"/>
        </w:rPr>
        <w:t>effect</w:t>
      </w:r>
      <w:bookmarkStart w:id="204" w:name="_Toc521442210"/>
      <w:r w:rsidRPr="00C33C0B">
        <w:rPr>
          <w:lang w:val="en-GB"/>
        </w:rPr>
        <w:t>.</w:t>
      </w:r>
      <w:r w:rsidR="001A0F70" w:rsidRPr="00C33C0B">
        <w:rPr>
          <w:lang w:val="en-GB"/>
        </w:rPr>
        <w:t xml:space="preserve"> </w:t>
      </w:r>
    </w:p>
    <w:p w14:paraId="0B135CFE" w14:textId="77777777" w:rsidR="001A0F70" w:rsidRPr="00C33C0B" w:rsidRDefault="009F5C65" w:rsidP="006504E4">
      <w:pPr>
        <w:pStyle w:val="Bullet-green"/>
        <w:rPr>
          <w:lang w:val="en-GB"/>
        </w:rPr>
      </w:pPr>
      <w:r w:rsidRPr="00C33C0B">
        <w:rPr>
          <w:lang w:val="en-GB"/>
        </w:rPr>
        <w:t xml:space="preserve">To support shared decision-making, the </w:t>
      </w:r>
      <w:r w:rsidR="006B36E9" w:rsidRPr="00C33C0B">
        <w:rPr>
          <w:lang w:val="en-GB"/>
        </w:rPr>
        <w:t xml:space="preserve">Committee </w:t>
      </w:r>
      <w:r w:rsidRPr="00C33C0B">
        <w:rPr>
          <w:lang w:val="en-GB"/>
        </w:rPr>
        <w:t>believes that the patient’s goals should be sought</w:t>
      </w:r>
      <w:r w:rsidR="009C576F">
        <w:rPr>
          <w:lang w:val="en-GB"/>
        </w:rPr>
        <w:t xml:space="preserve">, </w:t>
      </w:r>
      <w:r w:rsidRPr="00C33C0B">
        <w:rPr>
          <w:lang w:val="en-GB"/>
        </w:rPr>
        <w:t>understood</w:t>
      </w:r>
      <w:r w:rsidR="009C576F">
        <w:rPr>
          <w:lang w:val="en-GB"/>
        </w:rPr>
        <w:t xml:space="preserve"> and taken into account,</w:t>
      </w:r>
      <w:r w:rsidRPr="00C33C0B">
        <w:rPr>
          <w:lang w:val="en-GB"/>
        </w:rPr>
        <w:t xml:space="preserve"> along with the expert medica</w:t>
      </w:r>
      <w:r w:rsidR="001A0F70" w:rsidRPr="00C33C0B">
        <w:rPr>
          <w:lang w:val="en-GB"/>
        </w:rPr>
        <w:t>l knowledge of the practitioner.</w:t>
      </w:r>
    </w:p>
    <w:p w14:paraId="00E33B11" w14:textId="77777777" w:rsidR="00E3109A" w:rsidRPr="00B1551B" w:rsidRDefault="00E3109A" w:rsidP="00B1551B">
      <w:pPr>
        <w:pStyle w:val="Bullet-green"/>
        <w:numPr>
          <w:ilvl w:val="0"/>
          <w:numId w:val="0"/>
        </w:numPr>
        <w:rPr>
          <w:lang w:val="en-GB"/>
        </w:rPr>
      </w:pPr>
      <w:bookmarkStart w:id="205" w:name="_Toc521442211"/>
      <w:bookmarkEnd w:id="204"/>
      <w:r w:rsidRPr="00B1551B">
        <w:rPr>
          <w:lang w:val="en-GB"/>
        </w:rPr>
        <w:br w:type="page"/>
      </w:r>
    </w:p>
    <w:p w14:paraId="285DB6E5" w14:textId="77777777" w:rsidR="00FB4475" w:rsidRPr="00C33C0B" w:rsidRDefault="00944AB0" w:rsidP="007C6C57">
      <w:pPr>
        <w:pStyle w:val="Heading1"/>
      </w:pPr>
      <w:r>
        <w:t xml:space="preserve"> </w:t>
      </w:r>
      <w:bookmarkStart w:id="206" w:name="_Toc24544729"/>
      <w:r w:rsidR="00FB4475" w:rsidRPr="00C33C0B">
        <w:t>My Health Record</w:t>
      </w:r>
      <w:bookmarkEnd w:id="205"/>
      <w:r>
        <w:t xml:space="preserve"> recommendations</w:t>
      </w:r>
      <w:bookmarkEnd w:id="206"/>
    </w:p>
    <w:p w14:paraId="2E3E401E" w14:textId="77777777" w:rsidR="006E560B" w:rsidRDefault="006E560B" w:rsidP="0046317E">
      <w:pPr>
        <w:pStyle w:val="Heading2"/>
      </w:pPr>
      <w:bookmarkStart w:id="207" w:name="_Toc24544730"/>
      <w:r>
        <w:t>My Health Record</w:t>
      </w:r>
      <w:bookmarkEnd w:id="207"/>
    </w:p>
    <w:p w14:paraId="252E8479" w14:textId="77777777" w:rsidR="006E560B" w:rsidRPr="00607BDA" w:rsidRDefault="006E560B" w:rsidP="006E560B">
      <w:pPr>
        <w:rPr>
          <w:lang w:val="en-GB" w:eastAsia="en-US"/>
        </w:rPr>
      </w:pPr>
      <w:r w:rsidRPr="006E560B">
        <w:rPr>
          <w:lang w:val="en-GB" w:eastAsia="en-US"/>
        </w:rPr>
        <w:t>The Federal Government announced in the 2017 Budget a commitment to continue to expand the My Health Record system. By the end of 2018, every Australian will have a My Health Record unle</w:t>
      </w:r>
      <w:r>
        <w:rPr>
          <w:lang w:val="en-GB" w:eastAsia="en-US"/>
        </w:rPr>
        <w:t xml:space="preserve">ss they choose not to have one. </w:t>
      </w:r>
      <w:r w:rsidRPr="006E560B">
        <w:rPr>
          <w:lang w:val="en-GB" w:eastAsia="en-US"/>
        </w:rPr>
        <w:t xml:space="preserve">Through the My Health Record system </w:t>
      </w:r>
      <w:r>
        <w:rPr>
          <w:lang w:val="en-GB" w:eastAsia="en-US"/>
        </w:rPr>
        <w:t>healthcare practitioners have</w:t>
      </w:r>
      <w:r w:rsidRPr="006E560B">
        <w:rPr>
          <w:lang w:val="en-GB" w:eastAsia="en-US"/>
        </w:rPr>
        <w:t xml:space="preserve"> access</w:t>
      </w:r>
      <w:r>
        <w:rPr>
          <w:lang w:val="en-GB" w:eastAsia="en-US"/>
        </w:rPr>
        <w:t xml:space="preserve"> to</w:t>
      </w:r>
      <w:r w:rsidRPr="006E560B">
        <w:rPr>
          <w:lang w:val="en-GB" w:eastAsia="en-US"/>
        </w:rPr>
        <w:t xml:space="preserve"> timely information about patients such as shared health summaries, discharge summaries, prescription and dispense records, pathology reports and diagnostic imaging reports.</w:t>
      </w:r>
    </w:p>
    <w:p w14:paraId="049CCF52" w14:textId="77777777" w:rsidR="006E560B" w:rsidRDefault="009C2477" w:rsidP="00FB4475">
      <w:pPr>
        <w:rPr>
          <w:rStyle w:val="FootnoteReference"/>
          <w:rFonts w:cstheme="minorHAnsi"/>
          <w:lang w:val="en-GB"/>
        </w:rPr>
      </w:pPr>
      <w:r w:rsidRPr="00C33C0B">
        <w:rPr>
          <w:lang w:val="en-GB"/>
        </w:rPr>
        <w:t xml:space="preserve">The Committee supports the principle that </w:t>
      </w:r>
      <w:r>
        <w:rPr>
          <w:lang w:val="en-GB"/>
        </w:rPr>
        <w:t>e</w:t>
      </w:r>
      <w:r w:rsidRPr="00C33C0B">
        <w:rPr>
          <w:lang w:val="en-GB"/>
        </w:rPr>
        <w:t xml:space="preserve">lectronic </w:t>
      </w:r>
      <w:r>
        <w:rPr>
          <w:lang w:val="en-GB"/>
        </w:rPr>
        <w:t>h</w:t>
      </w:r>
      <w:r w:rsidRPr="00C33C0B">
        <w:rPr>
          <w:lang w:val="en-GB"/>
        </w:rPr>
        <w:t xml:space="preserve">ealth </w:t>
      </w:r>
      <w:r>
        <w:rPr>
          <w:lang w:val="en-GB"/>
        </w:rPr>
        <w:t>r</w:t>
      </w:r>
      <w:r w:rsidRPr="00C33C0B">
        <w:rPr>
          <w:lang w:val="en-GB"/>
        </w:rPr>
        <w:t xml:space="preserve">ecords can </w:t>
      </w:r>
      <w:r>
        <w:rPr>
          <w:lang w:val="en-GB"/>
        </w:rPr>
        <w:t>e</w:t>
      </w:r>
      <w:r w:rsidRPr="00C33C0B">
        <w:rPr>
          <w:lang w:val="en-GB"/>
        </w:rPr>
        <w:t>nhance information sharing between patients and providers</w:t>
      </w:r>
      <w:r>
        <w:rPr>
          <w:lang w:val="en-GB"/>
        </w:rPr>
        <w:t xml:space="preserve"> and thereby promote safe </w:t>
      </w:r>
      <w:r w:rsidR="00474551">
        <w:rPr>
          <w:lang w:val="en-GB"/>
        </w:rPr>
        <w:t xml:space="preserve">and efficient </w:t>
      </w:r>
      <w:r>
        <w:rPr>
          <w:lang w:val="en-GB"/>
        </w:rPr>
        <w:t xml:space="preserve">practice, support self-management and </w:t>
      </w:r>
      <w:r w:rsidRPr="00C33C0B">
        <w:rPr>
          <w:lang w:val="en-GB"/>
        </w:rPr>
        <w:t>improve patient care</w:t>
      </w:r>
      <w:sdt>
        <w:sdtPr>
          <w:rPr>
            <w:lang w:val="en-GB"/>
          </w:rPr>
          <w:id w:val="291574875"/>
          <w:citation/>
        </w:sdtPr>
        <w:sdtEndPr/>
        <w:sdtContent>
          <w:r w:rsidR="00C7146A">
            <w:rPr>
              <w:lang w:val="en-GB"/>
            </w:rPr>
            <w:fldChar w:fldCharType="begin"/>
          </w:r>
          <w:r w:rsidR="00C7146A">
            <w:instrText xml:space="preserve"> CITATION Min \l 3081 </w:instrText>
          </w:r>
          <w:r w:rsidR="00C7146A">
            <w:rPr>
              <w:lang w:val="en-GB"/>
            </w:rPr>
            <w:fldChar w:fldCharType="separate"/>
          </w:r>
          <w:r w:rsidR="00C7146A">
            <w:rPr>
              <w:noProof/>
            </w:rPr>
            <w:t xml:space="preserve"> (18)</w:t>
          </w:r>
          <w:r w:rsidR="00C7146A">
            <w:rPr>
              <w:lang w:val="en-GB"/>
            </w:rPr>
            <w:fldChar w:fldCharType="end"/>
          </w:r>
        </w:sdtContent>
      </w:sdt>
      <w:r w:rsidR="00E0652E">
        <w:rPr>
          <w:lang w:val="en-GB"/>
        </w:rPr>
        <w:t>.</w:t>
      </w:r>
      <w:r w:rsidR="00FB4475" w:rsidRPr="00C33C0B">
        <w:rPr>
          <w:rStyle w:val="FootnoteReference"/>
          <w:rFonts w:cstheme="minorHAnsi"/>
          <w:lang w:val="en-GB"/>
        </w:rPr>
        <w:t xml:space="preserve"> </w:t>
      </w:r>
    </w:p>
    <w:p w14:paraId="0ECA1ED9" w14:textId="77777777" w:rsidR="00FB4475" w:rsidRPr="00C33C0B" w:rsidRDefault="00FB4475" w:rsidP="00FB4475">
      <w:pPr>
        <w:rPr>
          <w:lang w:val="en-GB"/>
        </w:rPr>
      </w:pPr>
      <w:r w:rsidRPr="00C33C0B">
        <w:rPr>
          <w:lang w:val="en-GB"/>
        </w:rPr>
        <w:t xml:space="preserve">The </w:t>
      </w:r>
      <w:r w:rsidR="008A544A" w:rsidRPr="00C33C0B">
        <w:rPr>
          <w:lang w:val="en-GB"/>
        </w:rPr>
        <w:t>Committee</w:t>
      </w:r>
      <w:r w:rsidRPr="00C33C0B">
        <w:rPr>
          <w:lang w:val="en-GB"/>
        </w:rPr>
        <w:t xml:space="preserve"> has made </w:t>
      </w:r>
      <w:r w:rsidR="008A544A" w:rsidRPr="00C33C0B">
        <w:rPr>
          <w:lang w:val="en-GB"/>
        </w:rPr>
        <w:t xml:space="preserve">both MBS and non-MBS recommendations to support </w:t>
      </w:r>
      <w:r w:rsidR="00550F68">
        <w:rPr>
          <w:lang w:val="en-GB"/>
        </w:rPr>
        <w:t xml:space="preserve">the </w:t>
      </w:r>
      <w:r w:rsidRPr="00C33C0B">
        <w:rPr>
          <w:lang w:val="en-GB"/>
        </w:rPr>
        <w:t xml:space="preserve">adoption of digital record systems by </w:t>
      </w:r>
      <w:r w:rsidR="00AA329D">
        <w:rPr>
          <w:lang w:val="en-GB"/>
        </w:rPr>
        <w:t>consultant specialist</w:t>
      </w:r>
      <w:r w:rsidR="00CE6373" w:rsidRPr="00C33C0B">
        <w:rPr>
          <w:lang w:val="en-GB"/>
        </w:rPr>
        <w:t>s</w:t>
      </w:r>
      <w:r w:rsidR="00142C1E">
        <w:rPr>
          <w:lang w:val="en-GB"/>
        </w:rPr>
        <w:t>,</w:t>
      </w:r>
      <w:r w:rsidR="00CE6373" w:rsidRPr="00C33C0B">
        <w:rPr>
          <w:lang w:val="en-GB"/>
        </w:rPr>
        <w:t xml:space="preserve"> </w:t>
      </w:r>
      <w:r w:rsidR="00D2440E">
        <w:rPr>
          <w:lang w:val="en-GB"/>
        </w:rPr>
        <w:t>cognisant of</w:t>
      </w:r>
      <w:r w:rsidR="008A544A" w:rsidRPr="00C33C0B">
        <w:rPr>
          <w:lang w:val="en-GB"/>
        </w:rPr>
        <w:t xml:space="preserve"> the current limitations of digital readiness among </w:t>
      </w:r>
      <w:r w:rsidR="00AA329D">
        <w:rPr>
          <w:lang w:val="en-GB"/>
        </w:rPr>
        <w:t>consultant specialist</w:t>
      </w:r>
      <w:r w:rsidR="008A544A" w:rsidRPr="00C33C0B">
        <w:rPr>
          <w:lang w:val="en-GB"/>
        </w:rPr>
        <w:t>s.</w:t>
      </w:r>
    </w:p>
    <w:p w14:paraId="7B0E2071" w14:textId="77777777" w:rsidR="00FB4475" w:rsidRPr="00C33C0B" w:rsidRDefault="00FB4475" w:rsidP="001B444E">
      <w:pPr>
        <w:pStyle w:val="Heading2"/>
      </w:pPr>
      <w:bookmarkStart w:id="208" w:name="_Toc24544731"/>
      <w:r w:rsidRPr="00C33C0B">
        <w:t>Barrier</w:t>
      </w:r>
      <w:r w:rsidR="005A29A5" w:rsidRPr="00C33C0B">
        <w:t>s</w:t>
      </w:r>
      <w:r w:rsidRPr="00C33C0B">
        <w:t xml:space="preserve"> to uptake of My Health Record by </w:t>
      </w:r>
      <w:r w:rsidR="00AA329D">
        <w:t>consultant specialist</w:t>
      </w:r>
      <w:r w:rsidR="00CE6373" w:rsidRPr="00C33C0B">
        <w:t>s</w:t>
      </w:r>
      <w:bookmarkEnd w:id="208"/>
    </w:p>
    <w:p w14:paraId="67FF7AAF" w14:textId="77777777" w:rsidR="00FB4475" w:rsidRPr="00C33C0B" w:rsidRDefault="009324A7" w:rsidP="00FB4475">
      <w:pPr>
        <w:rPr>
          <w:lang w:val="en-GB"/>
        </w:rPr>
      </w:pPr>
      <w:r w:rsidRPr="00C33C0B">
        <w:rPr>
          <w:lang w:val="en-GB"/>
        </w:rPr>
        <w:t>The Committee notes that</w:t>
      </w:r>
      <w:r w:rsidR="00FB4475" w:rsidRPr="00C33C0B">
        <w:rPr>
          <w:lang w:val="en-GB"/>
        </w:rPr>
        <w:t xml:space="preserve"> adoption </w:t>
      </w:r>
      <w:r w:rsidRPr="00C33C0B">
        <w:rPr>
          <w:lang w:val="en-GB"/>
        </w:rPr>
        <w:t xml:space="preserve">of My Health Record </w:t>
      </w:r>
      <w:r w:rsidR="00FB4475" w:rsidRPr="00C33C0B">
        <w:rPr>
          <w:lang w:val="en-GB"/>
        </w:rPr>
        <w:t xml:space="preserve">is very low among </w:t>
      </w:r>
      <w:r w:rsidR="00AA329D">
        <w:rPr>
          <w:lang w:val="en-GB"/>
        </w:rPr>
        <w:t>consultant specialist</w:t>
      </w:r>
      <w:r w:rsidR="00CE6373" w:rsidRPr="00C33C0B">
        <w:rPr>
          <w:lang w:val="en-GB"/>
        </w:rPr>
        <w:t>s</w:t>
      </w:r>
      <w:r w:rsidR="00FB4475" w:rsidRPr="00C33C0B">
        <w:rPr>
          <w:lang w:val="en-GB"/>
        </w:rPr>
        <w:t xml:space="preserve"> </w:t>
      </w:r>
      <w:r w:rsidR="00E6172B">
        <w:rPr>
          <w:lang w:val="en-GB"/>
        </w:rPr>
        <w:t>(</w:t>
      </w:r>
      <w:r w:rsidRPr="00C33C0B">
        <w:rPr>
          <w:lang w:val="en-GB"/>
        </w:rPr>
        <w:t xml:space="preserve">just </w:t>
      </w:r>
      <w:r w:rsidR="00FB4475" w:rsidRPr="00C33C0B">
        <w:rPr>
          <w:lang w:val="en-GB"/>
        </w:rPr>
        <w:t>263 providers in September 2017</w:t>
      </w:r>
      <w:r w:rsidR="008B02BF">
        <w:rPr>
          <w:lang w:val="en-GB"/>
        </w:rPr>
        <w:t>)</w:t>
      </w:r>
      <w:sdt>
        <w:sdtPr>
          <w:rPr>
            <w:lang w:val="en-GB"/>
          </w:rPr>
          <w:id w:val="798963341"/>
          <w:citation/>
        </w:sdtPr>
        <w:sdtEndPr/>
        <w:sdtContent>
          <w:r w:rsidR="00C7146A">
            <w:rPr>
              <w:lang w:val="en-GB"/>
            </w:rPr>
            <w:fldChar w:fldCharType="begin"/>
          </w:r>
          <w:r w:rsidR="00C7146A">
            <w:instrText xml:space="preserve"> CITATION Aus17 \l 3081 </w:instrText>
          </w:r>
          <w:r w:rsidR="00C7146A">
            <w:rPr>
              <w:lang w:val="en-GB"/>
            </w:rPr>
            <w:fldChar w:fldCharType="separate"/>
          </w:r>
          <w:r w:rsidR="00C7146A">
            <w:rPr>
              <w:noProof/>
            </w:rPr>
            <w:t xml:space="preserve"> (19)</w:t>
          </w:r>
          <w:r w:rsidR="00C7146A">
            <w:rPr>
              <w:lang w:val="en-GB"/>
            </w:rPr>
            <w:fldChar w:fldCharType="end"/>
          </w:r>
        </w:sdtContent>
      </w:sdt>
      <w:r w:rsidR="00E0652E">
        <w:rPr>
          <w:lang w:val="en-GB"/>
        </w:rPr>
        <w:t>.</w:t>
      </w:r>
      <w:r w:rsidR="00FB4475" w:rsidRPr="00C33C0B">
        <w:rPr>
          <w:lang w:val="en-GB"/>
        </w:rPr>
        <w:t xml:space="preserve"> Barriers to uptake include:</w:t>
      </w:r>
    </w:p>
    <w:p w14:paraId="4F1275E6" w14:textId="77777777" w:rsidR="00FB4475" w:rsidRPr="00C33C0B" w:rsidRDefault="00FB4475" w:rsidP="00FB4475">
      <w:pPr>
        <w:pStyle w:val="Bullet-green"/>
        <w:rPr>
          <w:lang w:val="en-GB"/>
        </w:rPr>
      </w:pPr>
      <w:r w:rsidRPr="00C33C0B">
        <w:rPr>
          <w:lang w:val="en-GB"/>
        </w:rPr>
        <w:t xml:space="preserve">A fragmented </w:t>
      </w:r>
      <w:r w:rsidR="009324A7" w:rsidRPr="00C33C0B">
        <w:rPr>
          <w:lang w:val="en-GB"/>
        </w:rPr>
        <w:t xml:space="preserve">clinical information system </w:t>
      </w:r>
      <w:r w:rsidRPr="00C33C0B">
        <w:rPr>
          <w:lang w:val="en-GB"/>
        </w:rPr>
        <w:t>provider market</w:t>
      </w:r>
      <w:r w:rsidR="00375EEE">
        <w:rPr>
          <w:lang w:val="en-GB"/>
        </w:rPr>
        <w:t>,</w:t>
      </w:r>
      <w:r w:rsidRPr="00C33C0B">
        <w:rPr>
          <w:lang w:val="en-GB"/>
        </w:rPr>
        <w:t xml:space="preserve"> which has led to inter-operability issues</w:t>
      </w:r>
      <w:r w:rsidR="00B85435">
        <w:rPr>
          <w:lang w:val="en-GB"/>
        </w:rPr>
        <w:t>;</w:t>
      </w:r>
    </w:p>
    <w:p w14:paraId="1241C8BB" w14:textId="77777777" w:rsidR="00FB4475" w:rsidRPr="00C33C0B" w:rsidRDefault="00FB4475" w:rsidP="00FB4475">
      <w:pPr>
        <w:pStyle w:val="Bullet-green"/>
        <w:rPr>
          <w:lang w:val="en-GB"/>
        </w:rPr>
      </w:pPr>
      <w:r w:rsidRPr="00C33C0B">
        <w:rPr>
          <w:lang w:val="en-GB"/>
        </w:rPr>
        <w:t>Concerns about the usability and utility of the current My Health Record architecture</w:t>
      </w:r>
      <w:r w:rsidR="00A273FD">
        <w:rPr>
          <w:lang w:val="en-GB"/>
        </w:rPr>
        <w:t>,</w:t>
      </w:r>
      <w:r w:rsidRPr="00C33C0B">
        <w:rPr>
          <w:lang w:val="en-GB"/>
        </w:rPr>
        <w:t xml:space="preserve"> which acts as document repository (through the uploading of PDFs) with limited search function</w:t>
      </w:r>
      <w:sdt>
        <w:sdtPr>
          <w:rPr>
            <w:lang w:val="en-GB"/>
          </w:rPr>
          <w:id w:val="-511844202"/>
          <w:citation/>
        </w:sdtPr>
        <w:sdtEndPr/>
        <w:sdtContent>
          <w:r w:rsidR="00C7146A">
            <w:rPr>
              <w:lang w:val="en-GB"/>
            </w:rPr>
            <w:fldChar w:fldCharType="begin"/>
          </w:r>
          <w:r w:rsidR="00C7146A">
            <w:instrText xml:space="preserve"> CITATION Gra17 \l 3081 </w:instrText>
          </w:r>
          <w:r w:rsidR="00C7146A">
            <w:rPr>
              <w:lang w:val="en-GB"/>
            </w:rPr>
            <w:fldChar w:fldCharType="separate"/>
          </w:r>
          <w:r w:rsidR="00C7146A">
            <w:rPr>
              <w:noProof/>
            </w:rPr>
            <w:t xml:space="preserve"> (20)</w:t>
          </w:r>
          <w:r w:rsidR="00C7146A">
            <w:rPr>
              <w:lang w:val="en-GB"/>
            </w:rPr>
            <w:fldChar w:fldCharType="end"/>
          </w:r>
        </w:sdtContent>
      </w:sdt>
      <w:r w:rsidR="00B85435">
        <w:rPr>
          <w:lang w:val="en-GB"/>
        </w:rPr>
        <w:t>;</w:t>
      </w:r>
    </w:p>
    <w:p w14:paraId="00BE6F0D" w14:textId="77777777" w:rsidR="00FB4475" w:rsidRPr="00C33C0B" w:rsidRDefault="001007F0" w:rsidP="00FB4475">
      <w:pPr>
        <w:pStyle w:val="Bullet-green"/>
        <w:rPr>
          <w:lang w:val="en-GB"/>
        </w:rPr>
      </w:pPr>
      <w:r>
        <w:rPr>
          <w:lang w:val="en-GB"/>
        </w:rPr>
        <w:t xml:space="preserve">Perceptions regarding the rigour of </w:t>
      </w:r>
      <w:r w:rsidR="00FB4475" w:rsidRPr="00C33C0B">
        <w:rPr>
          <w:lang w:val="en-GB"/>
        </w:rPr>
        <w:t>data privacy</w:t>
      </w:r>
      <w:r w:rsidR="00B85435">
        <w:rPr>
          <w:lang w:val="en-GB"/>
        </w:rPr>
        <w:t xml:space="preserve">; </w:t>
      </w:r>
      <w:r w:rsidR="00F1672E">
        <w:rPr>
          <w:lang w:val="en-GB"/>
        </w:rPr>
        <w:t>and</w:t>
      </w:r>
    </w:p>
    <w:p w14:paraId="24B6F348" w14:textId="77777777" w:rsidR="00FB4475" w:rsidRPr="00C33C0B" w:rsidRDefault="00FB4475" w:rsidP="00FB4475">
      <w:pPr>
        <w:pStyle w:val="Bullet-green"/>
        <w:rPr>
          <w:lang w:val="en-GB"/>
        </w:rPr>
      </w:pPr>
      <w:r w:rsidRPr="00C33C0B">
        <w:rPr>
          <w:lang w:val="en-GB"/>
        </w:rPr>
        <w:t>Health</w:t>
      </w:r>
      <w:r w:rsidR="008C3C6A">
        <w:rPr>
          <w:lang w:val="en-GB"/>
        </w:rPr>
        <w:t xml:space="preserve"> </w:t>
      </w:r>
      <w:r w:rsidRPr="00C33C0B">
        <w:rPr>
          <w:lang w:val="en-GB"/>
        </w:rPr>
        <w:t>care provider and consumer education and engagement</w:t>
      </w:r>
      <w:sdt>
        <w:sdtPr>
          <w:rPr>
            <w:lang w:val="en-GB"/>
          </w:rPr>
          <w:id w:val="767896091"/>
          <w:citation/>
        </w:sdtPr>
        <w:sdtEndPr/>
        <w:sdtContent>
          <w:r w:rsidR="00C7146A">
            <w:rPr>
              <w:lang w:val="en-GB"/>
            </w:rPr>
            <w:fldChar w:fldCharType="begin"/>
          </w:r>
          <w:r w:rsidR="00C7146A">
            <w:instrText xml:space="preserve"> CITATION Sig16 \l 3081 </w:instrText>
          </w:r>
          <w:r w:rsidR="00C7146A">
            <w:rPr>
              <w:lang w:val="en-GB"/>
            </w:rPr>
            <w:fldChar w:fldCharType="separate"/>
          </w:r>
          <w:r w:rsidR="00C7146A">
            <w:rPr>
              <w:noProof/>
            </w:rPr>
            <w:t xml:space="preserve"> (21)</w:t>
          </w:r>
          <w:r w:rsidR="00C7146A">
            <w:rPr>
              <w:lang w:val="en-GB"/>
            </w:rPr>
            <w:fldChar w:fldCharType="end"/>
          </w:r>
        </w:sdtContent>
      </w:sdt>
      <w:r w:rsidR="00E0652E">
        <w:rPr>
          <w:lang w:val="en-GB"/>
        </w:rPr>
        <w:t>.</w:t>
      </w:r>
    </w:p>
    <w:p w14:paraId="199FD56B" w14:textId="77777777" w:rsidR="00690EC7" w:rsidRDefault="00FB4475" w:rsidP="00FB4475">
      <w:pPr>
        <w:rPr>
          <w:rFonts w:cstheme="minorHAnsi"/>
          <w:lang w:val="en-GB"/>
        </w:rPr>
      </w:pPr>
      <w:r w:rsidRPr="00C33C0B">
        <w:rPr>
          <w:lang w:val="en-GB"/>
        </w:rPr>
        <w:t>Evaluations of the roll-out of shared electronic health records globally suggest that countries have often quoted time</w:t>
      </w:r>
      <w:r w:rsidR="002B3BAF">
        <w:rPr>
          <w:lang w:val="en-GB"/>
        </w:rPr>
        <w:t xml:space="preserve"> </w:t>
      </w:r>
      <w:r w:rsidRPr="00C33C0B">
        <w:rPr>
          <w:lang w:val="en-GB"/>
        </w:rPr>
        <w:t xml:space="preserve">frames of 10 years or more. </w:t>
      </w:r>
      <w:r w:rsidR="002B3BAF">
        <w:rPr>
          <w:lang w:val="en-GB"/>
        </w:rPr>
        <w:t>Such</w:t>
      </w:r>
      <w:r w:rsidRPr="00C33C0B">
        <w:rPr>
          <w:lang w:val="en-GB"/>
        </w:rPr>
        <w:t xml:space="preserve"> time</w:t>
      </w:r>
      <w:r w:rsidR="002B3BAF">
        <w:rPr>
          <w:lang w:val="en-GB"/>
        </w:rPr>
        <w:t xml:space="preserve"> </w:t>
      </w:r>
      <w:r w:rsidRPr="00C33C0B">
        <w:rPr>
          <w:lang w:val="en-GB"/>
        </w:rPr>
        <w:t xml:space="preserve">frames </w:t>
      </w:r>
      <w:r w:rsidR="00113AE1">
        <w:rPr>
          <w:lang w:val="en-GB"/>
        </w:rPr>
        <w:t>reflect</w:t>
      </w:r>
      <w:r w:rsidR="00785931" w:rsidRPr="00C33C0B">
        <w:rPr>
          <w:lang w:val="en-GB"/>
        </w:rPr>
        <w:t xml:space="preserve"> </w:t>
      </w:r>
      <w:r w:rsidRPr="00C33C0B">
        <w:rPr>
          <w:lang w:val="en-GB"/>
        </w:rPr>
        <w:t>the significant change management required</w:t>
      </w:r>
      <w:r w:rsidR="00C263AE">
        <w:rPr>
          <w:lang w:val="en-GB"/>
        </w:rPr>
        <w:t xml:space="preserve"> and s</w:t>
      </w:r>
      <w:r w:rsidRPr="00C33C0B">
        <w:rPr>
          <w:lang w:val="en-GB"/>
        </w:rPr>
        <w:t>ugges</w:t>
      </w:r>
      <w:r w:rsidR="00C263AE">
        <w:rPr>
          <w:lang w:val="en-GB"/>
        </w:rPr>
        <w:t>t</w:t>
      </w:r>
      <w:r w:rsidRPr="00C33C0B">
        <w:rPr>
          <w:lang w:val="en-GB"/>
        </w:rPr>
        <w:t xml:space="preserve"> </w:t>
      </w:r>
      <w:r w:rsidR="006B7CF5">
        <w:rPr>
          <w:lang w:val="en-GB"/>
        </w:rPr>
        <w:t>a need to</w:t>
      </w:r>
      <w:r w:rsidRPr="00C33C0B">
        <w:rPr>
          <w:lang w:val="en-GB"/>
        </w:rPr>
        <w:t xml:space="preserve"> anticipate and plan for several generations of software</w:t>
      </w:r>
      <w:sdt>
        <w:sdtPr>
          <w:rPr>
            <w:lang w:val="en-GB"/>
          </w:rPr>
          <w:id w:val="2141685238"/>
          <w:citation/>
        </w:sdtPr>
        <w:sdtEndPr/>
        <w:sdtContent>
          <w:r w:rsidR="00C7146A">
            <w:rPr>
              <w:lang w:val="en-GB"/>
            </w:rPr>
            <w:fldChar w:fldCharType="begin"/>
          </w:r>
          <w:r w:rsidR="00C7146A">
            <w:instrText xml:space="preserve"> CITATION Cen08 \l 3081 </w:instrText>
          </w:r>
          <w:r w:rsidR="00C7146A">
            <w:rPr>
              <w:lang w:val="en-GB"/>
            </w:rPr>
            <w:fldChar w:fldCharType="separate"/>
          </w:r>
          <w:r w:rsidR="00C7146A">
            <w:rPr>
              <w:noProof/>
            </w:rPr>
            <w:t xml:space="preserve"> (22)</w:t>
          </w:r>
          <w:r w:rsidR="00C7146A">
            <w:rPr>
              <w:lang w:val="en-GB"/>
            </w:rPr>
            <w:fldChar w:fldCharType="end"/>
          </w:r>
        </w:sdtContent>
      </w:sdt>
      <w:r w:rsidR="00E0652E">
        <w:rPr>
          <w:rStyle w:val="FootnoteReference"/>
          <w:rFonts w:cstheme="minorHAnsi"/>
          <w:vertAlign w:val="baseline"/>
          <w:lang w:val="en-GB"/>
        </w:rPr>
        <w:t>.</w:t>
      </w:r>
    </w:p>
    <w:p w14:paraId="23CB3B0F" w14:textId="77777777" w:rsidR="00690EC7" w:rsidRDefault="00690EC7">
      <w:pPr>
        <w:spacing w:before="0" w:after="0" w:line="240" w:lineRule="auto"/>
        <w:rPr>
          <w:rFonts w:cstheme="minorHAnsi"/>
          <w:lang w:val="en-GB"/>
        </w:rPr>
      </w:pPr>
      <w:r>
        <w:rPr>
          <w:rFonts w:cstheme="minorHAnsi"/>
          <w:lang w:val="en-GB"/>
        </w:rPr>
        <w:br w:type="page"/>
      </w:r>
    </w:p>
    <w:p w14:paraId="46A56DBA" w14:textId="77777777" w:rsidR="003E5720" w:rsidRPr="00C33C0B" w:rsidRDefault="003E5720" w:rsidP="003E5720">
      <w:pPr>
        <w:pStyle w:val="Heading2"/>
      </w:pPr>
      <w:bookmarkStart w:id="209" w:name="_Toc22894023"/>
      <w:bookmarkStart w:id="210" w:name="_Toc24544732"/>
      <w:r w:rsidRPr="00C33C0B">
        <w:t>Recommendation 1</w:t>
      </w:r>
      <w:r>
        <w:t>7 – Incentivise adoption of My Health Record</w:t>
      </w:r>
      <w:bookmarkEnd w:id="209"/>
      <w:bookmarkEnd w:id="210"/>
    </w:p>
    <w:p w14:paraId="536F4E66" w14:textId="77777777" w:rsidR="003E5720" w:rsidRDefault="003E5720" w:rsidP="003E5720">
      <w:r>
        <w:rPr>
          <w:lang w:val="en-US" w:eastAsia="en-US"/>
        </w:rPr>
        <w:t>The Committee recommends:</w:t>
      </w:r>
    </w:p>
    <w:p w14:paraId="701F8EB2" w14:textId="77777777" w:rsidR="003E5720" w:rsidRDefault="003E5720" w:rsidP="003E5720">
      <w:pPr>
        <w:pStyle w:val="Bullet-green"/>
        <w:numPr>
          <w:ilvl w:val="0"/>
          <w:numId w:val="44"/>
        </w:numPr>
      </w:pPr>
      <w:r>
        <w:t xml:space="preserve">introducing a single incentive payment to consultant specialists upon their adoption of My Health Record, </w:t>
      </w:r>
      <w:r w:rsidRPr="00C33C0B">
        <w:t xml:space="preserve">triggered by </w:t>
      </w:r>
      <w:r>
        <w:t xml:space="preserve">achieving a </w:t>
      </w:r>
      <w:r w:rsidRPr="00C33C0B">
        <w:t xml:space="preserve">volume of uploads </w:t>
      </w:r>
      <w:r>
        <w:t>that is proportional to the number of attendances that the provider performs; and</w:t>
      </w:r>
    </w:p>
    <w:p w14:paraId="05B2353C" w14:textId="77777777" w:rsidR="003E5720" w:rsidRDefault="003E5720" w:rsidP="003E5720">
      <w:pPr>
        <w:pStyle w:val="Bullet-green"/>
        <w:numPr>
          <w:ilvl w:val="0"/>
          <w:numId w:val="44"/>
        </w:numPr>
      </w:pPr>
      <w:r>
        <w:t xml:space="preserve">reviewing the effectiveness of the incentive payment after </w:t>
      </w:r>
      <w:r w:rsidR="00690EC7">
        <w:t>a defined period such as two years</w:t>
      </w:r>
      <w:r>
        <w:t>.</w:t>
      </w:r>
    </w:p>
    <w:p w14:paraId="20B0E7EF" w14:textId="77777777" w:rsidR="003E5720" w:rsidRPr="00C33C0B" w:rsidRDefault="003E5720" w:rsidP="003E5720">
      <w:pPr>
        <w:pStyle w:val="Heading2"/>
      </w:pPr>
      <w:bookmarkStart w:id="211" w:name="_Toc22894024"/>
      <w:bookmarkStart w:id="212" w:name="_Toc24544733"/>
      <w:r w:rsidRPr="00C33C0B">
        <w:t>Rationale</w:t>
      </w:r>
      <w:r>
        <w:t xml:space="preserve"> 17</w:t>
      </w:r>
      <w:bookmarkEnd w:id="211"/>
      <w:bookmarkEnd w:id="212"/>
    </w:p>
    <w:p w14:paraId="3DBE8AF3" w14:textId="77777777" w:rsidR="003E5720" w:rsidRDefault="003E5720" w:rsidP="003E5720">
      <w:pPr>
        <w:rPr>
          <w:lang w:val="en-GB"/>
        </w:rPr>
      </w:pPr>
      <w:r>
        <w:rPr>
          <w:lang w:val="en-GB"/>
        </w:rPr>
        <w:t>This recommendation focuses on encouraging use of My Health Record by consultant specialists. It is based on the following:</w:t>
      </w:r>
    </w:p>
    <w:p w14:paraId="51E55EEC" w14:textId="77777777" w:rsidR="003E5720" w:rsidRPr="00803A7E" w:rsidRDefault="003E5720" w:rsidP="003E5720">
      <w:pPr>
        <w:pStyle w:val="Bullet-green"/>
        <w:rPr>
          <w:lang w:val="en-GB"/>
        </w:rPr>
      </w:pPr>
      <w:r w:rsidRPr="00C17F86">
        <w:rPr>
          <w:lang w:val="en-GB"/>
        </w:rPr>
        <w:t>Given current barriers to the uptake of My Health Record, the Committee believes that, in the short term, incentivising consultant specialists to adopt My Health Record will be more effective than mandating its use.</w:t>
      </w:r>
    </w:p>
    <w:p w14:paraId="67776AFC" w14:textId="77777777" w:rsidR="00671DC0" w:rsidRDefault="00671DC0" w:rsidP="00671DC0">
      <w:pPr>
        <w:pStyle w:val="Heading2"/>
      </w:pPr>
      <w:bookmarkStart w:id="213" w:name="_Toc24544734"/>
      <w:r>
        <w:t>Recommendation 1</w:t>
      </w:r>
      <w:r w:rsidR="00690EC7">
        <w:t>8</w:t>
      </w:r>
      <w:r w:rsidR="00F1672E">
        <w:t xml:space="preserve"> –</w:t>
      </w:r>
      <w:r w:rsidR="00690EC7">
        <w:t>U</w:t>
      </w:r>
      <w:r w:rsidR="00A10405">
        <w:t xml:space="preserve">se </w:t>
      </w:r>
      <w:r w:rsidR="00F1672E">
        <w:t>of My Health Record</w:t>
      </w:r>
      <w:r w:rsidR="00690EC7">
        <w:t xml:space="preserve"> for case conferences and complex plans</w:t>
      </w:r>
      <w:bookmarkEnd w:id="213"/>
    </w:p>
    <w:p w14:paraId="6B502AEC" w14:textId="77777777" w:rsidR="00F1672E" w:rsidRDefault="00671DC0" w:rsidP="00607BDA">
      <w:pPr>
        <w:pStyle w:val="Bullet-green"/>
        <w:numPr>
          <w:ilvl w:val="0"/>
          <w:numId w:val="0"/>
        </w:numPr>
      </w:pPr>
      <w:r>
        <w:rPr>
          <w:lang w:val="en-US" w:eastAsia="en-US"/>
        </w:rPr>
        <w:t>The Committee</w:t>
      </w:r>
      <w:r w:rsidR="00F1672E">
        <w:rPr>
          <w:lang w:val="en-US" w:eastAsia="en-US"/>
        </w:rPr>
        <w:t xml:space="preserve"> recommends</w:t>
      </w:r>
      <w:r w:rsidR="009B52AE">
        <w:rPr>
          <w:lang w:val="en-US" w:eastAsia="en-US"/>
        </w:rPr>
        <w:t xml:space="preserve"> </w:t>
      </w:r>
      <w:r w:rsidR="00690EC7">
        <w:rPr>
          <w:lang w:val="en-US" w:eastAsia="en-US"/>
        </w:rPr>
        <w:t xml:space="preserve">that: </w:t>
      </w:r>
    </w:p>
    <w:p w14:paraId="7D8B96B8" w14:textId="77777777" w:rsidR="00690EC7" w:rsidRDefault="00690EC7" w:rsidP="000831A1">
      <w:pPr>
        <w:pStyle w:val="Bullet-green"/>
        <w:numPr>
          <w:ilvl w:val="0"/>
          <w:numId w:val="42"/>
        </w:numPr>
      </w:pPr>
      <w:r>
        <w:t>outcomes of case conferences are uploaded to My Health Record, unless patient consent is withdrawn, and where reasonably achievable, with:</w:t>
      </w:r>
    </w:p>
    <w:p w14:paraId="6F21FBC4" w14:textId="77777777" w:rsidR="00FF3DDE" w:rsidRDefault="00F1672E" w:rsidP="00C035DF">
      <w:pPr>
        <w:pStyle w:val="Bullet-green"/>
        <w:numPr>
          <w:ilvl w:val="1"/>
          <w:numId w:val="42"/>
        </w:numPr>
      </w:pPr>
      <w:r>
        <w:t>f</w:t>
      </w:r>
      <w:r w:rsidR="00671DC0">
        <w:t xml:space="preserve">or treatment planning case conferences, the specialist organising the conference </w:t>
      </w:r>
      <w:r w:rsidR="008F28D4">
        <w:t>responsible for the upload</w:t>
      </w:r>
      <w:r w:rsidR="00B85435">
        <w:t>;</w:t>
      </w:r>
      <w:r>
        <w:t xml:space="preserve"> and</w:t>
      </w:r>
    </w:p>
    <w:p w14:paraId="05C46FD7" w14:textId="77777777" w:rsidR="00021C6C" w:rsidRDefault="00F1672E" w:rsidP="00C035DF">
      <w:pPr>
        <w:pStyle w:val="Bullet-green"/>
        <w:numPr>
          <w:ilvl w:val="1"/>
          <w:numId w:val="42"/>
        </w:numPr>
      </w:pPr>
      <w:r>
        <w:t>f</w:t>
      </w:r>
      <w:r w:rsidR="008F28D4">
        <w:t>or community and discharge case conferences, the GP participating in the case conference responsible for the upload</w:t>
      </w:r>
      <w:r w:rsidR="009B52AE">
        <w:t>.</w:t>
      </w:r>
    </w:p>
    <w:p w14:paraId="5C03324B" w14:textId="77777777" w:rsidR="00FF3DDE" w:rsidRDefault="00FF3DDE" w:rsidP="00FF3DDE">
      <w:pPr>
        <w:pStyle w:val="Bullet-green"/>
        <w:numPr>
          <w:ilvl w:val="0"/>
          <w:numId w:val="42"/>
        </w:numPr>
      </w:pPr>
      <w:r>
        <w:t>geriatric complex plans and paediatric complex plans be uploaded to My Health Record, with the geriatrician or paediatrician responsible for the upload, unless patient consent is withdrawn, and where reasonably achievable.</w:t>
      </w:r>
    </w:p>
    <w:p w14:paraId="01AD4104" w14:textId="77777777" w:rsidR="009B52AE" w:rsidRDefault="009B52AE" w:rsidP="00607BDA">
      <w:pPr>
        <w:rPr>
          <w:i/>
        </w:rPr>
      </w:pPr>
      <w:r w:rsidRPr="00607BDA">
        <w:rPr>
          <w:i/>
        </w:rPr>
        <w:t>Note: See case conference item descriptors in Section 7</w:t>
      </w:r>
      <w:r w:rsidR="007F6438">
        <w:rPr>
          <w:i/>
        </w:rPr>
        <w:t xml:space="preserve"> and Recommendation </w:t>
      </w:r>
      <w:r w:rsidR="00FF3DDE">
        <w:rPr>
          <w:i/>
        </w:rPr>
        <w:t>11</w:t>
      </w:r>
      <w:r w:rsidR="007F6438">
        <w:rPr>
          <w:i/>
        </w:rPr>
        <w:t>e(iv)</w:t>
      </w:r>
      <w:r w:rsidRPr="00607BDA">
        <w:rPr>
          <w:i/>
        </w:rPr>
        <w:t>.</w:t>
      </w:r>
    </w:p>
    <w:p w14:paraId="6EA3DACA" w14:textId="77777777" w:rsidR="00A10405" w:rsidRPr="00C33C0B" w:rsidRDefault="00A10405" w:rsidP="00A10405">
      <w:pPr>
        <w:pStyle w:val="Heading2"/>
      </w:pPr>
      <w:bookmarkStart w:id="214" w:name="_Toc24544735"/>
      <w:r w:rsidRPr="00C33C0B">
        <w:t>Rationale</w:t>
      </w:r>
      <w:r>
        <w:t xml:space="preserve"> 1</w:t>
      </w:r>
      <w:r w:rsidR="00FF3DDE">
        <w:t>8</w:t>
      </w:r>
      <w:bookmarkEnd w:id="214"/>
    </w:p>
    <w:p w14:paraId="1F0D7B43" w14:textId="77777777" w:rsidR="00A10405" w:rsidRDefault="00A10405" w:rsidP="00A10405">
      <w:pPr>
        <w:rPr>
          <w:lang w:val="en-GB"/>
        </w:rPr>
      </w:pPr>
      <w:r>
        <w:rPr>
          <w:lang w:val="en-GB"/>
        </w:rPr>
        <w:t>This recommendation focuses on encouraging the upload of event summaries to My Health Record. It is based on the following:</w:t>
      </w:r>
    </w:p>
    <w:p w14:paraId="633E77E7" w14:textId="77777777" w:rsidR="00A10405" w:rsidRDefault="00A10405" w:rsidP="00607BDA">
      <w:pPr>
        <w:pStyle w:val="Bullet-green"/>
        <w:rPr>
          <w:lang w:val="en-GB"/>
        </w:rPr>
      </w:pPr>
      <w:r>
        <w:rPr>
          <w:lang w:val="en-GB"/>
        </w:rPr>
        <w:t xml:space="preserve">Case conferences facilitate </w:t>
      </w:r>
      <w:r w:rsidRPr="00F25E40">
        <w:rPr>
          <w:lang w:val="en-GB"/>
        </w:rPr>
        <w:t xml:space="preserve">consultant specialist input into </w:t>
      </w:r>
      <w:r>
        <w:rPr>
          <w:lang w:val="en-GB"/>
        </w:rPr>
        <w:t>the management of patient</w:t>
      </w:r>
      <w:r w:rsidR="00F01167">
        <w:rPr>
          <w:lang w:val="en-GB"/>
        </w:rPr>
        <w:t xml:space="preserve"> health care</w:t>
      </w:r>
      <w:r>
        <w:rPr>
          <w:lang w:val="en-GB"/>
        </w:rPr>
        <w:t>, and the upload of case conference outcomes to My Health Record</w:t>
      </w:r>
      <w:r w:rsidR="00FF3DDE">
        <w:rPr>
          <w:lang w:val="en-GB"/>
        </w:rPr>
        <w:t>, along with the upload of paediatric and geriatric complex plans,</w:t>
      </w:r>
      <w:r>
        <w:rPr>
          <w:lang w:val="en-GB"/>
        </w:rPr>
        <w:t xml:space="preserve"> is considered central to support integrated care.</w:t>
      </w:r>
    </w:p>
    <w:p w14:paraId="6E8ACC74" w14:textId="77777777" w:rsidR="00A10405" w:rsidRPr="00607BDA" w:rsidRDefault="00A10405" w:rsidP="00607BDA">
      <w:pPr>
        <w:pStyle w:val="Bullet-green"/>
        <w:rPr>
          <w:lang w:val="en-GB"/>
        </w:rPr>
      </w:pPr>
      <w:r>
        <w:rPr>
          <w:lang w:val="en-GB"/>
        </w:rPr>
        <w:t xml:space="preserve">This will assist patients and their health care professionals through the enhancement of the information available. </w:t>
      </w:r>
    </w:p>
    <w:p w14:paraId="5DD281CA" w14:textId="77777777" w:rsidR="009B52AE" w:rsidRDefault="009B52AE" w:rsidP="00607BDA">
      <w:pPr>
        <w:pStyle w:val="Heading2"/>
      </w:pPr>
      <w:bookmarkStart w:id="215" w:name="_Toc528922283"/>
      <w:bookmarkStart w:id="216" w:name="_Toc528950828"/>
      <w:bookmarkStart w:id="217" w:name="_Toc529028106"/>
      <w:bookmarkStart w:id="218" w:name="_Toc530121947"/>
      <w:bookmarkStart w:id="219" w:name="_Toc530122124"/>
      <w:bookmarkStart w:id="220" w:name="_Toc24544738"/>
      <w:bookmarkEnd w:id="215"/>
      <w:bookmarkEnd w:id="216"/>
      <w:bookmarkEnd w:id="217"/>
      <w:bookmarkEnd w:id="218"/>
      <w:bookmarkEnd w:id="219"/>
      <w:r>
        <w:t>Recommendation 1</w:t>
      </w:r>
      <w:r w:rsidR="00FF3DDE">
        <w:t>9</w:t>
      </w:r>
      <w:r>
        <w:t xml:space="preserve"> </w:t>
      </w:r>
      <w:r w:rsidR="00A10405">
        <w:t>–</w:t>
      </w:r>
      <w:r>
        <w:t xml:space="preserve"> </w:t>
      </w:r>
      <w:r w:rsidR="00A10405">
        <w:t>Encourage adoption of My Health Record</w:t>
      </w:r>
      <w:bookmarkEnd w:id="220"/>
    </w:p>
    <w:p w14:paraId="6FCA01C4" w14:textId="77777777" w:rsidR="009B52AE" w:rsidRDefault="009B52AE" w:rsidP="00607BDA">
      <w:pPr>
        <w:pStyle w:val="Bullet-green"/>
        <w:numPr>
          <w:ilvl w:val="0"/>
          <w:numId w:val="0"/>
        </w:numPr>
        <w:ind w:left="431" w:hanging="431"/>
      </w:pPr>
      <w:r>
        <w:t>The Committee recommends:</w:t>
      </w:r>
    </w:p>
    <w:p w14:paraId="33B29ECF" w14:textId="77777777" w:rsidR="009B52AE" w:rsidRPr="00C33C0B" w:rsidRDefault="009B52AE" w:rsidP="000831A1">
      <w:pPr>
        <w:pStyle w:val="Bullet-green"/>
        <w:numPr>
          <w:ilvl w:val="0"/>
          <w:numId w:val="45"/>
        </w:numPr>
      </w:pPr>
      <w:r>
        <w:t>improving the functionality of My Health Record and educate consultant special</w:t>
      </w:r>
      <w:r w:rsidR="00B85435">
        <w:t>ists on the benefits of its use;</w:t>
      </w:r>
    </w:p>
    <w:p w14:paraId="66834689" w14:textId="77777777" w:rsidR="009B52AE" w:rsidRPr="00C33C0B" w:rsidRDefault="009B52AE" w:rsidP="000831A1">
      <w:pPr>
        <w:pStyle w:val="Bullet-green"/>
        <w:numPr>
          <w:ilvl w:val="0"/>
          <w:numId w:val="45"/>
        </w:numPr>
      </w:pPr>
      <w:r>
        <w:t>c</w:t>
      </w:r>
      <w:r w:rsidRPr="00C33C0B">
        <w:t>ontinu</w:t>
      </w:r>
      <w:r>
        <w:t>ing</w:t>
      </w:r>
      <w:r w:rsidRPr="00C33C0B">
        <w:t xml:space="preserve"> to develop and enhance the functionality and </w:t>
      </w:r>
      <w:r>
        <w:t xml:space="preserve">ability to search the </w:t>
      </w:r>
      <w:r w:rsidRPr="00C33C0B">
        <w:t>data of My Health Record</w:t>
      </w:r>
      <w:r>
        <w:t>, so that</w:t>
      </w:r>
      <w:r w:rsidRPr="00C33C0B">
        <w:t xml:space="preserve"> </w:t>
      </w:r>
      <w:r>
        <w:t>it</w:t>
      </w:r>
      <w:r w:rsidRPr="00C33C0B">
        <w:t xml:space="preserve"> become</w:t>
      </w:r>
      <w:r>
        <w:t xml:space="preserve">s </w:t>
      </w:r>
      <w:r w:rsidRPr="00C33C0B">
        <w:t>a value-add tool for</w:t>
      </w:r>
      <w:r w:rsidR="00CC3A63">
        <w:t xml:space="preserve"> consumers and</w:t>
      </w:r>
      <w:r w:rsidRPr="00C33C0B">
        <w:t xml:space="preserve"> clinicians in day</w:t>
      </w:r>
      <w:r>
        <w:t>-</w:t>
      </w:r>
      <w:r w:rsidRPr="00C33C0B">
        <w:t>to</w:t>
      </w:r>
      <w:r>
        <w:t>-</w:t>
      </w:r>
      <w:r w:rsidRPr="00C33C0B">
        <w:t>day quality patient care</w:t>
      </w:r>
      <w:r w:rsidR="00B85435">
        <w:t>;</w:t>
      </w:r>
    </w:p>
    <w:p w14:paraId="5535DFB8" w14:textId="77777777" w:rsidR="009B52AE" w:rsidRDefault="009B52AE" w:rsidP="000831A1">
      <w:pPr>
        <w:pStyle w:val="Bullet-green"/>
        <w:numPr>
          <w:ilvl w:val="0"/>
          <w:numId w:val="45"/>
        </w:numPr>
      </w:pPr>
      <w:r>
        <w:t>b</w:t>
      </w:r>
      <w:r w:rsidRPr="00C33C0B">
        <w:t>roaden</w:t>
      </w:r>
      <w:r>
        <w:t>ing</w:t>
      </w:r>
      <w:r w:rsidRPr="00C33C0B">
        <w:t xml:space="preserve"> training for health</w:t>
      </w:r>
      <w:r>
        <w:t xml:space="preserve"> </w:t>
      </w:r>
      <w:r w:rsidRPr="00C33C0B">
        <w:t>care providers to include education about using the My Health Record system clinically</w:t>
      </w:r>
      <w:r>
        <w:t>,</w:t>
      </w:r>
      <w:r w:rsidRPr="00C33C0B">
        <w:t xml:space="preserve"> and about its benefits for patients and the health system</w:t>
      </w:r>
      <w:r w:rsidR="00B85435">
        <w:t>;</w:t>
      </w:r>
      <w:r>
        <w:t xml:space="preserve"> </w:t>
      </w:r>
    </w:p>
    <w:p w14:paraId="0ED4698B" w14:textId="77777777" w:rsidR="009B52AE" w:rsidRPr="00C33C0B" w:rsidRDefault="009B52AE" w:rsidP="000831A1">
      <w:pPr>
        <w:pStyle w:val="BulletStyle3"/>
        <w:numPr>
          <w:ilvl w:val="0"/>
          <w:numId w:val="43"/>
        </w:numPr>
      </w:pPr>
      <w:r>
        <w:t>including the development of</w:t>
      </w:r>
      <w:r w:rsidRPr="00C33C0B">
        <w:t xml:space="preserve"> appropriate scenarios relevant to the full range of health</w:t>
      </w:r>
      <w:r>
        <w:t xml:space="preserve"> </w:t>
      </w:r>
      <w:r w:rsidRPr="00C33C0B">
        <w:t>care providers across disciplines and clinical settings</w:t>
      </w:r>
      <w:r w:rsidR="006D683C">
        <w:t>.</w:t>
      </w:r>
    </w:p>
    <w:p w14:paraId="05E1A8DB" w14:textId="77777777" w:rsidR="009B52AE" w:rsidRPr="00607BDA" w:rsidRDefault="009B52AE" w:rsidP="000831A1">
      <w:pPr>
        <w:pStyle w:val="Bullet-green"/>
        <w:numPr>
          <w:ilvl w:val="0"/>
          <w:numId w:val="45"/>
        </w:numPr>
      </w:pPr>
      <w:r>
        <w:t>w</w:t>
      </w:r>
      <w:r w:rsidRPr="00C33C0B">
        <w:t>ork</w:t>
      </w:r>
      <w:r>
        <w:t>ing</w:t>
      </w:r>
      <w:r w:rsidRPr="00C33C0B">
        <w:t xml:space="preserve"> with academic institutions to embed digital health competencies </w:t>
      </w:r>
      <w:r>
        <w:t xml:space="preserve">into undergraduate and </w:t>
      </w:r>
      <w:r w:rsidRPr="00C33C0B">
        <w:t xml:space="preserve">postgraduate </w:t>
      </w:r>
      <w:r>
        <w:t xml:space="preserve">training </w:t>
      </w:r>
      <w:r w:rsidRPr="00C33C0B">
        <w:t>and CPD program</w:t>
      </w:r>
      <w:r>
        <w:t>me</w:t>
      </w:r>
      <w:r w:rsidRPr="00C33C0B">
        <w:t>s</w:t>
      </w:r>
      <w:r w:rsidR="00B85435">
        <w:t>.</w:t>
      </w:r>
      <w:r w:rsidRPr="00C33C0B">
        <w:t xml:space="preserve"> </w:t>
      </w:r>
    </w:p>
    <w:p w14:paraId="3D17853E" w14:textId="77777777" w:rsidR="00FB4475" w:rsidRPr="00C33C0B" w:rsidRDefault="00E3109A" w:rsidP="0023502C">
      <w:pPr>
        <w:pStyle w:val="Heading2"/>
      </w:pPr>
      <w:bookmarkStart w:id="221" w:name="_Toc528922285"/>
      <w:bookmarkStart w:id="222" w:name="_Toc528950830"/>
      <w:bookmarkStart w:id="223" w:name="_Toc529028108"/>
      <w:bookmarkStart w:id="224" w:name="_Toc530121949"/>
      <w:bookmarkStart w:id="225" w:name="_Toc530122126"/>
      <w:bookmarkStart w:id="226" w:name="_Toc24544739"/>
      <w:bookmarkEnd w:id="221"/>
      <w:bookmarkEnd w:id="222"/>
      <w:bookmarkEnd w:id="223"/>
      <w:bookmarkEnd w:id="224"/>
      <w:bookmarkEnd w:id="225"/>
      <w:r w:rsidRPr="00C33C0B">
        <w:t>Rationale</w:t>
      </w:r>
      <w:r w:rsidR="00914FBE">
        <w:t xml:space="preserve"> </w:t>
      </w:r>
      <w:r w:rsidR="00A10405">
        <w:t>1</w:t>
      </w:r>
      <w:r w:rsidR="00FF3DDE">
        <w:t>9</w:t>
      </w:r>
      <w:bookmarkEnd w:id="226"/>
    </w:p>
    <w:p w14:paraId="4A5F7164" w14:textId="77777777" w:rsidR="0023502C" w:rsidRDefault="0023502C" w:rsidP="00FB4475">
      <w:pPr>
        <w:rPr>
          <w:lang w:val="en-GB"/>
        </w:rPr>
      </w:pPr>
      <w:r>
        <w:rPr>
          <w:lang w:val="en-GB"/>
        </w:rPr>
        <w:t>Th</w:t>
      </w:r>
      <w:r w:rsidR="00D328AD">
        <w:rPr>
          <w:lang w:val="en-GB"/>
        </w:rPr>
        <w:t>is</w:t>
      </w:r>
      <w:r>
        <w:rPr>
          <w:lang w:val="en-GB"/>
        </w:rPr>
        <w:t xml:space="preserve"> recommendation focuses on </w:t>
      </w:r>
      <w:r w:rsidR="00D328AD">
        <w:rPr>
          <w:lang w:val="en-GB"/>
        </w:rPr>
        <w:t>further enhancing My Health Record to improve health outcomes and improve the efficiency of the overall system</w:t>
      </w:r>
      <w:r w:rsidR="00DC3978">
        <w:rPr>
          <w:lang w:val="en-GB"/>
        </w:rPr>
        <w:t>.</w:t>
      </w:r>
      <w:r>
        <w:rPr>
          <w:lang w:val="en-GB"/>
        </w:rPr>
        <w:t xml:space="preserve"> It is based on the following</w:t>
      </w:r>
      <w:r w:rsidR="00CB271F">
        <w:rPr>
          <w:lang w:val="en-GB"/>
        </w:rPr>
        <w:t>:</w:t>
      </w:r>
    </w:p>
    <w:p w14:paraId="4A8DE950" w14:textId="77777777" w:rsidR="00803A7E" w:rsidRDefault="00445203" w:rsidP="00803A7E">
      <w:pPr>
        <w:pStyle w:val="Bullet-green"/>
        <w:rPr>
          <w:lang w:val="en-GB"/>
        </w:rPr>
      </w:pPr>
      <w:r>
        <w:rPr>
          <w:lang w:val="en-GB"/>
        </w:rPr>
        <w:t>The Committee noted the evidence that e</w:t>
      </w:r>
      <w:r w:rsidRPr="00C33C0B">
        <w:rPr>
          <w:lang w:val="en-GB"/>
        </w:rPr>
        <w:t xml:space="preserve">lectronic </w:t>
      </w:r>
      <w:r>
        <w:rPr>
          <w:lang w:val="en-GB"/>
        </w:rPr>
        <w:t>h</w:t>
      </w:r>
      <w:r w:rsidRPr="00C33C0B">
        <w:rPr>
          <w:lang w:val="en-GB"/>
        </w:rPr>
        <w:t xml:space="preserve">ealth </w:t>
      </w:r>
      <w:r>
        <w:rPr>
          <w:lang w:val="en-GB"/>
        </w:rPr>
        <w:t>r</w:t>
      </w:r>
      <w:r w:rsidRPr="00C33C0B">
        <w:rPr>
          <w:lang w:val="en-GB"/>
        </w:rPr>
        <w:t xml:space="preserve">ecords can </w:t>
      </w:r>
      <w:r>
        <w:rPr>
          <w:lang w:val="en-GB"/>
        </w:rPr>
        <w:t>e</w:t>
      </w:r>
      <w:r w:rsidRPr="00C33C0B">
        <w:rPr>
          <w:lang w:val="en-GB"/>
        </w:rPr>
        <w:t>nhance information sharing between patients and providers</w:t>
      </w:r>
      <w:r>
        <w:rPr>
          <w:lang w:val="en-GB"/>
        </w:rPr>
        <w:t xml:space="preserve"> and thereby promote safe practice, support self-management and </w:t>
      </w:r>
      <w:r w:rsidRPr="00C33C0B">
        <w:rPr>
          <w:lang w:val="en-GB"/>
        </w:rPr>
        <w:t>improve patient care</w:t>
      </w:r>
      <w:sdt>
        <w:sdtPr>
          <w:rPr>
            <w:lang w:val="en-GB"/>
          </w:rPr>
          <w:id w:val="1841728547"/>
          <w:citation/>
        </w:sdtPr>
        <w:sdtEndPr/>
        <w:sdtContent>
          <w:r w:rsidR="00C7146A">
            <w:rPr>
              <w:lang w:val="en-GB"/>
            </w:rPr>
            <w:fldChar w:fldCharType="begin"/>
          </w:r>
          <w:r w:rsidR="00C7146A">
            <w:instrText xml:space="preserve"> CITATION NIC16 \l 3081 </w:instrText>
          </w:r>
          <w:r w:rsidR="00C7146A">
            <w:rPr>
              <w:lang w:val="en-GB"/>
            </w:rPr>
            <w:fldChar w:fldCharType="separate"/>
          </w:r>
          <w:r w:rsidR="00C7146A">
            <w:rPr>
              <w:noProof/>
            </w:rPr>
            <w:t xml:space="preserve"> (23)</w:t>
          </w:r>
          <w:r w:rsidR="00C7146A">
            <w:rPr>
              <w:lang w:val="en-GB"/>
            </w:rPr>
            <w:fldChar w:fldCharType="end"/>
          </w:r>
        </w:sdtContent>
      </w:sdt>
      <w:r w:rsidR="00DC3978" w:rsidRPr="00C17F86">
        <w:rPr>
          <w:lang w:val="en-GB"/>
        </w:rPr>
        <w:t>.</w:t>
      </w:r>
      <w:r w:rsidR="00FB4475" w:rsidRPr="00C17F86">
        <w:rPr>
          <w:lang w:val="en-GB"/>
        </w:rPr>
        <w:t xml:space="preserve"> </w:t>
      </w:r>
    </w:p>
    <w:p w14:paraId="413C6FB0" w14:textId="77777777" w:rsidR="00445203" w:rsidRDefault="00445203" w:rsidP="00803A7E">
      <w:pPr>
        <w:pStyle w:val="Bullet-green"/>
        <w:rPr>
          <w:lang w:val="en-GB"/>
        </w:rPr>
      </w:pPr>
      <w:r>
        <w:rPr>
          <w:lang w:val="en-GB"/>
        </w:rPr>
        <w:t>The Committee agreed that systems that support professionals in their practice efficiently and effectively are more likely to be adopted and sustainable into the future. The Committee also agreed that use of My Health Record needed to continually move with changes in clinical best practice and reflect the needs of patients and their practitioners.</w:t>
      </w:r>
    </w:p>
    <w:p w14:paraId="469593AB" w14:textId="77777777" w:rsidR="00445203" w:rsidRPr="00803A7E" w:rsidRDefault="00445203" w:rsidP="00803A7E">
      <w:pPr>
        <w:pStyle w:val="Bullet-green"/>
        <w:rPr>
          <w:lang w:val="en-GB"/>
        </w:rPr>
      </w:pPr>
      <w:r>
        <w:rPr>
          <w:lang w:val="en-GB"/>
        </w:rPr>
        <w:t>The Committee noted that creating awareness was only the first step in encouraging adoption with continuing professional</w:t>
      </w:r>
      <w:r w:rsidR="00F01167">
        <w:rPr>
          <w:lang w:val="en-GB"/>
        </w:rPr>
        <w:t xml:space="preserve"> and consumer</w:t>
      </w:r>
      <w:r>
        <w:rPr>
          <w:lang w:val="en-GB"/>
        </w:rPr>
        <w:t xml:space="preserve"> education necessary to support ongoing use. </w:t>
      </w:r>
    </w:p>
    <w:p w14:paraId="734EF410" w14:textId="77777777" w:rsidR="00803A7E" w:rsidRDefault="00172119" w:rsidP="00172119">
      <w:pPr>
        <w:pStyle w:val="Heading1"/>
      </w:pPr>
      <w:bookmarkStart w:id="227" w:name="_Hlk524335574"/>
      <w:r>
        <w:t xml:space="preserve"> </w:t>
      </w:r>
      <w:bookmarkStart w:id="228" w:name="_Toc24544740"/>
      <w:r w:rsidR="00803A7E">
        <w:t>Referral practices recommendations</w:t>
      </w:r>
      <w:bookmarkEnd w:id="228"/>
    </w:p>
    <w:p w14:paraId="36F60E10" w14:textId="77777777" w:rsidR="00181A30" w:rsidRPr="00181A30" w:rsidRDefault="00181A30" w:rsidP="00607BDA">
      <w:pPr>
        <w:spacing w:before="0" w:after="0" w:line="276" w:lineRule="auto"/>
        <w:rPr>
          <w:rFonts w:ascii="Calibri" w:hAnsi="Calibri" w:cs="Calibri"/>
          <w:szCs w:val="22"/>
        </w:rPr>
      </w:pPr>
      <w:r w:rsidRPr="00181A30">
        <w:rPr>
          <w:rFonts w:ascii="Calibri" w:hAnsi="Calibri" w:cs="Calibri"/>
          <w:szCs w:val="22"/>
        </w:rPr>
        <w:t xml:space="preserve">As part of the review of attendances, the Committee considered the suitability of current referral practices for specialists. </w:t>
      </w:r>
    </w:p>
    <w:p w14:paraId="18864638" w14:textId="77777777" w:rsidR="00181A30" w:rsidRPr="00181A30" w:rsidRDefault="00181A30" w:rsidP="00607BDA">
      <w:pPr>
        <w:spacing w:before="0" w:after="0" w:line="276" w:lineRule="auto"/>
        <w:rPr>
          <w:rFonts w:ascii="Calibri" w:hAnsi="Calibri" w:cs="Calibri"/>
          <w:szCs w:val="22"/>
        </w:rPr>
      </w:pPr>
      <w:r w:rsidRPr="00181A30">
        <w:rPr>
          <w:rFonts w:ascii="Calibri" w:hAnsi="Calibri" w:cs="Calibri"/>
          <w:szCs w:val="22"/>
        </w:rPr>
        <w:t> </w:t>
      </w:r>
    </w:p>
    <w:p w14:paraId="724093FA" w14:textId="77777777" w:rsidR="00181A30" w:rsidRPr="00181A30" w:rsidRDefault="00181A30" w:rsidP="00607BDA">
      <w:pPr>
        <w:spacing w:before="0" w:after="0" w:line="276" w:lineRule="auto"/>
        <w:rPr>
          <w:rFonts w:ascii="Calibri" w:hAnsi="Calibri" w:cs="Calibri"/>
          <w:szCs w:val="22"/>
        </w:rPr>
      </w:pPr>
      <w:r w:rsidRPr="00181A30">
        <w:rPr>
          <w:rFonts w:ascii="Calibri" w:hAnsi="Calibri" w:cs="Calibri"/>
          <w:szCs w:val="22"/>
        </w:rPr>
        <w:t>The Committee supports the principles that GPs should remain actively involved in the patient's care when being referred between specialists</w:t>
      </w:r>
      <w:r w:rsidR="00FF3DDE">
        <w:rPr>
          <w:rFonts w:ascii="Calibri" w:hAnsi="Calibri" w:cs="Calibri"/>
          <w:szCs w:val="22"/>
        </w:rPr>
        <w:t xml:space="preserve"> and recognises that patients require adequate time to visit their referred specialist.</w:t>
      </w:r>
    </w:p>
    <w:p w14:paraId="3279E285" w14:textId="77777777" w:rsidR="00181A30" w:rsidRPr="00181A30" w:rsidRDefault="00181A30" w:rsidP="00607BDA">
      <w:pPr>
        <w:spacing w:before="0" w:after="0" w:line="276" w:lineRule="auto"/>
        <w:rPr>
          <w:rFonts w:ascii="Calibri" w:hAnsi="Calibri" w:cs="Calibri"/>
          <w:szCs w:val="22"/>
        </w:rPr>
      </w:pPr>
      <w:r w:rsidRPr="00181A30">
        <w:rPr>
          <w:rFonts w:ascii="Calibri" w:hAnsi="Calibri" w:cs="Calibri"/>
          <w:szCs w:val="22"/>
        </w:rPr>
        <w:t> </w:t>
      </w:r>
    </w:p>
    <w:p w14:paraId="08F3D62C" w14:textId="77777777" w:rsidR="001B4414" w:rsidRDefault="00181A30" w:rsidP="00607BDA">
      <w:pPr>
        <w:spacing w:before="0" w:after="0" w:line="276" w:lineRule="auto"/>
        <w:rPr>
          <w:rFonts w:ascii="Calibri" w:hAnsi="Calibri" w:cs="Calibri"/>
          <w:szCs w:val="22"/>
        </w:rPr>
      </w:pPr>
      <w:r w:rsidRPr="00181A30">
        <w:rPr>
          <w:rFonts w:ascii="Calibri" w:hAnsi="Calibri" w:cs="Calibri"/>
          <w:szCs w:val="22"/>
        </w:rPr>
        <w:t>The Committee also acknowledges the importance of allied health services as an integral part of a specialist treatment plan for many common conditions and has made recommendations for specialist-referred AHP services to improve access for patients and streamline access to relevant</w:t>
      </w:r>
      <w:r>
        <w:rPr>
          <w:rFonts w:ascii="Calibri" w:hAnsi="Calibri" w:cs="Calibri"/>
          <w:szCs w:val="22"/>
        </w:rPr>
        <w:t xml:space="preserve"> multidisciplinary</w:t>
      </w:r>
      <w:r w:rsidRPr="00181A30">
        <w:rPr>
          <w:rFonts w:ascii="Calibri" w:hAnsi="Calibri" w:cs="Calibri"/>
          <w:szCs w:val="22"/>
        </w:rPr>
        <w:t xml:space="preserve"> treatment.</w:t>
      </w:r>
    </w:p>
    <w:p w14:paraId="0D6BFEE6" w14:textId="77777777" w:rsidR="00181A30" w:rsidRPr="00607BDA" w:rsidRDefault="00181A30" w:rsidP="00607BDA">
      <w:pPr>
        <w:spacing w:before="0" w:after="0" w:line="240" w:lineRule="auto"/>
        <w:rPr>
          <w:rFonts w:ascii="Calibri" w:hAnsi="Calibri" w:cs="Calibri"/>
          <w:szCs w:val="22"/>
        </w:rPr>
      </w:pPr>
    </w:p>
    <w:p w14:paraId="031E77C7" w14:textId="77777777" w:rsidR="000A5CE9" w:rsidRDefault="000A5CE9" w:rsidP="000A5CE9">
      <w:pPr>
        <w:pStyle w:val="Heading2"/>
      </w:pPr>
      <w:bookmarkStart w:id="229" w:name="_Toc24544741"/>
      <w:bookmarkStart w:id="230" w:name="_Hlk529008524"/>
      <w:r>
        <w:t xml:space="preserve">Recommendation </w:t>
      </w:r>
      <w:r w:rsidR="00FF3DDE">
        <w:t>20</w:t>
      </w:r>
      <w:r w:rsidR="00787666">
        <w:t xml:space="preserve"> – </w:t>
      </w:r>
      <w:r w:rsidR="00FF3DDE">
        <w:t xml:space="preserve">Extend </w:t>
      </w:r>
      <w:r w:rsidR="00787666">
        <w:t>the current specialist to specialist referral validity period</w:t>
      </w:r>
      <w:bookmarkEnd w:id="229"/>
    </w:p>
    <w:p w14:paraId="42E5C5F0" w14:textId="77777777" w:rsidR="000A5CE9" w:rsidRDefault="00803E7D" w:rsidP="00607BDA">
      <w:pPr>
        <w:pStyle w:val="Bullet-green"/>
        <w:numPr>
          <w:ilvl w:val="0"/>
          <w:numId w:val="0"/>
        </w:numPr>
        <w:rPr>
          <w:lang w:val="en-US" w:eastAsia="en-US"/>
        </w:rPr>
      </w:pPr>
      <w:r>
        <w:rPr>
          <w:lang w:val="en-US" w:eastAsia="en-US"/>
        </w:rPr>
        <w:t xml:space="preserve">The Committee recommends </w:t>
      </w:r>
      <w:r w:rsidR="00FF3DDE">
        <w:rPr>
          <w:lang w:val="en-US" w:eastAsia="en-US"/>
        </w:rPr>
        <w:t xml:space="preserve">extending </w:t>
      </w:r>
      <w:r>
        <w:rPr>
          <w:lang w:val="en-US" w:eastAsia="en-US"/>
        </w:rPr>
        <w:t xml:space="preserve">the </w:t>
      </w:r>
      <w:r w:rsidR="000A5CE9">
        <w:rPr>
          <w:lang w:val="en-US" w:eastAsia="en-US"/>
        </w:rPr>
        <w:t xml:space="preserve">specialist-to-specialist referral validity </w:t>
      </w:r>
      <w:r w:rsidR="00FF3DDE">
        <w:rPr>
          <w:lang w:val="en-US" w:eastAsia="en-US"/>
        </w:rPr>
        <w:t xml:space="preserve">from </w:t>
      </w:r>
      <w:r w:rsidR="000A5CE9">
        <w:rPr>
          <w:lang w:val="en-US" w:eastAsia="en-US"/>
        </w:rPr>
        <w:t xml:space="preserve">three </w:t>
      </w:r>
      <w:r w:rsidR="00FF3DDE">
        <w:rPr>
          <w:lang w:val="en-US" w:eastAsia="en-US"/>
        </w:rPr>
        <w:t xml:space="preserve">to six </w:t>
      </w:r>
      <w:r w:rsidR="000A5CE9">
        <w:rPr>
          <w:lang w:val="en-US" w:eastAsia="en-US"/>
        </w:rPr>
        <w:t>months.</w:t>
      </w:r>
      <w:r w:rsidR="00F01167">
        <w:rPr>
          <w:lang w:val="en-US" w:eastAsia="en-US"/>
        </w:rPr>
        <w:t xml:space="preserve"> This </w:t>
      </w:r>
      <w:r w:rsidR="00D275E0">
        <w:rPr>
          <w:lang w:val="en-US" w:eastAsia="en-US"/>
        </w:rPr>
        <w:t xml:space="preserve">change </w:t>
      </w:r>
      <w:r w:rsidR="00F01167">
        <w:rPr>
          <w:lang w:val="en-US" w:eastAsia="en-US"/>
        </w:rPr>
        <w:t>does not affect the capacity for GPs to provide</w:t>
      </w:r>
      <w:r w:rsidR="00D275E0">
        <w:rPr>
          <w:lang w:val="en-US" w:eastAsia="en-US"/>
        </w:rPr>
        <w:t xml:space="preserve"> referrals to consultant specialists in accordance with the MBS requirements</w:t>
      </w:r>
      <w:r w:rsidR="00F01167">
        <w:rPr>
          <w:lang w:val="en-US" w:eastAsia="en-US"/>
        </w:rPr>
        <w:t>.</w:t>
      </w:r>
    </w:p>
    <w:p w14:paraId="03E76E52" w14:textId="77777777" w:rsidR="000A5CE9" w:rsidRDefault="000A5CE9" w:rsidP="000A5CE9">
      <w:pPr>
        <w:pStyle w:val="Heading2"/>
      </w:pPr>
      <w:bookmarkStart w:id="231" w:name="_Toc24544742"/>
      <w:bookmarkEnd w:id="230"/>
      <w:r>
        <w:t>Rationale</w:t>
      </w:r>
      <w:r w:rsidR="00C83279">
        <w:t xml:space="preserve"> </w:t>
      </w:r>
      <w:r w:rsidR="00FF3DDE">
        <w:t>20</w:t>
      </w:r>
      <w:bookmarkEnd w:id="231"/>
    </w:p>
    <w:p w14:paraId="607FFA02" w14:textId="77777777" w:rsidR="00E85307" w:rsidRDefault="000A5CE9" w:rsidP="00607BDA">
      <w:pPr>
        <w:pStyle w:val="Bullet-green"/>
        <w:numPr>
          <w:ilvl w:val="0"/>
          <w:numId w:val="0"/>
        </w:numPr>
        <w:rPr>
          <w:lang w:val="en-US" w:eastAsia="en-US"/>
        </w:rPr>
      </w:pPr>
      <w:r>
        <w:rPr>
          <w:lang w:val="en-US" w:eastAsia="en-US"/>
        </w:rPr>
        <w:t>This recommendation focuses on</w:t>
      </w:r>
      <w:r w:rsidR="00E85307">
        <w:rPr>
          <w:lang w:val="en-US" w:eastAsia="en-US"/>
        </w:rPr>
        <w:t xml:space="preserve"> striking a balance between patient convenience and </w:t>
      </w:r>
      <w:r w:rsidR="00475386">
        <w:rPr>
          <w:lang w:val="en-US" w:eastAsia="en-US"/>
        </w:rPr>
        <w:t>enabling</w:t>
      </w:r>
      <w:r w:rsidR="00E85307">
        <w:rPr>
          <w:lang w:val="en-US" w:eastAsia="en-US"/>
        </w:rPr>
        <w:t xml:space="preserve"> GP</w:t>
      </w:r>
      <w:r w:rsidR="001E5FFD">
        <w:rPr>
          <w:lang w:val="en-US" w:eastAsia="en-US"/>
        </w:rPr>
        <w:t xml:space="preserve"> </w:t>
      </w:r>
      <w:r w:rsidR="00475386">
        <w:rPr>
          <w:lang w:val="en-US" w:eastAsia="en-US"/>
        </w:rPr>
        <w:t>oversight of patient care. It is based on the following</w:t>
      </w:r>
      <w:r w:rsidR="00CB271F">
        <w:rPr>
          <w:lang w:val="en-US" w:eastAsia="en-US"/>
        </w:rPr>
        <w:t>:</w:t>
      </w:r>
    </w:p>
    <w:p w14:paraId="28A6FDBD" w14:textId="77777777" w:rsidR="00E85307" w:rsidRPr="0019507E" w:rsidRDefault="00E61C36" w:rsidP="00607BDA">
      <w:pPr>
        <w:pStyle w:val="Bullet-green"/>
      </w:pPr>
      <w:r w:rsidRPr="00607BDA">
        <w:rPr>
          <w:lang w:val="en-US" w:eastAsia="en-US"/>
        </w:rPr>
        <w:t>The Committee noted</w:t>
      </w:r>
      <w:r w:rsidR="00EA47AF" w:rsidRPr="00607BDA">
        <w:rPr>
          <w:lang w:val="en-US" w:eastAsia="en-US"/>
        </w:rPr>
        <w:t xml:space="preserve"> that </w:t>
      </w:r>
      <w:r w:rsidRPr="00607BDA">
        <w:rPr>
          <w:lang w:val="en-US" w:eastAsia="en-US"/>
        </w:rPr>
        <w:t>specialist-to-specialist referrals are increasingly common</w:t>
      </w:r>
      <w:r w:rsidR="00454FD0" w:rsidRPr="00607BDA">
        <w:rPr>
          <w:lang w:val="en-US" w:eastAsia="en-US"/>
        </w:rPr>
        <w:t xml:space="preserve"> </w:t>
      </w:r>
      <w:r w:rsidR="00EA47AF" w:rsidRPr="00607BDA">
        <w:rPr>
          <w:lang w:val="en-US" w:eastAsia="en-US"/>
        </w:rPr>
        <w:t xml:space="preserve">in modern clinical practice </w:t>
      </w:r>
      <w:r w:rsidR="00454FD0" w:rsidRPr="00607BDA">
        <w:rPr>
          <w:lang w:val="en-US" w:eastAsia="en-US"/>
        </w:rPr>
        <w:t xml:space="preserve">and </w:t>
      </w:r>
      <w:r w:rsidR="00787666">
        <w:rPr>
          <w:lang w:val="en-US" w:eastAsia="en-US"/>
        </w:rPr>
        <w:t>recommend</w:t>
      </w:r>
      <w:r w:rsidR="00FF3DDE">
        <w:rPr>
          <w:lang w:val="en-US" w:eastAsia="en-US"/>
        </w:rPr>
        <w:t>s</w:t>
      </w:r>
      <w:r w:rsidR="00475386" w:rsidRPr="00607BDA">
        <w:rPr>
          <w:lang w:val="en-US" w:eastAsia="en-US"/>
        </w:rPr>
        <w:t xml:space="preserve"> </w:t>
      </w:r>
      <w:r w:rsidR="00EA47AF" w:rsidRPr="00607BDA">
        <w:rPr>
          <w:lang w:val="en-US" w:eastAsia="en-US"/>
        </w:rPr>
        <w:t>increas</w:t>
      </w:r>
      <w:r w:rsidR="00787666">
        <w:rPr>
          <w:lang w:val="en-US" w:eastAsia="en-US"/>
        </w:rPr>
        <w:t>ing</w:t>
      </w:r>
      <w:r w:rsidR="00E85307" w:rsidRPr="00607BDA">
        <w:rPr>
          <w:lang w:val="en-US" w:eastAsia="en-US"/>
        </w:rPr>
        <w:t xml:space="preserve"> the</w:t>
      </w:r>
      <w:r w:rsidR="00454FD0" w:rsidRPr="00607BDA">
        <w:rPr>
          <w:lang w:val="en-US" w:eastAsia="en-US"/>
        </w:rPr>
        <w:t>ir</w:t>
      </w:r>
      <w:r w:rsidR="00E85307" w:rsidRPr="00607BDA">
        <w:rPr>
          <w:lang w:val="en-US" w:eastAsia="en-US"/>
        </w:rPr>
        <w:t xml:space="preserve"> validity </w:t>
      </w:r>
      <w:r w:rsidRPr="00607BDA">
        <w:rPr>
          <w:lang w:val="en-US" w:eastAsia="en-US"/>
        </w:rPr>
        <w:t xml:space="preserve">from three months </w:t>
      </w:r>
      <w:r w:rsidR="00E85307" w:rsidRPr="00607BDA">
        <w:rPr>
          <w:lang w:val="en-US" w:eastAsia="en-US"/>
        </w:rPr>
        <w:t>to six months</w:t>
      </w:r>
      <w:r w:rsidR="00EA47AF" w:rsidRPr="00607BDA">
        <w:rPr>
          <w:lang w:val="en-US" w:eastAsia="en-US"/>
        </w:rPr>
        <w:t xml:space="preserve"> </w:t>
      </w:r>
      <w:r w:rsidR="00454FD0" w:rsidRPr="00607BDA">
        <w:rPr>
          <w:lang w:val="en-US" w:eastAsia="en-US"/>
        </w:rPr>
        <w:t xml:space="preserve">to </w:t>
      </w:r>
      <w:r w:rsidR="00E85307" w:rsidRPr="00607BDA">
        <w:rPr>
          <w:lang w:val="en-US" w:eastAsia="en-US"/>
        </w:rPr>
        <w:t xml:space="preserve">reduce the </w:t>
      </w:r>
      <w:r w:rsidR="00454FD0" w:rsidRPr="00607BDA">
        <w:rPr>
          <w:lang w:val="en-US" w:eastAsia="en-US"/>
        </w:rPr>
        <w:t>incidence of expired referrals</w:t>
      </w:r>
      <w:r w:rsidR="00EA47AF" w:rsidRPr="00607BDA">
        <w:rPr>
          <w:lang w:val="en-US" w:eastAsia="en-US"/>
        </w:rPr>
        <w:t>.</w:t>
      </w:r>
      <w:r w:rsidR="00787666">
        <w:rPr>
          <w:lang w:val="en-US" w:eastAsia="en-US"/>
        </w:rPr>
        <w:t xml:space="preserve"> </w:t>
      </w:r>
      <w:r w:rsidR="00787666" w:rsidRPr="00454FD0">
        <w:t>For example, episodes of treatment involving preoperative and postoperative chemotherapy and radiation often exceed three months, which can lead to expired referrals before treatment is complete.</w:t>
      </w:r>
    </w:p>
    <w:p w14:paraId="2960FB6D" w14:textId="77777777" w:rsidR="002D6E0F" w:rsidRPr="0019507E" w:rsidRDefault="00FF3DDE" w:rsidP="00607BDA">
      <w:pPr>
        <w:pStyle w:val="Bullet-green"/>
      </w:pPr>
      <w:r>
        <w:rPr>
          <w:lang w:val="en-US" w:eastAsia="en-US"/>
        </w:rPr>
        <w:t>T</w:t>
      </w:r>
      <w:r w:rsidR="00787666">
        <w:rPr>
          <w:lang w:val="en-US" w:eastAsia="en-US"/>
        </w:rPr>
        <w:t>he Committee</w:t>
      </w:r>
      <w:r w:rsidR="00C0099E" w:rsidRPr="00607BDA">
        <w:rPr>
          <w:lang w:val="en-US" w:eastAsia="en-US"/>
        </w:rPr>
        <w:t xml:space="preserve"> noted that this topic was also considered by the Principles and Rules Committee</w:t>
      </w:r>
      <w:r w:rsidR="00D275E0">
        <w:rPr>
          <w:lang w:val="en-US" w:eastAsia="en-US"/>
        </w:rPr>
        <w:t xml:space="preserve"> and the General Practice and Primary Care Committee</w:t>
      </w:r>
      <w:r w:rsidR="00C0099E" w:rsidRPr="00607BDA">
        <w:rPr>
          <w:lang w:val="en-US" w:eastAsia="en-US"/>
        </w:rPr>
        <w:t>, who recommended keeping referral validity to three months</w:t>
      </w:r>
      <w:r>
        <w:rPr>
          <w:lang w:val="en-US" w:eastAsia="en-US"/>
        </w:rPr>
        <w:t xml:space="preserve"> to e</w:t>
      </w:r>
      <w:r w:rsidR="002D6E0F" w:rsidRPr="00607BDA">
        <w:rPr>
          <w:lang w:val="en-US" w:eastAsia="en-US"/>
        </w:rPr>
        <w:t>nabl</w:t>
      </w:r>
      <w:r>
        <w:rPr>
          <w:lang w:val="en-US" w:eastAsia="en-US"/>
        </w:rPr>
        <w:t>e</w:t>
      </w:r>
      <w:r w:rsidR="002D6E0F" w:rsidRPr="00607BDA">
        <w:rPr>
          <w:lang w:val="en-US" w:eastAsia="en-US"/>
        </w:rPr>
        <w:t xml:space="preserve"> GP</w:t>
      </w:r>
      <w:r>
        <w:rPr>
          <w:lang w:val="en-US" w:eastAsia="en-US"/>
        </w:rPr>
        <w:t>s</w:t>
      </w:r>
      <w:r w:rsidR="002D6E0F" w:rsidRPr="00607BDA">
        <w:rPr>
          <w:lang w:val="en-US" w:eastAsia="en-US"/>
        </w:rPr>
        <w:t xml:space="preserve"> </w:t>
      </w:r>
      <w:r>
        <w:rPr>
          <w:lang w:val="en-US" w:eastAsia="en-US"/>
        </w:rPr>
        <w:t xml:space="preserve">to continue to be informed </w:t>
      </w:r>
      <w:r w:rsidR="002D6E0F" w:rsidRPr="00607BDA">
        <w:rPr>
          <w:lang w:val="en-US" w:eastAsia="en-US"/>
        </w:rPr>
        <w:t>of patient care provided by consultant specialists</w:t>
      </w:r>
      <w:r>
        <w:rPr>
          <w:lang w:val="en-US" w:eastAsia="en-US"/>
        </w:rPr>
        <w:t xml:space="preserve">. However, the Committee believes that extending the specialist to specialist referral validity period will maintain GP involvement and </w:t>
      </w:r>
      <w:r w:rsidR="009C2A4A">
        <w:rPr>
          <w:lang w:val="en-US" w:eastAsia="en-US"/>
        </w:rPr>
        <w:t>reduce the frequency of need for patients to obtain a re-referral without compromising the quality of care</w:t>
      </w:r>
      <w:r w:rsidR="00BD30C8">
        <w:rPr>
          <w:lang w:val="en-US" w:eastAsia="en-US"/>
        </w:rPr>
        <w:t>. Appropriate communication with the GP where a specialist to specialist referral occurs should also be strengthened</w:t>
      </w:r>
      <w:r>
        <w:rPr>
          <w:lang w:val="en-US" w:eastAsia="en-US"/>
        </w:rPr>
        <w:t xml:space="preserve">. </w:t>
      </w:r>
    </w:p>
    <w:p w14:paraId="089A4E2E" w14:textId="77777777" w:rsidR="000A5CE9" w:rsidRDefault="000A5CE9" w:rsidP="000A5CE9">
      <w:pPr>
        <w:pStyle w:val="Heading2"/>
      </w:pPr>
      <w:bookmarkStart w:id="232" w:name="_Toc24544743"/>
      <w:bookmarkStart w:id="233" w:name="_Hlk529008472"/>
      <w:r>
        <w:t xml:space="preserve">Recommendation </w:t>
      </w:r>
      <w:r w:rsidR="00FF3DDE">
        <w:t>21</w:t>
      </w:r>
      <w:r w:rsidR="00ED04AD">
        <w:t xml:space="preserve"> </w:t>
      </w:r>
      <w:r w:rsidR="00F14F9F">
        <w:t>–</w:t>
      </w:r>
      <w:r w:rsidR="00787666">
        <w:t xml:space="preserve"> </w:t>
      </w:r>
      <w:r w:rsidR="00741A3D">
        <w:t xml:space="preserve">Introducing a new </w:t>
      </w:r>
      <w:r w:rsidR="00F14F9F">
        <w:t>AHP pathway</w:t>
      </w:r>
      <w:bookmarkEnd w:id="232"/>
    </w:p>
    <w:p w14:paraId="22B5FC6D" w14:textId="77777777" w:rsidR="000A5CE9" w:rsidRDefault="00787666" w:rsidP="00607BDA">
      <w:pPr>
        <w:pStyle w:val="Bullet-green"/>
        <w:numPr>
          <w:ilvl w:val="0"/>
          <w:numId w:val="0"/>
        </w:numPr>
        <w:rPr>
          <w:lang w:val="en-US" w:eastAsia="en-US"/>
        </w:rPr>
      </w:pPr>
      <w:r>
        <w:rPr>
          <w:lang w:val="en-US" w:eastAsia="en-US"/>
        </w:rPr>
        <w:t>The Committee recommends</w:t>
      </w:r>
      <w:r w:rsidR="00391C72">
        <w:rPr>
          <w:lang w:val="en-US" w:eastAsia="en-US"/>
        </w:rPr>
        <w:t xml:space="preserve"> </w:t>
      </w:r>
      <w:r w:rsidR="0090169A">
        <w:rPr>
          <w:lang w:val="en-US" w:eastAsia="en-US"/>
        </w:rPr>
        <w:t>introducing a</w:t>
      </w:r>
      <w:r w:rsidR="00E0652E">
        <w:rPr>
          <w:lang w:val="en-US" w:eastAsia="en-US"/>
        </w:rPr>
        <w:t>n</w:t>
      </w:r>
      <w:r w:rsidR="0090169A">
        <w:rPr>
          <w:lang w:val="en-US" w:eastAsia="en-US"/>
        </w:rPr>
        <w:t xml:space="preserve"> AHP pathway</w:t>
      </w:r>
      <w:r w:rsidR="00640ADE">
        <w:rPr>
          <w:lang w:val="en-US" w:eastAsia="en-US"/>
        </w:rPr>
        <w:t xml:space="preserve"> for consultant specialists under certain circumstances, but only after </w:t>
      </w:r>
      <w:r w:rsidR="00AA154B">
        <w:rPr>
          <w:lang w:val="en-US" w:eastAsia="en-US"/>
        </w:rPr>
        <w:t xml:space="preserve">a full review of the evidence and the associated </w:t>
      </w:r>
      <w:r w:rsidR="00640ADE">
        <w:rPr>
          <w:lang w:val="en-US" w:eastAsia="en-US"/>
        </w:rPr>
        <w:t>costs and benefits</w:t>
      </w:r>
      <w:r w:rsidR="006F17AF">
        <w:rPr>
          <w:lang w:val="en-US" w:eastAsia="en-US"/>
        </w:rPr>
        <w:t xml:space="preserve"> </w:t>
      </w:r>
      <w:r w:rsidR="00AA154B">
        <w:rPr>
          <w:lang w:val="en-US" w:eastAsia="en-US"/>
        </w:rPr>
        <w:t>of any suggested pathway</w:t>
      </w:r>
      <w:r w:rsidR="006F17AF">
        <w:rPr>
          <w:lang w:val="en-US" w:eastAsia="en-US"/>
        </w:rPr>
        <w:t>.</w:t>
      </w:r>
    </w:p>
    <w:p w14:paraId="3AA1A08A" w14:textId="77777777" w:rsidR="000A5CE9" w:rsidRPr="000A5CE9" w:rsidRDefault="000A5CE9" w:rsidP="000A5CE9">
      <w:pPr>
        <w:pStyle w:val="Heading2"/>
      </w:pPr>
      <w:bookmarkStart w:id="234" w:name="_Toc24544744"/>
      <w:bookmarkEnd w:id="233"/>
      <w:r>
        <w:t xml:space="preserve">Rationale </w:t>
      </w:r>
      <w:r w:rsidR="00FF3DDE">
        <w:t>21</w:t>
      </w:r>
      <w:bookmarkEnd w:id="234"/>
    </w:p>
    <w:p w14:paraId="659897C9" w14:textId="77777777" w:rsidR="001E5FFD" w:rsidRDefault="00E85307" w:rsidP="00607BDA">
      <w:pPr>
        <w:pStyle w:val="Bullet-green"/>
        <w:numPr>
          <w:ilvl w:val="0"/>
          <w:numId w:val="0"/>
        </w:numPr>
        <w:rPr>
          <w:lang w:val="en-US" w:eastAsia="en-US"/>
        </w:rPr>
      </w:pPr>
      <w:r>
        <w:rPr>
          <w:lang w:val="en-US" w:eastAsia="en-US"/>
        </w:rPr>
        <w:t xml:space="preserve">This recommendation focuses on </w:t>
      </w:r>
      <w:r w:rsidR="006F17AF">
        <w:rPr>
          <w:lang w:val="en-US" w:eastAsia="en-US"/>
        </w:rPr>
        <w:t>the increasing importance of the AHP role in consultant specialist care. It is based on the following</w:t>
      </w:r>
      <w:r w:rsidR="00CB271F">
        <w:rPr>
          <w:lang w:val="en-US" w:eastAsia="en-US"/>
        </w:rPr>
        <w:t>:</w:t>
      </w:r>
    </w:p>
    <w:p w14:paraId="2A03E911" w14:textId="77777777" w:rsidR="00F14F9F" w:rsidRPr="0019507E" w:rsidRDefault="00966A7A" w:rsidP="00607BDA">
      <w:pPr>
        <w:pStyle w:val="Bullet-green"/>
      </w:pPr>
      <w:r w:rsidRPr="00607BDA">
        <w:rPr>
          <w:lang w:val="en-US" w:eastAsia="en-US"/>
        </w:rPr>
        <w:t xml:space="preserve">Consultant specialists increasingly recognise the importance of AHP care in the treatment and pre-treatment of many common conditions. </w:t>
      </w:r>
      <w:r w:rsidR="00F14F9F" w:rsidRPr="00966A7A">
        <w:t>For example, gastroenterologists referring to psychologists to treat irritable bowel syndrome, pain medicine specialists referring to psychologists for somatic symptom disorder, and orthopaedic sur</w:t>
      </w:r>
      <w:r w:rsidR="00F14F9F">
        <w:t>geons referring to physiotherapist</w:t>
      </w:r>
      <w:r w:rsidR="00F14F9F" w:rsidRPr="00966A7A">
        <w:t>s before surgical repair of an anterior cruciate ligament</w:t>
      </w:r>
      <w:r w:rsidR="00F14F9F">
        <w:t xml:space="preserve"> injury</w:t>
      </w:r>
      <w:r w:rsidR="00F14F9F" w:rsidRPr="00966A7A">
        <w:t>.</w:t>
      </w:r>
    </w:p>
    <w:p w14:paraId="7310EBFE" w14:textId="77777777" w:rsidR="00966A7A" w:rsidRPr="0019507E" w:rsidRDefault="00A1122A" w:rsidP="00607BDA">
      <w:pPr>
        <w:pStyle w:val="Bullet-green"/>
      </w:pPr>
      <w:r w:rsidRPr="00607BDA">
        <w:rPr>
          <w:lang w:val="en-US" w:eastAsia="en-US"/>
        </w:rPr>
        <w:t>C</w:t>
      </w:r>
      <w:r w:rsidR="006F17AF" w:rsidRPr="00607BDA">
        <w:rPr>
          <w:lang w:val="en-US" w:eastAsia="en-US"/>
        </w:rPr>
        <w:t>onsultant s</w:t>
      </w:r>
      <w:r w:rsidR="00803A7E" w:rsidRPr="00607BDA">
        <w:rPr>
          <w:lang w:val="en-US" w:eastAsia="en-US"/>
        </w:rPr>
        <w:t xml:space="preserve">pecialists can </w:t>
      </w:r>
      <w:r w:rsidRPr="00607BDA">
        <w:rPr>
          <w:lang w:val="en-US" w:eastAsia="en-US"/>
        </w:rPr>
        <w:t xml:space="preserve">already </w:t>
      </w:r>
      <w:r w:rsidR="00803A7E" w:rsidRPr="00607BDA">
        <w:rPr>
          <w:lang w:val="en-US" w:eastAsia="en-US"/>
        </w:rPr>
        <w:t xml:space="preserve">refer to </w:t>
      </w:r>
      <w:r w:rsidR="006F17AF" w:rsidRPr="00607BDA">
        <w:rPr>
          <w:lang w:val="en-US" w:eastAsia="en-US"/>
        </w:rPr>
        <w:t>AHPs</w:t>
      </w:r>
      <w:r w:rsidRPr="00607BDA">
        <w:rPr>
          <w:lang w:val="en-US" w:eastAsia="en-US"/>
        </w:rPr>
        <w:t xml:space="preserve">, </w:t>
      </w:r>
      <w:r w:rsidR="00803A7E" w:rsidRPr="00607BDA">
        <w:rPr>
          <w:lang w:val="en-US" w:eastAsia="en-US"/>
        </w:rPr>
        <w:t>but the patient wi</w:t>
      </w:r>
      <w:r w:rsidRPr="00607BDA">
        <w:rPr>
          <w:lang w:val="en-US" w:eastAsia="en-US"/>
        </w:rPr>
        <w:t>ll not have access to a rebate</w:t>
      </w:r>
      <w:r w:rsidR="00F14F9F">
        <w:rPr>
          <w:lang w:val="en-US" w:eastAsia="en-US"/>
        </w:rPr>
        <w:t>. T</w:t>
      </w:r>
      <w:r w:rsidRPr="00607BDA">
        <w:rPr>
          <w:lang w:val="en-US" w:eastAsia="en-US"/>
        </w:rPr>
        <w:t>his opens up a means-based pathway to patients who can afford to pay for AHP.</w:t>
      </w:r>
    </w:p>
    <w:p w14:paraId="6B3A5FAA" w14:textId="77777777" w:rsidR="00803A7E" w:rsidRPr="0019507E" w:rsidRDefault="00803A7E" w:rsidP="00607BDA">
      <w:pPr>
        <w:pStyle w:val="Bullet-green"/>
      </w:pPr>
      <w:r w:rsidRPr="00607BDA">
        <w:rPr>
          <w:lang w:val="en-US" w:eastAsia="en-US"/>
        </w:rPr>
        <w:t xml:space="preserve">For patients to access a rebate, they must be assessed </w:t>
      </w:r>
      <w:r w:rsidR="00DC1C16" w:rsidRPr="00607BDA">
        <w:rPr>
          <w:lang w:val="en-US" w:eastAsia="en-US"/>
        </w:rPr>
        <w:t xml:space="preserve">by their GP </w:t>
      </w:r>
      <w:r w:rsidRPr="00607BDA">
        <w:rPr>
          <w:lang w:val="en-US" w:eastAsia="en-US"/>
        </w:rPr>
        <w:t>for</w:t>
      </w:r>
      <w:r w:rsidR="00FC13A2" w:rsidRPr="00607BDA">
        <w:rPr>
          <w:lang w:val="en-US" w:eastAsia="en-US"/>
        </w:rPr>
        <w:t xml:space="preserve"> eligibility</w:t>
      </w:r>
      <w:r w:rsidRPr="00607BDA">
        <w:rPr>
          <w:lang w:val="en-US" w:eastAsia="en-US"/>
        </w:rPr>
        <w:t xml:space="preserve"> and </w:t>
      </w:r>
      <w:r w:rsidR="00FC13A2" w:rsidRPr="00607BDA">
        <w:rPr>
          <w:lang w:val="en-US" w:eastAsia="en-US"/>
        </w:rPr>
        <w:t xml:space="preserve">development of </w:t>
      </w:r>
      <w:r w:rsidRPr="00607BDA">
        <w:rPr>
          <w:lang w:val="en-US" w:eastAsia="en-US"/>
        </w:rPr>
        <w:t xml:space="preserve">a GP Management Plan (item 721). If granted, the patient can access up to five AHP visits with a rebate. </w:t>
      </w:r>
      <w:r w:rsidR="00A1122A" w:rsidRPr="00607BDA">
        <w:rPr>
          <w:lang w:val="en-US" w:eastAsia="en-US"/>
        </w:rPr>
        <w:t>This is inconvenient for patients, adds an additional cost of visiting their GP, and increases the likelihood of the intervention not taking place.</w:t>
      </w:r>
    </w:p>
    <w:p w14:paraId="3974E848" w14:textId="77777777" w:rsidR="00797298" w:rsidRPr="0019507E" w:rsidRDefault="00A1122A" w:rsidP="00607BDA">
      <w:pPr>
        <w:pStyle w:val="Bullet-green"/>
      </w:pPr>
      <w:r w:rsidRPr="00607BDA">
        <w:rPr>
          <w:lang w:val="en-US" w:eastAsia="en-US"/>
        </w:rPr>
        <w:t xml:space="preserve">The Committee considered </w:t>
      </w:r>
      <w:r w:rsidR="008E735E" w:rsidRPr="00607BDA">
        <w:rPr>
          <w:lang w:val="en-US" w:eastAsia="en-US"/>
        </w:rPr>
        <w:t xml:space="preserve">a </w:t>
      </w:r>
      <w:r w:rsidR="00CE7018" w:rsidRPr="00607BDA">
        <w:rPr>
          <w:lang w:val="en-US" w:eastAsia="en-US"/>
        </w:rPr>
        <w:t>recommend</w:t>
      </w:r>
      <w:r w:rsidR="008E735E" w:rsidRPr="00607BDA">
        <w:rPr>
          <w:lang w:val="en-US" w:eastAsia="en-US"/>
        </w:rPr>
        <w:t xml:space="preserve">ation for </w:t>
      </w:r>
      <w:r w:rsidR="00CE7018" w:rsidRPr="00607BDA">
        <w:rPr>
          <w:lang w:val="en-US" w:eastAsia="en-US"/>
        </w:rPr>
        <w:t>consultant specialist</w:t>
      </w:r>
      <w:r w:rsidR="001B4D91" w:rsidRPr="00607BDA">
        <w:rPr>
          <w:lang w:val="en-US" w:eastAsia="en-US"/>
        </w:rPr>
        <w:t>s to</w:t>
      </w:r>
      <w:r w:rsidR="00CE7018" w:rsidRPr="00607BDA">
        <w:rPr>
          <w:lang w:val="en-US" w:eastAsia="en-US"/>
        </w:rPr>
        <w:t xml:space="preserve"> </w:t>
      </w:r>
      <w:r w:rsidR="00433DF0" w:rsidRPr="00607BDA">
        <w:rPr>
          <w:lang w:val="en-US" w:eastAsia="en-US"/>
        </w:rPr>
        <w:t xml:space="preserve">have </w:t>
      </w:r>
      <w:r w:rsidR="00CE7018" w:rsidRPr="00607BDA">
        <w:rPr>
          <w:lang w:val="en-US" w:eastAsia="en-US"/>
        </w:rPr>
        <w:t xml:space="preserve">access to a small number of “AHP bridging referrals” </w:t>
      </w:r>
      <w:r w:rsidR="008E735E" w:rsidRPr="00607BDA">
        <w:rPr>
          <w:lang w:val="en-US" w:eastAsia="en-US"/>
        </w:rPr>
        <w:t>that were eligible for a rebate</w:t>
      </w:r>
      <w:r w:rsidR="00797298" w:rsidRPr="00607BDA">
        <w:rPr>
          <w:lang w:val="en-US" w:eastAsia="en-US"/>
        </w:rPr>
        <w:t xml:space="preserve">. </w:t>
      </w:r>
      <w:r w:rsidR="008E735E" w:rsidRPr="00607BDA">
        <w:rPr>
          <w:lang w:val="en-US" w:eastAsia="en-US"/>
        </w:rPr>
        <w:t>Howe</w:t>
      </w:r>
      <w:r w:rsidR="001B4D91" w:rsidRPr="00607BDA">
        <w:rPr>
          <w:lang w:val="en-US" w:eastAsia="en-US"/>
        </w:rPr>
        <w:t>ver, the Committee agreed this c</w:t>
      </w:r>
      <w:r w:rsidR="008E735E" w:rsidRPr="00607BDA">
        <w:rPr>
          <w:lang w:val="en-US" w:eastAsia="en-US"/>
        </w:rPr>
        <w:t>ould result in:</w:t>
      </w:r>
    </w:p>
    <w:p w14:paraId="54FFDECF" w14:textId="77777777" w:rsidR="008E735E" w:rsidRPr="00607BDA" w:rsidRDefault="00185F48" w:rsidP="000831A1">
      <w:pPr>
        <w:pStyle w:val="Bullet-green"/>
        <w:numPr>
          <w:ilvl w:val="1"/>
          <w:numId w:val="5"/>
        </w:numPr>
        <w:rPr>
          <w:lang w:val="en-US" w:eastAsia="en-US"/>
        </w:rPr>
      </w:pPr>
      <w:r>
        <w:rPr>
          <w:lang w:val="en-US" w:eastAsia="en-US"/>
        </w:rPr>
        <w:t>a</w:t>
      </w:r>
      <w:r w:rsidR="001B4D91" w:rsidRPr="00607BDA">
        <w:rPr>
          <w:lang w:val="en-US" w:eastAsia="en-US"/>
        </w:rPr>
        <w:t xml:space="preserve"> very large increase in AHP spend, as there are approximately 25 million consultant specialist attendances per year</w:t>
      </w:r>
      <w:r w:rsidR="00B85435">
        <w:rPr>
          <w:lang w:val="en-US" w:eastAsia="en-US"/>
        </w:rPr>
        <w:t xml:space="preserve">; </w:t>
      </w:r>
      <w:r w:rsidR="001B4D91" w:rsidRPr="00607BDA">
        <w:rPr>
          <w:lang w:val="en-US" w:eastAsia="en-US"/>
        </w:rPr>
        <w:t>and</w:t>
      </w:r>
    </w:p>
    <w:p w14:paraId="77137E11" w14:textId="77777777" w:rsidR="001B4D91" w:rsidRPr="00607BDA" w:rsidRDefault="00185F48" w:rsidP="000831A1">
      <w:pPr>
        <w:pStyle w:val="Bullet-green"/>
        <w:numPr>
          <w:ilvl w:val="1"/>
          <w:numId w:val="5"/>
        </w:numPr>
        <w:rPr>
          <w:lang w:val="en-US" w:eastAsia="en-US"/>
        </w:rPr>
      </w:pPr>
      <w:r>
        <w:rPr>
          <w:lang w:val="en-US" w:eastAsia="en-US"/>
        </w:rPr>
        <w:t>c</w:t>
      </w:r>
      <w:r w:rsidR="001B4D91" w:rsidRPr="00607BDA">
        <w:rPr>
          <w:lang w:val="en-US" w:eastAsia="en-US"/>
        </w:rPr>
        <w:t xml:space="preserve">ost-shifting from health funds to the MBS, as many patients currently have AHP visits covered under their health insurance plan. </w:t>
      </w:r>
    </w:p>
    <w:p w14:paraId="41D84E55" w14:textId="77777777" w:rsidR="0000514C" w:rsidRPr="0019507E" w:rsidRDefault="00797298" w:rsidP="00607BDA">
      <w:pPr>
        <w:pStyle w:val="Bullet-green"/>
      </w:pPr>
      <w:r w:rsidRPr="00607BDA">
        <w:rPr>
          <w:lang w:val="en-US" w:eastAsia="en-US"/>
        </w:rPr>
        <w:t xml:space="preserve">The Committee also </w:t>
      </w:r>
      <w:r w:rsidR="00052BF7" w:rsidRPr="00607BDA">
        <w:rPr>
          <w:lang w:val="en-US" w:eastAsia="en-US"/>
        </w:rPr>
        <w:t xml:space="preserve">noted that GPs can only access AHP visits for patient </w:t>
      </w:r>
      <w:r w:rsidR="00DC23A8" w:rsidRPr="00607BDA">
        <w:rPr>
          <w:lang w:val="en-US" w:eastAsia="en-US"/>
        </w:rPr>
        <w:t xml:space="preserve">population groups </w:t>
      </w:r>
      <w:r w:rsidR="00DC7468" w:rsidRPr="00607BDA">
        <w:rPr>
          <w:lang w:val="en-US" w:eastAsia="en-US"/>
        </w:rPr>
        <w:t>that meet sp</w:t>
      </w:r>
      <w:r w:rsidR="00DC1C16" w:rsidRPr="00607BDA">
        <w:rPr>
          <w:lang w:val="en-US" w:eastAsia="en-US"/>
        </w:rPr>
        <w:t>ecific chronic disease criteria</w:t>
      </w:r>
      <w:r w:rsidR="00DC7468" w:rsidRPr="00607BDA">
        <w:rPr>
          <w:lang w:val="en-US" w:eastAsia="en-US"/>
        </w:rPr>
        <w:t>.</w:t>
      </w:r>
      <w:r w:rsidR="00185F48">
        <w:rPr>
          <w:lang w:val="en-US" w:eastAsia="en-US"/>
        </w:rPr>
        <w:t xml:space="preserve"> </w:t>
      </w:r>
      <w:r w:rsidR="00840E7F" w:rsidRPr="00607BDA">
        <w:rPr>
          <w:lang w:val="en-US" w:eastAsia="en-US"/>
        </w:rPr>
        <w:t xml:space="preserve">The Committee therefore recommended </w:t>
      </w:r>
      <w:r w:rsidR="00FC13A2" w:rsidRPr="00607BDA">
        <w:rPr>
          <w:lang w:val="en-US" w:eastAsia="en-US"/>
        </w:rPr>
        <w:t xml:space="preserve">that </w:t>
      </w:r>
      <w:r w:rsidR="00840E7F" w:rsidRPr="00607BDA">
        <w:rPr>
          <w:lang w:val="en-US" w:eastAsia="en-US"/>
        </w:rPr>
        <w:t>opening up a</w:t>
      </w:r>
      <w:r w:rsidR="00433DF0" w:rsidRPr="00607BDA">
        <w:rPr>
          <w:lang w:val="en-US" w:eastAsia="en-US"/>
        </w:rPr>
        <w:t>n</w:t>
      </w:r>
      <w:r w:rsidR="00840E7F" w:rsidRPr="00607BDA">
        <w:rPr>
          <w:lang w:val="en-US" w:eastAsia="en-US"/>
        </w:rPr>
        <w:t xml:space="preserve"> AHP pathway</w:t>
      </w:r>
      <w:r w:rsidR="00A54BB2" w:rsidRPr="00607BDA">
        <w:rPr>
          <w:lang w:val="en-US" w:eastAsia="en-US"/>
        </w:rPr>
        <w:t xml:space="preserve"> for consultant specialists </w:t>
      </w:r>
      <w:r w:rsidR="00C35606" w:rsidRPr="00607BDA">
        <w:rPr>
          <w:lang w:val="en-US" w:eastAsia="en-US"/>
        </w:rPr>
        <w:t>should be considered</w:t>
      </w:r>
      <w:r w:rsidR="007949D8" w:rsidRPr="00607BDA">
        <w:rPr>
          <w:lang w:val="en-US" w:eastAsia="en-US"/>
        </w:rPr>
        <w:t xml:space="preserve">, while noting that this should only occur after a </w:t>
      </w:r>
      <w:r w:rsidR="00FC13A2" w:rsidRPr="00607BDA">
        <w:rPr>
          <w:lang w:val="en-US" w:eastAsia="en-US"/>
        </w:rPr>
        <w:t xml:space="preserve">full </w:t>
      </w:r>
      <w:r w:rsidR="007949D8" w:rsidRPr="00607BDA">
        <w:rPr>
          <w:lang w:val="en-US" w:eastAsia="en-US"/>
        </w:rPr>
        <w:t>review of associated costs and benefits.</w:t>
      </w:r>
    </w:p>
    <w:p w14:paraId="2241EBF9" w14:textId="77777777" w:rsidR="00FB4475" w:rsidRPr="00C33C0B" w:rsidRDefault="00B85435" w:rsidP="00FB4475">
      <w:pPr>
        <w:pStyle w:val="Heading1"/>
        <w:rPr>
          <w:lang w:val="en-GB"/>
        </w:rPr>
      </w:pPr>
      <w:bookmarkStart w:id="235" w:name="_Toc459996819"/>
      <w:bookmarkStart w:id="236" w:name="_Toc458167009"/>
      <w:bookmarkStart w:id="237" w:name="_Toc468831606"/>
      <w:bookmarkStart w:id="238" w:name="_Toc521442212"/>
      <w:bookmarkEnd w:id="227"/>
      <w:r>
        <w:rPr>
          <w:lang w:val="en-GB"/>
        </w:rPr>
        <w:t xml:space="preserve"> </w:t>
      </w:r>
      <w:bookmarkStart w:id="239" w:name="_Toc24544745"/>
      <w:r w:rsidR="00834274">
        <w:rPr>
          <w:lang w:val="en-GB"/>
        </w:rPr>
        <w:t>I</w:t>
      </w:r>
      <w:r w:rsidR="00FB4475" w:rsidRPr="00C33C0B">
        <w:rPr>
          <w:lang w:val="en-GB"/>
        </w:rPr>
        <w:t>mpact statement</w:t>
      </w:r>
      <w:bookmarkEnd w:id="235"/>
      <w:bookmarkEnd w:id="236"/>
      <w:bookmarkEnd w:id="237"/>
      <w:bookmarkEnd w:id="238"/>
      <w:bookmarkEnd w:id="239"/>
    </w:p>
    <w:p w14:paraId="560661CF" w14:textId="77777777" w:rsidR="00E76A74" w:rsidRDefault="00FB4475" w:rsidP="00FB4475">
      <w:pPr>
        <w:rPr>
          <w:lang w:val="en-GB"/>
        </w:rPr>
      </w:pPr>
      <w:bookmarkStart w:id="240" w:name="_Hlk528950647"/>
      <w:r w:rsidRPr="00C33C0B">
        <w:rPr>
          <w:lang w:val="en-GB"/>
        </w:rPr>
        <w:t xml:space="preserve">Both patients and providers are expected to benefit from these recommendations as they address concerns regarding patient access and quality of care, and they take steps to simplify the MBS and make it easier to use and understand. The Committee also considered each recommendation’s impact on provider groups to ensure that any changes were reasonable and fair. However, if the Committee identified evidence of potential item misuse or safety concerns, recommendations were made to encourage best practice, in line with the overarching purpose of the MBS Review. </w:t>
      </w:r>
      <w:bookmarkEnd w:id="240"/>
    </w:p>
    <w:p w14:paraId="4DE31E6F" w14:textId="77777777" w:rsidR="000F73A5" w:rsidRPr="00E65C6B" w:rsidRDefault="000F73A5" w:rsidP="00E65C6B">
      <w:pPr>
        <w:pStyle w:val="Heading2"/>
      </w:pPr>
      <w:bookmarkStart w:id="241" w:name="_Toc24544746"/>
      <w:r w:rsidRPr="00E65C6B">
        <w:t>Introductory notes</w:t>
      </w:r>
      <w:bookmarkEnd w:id="241"/>
    </w:p>
    <w:p w14:paraId="1D13792B" w14:textId="77777777" w:rsidR="000F73A5" w:rsidRPr="00052DB8" w:rsidRDefault="000F73A5" w:rsidP="000F73A5">
      <w:pPr>
        <w:pStyle w:val="Bullet-green"/>
        <w:rPr>
          <w:lang w:val="en-GB"/>
        </w:rPr>
      </w:pPr>
      <w:r w:rsidRPr="00052DB8">
        <w:rPr>
          <w:lang w:val="en-GB"/>
        </w:rPr>
        <w:t xml:space="preserve">The MBS refers to </w:t>
      </w:r>
      <w:r>
        <w:rPr>
          <w:lang w:val="en-GB"/>
        </w:rPr>
        <w:t>“</w:t>
      </w:r>
      <w:r w:rsidRPr="00052DB8">
        <w:rPr>
          <w:lang w:val="en-GB"/>
        </w:rPr>
        <w:t>speciali</w:t>
      </w:r>
      <w:r>
        <w:rPr>
          <w:lang w:val="en-GB"/>
        </w:rPr>
        <w:t>sts” and “consultant physicians”</w:t>
      </w:r>
      <w:r w:rsidRPr="00052DB8">
        <w:rPr>
          <w:lang w:val="en-GB"/>
        </w:rPr>
        <w:t xml:space="preserve">. These two roles used to be very different.  Now they are similar. In this report, </w:t>
      </w:r>
      <w:r>
        <w:rPr>
          <w:lang w:val="en-GB"/>
        </w:rPr>
        <w:t>“</w:t>
      </w:r>
      <w:r w:rsidRPr="005C70E0">
        <w:rPr>
          <w:lang w:val="en-GB"/>
        </w:rPr>
        <w:t>consultant specialist</w:t>
      </w:r>
      <w:r>
        <w:rPr>
          <w:lang w:val="en-GB"/>
        </w:rPr>
        <w:t>” means both “</w:t>
      </w:r>
      <w:r w:rsidRPr="00052DB8">
        <w:rPr>
          <w:lang w:val="en-GB"/>
        </w:rPr>
        <w:t>specia</w:t>
      </w:r>
      <w:r>
        <w:rPr>
          <w:lang w:val="en-GB"/>
        </w:rPr>
        <w:t>lists and consultant physicians”</w:t>
      </w:r>
      <w:r w:rsidRPr="00052DB8">
        <w:rPr>
          <w:lang w:val="en-GB"/>
        </w:rPr>
        <w:t>.</w:t>
      </w:r>
    </w:p>
    <w:p w14:paraId="0F1C2F3B" w14:textId="77777777" w:rsidR="000F73A5" w:rsidRPr="00052DB8" w:rsidRDefault="000F73A5" w:rsidP="000F73A5">
      <w:pPr>
        <w:pStyle w:val="Bullet-green"/>
        <w:rPr>
          <w:lang w:val="en-GB"/>
        </w:rPr>
      </w:pPr>
      <w:r>
        <w:rPr>
          <w:lang w:val="en-GB"/>
        </w:rPr>
        <w:t>The MBS uses the term “attendance” for a consultation. This consumer summary will use the term consultation.</w:t>
      </w:r>
    </w:p>
    <w:p w14:paraId="474C9E49" w14:textId="77777777" w:rsidR="000F73A5" w:rsidRPr="00052DB8" w:rsidRDefault="000F73A5" w:rsidP="000F73A5">
      <w:pPr>
        <w:pStyle w:val="Bullet-green"/>
        <w:rPr>
          <w:lang w:val="en-GB"/>
        </w:rPr>
      </w:pPr>
      <w:r w:rsidRPr="005C70E0">
        <w:rPr>
          <w:lang w:val="en-GB"/>
        </w:rPr>
        <w:t>The Committee reviewed 143 MBS items</w:t>
      </w:r>
      <w:r w:rsidRPr="00052DB8">
        <w:rPr>
          <w:b/>
          <w:lang w:val="en-GB"/>
        </w:rPr>
        <w:t xml:space="preserve"> </w:t>
      </w:r>
      <w:r w:rsidRPr="00052DB8">
        <w:rPr>
          <w:lang w:val="en-GB"/>
        </w:rPr>
        <w:t xml:space="preserve">used by consultant specialists to claim for </w:t>
      </w:r>
      <w:r>
        <w:rPr>
          <w:lang w:val="en-GB"/>
        </w:rPr>
        <w:t xml:space="preserve">consultations. </w:t>
      </w:r>
    </w:p>
    <w:p w14:paraId="616124AB" w14:textId="77777777" w:rsidR="000F73A5" w:rsidRPr="00606BAB" w:rsidRDefault="000F73A5" w:rsidP="000F73A5">
      <w:pPr>
        <w:pStyle w:val="Bullet-green"/>
        <w:rPr>
          <w:lang w:val="en-GB"/>
        </w:rPr>
      </w:pPr>
      <w:r>
        <w:rPr>
          <w:lang w:val="en-GB"/>
        </w:rPr>
        <w:t>In the financial year 2016-</w:t>
      </w:r>
      <w:r w:rsidRPr="00423430">
        <w:rPr>
          <w:lang w:val="en-GB"/>
        </w:rPr>
        <w:t xml:space="preserve">17, these items </w:t>
      </w:r>
      <w:r>
        <w:rPr>
          <w:lang w:val="en-GB"/>
        </w:rPr>
        <w:t>totalled</w:t>
      </w:r>
      <w:r w:rsidRPr="00423430">
        <w:rPr>
          <w:lang w:val="en-GB"/>
        </w:rPr>
        <w:t xml:space="preserve"> 26 million services and </w:t>
      </w:r>
      <w:r w:rsidRPr="00606BAB">
        <w:rPr>
          <w:lang w:val="en-GB"/>
        </w:rPr>
        <w:t xml:space="preserve">cost the taxpayer $1.9 billion – plus out of pocket costs. </w:t>
      </w:r>
    </w:p>
    <w:p w14:paraId="66C89F44" w14:textId="77777777" w:rsidR="000F73A5" w:rsidRPr="00606BAB" w:rsidRDefault="000F73A5" w:rsidP="000F73A5">
      <w:pPr>
        <w:pStyle w:val="Bullet-green"/>
        <w:rPr>
          <w:lang w:val="en-GB"/>
        </w:rPr>
      </w:pPr>
      <w:r w:rsidRPr="00606BAB">
        <w:rPr>
          <w:lang w:val="en-GB"/>
        </w:rPr>
        <w:t>Over the past five years, use of these items has increased by 4.2% per year, and the cost has increased by 5.5% per year.</w:t>
      </w:r>
    </w:p>
    <w:p w14:paraId="3992EA2A" w14:textId="77777777" w:rsidR="000F73A5" w:rsidRPr="00607BDA" w:rsidRDefault="000F73A5" w:rsidP="00607BDA">
      <w:pPr>
        <w:pStyle w:val="Heading2"/>
      </w:pPr>
      <w:bookmarkStart w:id="242" w:name="_Toc24544747"/>
      <w:r w:rsidRPr="00052DB8">
        <w:t xml:space="preserve">Standard </w:t>
      </w:r>
      <w:r>
        <w:t>attendance recommendations</w:t>
      </w:r>
      <w:bookmarkEnd w:id="242"/>
    </w:p>
    <w:p w14:paraId="542E2DC4" w14:textId="77777777" w:rsidR="000F73A5" w:rsidRPr="00052DB8" w:rsidRDefault="000F73A5" w:rsidP="000F73A5">
      <w:pPr>
        <w:rPr>
          <w:lang w:val="en-GB"/>
        </w:rPr>
      </w:pPr>
      <w:r w:rsidRPr="00052DB8">
        <w:rPr>
          <w:lang w:val="en-GB"/>
        </w:rPr>
        <w:t xml:space="preserve">Replace the current </w:t>
      </w:r>
      <w:r>
        <w:rPr>
          <w:lang w:val="en-GB"/>
        </w:rPr>
        <w:t xml:space="preserve">consultation </w:t>
      </w:r>
      <w:r w:rsidRPr="00052DB8">
        <w:rPr>
          <w:lang w:val="en-GB"/>
        </w:rPr>
        <w:t>items with items based on the length of the consultation (</w:t>
      </w:r>
      <w:r>
        <w:rPr>
          <w:lang w:val="en-GB"/>
        </w:rPr>
        <w:t>as for</w:t>
      </w:r>
      <w:r w:rsidRPr="00052DB8">
        <w:rPr>
          <w:lang w:val="en-GB"/>
        </w:rPr>
        <w:t xml:space="preserve"> GP consultations)</w:t>
      </w:r>
      <w:r>
        <w:rPr>
          <w:lang w:val="en-GB"/>
        </w:rPr>
        <w:t>,</w:t>
      </w:r>
      <w:r w:rsidRPr="00052DB8">
        <w:rPr>
          <w:lang w:val="en-GB"/>
        </w:rPr>
        <w:t xml:space="preserve"> and describe </w:t>
      </w:r>
      <w:r>
        <w:rPr>
          <w:lang w:val="en-GB"/>
        </w:rPr>
        <w:t>key activities for each.</w:t>
      </w:r>
    </w:p>
    <w:p w14:paraId="0A9E903F" w14:textId="77777777" w:rsidR="000F73A5" w:rsidRPr="00052DB8" w:rsidRDefault="000F73A5" w:rsidP="000F73A5">
      <w:pPr>
        <w:pStyle w:val="Bullet-green"/>
        <w:rPr>
          <w:lang w:val="en-GB"/>
        </w:rPr>
      </w:pPr>
      <w:r w:rsidRPr="00052DB8">
        <w:rPr>
          <w:lang w:val="en-GB"/>
        </w:rPr>
        <w:t>Consumer points</w:t>
      </w:r>
      <w:r>
        <w:rPr>
          <w:lang w:val="en-GB"/>
        </w:rPr>
        <w:t>.</w:t>
      </w:r>
    </w:p>
    <w:p w14:paraId="001084C7" w14:textId="77777777" w:rsidR="000F73A5" w:rsidRPr="00423430" w:rsidRDefault="000F73A5" w:rsidP="000F73A5">
      <w:pPr>
        <w:pStyle w:val="Bullet2"/>
      </w:pPr>
      <w:r w:rsidRPr="00052DB8">
        <w:t>Consumers can expect GPs and consultant specialists to set their appointments and fees the same way</w:t>
      </w:r>
      <w:r>
        <w:t xml:space="preserve"> (i.e., by the length of time they spend with you).</w:t>
      </w:r>
    </w:p>
    <w:p w14:paraId="14C26923" w14:textId="77777777" w:rsidR="000F73A5" w:rsidRPr="00423430" w:rsidRDefault="000F73A5" w:rsidP="000F73A5">
      <w:pPr>
        <w:pStyle w:val="Bullet2"/>
      </w:pPr>
      <w:r w:rsidRPr="00052DB8">
        <w:t>It will be easier to know and compare the fees (and out of pocket costs) of different consultant specialists</w:t>
      </w:r>
      <w:r>
        <w:t>.</w:t>
      </w:r>
    </w:p>
    <w:p w14:paraId="014828F4" w14:textId="77777777" w:rsidR="000F73A5" w:rsidRPr="00FF03D9" w:rsidRDefault="000F73A5" w:rsidP="000F73A5">
      <w:pPr>
        <w:pStyle w:val="Bullet2"/>
      </w:pPr>
      <w:r w:rsidRPr="00052DB8">
        <w:t>First and subsequent consultations will be charged the same: on the basis of time.</w:t>
      </w:r>
    </w:p>
    <w:p w14:paraId="4857D37A" w14:textId="77777777" w:rsidR="000F73A5" w:rsidRPr="0060516A" w:rsidRDefault="000F73A5" w:rsidP="000F73A5">
      <w:r>
        <w:t xml:space="preserve">Introduce </w:t>
      </w:r>
      <w:r w:rsidRPr="00052DB8">
        <w:t>time</w:t>
      </w:r>
      <w:r>
        <w:t>-</w:t>
      </w:r>
      <w:r w:rsidRPr="00052DB8">
        <w:t>tiered items</w:t>
      </w:r>
      <w:r>
        <w:t xml:space="preserve"> that mirror the </w:t>
      </w:r>
      <w:r w:rsidRPr="00052DB8">
        <w:t>standard consultation</w:t>
      </w:r>
      <w:r>
        <w:t xml:space="preserve"> structure</w:t>
      </w:r>
      <w:r w:rsidRPr="00052DB8">
        <w:t xml:space="preserve"> (above) </w:t>
      </w:r>
      <w:r>
        <w:t>for a</w:t>
      </w:r>
      <w:r w:rsidRPr="0060516A">
        <w:rPr>
          <w:lang w:val="en-GB"/>
        </w:rPr>
        <w:t>cute, urgent, and unplanned</w:t>
      </w:r>
      <w:r w:rsidRPr="00052DB8">
        <w:rPr>
          <w:lang w:val="en-GB"/>
        </w:rPr>
        <w:t xml:space="preserve"> consultations</w:t>
      </w:r>
      <w:r w:rsidRPr="00052DB8">
        <w:t xml:space="preserve"> and set a higher fee. These items are only used when a patient is at risk of serious harm or death, and the care happens outside the usual consulting rooms.</w:t>
      </w:r>
    </w:p>
    <w:p w14:paraId="6C58D7DD" w14:textId="77777777" w:rsidR="000F73A5" w:rsidRPr="00052DB8" w:rsidRDefault="000F73A5" w:rsidP="000F73A5">
      <w:pPr>
        <w:pStyle w:val="Bullet-green"/>
        <w:rPr>
          <w:lang w:val="en-GB"/>
        </w:rPr>
      </w:pPr>
      <w:r w:rsidRPr="00052DB8">
        <w:rPr>
          <w:lang w:val="en-GB"/>
        </w:rPr>
        <w:t>Consumer points</w:t>
      </w:r>
      <w:r>
        <w:rPr>
          <w:lang w:val="en-GB"/>
        </w:rPr>
        <w:t>.</w:t>
      </w:r>
    </w:p>
    <w:p w14:paraId="275E25B5" w14:textId="77777777" w:rsidR="000F73A5" w:rsidRPr="00052DB8" w:rsidRDefault="000F73A5" w:rsidP="000F73A5">
      <w:pPr>
        <w:pStyle w:val="Bullet2"/>
      </w:pPr>
      <w:r w:rsidRPr="00052DB8">
        <w:t>The time-tiered item approach is the same</w:t>
      </w:r>
      <w:r>
        <w:t xml:space="preserve"> as for standard consultations. The</w:t>
      </w:r>
      <w:r w:rsidRPr="00052DB8">
        <w:t xml:space="preserve"> higher payment reflects the urgent and unexpected nature of the work.</w:t>
      </w:r>
    </w:p>
    <w:p w14:paraId="61D9644C" w14:textId="77777777" w:rsidR="000F73A5" w:rsidRPr="00A5731B" w:rsidRDefault="000F73A5" w:rsidP="00607BDA">
      <w:pPr>
        <w:pStyle w:val="Heading2"/>
      </w:pPr>
      <w:bookmarkStart w:id="243" w:name="_Toc24544748"/>
      <w:r w:rsidRPr="00607BDA">
        <w:t xml:space="preserve">Complex plan </w:t>
      </w:r>
      <w:r>
        <w:t>recommendations</w:t>
      </w:r>
      <w:r w:rsidRPr="00607BDA">
        <w:t>:</w:t>
      </w:r>
      <w:bookmarkEnd w:id="243"/>
      <w:r w:rsidRPr="00607BDA">
        <w:t xml:space="preserve"> </w:t>
      </w:r>
    </w:p>
    <w:p w14:paraId="6BE9A5C0" w14:textId="77777777" w:rsidR="000F73A5" w:rsidRPr="00052DB8" w:rsidRDefault="000F73A5" w:rsidP="000F73A5">
      <w:r>
        <w:rPr>
          <w:lang w:val="en-GB"/>
        </w:rPr>
        <w:t>Replace these items with time-</w:t>
      </w:r>
      <w:r w:rsidRPr="00052DB8">
        <w:rPr>
          <w:lang w:val="en-GB"/>
        </w:rPr>
        <w:t>tiered it</w:t>
      </w:r>
      <w:r>
        <w:rPr>
          <w:lang w:val="en-GB"/>
        </w:rPr>
        <w:t>ems, except for those provided by paediatricians</w:t>
      </w:r>
      <w:r w:rsidR="00FF3DDE">
        <w:rPr>
          <w:lang w:val="en-GB"/>
        </w:rPr>
        <w:t xml:space="preserve"> and geriatricians.</w:t>
      </w:r>
    </w:p>
    <w:p w14:paraId="7D88B766" w14:textId="77777777" w:rsidR="000F73A5" w:rsidRPr="00052DB8" w:rsidRDefault="000F73A5" w:rsidP="000F73A5">
      <w:pPr>
        <w:pStyle w:val="Bullet-green"/>
        <w:rPr>
          <w:lang w:val="en-GB"/>
        </w:rPr>
      </w:pPr>
      <w:r w:rsidRPr="00052DB8">
        <w:rPr>
          <w:lang w:val="en-GB"/>
        </w:rPr>
        <w:t xml:space="preserve">Consumer </w:t>
      </w:r>
      <w:r w:rsidRPr="0048455A">
        <w:t>points</w:t>
      </w:r>
      <w:r>
        <w:t>.</w:t>
      </w:r>
    </w:p>
    <w:p w14:paraId="00F0BF9E" w14:textId="77777777" w:rsidR="000F73A5" w:rsidRPr="00423430" w:rsidRDefault="000F73A5" w:rsidP="000F73A5">
      <w:pPr>
        <w:pStyle w:val="Bullet2"/>
      </w:pPr>
      <w:r w:rsidRPr="00052DB8">
        <w:t xml:space="preserve">These consultations provide the referring doctor (usually the patient’s GP) with a detailed management plan, which may include detail on which tests to perform and how often, changes to medications, and when to refer back to the </w:t>
      </w:r>
      <w:r>
        <w:t xml:space="preserve">consultant </w:t>
      </w:r>
      <w:r w:rsidRPr="00052DB8">
        <w:t>specialist. This</w:t>
      </w:r>
      <w:r w:rsidRPr="00423430">
        <w:t xml:space="preserve"> item is not</w:t>
      </w:r>
      <w:r w:rsidRPr="00052DB8">
        <w:t>, however,</w:t>
      </w:r>
      <w:r w:rsidRPr="00423430">
        <w:t xml:space="preserve"> always used </w:t>
      </w:r>
      <w:r>
        <w:t>this way</w:t>
      </w:r>
      <w:r w:rsidRPr="00423430">
        <w:t>.</w:t>
      </w:r>
      <w:r w:rsidRPr="00052DB8">
        <w:t xml:space="preserve"> Changing to time</w:t>
      </w:r>
      <w:r>
        <w:t>-</w:t>
      </w:r>
      <w:r w:rsidRPr="00052DB8">
        <w:t>tiering makes the items simpler without removing any benefit to patients.</w:t>
      </w:r>
    </w:p>
    <w:p w14:paraId="2EF3B1BE" w14:textId="77777777" w:rsidR="000F73A5" w:rsidRDefault="000F73A5" w:rsidP="000F73A5">
      <w:pPr>
        <w:pStyle w:val="Bullet2"/>
      </w:pPr>
      <w:r w:rsidRPr="00052DB8">
        <w:t>Paediatricians use the existing items for</w:t>
      </w:r>
      <w:r w:rsidRPr="00052DB8">
        <w:rPr>
          <w:lang w:val="en-GB"/>
        </w:rPr>
        <w:t xml:space="preserve"> c</w:t>
      </w:r>
      <w:r w:rsidRPr="00423430">
        <w:rPr>
          <w:lang w:val="en-GB"/>
        </w:rPr>
        <w:t xml:space="preserve">hildren with certain developmental disorders (e.g., autism) </w:t>
      </w:r>
      <w:r w:rsidR="009C2A4A">
        <w:rPr>
          <w:lang w:val="en-GB"/>
        </w:rPr>
        <w:t>and</w:t>
      </w:r>
      <w:r w:rsidRPr="00423430">
        <w:rPr>
          <w:lang w:val="en-GB"/>
        </w:rPr>
        <w:t xml:space="preserve"> </w:t>
      </w:r>
      <w:r w:rsidRPr="0060516A">
        <w:rPr>
          <w:lang w:val="en-GB"/>
        </w:rPr>
        <w:t xml:space="preserve">for children with a disability. These items also provide access </w:t>
      </w:r>
      <w:r w:rsidRPr="00052DB8">
        <w:rPr>
          <w:lang w:val="en-GB"/>
        </w:rPr>
        <w:t>to allied health professional visits that are eligible for a MBS rebate. The Committee recommends these items remain with wording cha</w:t>
      </w:r>
      <w:r>
        <w:rPr>
          <w:lang w:val="en-GB"/>
        </w:rPr>
        <w:t xml:space="preserve">nged to reflect modern practice, </w:t>
      </w:r>
      <w:r w:rsidRPr="00423430">
        <w:t>replacing</w:t>
      </w:r>
      <w:r w:rsidRPr="0060516A">
        <w:t xml:space="preserve"> the outdated term “pervasive neurodevelopment disorder” with “complex </w:t>
      </w:r>
      <w:r w:rsidRPr="00052DB8">
        <w:t>neurodevelopmental disorder”</w:t>
      </w:r>
      <w:r>
        <w:t xml:space="preserve"> to enable </w:t>
      </w:r>
      <w:r w:rsidRPr="00423430">
        <w:t>paediatricians to use t</w:t>
      </w:r>
      <w:r w:rsidRPr="00052DB8">
        <w:t>he</w:t>
      </w:r>
      <w:r w:rsidRPr="00423430">
        <w:t xml:space="preserve"> item for children with </w:t>
      </w:r>
      <w:r>
        <w:t>fetal</w:t>
      </w:r>
      <w:r w:rsidRPr="00423430">
        <w:t xml:space="preserve"> alcohol spectrum disorder (FASD).</w:t>
      </w:r>
    </w:p>
    <w:p w14:paraId="55F69958" w14:textId="77777777" w:rsidR="00FF3DDE" w:rsidRPr="000F13EF" w:rsidRDefault="00FF3DDE" w:rsidP="00FF3DDE">
      <w:pPr>
        <w:pStyle w:val="Bullet2"/>
      </w:pPr>
      <w:r w:rsidRPr="000F13EF">
        <w:t xml:space="preserve">Geriatricians use the existing items to provide a comprehensive assessment and management plan for patients who are at </w:t>
      </w:r>
      <w:r>
        <w:t xml:space="preserve">least </w:t>
      </w:r>
      <w:r w:rsidRPr="000F13EF">
        <w:t xml:space="preserve">65 years old </w:t>
      </w:r>
      <w:r>
        <w:t>and includes evaluation of the medical, physical, psychological and social aspects of the patient’s health. The Committee recommends these items remain in the MBS.</w:t>
      </w:r>
    </w:p>
    <w:p w14:paraId="7065A9B5" w14:textId="77777777" w:rsidR="000F73A5" w:rsidRPr="00607BDA" w:rsidRDefault="000F73A5" w:rsidP="00607BDA">
      <w:pPr>
        <w:pStyle w:val="Heading2"/>
      </w:pPr>
      <w:bookmarkStart w:id="244" w:name="_Toc24544749"/>
      <w:r w:rsidRPr="0048455A">
        <w:t>Telehealth</w:t>
      </w:r>
      <w:r>
        <w:t xml:space="preserve"> recommendations</w:t>
      </w:r>
      <w:bookmarkEnd w:id="244"/>
    </w:p>
    <w:p w14:paraId="072C7A18" w14:textId="77777777" w:rsidR="000F73A5" w:rsidRPr="00052DB8" w:rsidRDefault="000F73A5" w:rsidP="000F73A5">
      <w:r w:rsidRPr="00052DB8">
        <w:t xml:space="preserve">Over time, reduce the loading paid to </w:t>
      </w:r>
      <w:r>
        <w:t>consultant specialists</w:t>
      </w:r>
      <w:r w:rsidRPr="00052DB8">
        <w:t xml:space="preserve"> when they use telehealth and use all the money saved to promote the wider use of telehealth. Monitor this change to make sure it achieves what’s intended</w:t>
      </w:r>
      <w:r>
        <w:t xml:space="preserve"> and does not introduce unwanted consequences</w:t>
      </w:r>
      <w:r w:rsidRPr="00052DB8">
        <w:t>. Then introduce telehealth specific items using the time</w:t>
      </w:r>
      <w:r>
        <w:t>-</w:t>
      </w:r>
      <w:r w:rsidRPr="00052DB8">
        <w:t xml:space="preserve">tiered </w:t>
      </w:r>
      <w:r>
        <w:t>structure as for standard attendances</w:t>
      </w:r>
      <w:r w:rsidRPr="00052DB8">
        <w:t>.</w:t>
      </w:r>
    </w:p>
    <w:p w14:paraId="5054AF94" w14:textId="77777777" w:rsidR="000F73A5" w:rsidRPr="00052DB8" w:rsidRDefault="000F73A5" w:rsidP="00C035DF">
      <w:pPr>
        <w:pStyle w:val="Bullet-green"/>
        <w:keepNext/>
        <w:rPr>
          <w:lang w:val="en-GB"/>
        </w:rPr>
      </w:pPr>
      <w:r w:rsidRPr="00052DB8">
        <w:rPr>
          <w:lang w:val="en-GB"/>
        </w:rPr>
        <w:t>Consumer points</w:t>
      </w:r>
      <w:r>
        <w:rPr>
          <w:lang w:val="en-GB"/>
        </w:rPr>
        <w:t>.</w:t>
      </w:r>
    </w:p>
    <w:p w14:paraId="5BE097D5" w14:textId="77777777" w:rsidR="000F73A5" w:rsidRPr="00052DB8" w:rsidRDefault="000F73A5" w:rsidP="00C035DF">
      <w:pPr>
        <w:pStyle w:val="Bullet2"/>
        <w:keepNext/>
      </w:pPr>
      <w:r w:rsidRPr="00052DB8">
        <w:t>International evidence shows that once consumers and clinicians understand the benefits of telehealth, they don’t need incentives to use it – and it saves everyone time and money</w:t>
      </w:r>
      <w:r>
        <w:t>.</w:t>
      </w:r>
    </w:p>
    <w:p w14:paraId="522DA2C4" w14:textId="77777777" w:rsidR="000F73A5" w:rsidRPr="00423430" w:rsidRDefault="000F73A5" w:rsidP="000F73A5">
      <w:pPr>
        <w:pStyle w:val="Bullet2"/>
      </w:pPr>
      <w:r w:rsidRPr="00052DB8">
        <w:t xml:space="preserve">The </w:t>
      </w:r>
      <w:r w:rsidR="00EA0868">
        <w:t xml:space="preserve">benefits </w:t>
      </w:r>
      <w:r w:rsidRPr="00052DB8">
        <w:t>saved from the loading could be used to educate consumers and clinicians so they use telehealth for everyone’s benefit.</w:t>
      </w:r>
    </w:p>
    <w:p w14:paraId="3BCA119E" w14:textId="77777777" w:rsidR="000F73A5" w:rsidRPr="00607BDA" w:rsidRDefault="000F73A5" w:rsidP="00607BDA">
      <w:pPr>
        <w:pStyle w:val="Heading2"/>
      </w:pPr>
      <w:bookmarkStart w:id="245" w:name="_Toc24544750"/>
      <w:r w:rsidRPr="00052DB8">
        <w:t xml:space="preserve">Case </w:t>
      </w:r>
      <w:r w:rsidRPr="00607BDA">
        <w:t>conference</w:t>
      </w:r>
      <w:r>
        <w:t xml:space="preserve"> recommendations</w:t>
      </w:r>
      <w:bookmarkEnd w:id="245"/>
    </w:p>
    <w:p w14:paraId="5212C120" w14:textId="77777777" w:rsidR="000F73A5" w:rsidRDefault="000F73A5" w:rsidP="000F73A5">
      <w:r>
        <w:t xml:space="preserve">Case conferences are </w:t>
      </w:r>
      <w:r w:rsidRPr="00052DB8">
        <w:t>where a group of health professionals (and their patient) meet to d</w:t>
      </w:r>
      <w:r>
        <w:t>iscuss, develop and agree on a care plan.</w:t>
      </w:r>
    </w:p>
    <w:p w14:paraId="3487C397" w14:textId="77777777" w:rsidR="000F73A5" w:rsidRPr="00052DB8" w:rsidRDefault="000F73A5" w:rsidP="000F73A5">
      <w:pPr>
        <w:rPr>
          <w:lang w:val="en-GB"/>
        </w:rPr>
      </w:pPr>
      <w:r w:rsidRPr="00052DB8">
        <w:t xml:space="preserve">Change the current case conference items </w:t>
      </w:r>
      <w:r w:rsidRPr="00052DB8">
        <w:rPr>
          <w:lang w:val="en-GB"/>
        </w:rPr>
        <w:t xml:space="preserve">to facilitate shared decision-making and more integrated care with </w:t>
      </w:r>
      <w:r>
        <w:rPr>
          <w:lang w:val="en-GB"/>
        </w:rPr>
        <w:t xml:space="preserve">the </w:t>
      </w:r>
      <w:r w:rsidRPr="00052DB8">
        <w:rPr>
          <w:lang w:val="en-GB"/>
        </w:rPr>
        <w:t xml:space="preserve">patient and their GP. Have three types of case conference: (1) </w:t>
      </w:r>
      <w:r>
        <w:rPr>
          <w:lang w:val="en-GB"/>
        </w:rPr>
        <w:t xml:space="preserve">discharge </w:t>
      </w:r>
      <w:r w:rsidRPr="00052DB8">
        <w:rPr>
          <w:lang w:val="en-GB"/>
        </w:rPr>
        <w:t xml:space="preserve">planning (2) </w:t>
      </w:r>
      <w:r>
        <w:rPr>
          <w:lang w:val="en-GB"/>
        </w:rPr>
        <w:t>community care</w:t>
      </w:r>
      <w:r w:rsidRPr="00052DB8">
        <w:rPr>
          <w:lang w:val="en-GB"/>
        </w:rPr>
        <w:t xml:space="preserve"> planning</w:t>
      </w:r>
      <w:r>
        <w:rPr>
          <w:lang w:val="en-GB"/>
        </w:rPr>
        <w:t>, and</w:t>
      </w:r>
      <w:r w:rsidRPr="00052DB8">
        <w:rPr>
          <w:lang w:val="en-GB"/>
        </w:rPr>
        <w:t xml:space="preserve"> (3) treatment planning</w:t>
      </w:r>
      <w:r>
        <w:rPr>
          <w:lang w:val="en-GB"/>
        </w:rPr>
        <w:t>.</w:t>
      </w:r>
    </w:p>
    <w:p w14:paraId="57673EF6" w14:textId="77777777" w:rsidR="000F73A5" w:rsidRPr="00052DB8" w:rsidRDefault="000F73A5" w:rsidP="000F73A5">
      <w:pPr>
        <w:pStyle w:val="Bullet-green"/>
        <w:rPr>
          <w:lang w:val="en-GB"/>
        </w:rPr>
      </w:pPr>
      <w:r>
        <w:rPr>
          <w:lang w:val="en-GB"/>
        </w:rPr>
        <w:t>Consumer points.</w:t>
      </w:r>
    </w:p>
    <w:p w14:paraId="2EE74BAB" w14:textId="77777777" w:rsidR="000F73A5" w:rsidRPr="00052DB8" w:rsidRDefault="000F73A5" w:rsidP="000F73A5">
      <w:pPr>
        <w:pStyle w:val="Bullet2"/>
      </w:pPr>
      <w:r w:rsidRPr="00052DB8">
        <w:t>Case conference items are for discussing patient treatm</w:t>
      </w:r>
      <w:r w:rsidRPr="00423430">
        <w:t xml:space="preserve">ent options, risks and benefits; </w:t>
      </w:r>
      <w:r w:rsidRPr="00052DB8">
        <w:t>recommending</w:t>
      </w:r>
      <w:r>
        <w:t xml:space="preserve"> </w:t>
      </w:r>
      <w:r w:rsidRPr="00052DB8">
        <w:t>a treatment plan</w:t>
      </w:r>
      <w:r>
        <w:t>; reaching an agreed decision and obtaining informed patient consent.</w:t>
      </w:r>
    </w:p>
    <w:p w14:paraId="7A4EB2F6" w14:textId="77777777" w:rsidR="000F73A5" w:rsidRPr="00052DB8" w:rsidRDefault="000F73A5" w:rsidP="000F73A5">
      <w:pPr>
        <w:pStyle w:val="Bullet2"/>
        <w:rPr>
          <w:szCs w:val="22"/>
          <w:lang w:val="en-GB"/>
        </w:rPr>
      </w:pPr>
      <w:r w:rsidRPr="00052DB8">
        <w:rPr>
          <w:szCs w:val="22"/>
          <w:lang w:val="en-GB"/>
        </w:rPr>
        <w:t>Consumers must be</w:t>
      </w:r>
      <w:r>
        <w:rPr>
          <w:szCs w:val="22"/>
          <w:lang w:val="en-GB"/>
        </w:rPr>
        <w:t>:</w:t>
      </w:r>
      <w:r w:rsidRPr="00052DB8">
        <w:rPr>
          <w:szCs w:val="22"/>
          <w:lang w:val="en-GB"/>
        </w:rPr>
        <w:t xml:space="preserve"> invited </w:t>
      </w:r>
      <w:r>
        <w:rPr>
          <w:szCs w:val="22"/>
          <w:lang w:val="en-GB"/>
        </w:rPr>
        <w:t xml:space="preserve">to community and discharge case conferences, be </w:t>
      </w:r>
      <w:r w:rsidRPr="00052DB8">
        <w:rPr>
          <w:szCs w:val="22"/>
          <w:lang w:val="en-GB"/>
        </w:rPr>
        <w:t>enabled to participate</w:t>
      </w:r>
      <w:r>
        <w:rPr>
          <w:szCs w:val="22"/>
          <w:lang w:val="en-GB"/>
        </w:rPr>
        <w:t xml:space="preserve"> if they elect to attend, </w:t>
      </w:r>
      <w:r w:rsidRPr="00052DB8">
        <w:rPr>
          <w:szCs w:val="22"/>
          <w:lang w:val="en-GB"/>
        </w:rPr>
        <w:t>and give informed consent to any treatment care plan</w:t>
      </w:r>
      <w:r>
        <w:rPr>
          <w:szCs w:val="22"/>
          <w:lang w:val="en-GB"/>
        </w:rPr>
        <w:t>.</w:t>
      </w:r>
    </w:p>
    <w:p w14:paraId="38349163" w14:textId="77777777" w:rsidR="000F73A5" w:rsidRPr="00C80CC3" w:rsidRDefault="000F73A5" w:rsidP="000F73A5">
      <w:pPr>
        <w:pStyle w:val="Bullet2"/>
        <w:rPr>
          <w:szCs w:val="22"/>
          <w:lang w:val="en-GB"/>
        </w:rPr>
      </w:pPr>
      <w:r w:rsidRPr="00052DB8">
        <w:rPr>
          <w:szCs w:val="22"/>
          <w:lang w:val="en-GB"/>
        </w:rPr>
        <w:t xml:space="preserve">GPs </w:t>
      </w:r>
      <w:r>
        <w:rPr>
          <w:szCs w:val="22"/>
          <w:lang w:val="en-GB"/>
        </w:rPr>
        <w:t xml:space="preserve">(or their delegate) must </w:t>
      </w:r>
      <w:r w:rsidRPr="00052DB8">
        <w:rPr>
          <w:szCs w:val="22"/>
          <w:lang w:val="en-GB"/>
        </w:rPr>
        <w:t xml:space="preserve">participate </w:t>
      </w:r>
      <w:r>
        <w:rPr>
          <w:szCs w:val="22"/>
          <w:lang w:val="en-GB"/>
        </w:rPr>
        <w:t>in both discharge and community care planning case conferences, or r</w:t>
      </w:r>
      <w:r w:rsidRPr="00C80CC3">
        <w:rPr>
          <w:szCs w:val="22"/>
          <w:lang w:val="en-GB"/>
        </w:rPr>
        <w:t xml:space="preserve">eview </w:t>
      </w:r>
      <w:r>
        <w:rPr>
          <w:szCs w:val="22"/>
          <w:lang w:val="en-GB"/>
        </w:rPr>
        <w:t xml:space="preserve">case conference </w:t>
      </w:r>
      <w:r w:rsidRPr="00C80CC3">
        <w:rPr>
          <w:szCs w:val="22"/>
          <w:lang w:val="en-GB"/>
        </w:rPr>
        <w:t>outcomes and</w:t>
      </w:r>
      <w:r>
        <w:rPr>
          <w:szCs w:val="22"/>
          <w:lang w:val="en-GB"/>
        </w:rPr>
        <w:t xml:space="preserve"> communicate</w:t>
      </w:r>
      <w:r w:rsidRPr="00C80CC3">
        <w:rPr>
          <w:szCs w:val="22"/>
          <w:lang w:val="en-GB"/>
        </w:rPr>
        <w:t xml:space="preserve"> any proposed changes to the patient and t</w:t>
      </w:r>
      <w:r>
        <w:rPr>
          <w:szCs w:val="22"/>
          <w:lang w:val="en-GB"/>
        </w:rPr>
        <w:t>o the case conference organiser.</w:t>
      </w:r>
    </w:p>
    <w:p w14:paraId="53BA4CEB" w14:textId="77777777" w:rsidR="000F73A5" w:rsidRDefault="000F73A5" w:rsidP="000F73A5">
      <w:pPr>
        <w:pStyle w:val="Bullet2"/>
        <w:rPr>
          <w:szCs w:val="22"/>
          <w:lang w:val="en-GB"/>
        </w:rPr>
      </w:pPr>
      <w:r>
        <w:rPr>
          <w:szCs w:val="22"/>
          <w:lang w:val="en-GB"/>
        </w:rPr>
        <w:t>Nurse practitioners and a</w:t>
      </w:r>
      <w:r w:rsidRPr="00052DB8">
        <w:rPr>
          <w:szCs w:val="22"/>
          <w:lang w:val="en-GB"/>
        </w:rPr>
        <w:t xml:space="preserve">llied health professionals </w:t>
      </w:r>
      <w:r>
        <w:rPr>
          <w:szCs w:val="22"/>
          <w:lang w:val="en-GB"/>
        </w:rPr>
        <w:t>can</w:t>
      </w:r>
      <w:r w:rsidRPr="00052DB8">
        <w:rPr>
          <w:szCs w:val="22"/>
          <w:lang w:val="en-GB"/>
        </w:rPr>
        <w:t xml:space="preserve"> be included in case conferences</w:t>
      </w:r>
      <w:r>
        <w:rPr>
          <w:szCs w:val="22"/>
          <w:lang w:val="en-GB"/>
        </w:rPr>
        <w:t>. These include</w:t>
      </w:r>
      <w:r w:rsidRPr="00052DB8">
        <w:rPr>
          <w:szCs w:val="22"/>
          <w:lang w:val="en-GB"/>
        </w:rPr>
        <w:t xml:space="preserve"> Aboriginal and Torres Strait Islander health practitioners, Aboriginal health workers, audiologists, chiropractors, diabetes educators, dietitians, exercise physiologists, mental health nurses, occupational therapists, osteopathists, physiotherapists, podiatrists, psychologists, social workers, and speech pathologists</w:t>
      </w:r>
      <w:r>
        <w:rPr>
          <w:szCs w:val="22"/>
          <w:lang w:val="en-GB"/>
        </w:rPr>
        <w:t>.</w:t>
      </w:r>
    </w:p>
    <w:p w14:paraId="2D25B7ED" w14:textId="77777777" w:rsidR="000F73A5" w:rsidRPr="00423430" w:rsidRDefault="000F73A5" w:rsidP="000F73A5">
      <w:pPr>
        <w:pStyle w:val="Bullet2"/>
        <w:rPr>
          <w:szCs w:val="22"/>
          <w:lang w:val="en-GB"/>
        </w:rPr>
      </w:pPr>
      <w:r>
        <w:rPr>
          <w:szCs w:val="22"/>
          <w:lang w:val="en-GB"/>
        </w:rPr>
        <w:t>The Committee has recommended that the impact of introducing new case conference items and the potential increase in fees should be closely monitored, including the potential impact on out-of-pocket costs.</w:t>
      </w:r>
    </w:p>
    <w:p w14:paraId="1B0DCFCC" w14:textId="77777777" w:rsidR="000F73A5" w:rsidRPr="00607BDA" w:rsidRDefault="000F73A5" w:rsidP="00607BDA">
      <w:pPr>
        <w:pStyle w:val="Heading2"/>
      </w:pPr>
      <w:bookmarkStart w:id="246" w:name="_Toc24544751"/>
      <w:r w:rsidRPr="00052DB8">
        <w:t xml:space="preserve">Use of data to </w:t>
      </w:r>
      <w:r w:rsidRPr="00ED4476">
        <w:t>inform</w:t>
      </w:r>
      <w:r w:rsidRPr="00052DB8">
        <w:t xml:space="preserve"> quality care and </w:t>
      </w:r>
      <w:r w:rsidRPr="00DD609C">
        <w:t xml:space="preserve">informed </w:t>
      </w:r>
      <w:r w:rsidRPr="00052DB8">
        <w:t xml:space="preserve">patient choice </w:t>
      </w:r>
      <w:r w:rsidRPr="00DD609C">
        <w:t>and consent</w:t>
      </w:r>
      <w:bookmarkEnd w:id="246"/>
    </w:p>
    <w:p w14:paraId="7BE990A2" w14:textId="77777777" w:rsidR="000F73A5" w:rsidRPr="00052DB8" w:rsidRDefault="000F73A5" w:rsidP="000F73A5">
      <w:pPr>
        <w:rPr>
          <w:color w:val="FF0000"/>
          <w:lang w:val="en-GB"/>
        </w:rPr>
      </w:pPr>
      <w:r w:rsidRPr="00052DB8">
        <w:rPr>
          <w:lang w:val="en-GB"/>
        </w:rPr>
        <w:t>Establish a minimum data set</w:t>
      </w:r>
      <w:r>
        <w:rPr>
          <w:lang w:val="en-GB"/>
        </w:rPr>
        <w:t xml:space="preserve"> </w:t>
      </w:r>
      <w:r w:rsidRPr="00052DB8">
        <w:rPr>
          <w:lang w:val="en-GB"/>
        </w:rPr>
        <w:t>for patients and GPs to use together when considering referrals</w:t>
      </w:r>
      <w:r>
        <w:rPr>
          <w:lang w:val="en-GB"/>
        </w:rPr>
        <w:t xml:space="preserve">. Include patient outcomes, patient reported outcomes and fees - </w:t>
      </w:r>
      <w:r w:rsidRPr="00BD30C8">
        <w:rPr>
          <w:lang w:val="en-GB"/>
        </w:rPr>
        <w:t>at the provider</w:t>
      </w:r>
      <w:r>
        <w:rPr>
          <w:lang w:val="en-GB"/>
        </w:rPr>
        <w:t xml:space="preserve"> and</w:t>
      </w:r>
      <w:r w:rsidR="00BD30C8">
        <w:rPr>
          <w:lang w:val="en-GB"/>
        </w:rPr>
        <w:t>/or</w:t>
      </w:r>
      <w:r>
        <w:rPr>
          <w:lang w:val="en-GB"/>
        </w:rPr>
        <w:t xml:space="preserve"> service level. Ensure the information is accurate and clearly explained, and </w:t>
      </w:r>
      <w:r w:rsidRPr="00423430">
        <w:rPr>
          <w:lang w:val="en-GB"/>
        </w:rPr>
        <w:t>c</w:t>
      </w:r>
      <w:r w:rsidRPr="00052DB8">
        <w:rPr>
          <w:lang w:val="en-GB"/>
        </w:rPr>
        <w:t>o-design the presentation of cost and outcome information with consumers.</w:t>
      </w:r>
    </w:p>
    <w:p w14:paraId="4A5E9AA6" w14:textId="77777777" w:rsidR="000F73A5" w:rsidRPr="00052DB8" w:rsidRDefault="000F73A5" w:rsidP="000F73A5">
      <w:pPr>
        <w:pStyle w:val="Bullet-green"/>
        <w:rPr>
          <w:lang w:val="en-GB"/>
        </w:rPr>
      </w:pPr>
      <w:r w:rsidRPr="00ED4476">
        <w:t>Consumer</w:t>
      </w:r>
      <w:r>
        <w:rPr>
          <w:lang w:val="en-GB"/>
        </w:rPr>
        <w:t xml:space="preserve"> points.</w:t>
      </w:r>
    </w:p>
    <w:p w14:paraId="2A5FBFA0" w14:textId="77777777" w:rsidR="000F73A5" w:rsidRPr="00052DB8" w:rsidRDefault="000F73A5" w:rsidP="000F73A5">
      <w:pPr>
        <w:pStyle w:val="Bullet2"/>
      </w:pPr>
      <w:r>
        <w:t xml:space="preserve">This will provide </w:t>
      </w:r>
      <w:r w:rsidRPr="00423430">
        <w:t xml:space="preserve">patients with transparency on the cost and </w:t>
      </w:r>
      <w:r>
        <w:t>outcomes</w:t>
      </w:r>
      <w:r w:rsidRPr="00423430">
        <w:t xml:space="preserve"> of consultant specialist services. </w:t>
      </w:r>
    </w:p>
    <w:p w14:paraId="3647377D" w14:textId="77777777" w:rsidR="000F73A5" w:rsidRPr="0060516A" w:rsidRDefault="000F73A5" w:rsidP="000F73A5">
      <w:pPr>
        <w:pStyle w:val="Bullet2"/>
      </w:pPr>
      <w:r>
        <w:t>This will support imp</w:t>
      </w:r>
      <w:r w:rsidRPr="00423430">
        <w:t>rove</w:t>
      </w:r>
      <w:r>
        <w:t>d</w:t>
      </w:r>
      <w:r w:rsidRPr="00423430">
        <w:t xml:space="preserve"> patient consent and shared decision-making </w:t>
      </w:r>
      <w:r>
        <w:t xml:space="preserve">processes. </w:t>
      </w:r>
      <w:r w:rsidRPr="00423430">
        <w:t xml:space="preserve">MBS item descriptors </w:t>
      </w:r>
      <w:r>
        <w:t xml:space="preserve">will include </w:t>
      </w:r>
      <w:r w:rsidRPr="00423430">
        <w:t xml:space="preserve">a requirement for multiple treatment options to be discussed when they are </w:t>
      </w:r>
      <w:r w:rsidRPr="0060516A">
        <w:t xml:space="preserve">available. </w:t>
      </w:r>
    </w:p>
    <w:p w14:paraId="6528927F" w14:textId="77777777" w:rsidR="000F73A5" w:rsidRDefault="000F73A5" w:rsidP="000F73A5">
      <w:pPr>
        <w:pStyle w:val="Bullet2"/>
      </w:pPr>
      <w:r w:rsidRPr="00052DB8">
        <w:t xml:space="preserve">Consultant specialists will be required to discuss available treatment options with the patient, consider referrals to other consultant specialists, and provide a written document outlining the options and their </w:t>
      </w:r>
      <w:r>
        <w:t xml:space="preserve">associated </w:t>
      </w:r>
      <w:r w:rsidRPr="00052DB8">
        <w:t xml:space="preserve">advantages and disadvantages. </w:t>
      </w:r>
    </w:p>
    <w:p w14:paraId="6088F50A" w14:textId="77777777" w:rsidR="000F73A5" w:rsidRDefault="000F73A5" w:rsidP="00607BDA">
      <w:pPr>
        <w:pStyle w:val="Heading2"/>
      </w:pPr>
      <w:bookmarkStart w:id="247" w:name="_Toc24544752"/>
      <w:r w:rsidRPr="00052DB8">
        <w:t xml:space="preserve">My </w:t>
      </w:r>
      <w:r w:rsidRPr="00ED4476">
        <w:t>Health</w:t>
      </w:r>
      <w:r w:rsidRPr="00052DB8">
        <w:t xml:space="preserve"> Record</w:t>
      </w:r>
      <w:r>
        <w:t xml:space="preserve"> recommendations</w:t>
      </w:r>
      <w:bookmarkEnd w:id="247"/>
    </w:p>
    <w:p w14:paraId="012D77D9" w14:textId="77777777" w:rsidR="000F73A5" w:rsidRPr="00052DB8" w:rsidRDefault="000F73A5" w:rsidP="000F73A5">
      <w:r w:rsidRPr="00052DB8">
        <w:t xml:space="preserve">Use </w:t>
      </w:r>
      <w:r w:rsidRPr="00052DB8">
        <w:rPr>
          <w:lang w:val="en-GB"/>
        </w:rPr>
        <w:t xml:space="preserve">MBS and non-MBS mechanisms to support the adoption of digital </w:t>
      </w:r>
      <w:r>
        <w:rPr>
          <w:lang w:val="en-GB"/>
        </w:rPr>
        <w:t xml:space="preserve">health </w:t>
      </w:r>
      <w:r w:rsidRPr="00052DB8">
        <w:rPr>
          <w:lang w:val="en-GB"/>
        </w:rPr>
        <w:t>record systems</w:t>
      </w:r>
      <w:r>
        <w:rPr>
          <w:lang w:val="en-GB"/>
        </w:rPr>
        <w:t>.</w:t>
      </w:r>
    </w:p>
    <w:p w14:paraId="485B72EF" w14:textId="77777777" w:rsidR="000F73A5" w:rsidRPr="00CA200B" w:rsidRDefault="000F73A5" w:rsidP="000F73A5">
      <w:pPr>
        <w:pStyle w:val="Bullet-green"/>
      </w:pPr>
      <w:r>
        <w:rPr>
          <w:lang w:val="en-GB"/>
        </w:rPr>
        <w:t>MBS mechanism.</w:t>
      </w:r>
    </w:p>
    <w:p w14:paraId="77551004" w14:textId="77777777" w:rsidR="000F73A5" w:rsidRPr="00052DB8" w:rsidRDefault="000F73A5" w:rsidP="000F73A5">
      <w:pPr>
        <w:pStyle w:val="Bullet2"/>
      </w:pPr>
      <w:r>
        <w:t>O</w:t>
      </w:r>
      <w:r w:rsidRPr="00052DB8">
        <w:t>utcomes of case conferences are uploaded to My Health Record.</w:t>
      </w:r>
    </w:p>
    <w:p w14:paraId="155462EA" w14:textId="77777777" w:rsidR="000F73A5" w:rsidRPr="00052DB8" w:rsidRDefault="000F73A5" w:rsidP="000F73A5">
      <w:pPr>
        <w:pStyle w:val="BulletStyle3"/>
      </w:pPr>
      <w:r w:rsidRPr="00052DB8">
        <w:t>For treatment planning case conferences, the consultant specialist organising the conference should be responsible for the upload.</w:t>
      </w:r>
    </w:p>
    <w:p w14:paraId="61636F6A" w14:textId="77777777" w:rsidR="000F73A5" w:rsidRDefault="000F73A5" w:rsidP="000F73A5">
      <w:pPr>
        <w:pStyle w:val="BulletStyle3"/>
      </w:pPr>
      <w:r w:rsidRPr="00052DB8">
        <w:t>For community and discharge case conferences, the GP participating in the case conference should be responsible for the upload.</w:t>
      </w:r>
    </w:p>
    <w:p w14:paraId="3EB62F7E" w14:textId="77777777" w:rsidR="00FF3DDE" w:rsidRPr="00052DB8" w:rsidRDefault="00FF3DDE" w:rsidP="000F73A5">
      <w:pPr>
        <w:pStyle w:val="BulletStyle3"/>
      </w:pPr>
      <w:r>
        <w:rPr>
          <w:lang w:val="en-GB"/>
        </w:rPr>
        <w:t>Paediatric complex plans and geriatric complex plans are uploaded to My Health Record, with the paediatrician or geriatrician responsible for the upload.</w:t>
      </w:r>
    </w:p>
    <w:p w14:paraId="6E48C385" w14:textId="77777777" w:rsidR="000F73A5" w:rsidRPr="00CA200B" w:rsidRDefault="000F73A5" w:rsidP="000F73A5">
      <w:pPr>
        <w:pStyle w:val="Bullet-green"/>
      </w:pPr>
      <w:r w:rsidRPr="00CA200B">
        <w:rPr>
          <w:szCs w:val="22"/>
        </w:rPr>
        <w:t>Non-MBS mecha</w:t>
      </w:r>
      <w:r>
        <w:rPr>
          <w:szCs w:val="22"/>
        </w:rPr>
        <w:t>nisms.</w:t>
      </w:r>
    </w:p>
    <w:p w14:paraId="7881C1D8" w14:textId="77777777" w:rsidR="000F73A5" w:rsidRPr="00383555" w:rsidRDefault="000F73A5" w:rsidP="000F73A5">
      <w:pPr>
        <w:pStyle w:val="Bullet2"/>
      </w:pPr>
      <w:r w:rsidRPr="00CA200B">
        <w:t>I</w:t>
      </w:r>
      <w:r w:rsidRPr="0060516A">
        <w:t>ntroduce a single incentive payment to consultant specialists upon their adoption of My Health Record</w:t>
      </w:r>
      <w:r w:rsidRPr="0060516A">
        <w:rPr>
          <w:lang w:val="en-GB"/>
        </w:rPr>
        <w:t>, triggered by achieving a volume of uploads proportional to the number of attend</w:t>
      </w:r>
      <w:r>
        <w:rPr>
          <w:lang w:val="en-GB"/>
        </w:rPr>
        <w:t>ances that the provider perform</w:t>
      </w:r>
      <w:r w:rsidR="009C2A4A">
        <w:rPr>
          <w:lang w:val="en-GB"/>
        </w:rPr>
        <w:t>s</w:t>
      </w:r>
      <w:r>
        <w:rPr>
          <w:lang w:val="en-GB"/>
        </w:rPr>
        <w:t>.</w:t>
      </w:r>
    </w:p>
    <w:p w14:paraId="24F6777A" w14:textId="77777777" w:rsidR="000F73A5" w:rsidRDefault="000F73A5" w:rsidP="000F73A5">
      <w:pPr>
        <w:pStyle w:val="Bullet2"/>
      </w:pPr>
      <w:r w:rsidRPr="00423430">
        <w:t xml:space="preserve">Improve the functionality of My Health Record </w:t>
      </w:r>
      <w:r>
        <w:t>and</w:t>
      </w:r>
      <w:r w:rsidRPr="0060516A">
        <w:t xml:space="preserve"> educate consultant specialists on the benefits of its use.</w:t>
      </w:r>
    </w:p>
    <w:p w14:paraId="1E524E7A" w14:textId="77777777" w:rsidR="00834274" w:rsidRDefault="00834274" w:rsidP="00FB4475">
      <w:pPr>
        <w:rPr>
          <w:lang w:val="en-GB"/>
        </w:rPr>
        <w:sectPr w:rsidR="00834274" w:rsidSect="00DF09CD">
          <w:endnotePr>
            <w:numFmt w:val="decimal"/>
          </w:endnotePr>
          <w:pgSz w:w="11906" w:h="16838" w:code="9"/>
          <w:pgMar w:top="1440" w:right="1797" w:bottom="1440" w:left="1797" w:header="720" w:footer="720" w:gutter="0"/>
          <w:cols w:space="720"/>
          <w:docGrid w:linePitch="326"/>
        </w:sectPr>
      </w:pPr>
    </w:p>
    <w:bookmarkStart w:id="248" w:name="_Toc521442213" w:displacedByCustomXml="next"/>
    <w:bookmarkStart w:id="249" w:name="_Toc468831608" w:displacedByCustomXml="next"/>
    <w:bookmarkStart w:id="250" w:name="_Ref467371429" w:displacedByCustomXml="next"/>
    <w:bookmarkStart w:id="251" w:name="_Ref467371422" w:displacedByCustomXml="next"/>
    <w:sdt>
      <w:sdtPr>
        <w:rPr>
          <w:rFonts w:cs="Times New Roman"/>
          <w:b w:val="0"/>
          <w:bCs w:val="0"/>
          <w:color w:val="auto"/>
          <w:sz w:val="22"/>
          <w:szCs w:val="24"/>
          <w:lang w:val="en-AU" w:eastAsia="en-AU"/>
        </w:rPr>
        <w:id w:val="-255216695"/>
        <w:docPartObj>
          <w:docPartGallery w:val="Bibliographies"/>
          <w:docPartUnique/>
        </w:docPartObj>
      </w:sdtPr>
      <w:sdtEndPr/>
      <w:sdtContent>
        <w:bookmarkStart w:id="252" w:name="_Toc24544753" w:displacedByCustomXml="prev"/>
        <w:p w14:paraId="569958EA" w14:textId="77777777" w:rsidR="00C70F2D" w:rsidRDefault="00785016">
          <w:pPr>
            <w:pStyle w:val="Heading1"/>
          </w:pPr>
          <w:r>
            <w:rPr>
              <w:rFonts w:cs="Times New Roman"/>
              <w:b w:val="0"/>
              <w:bCs w:val="0"/>
              <w:color w:val="auto"/>
              <w:sz w:val="22"/>
              <w:szCs w:val="24"/>
              <w:lang w:val="en-AU" w:eastAsia="en-AU"/>
            </w:rPr>
            <w:t xml:space="preserve"> </w:t>
          </w:r>
          <w:r w:rsidR="00C70F2D">
            <w:t>References</w:t>
          </w:r>
          <w:bookmarkEnd w:id="252"/>
        </w:p>
        <w:p w14:paraId="53F4E47F" w14:textId="77777777" w:rsidR="00F457D1" w:rsidRPr="00F457D1" w:rsidRDefault="00C70F2D" w:rsidP="00F457D1">
          <w:pPr>
            <w:pStyle w:val="Bibliography"/>
            <w:rPr>
              <w:noProof/>
              <w:sz w:val="24"/>
              <w:lang w:val="en-US"/>
            </w:rPr>
          </w:pPr>
          <w:r w:rsidRPr="00F457D1">
            <w:fldChar w:fldCharType="begin"/>
          </w:r>
          <w:r w:rsidRPr="00F457D1">
            <w:instrText xml:space="preserve"> BIBLIOGRAPHY </w:instrText>
          </w:r>
          <w:r w:rsidRPr="00F457D1">
            <w:fldChar w:fldCharType="separate"/>
          </w:r>
          <w:r w:rsidR="00F457D1" w:rsidRPr="00F457D1">
            <w:rPr>
              <w:noProof/>
              <w:lang w:val="en-US"/>
            </w:rPr>
            <w:t xml:space="preserve">1. </w:t>
          </w:r>
          <w:r w:rsidR="00F457D1" w:rsidRPr="00F457D1">
            <w:rPr>
              <w:i/>
              <w:iCs/>
              <w:noProof/>
              <w:lang w:val="en-US"/>
            </w:rPr>
            <w:t xml:space="preserve">Over 150 potentially low-value health care practices: an Australian study. </w:t>
          </w:r>
          <w:r w:rsidR="00F457D1" w:rsidRPr="00F457D1">
            <w:rPr>
              <w:bCs/>
              <w:noProof/>
              <w:lang w:val="en-US"/>
            </w:rPr>
            <w:t>Elshaug, Adam , et al.</w:t>
          </w:r>
          <w:r w:rsidR="00F457D1" w:rsidRPr="00F457D1">
            <w:rPr>
              <w:noProof/>
              <w:lang w:val="en-US"/>
            </w:rPr>
            <w:t xml:space="preserve"> 2012, The Medical Journal of Australia, pp. 556-560.</w:t>
          </w:r>
        </w:p>
        <w:p w14:paraId="74EEADA8" w14:textId="77777777" w:rsidR="00F457D1" w:rsidRPr="00F457D1" w:rsidRDefault="00F457D1" w:rsidP="00F457D1">
          <w:pPr>
            <w:pStyle w:val="Bibliography"/>
            <w:rPr>
              <w:bCs/>
              <w:noProof/>
              <w:lang w:val="en-US"/>
            </w:rPr>
          </w:pPr>
          <w:r w:rsidRPr="00F457D1">
            <w:rPr>
              <w:noProof/>
              <w:lang w:val="en-US"/>
            </w:rPr>
            <w:t xml:space="preserve">2. </w:t>
          </w:r>
          <w:r w:rsidRPr="00F457D1">
            <w:rPr>
              <w:bCs/>
              <w:i/>
              <w:iCs/>
              <w:noProof/>
              <w:lang w:val="en-US"/>
            </w:rPr>
            <w:t xml:space="preserve">Relative Value Study. </w:t>
          </w:r>
          <w:r w:rsidRPr="00F457D1">
            <w:rPr>
              <w:bCs/>
              <w:noProof/>
              <w:lang w:val="en-US"/>
            </w:rPr>
            <w:t>s.l. : Department of Health, 2008.</w:t>
          </w:r>
        </w:p>
        <w:p w14:paraId="0388F7DA" w14:textId="77777777" w:rsidR="00F457D1" w:rsidRPr="00F457D1" w:rsidRDefault="00F457D1" w:rsidP="00F457D1">
          <w:pPr>
            <w:pStyle w:val="Bibliography"/>
            <w:rPr>
              <w:bCs/>
              <w:noProof/>
              <w:lang w:val="en-US"/>
            </w:rPr>
          </w:pPr>
          <w:r w:rsidRPr="00F457D1">
            <w:rPr>
              <w:bCs/>
              <w:noProof/>
              <w:lang w:val="en-US"/>
            </w:rPr>
            <w:t xml:space="preserve">3. </w:t>
          </w:r>
          <w:r w:rsidRPr="00F457D1">
            <w:rPr>
              <w:bCs/>
              <w:i/>
              <w:iCs/>
              <w:noProof/>
              <w:lang w:val="en-US"/>
            </w:rPr>
            <w:t xml:space="preserve">Determinants of GP billing in Australia: content and time. </w:t>
          </w:r>
          <w:r w:rsidRPr="00F457D1">
            <w:rPr>
              <w:bCs/>
              <w:noProof/>
              <w:lang w:val="en-US"/>
            </w:rPr>
            <w:t>Britt, Valenti, Miller and Farmer. 2, s.l. : Medical Journal of Australia, 2004, Vol. 181.</w:t>
          </w:r>
        </w:p>
        <w:p w14:paraId="38991660" w14:textId="77777777" w:rsidR="00F457D1" w:rsidRPr="00F457D1" w:rsidRDefault="00F457D1" w:rsidP="00F457D1">
          <w:pPr>
            <w:pStyle w:val="Bibliography"/>
            <w:rPr>
              <w:bCs/>
              <w:noProof/>
              <w:lang w:val="en-US"/>
            </w:rPr>
          </w:pPr>
          <w:r>
            <w:rPr>
              <w:bCs/>
              <w:noProof/>
              <w:lang w:val="en-US"/>
            </w:rPr>
            <w:t xml:space="preserve">4. </w:t>
          </w:r>
          <w:r w:rsidRPr="00F457D1">
            <w:rPr>
              <w:bCs/>
              <w:noProof/>
              <w:lang w:val="en-US"/>
            </w:rPr>
            <w:t>Wage et</w:t>
          </w:r>
          <w:r>
            <w:rPr>
              <w:bCs/>
              <w:noProof/>
              <w:lang w:val="en-US"/>
            </w:rPr>
            <w:t xml:space="preserve"> al</w:t>
          </w:r>
          <w:r w:rsidRPr="00F457D1">
            <w:rPr>
              <w:bCs/>
              <w:noProof/>
              <w:lang w:val="en-US"/>
            </w:rPr>
            <w:t xml:space="preserve">. Clinician Acceptance is the Key Factor for Sustainable Telehealth Services. </w:t>
          </w:r>
          <w:r w:rsidRPr="00F457D1">
            <w:rPr>
              <w:bCs/>
              <w:i/>
              <w:iCs/>
              <w:noProof/>
              <w:lang w:val="en-US"/>
            </w:rPr>
            <w:t xml:space="preserve">Sage journals. </w:t>
          </w:r>
          <w:r w:rsidRPr="00F457D1">
            <w:rPr>
              <w:bCs/>
              <w:noProof/>
              <w:lang w:val="en-US"/>
            </w:rPr>
            <w:t>2014.</w:t>
          </w:r>
        </w:p>
        <w:p w14:paraId="63FC32D8" w14:textId="77777777" w:rsidR="00F457D1" w:rsidRPr="00F457D1" w:rsidRDefault="00F457D1" w:rsidP="00F457D1">
          <w:pPr>
            <w:pStyle w:val="Bibliography"/>
            <w:rPr>
              <w:bCs/>
              <w:noProof/>
              <w:lang w:val="en-US"/>
            </w:rPr>
          </w:pPr>
          <w:r>
            <w:rPr>
              <w:bCs/>
              <w:noProof/>
              <w:lang w:val="en-US"/>
            </w:rPr>
            <w:t xml:space="preserve">5. </w:t>
          </w:r>
          <w:r w:rsidRPr="00F457D1">
            <w:rPr>
              <w:bCs/>
              <w:noProof/>
              <w:lang w:val="en-US"/>
            </w:rPr>
            <w:t>Torre-Dı´ez et</w:t>
          </w:r>
          <w:r>
            <w:rPr>
              <w:bCs/>
              <w:noProof/>
              <w:lang w:val="en-US"/>
            </w:rPr>
            <w:t xml:space="preserve"> al</w:t>
          </w:r>
          <w:r w:rsidRPr="00F457D1">
            <w:rPr>
              <w:bCs/>
              <w:noProof/>
              <w:lang w:val="en-US"/>
            </w:rPr>
            <w:t>. Cost-Utility and Cost-Effectiveness Studies of Telemedicine, Electronic, and Mobile Health Systems in the Literature: A Systematic Review. s.l. : Telemed J E Health, 2015. 21(2): 81–85.</w:t>
          </w:r>
        </w:p>
        <w:p w14:paraId="5D377DBB" w14:textId="77777777" w:rsidR="00F457D1" w:rsidRPr="00F457D1" w:rsidRDefault="00F457D1" w:rsidP="00F457D1">
          <w:pPr>
            <w:pStyle w:val="Bibliography"/>
            <w:rPr>
              <w:bCs/>
              <w:noProof/>
              <w:lang w:val="en-US"/>
            </w:rPr>
          </w:pPr>
          <w:r w:rsidRPr="00F457D1">
            <w:rPr>
              <w:bCs/>
              <w:noProof/>
              <w:lang w:val="en-US"/>
            </w:rPr>
            <w:t xml:space="preserve">6. Marsh JD, et al. Feasibility, effectiveness and costs associated with a web-based follow-up assessment following total joint arthroplasty. </w:t>
          </w:r>
          <w:r w:rsidRPr="00F457D1">
            <w:rPr>
              <w:bCs/>
              <w:i/>
              <w:iCs/>
              <w:noProof/>
              <w:lang w:val="en-US"/>
            </w:rPr>
            <w:t xml:space="preserve">J Arthroplasty. </w:t>
          </w:r>
          <w:r w:rsidRPr="00F457D1">
            <w:rPr>
              <w:bCs/>
              <w:noProof/>
              <w:lang w:val="en-US"/>
            </w:rPr>
            <w:t>2014. 29:1723–8. doi:10.1016/j.arth.2014.04.003.</w:t>
          </w:r>
        </w:p>
        <w:p w14:paraId="34DF530A" w14:textId="77777777" w:rsidR="00F457D1" w:rsidRPr="00F457D1" w:rsidRDefault="00F457D1" w:rsidP="00F457D1">
          <w:pPr>
            <w:pStyle w:val="Bibliography"/>
            <w:rPr>
              <w:bCs/>
              <w:noProof/>
              <w:lang w:val="en-US"/>
            </w:rPr>
          </w:pPr>
          <w:r w:rsidRPr="00F457D1">
            <w:rPr>
              <w:bCs/>
              <w:noProof/>
              <w:lang w:val="en-US"/>
            </w:rPr>
            <w:t xml:space="preserve">7. Sairaanhoitokorvaustentaksat. </w:t>
          </w:r>
          <w:r w:rsidRPr="00F457D1">
            <w:rPr>
              <w:bCs/>
              <w:i/>
              <w:iCs/>
              <w:noProof/>
              <w:lang w:val="en-US"/>
            </w:rPr>
            <w:t xml:space="preserve">Kela. </w:t>
          </w:r>
          <w:r w:rsidRPr="00F457D1">
            <w:rPr>
              <w:bCs/>
              <w:noProof/>
              <w:lang w:val="en-US"/>
            </w:rPr>
            <w:t>[Online] 6 6, 2018. (https://www.kela.fi/documents/10180/0/Sairaanhoitokorvausten+taksat+6.6.2018/c33a166c-4d0b-4bd9-a776-8cd46455de39).</w:t>
          </w:r>
        </w:p>
        <w:p w14:paraId="768173E2" w14:textId="77777777" w:rsidR="00F457D1" w:rsidRPr="00F457D1" w:rsidRDefault="00F457D1" w:rsidP="00F457D1">
          <w:pPr>
            <w:pStyle w:val="Bibliography"/>
            <w:rPr>
              <w:bCs/>
              <w:noProof/>
              <w:lang w:val="en-US"/>
            </w:rPr>
          </w:pPr>
          <w:r w:rsidRPr="00F457D1">
            <w:rPr>
              <w:bCs/>
              <w:noProof/>
              <w:lang w:val="en-US"/>
            </w:rPr>
            <w:t>8. Data dictionary and Hospital Episode Statistics,. s.l. : Department of Health, NHS England, 2015.</w:t>
          </w:r>
        </w:p>
        <w:p w14:paraId="5F47895B" w14:textId="77777777" w:rsidR="00F457D1" w:rsidRPr="00F457D1" w:rsidRDefault="00F457D1" w:rsidP="00F457D1">
          <w:pPr>
            <w:pStyle w:val="Bibliography"/>
            <w:rPr>
              <w:bCs/>
              <w:noProof/>
              <w:lang w:val="en-US"/>
            </w:rPr>
          </w:pPr>
          <w:r w:rsidRPr="00F457D1">
            <w:rPr>
              <w:bCs/>
              <w:noProof/>
              <w:lang w:val="en-US"/>
            </w:rPr>
            <w:t>9. Bradford et</w:t>
          </w:r>
          <w:r>
            <w:rPr>
              <w:bCs/>
              <w:noProof/>
              <w:lang w:val="en-US"/>
            </w:rPr>
            <w:t xml:space="preserve"> al</w:t>
          </w:r>
          <w:r w:rsidRPr="00F457D1">
            <w:rPr>
              <w:bCs/>
              <w:noProof/>
              <w:lang w:val="en-US"/>
            </w:rPr>
            <w:t>. Awareness, experiences and perceptions of telehealth in a rural Queensland community. s.l. : BMC Health Services Research, 2015. 15:427.</w:t>
          </w:r>
        </w:p>
        <w:p w14:paraId="566D4365" w14:textId="77777777" w:rsidR="00F457D1" w:rsidRPr="00F457D1" w:rsidRDefault="00F457D1" w:rsidP="00F457D1">
          <w:pPr>
            <w:pStyle w:val="Bibliography"/>
            <w:rPr>
              <w:bCs/>
              <w:noProof/>
              <w:lang w:val="en-US"/>
            </w:rPr>
          </w:pPr>
          <w:r w:rsidRPr="00F457D1">
            <w:rPr>
              <w:bCs/>
              <w:noProof/>
              <w:lang w:val="en-US"/>
            </w:rPr>
            <w:t>10. McDonald J, et al. Systematic Review of Comprehensive Primary Care Models. Sydney : Australian Primary Health Care Research Institute, 2006.</w:t>
          </w:r>
        </w:p>
        <w:p w14:paraId="38BF63A4" w14:textId="77777777" w:rsidR="00F457D1" w:rsidRPr="00F457D1" w:rsidRDefault="00F457D1" w:rsidP="00F457D1">
          <w:pPr>
            <w:pStyle w:val="Bibliography"/>
            <w:rPr>
              <w:bCs/>
              <w:noProof/>
              <w:lang w:val="en-US"/>
            </w:rPr>
          </w:pPr>
          <w:r w:rsidRPr="00F457D1">
            <w:rPr>
              <w:bCs/>
              <w:noProof/>
              <w:lang w:val="en-US"/>
            </w:rPr>
            <w:t xml:space="preserve">11. EH, Wagner. The role of patient care teams in chronic disease management, ,.;. </w:t>
          </w:r>
          <w:r w:rsidRPr="00F457D1">
            <w:rPr>
              <w:bCs/>
              <w:i/>
              <w:iCs/>
              <w:noProof/>
              <w:lang w:val="en-US"/>
            </w:rPr>
            <w:t xml:space="preserve">British Medical Journal. </w:t>
          </w:r>
          <w:r w:rsidRPr="00F457D1">
            <w:rPr>
              <w:bCs/>
              <w:noProof/>
              <w:lang w:val="en-US"/>
            </w:rPr>
            <w:t>2000. Vols. 320(569-572).</w:t>
          </w:r>
        </w:p>
        <w:p w14:paraId="215E5E46" w14:textId="77777777" w:rsidR="00F457D1" w:rsidRPr="00F457D1" w:rsidRDefault="00F457D1" w:rsidP="00F457D1">
          <w:pPr>
            <w:pStyle w:val="Bibliography"/>
            <w:rPr>
              <w:bCs/>
              <w:noProof/>
              <w:lang w:val="en-US"/>
            </w:rPr>
          </w:pPr>
          <w:r w:rsidRPr="00F457D1">
            <w:rPr>
              <w:bCs/>
              <w:noProof/>
              <w:lang w:val="en-US"/>
            </w:rPr>
            <w:t>12. Good Medical Practice: A Code of Conduct for Doctors in Australia. [Online] March 2014. http://www.medicalboard.gov.au/Codes-Guidelines-Policies.aspx.</w:t>
          </w:r>
        </w:p>
        <w:p w14:paraId="3C537926" w14:textId="77777777" w:rsidR="00F457D1" w:rsidRPr="00F457D1" w:rsidRDefault="00F457D1" w:rsidP="00F457D1">
          <w:pPr>
            <w:pStyle w:val="Bibliography"/>
            <w:rPr>
              <w:bCs/>
              <w:noProof/>
              <w:lang w:val="en-US"/>
            </w:rPr>
          </w:pPr>
          <w:r w:rsidRPr="00F457D1">
            <w:rPr>
              <w:bCs/>
              <w:noProof/>
              <w:lang w:val="en-US"/>
            </w:rPr>
            <w:t>13. Campanella et</w:t>
          </w:r>
          <w:r>
            <w:rPr>
              <w:bCs/>
              <w:noProof/>
              <w:lang w:val="en-US"/>
            </w:rPr>
            <w:t xml:space="preserve"> al</w:t>
          </w:r>
          <w:r w:rsidRPr="00F457D1">
            <w:rPr>
              <w:bCs/>
              <w:noProof/>
              <w:lang w:val="en-US"/>
            </w:rPr>
            <w:t>. The impact of Public Reporting on clinical outcomes: a systematic review and meta-analysis, , .; . s.l. : BMC Health Serv Res, 2016. 16: 296.</w:t>
          </w:r>
        </w:p>
        <w:p w14:paraId="695B78D9" w14:textId="77777777" w:rsidR="00F457D1" w:rsidRPr="00F457D1" w:rsidRDefault="00F457D1" w:rsidP="00F457D1">
          <w:pPr>
            <w:pStyle w:val="Bibliography"/>
            <w:rPr>
              <w:bCs/>
              <w:noProof/>
              <w:lang w:val="en-US"/>
            </w:rPr>
          </w:pPr>
          <w:r w:rsidRPr="00F457D1">
            <w:rPr>
              <w:bCs/>
              <w:noProof/>
              <w:lang w:val="en-US"/>
            </w:rPr>
            <w:t xml:space="preserve">14. Allen, Freed &amp;. Variation in outpatient consultant physician fees in Australia by specialty and state and territory. </w:t>
          </w:r>
          <w:r w:rsidRPr="00F457D1">
            <w:rPr>
              <w:bCs/>
              <w:i/>
              <w:iCs/>
              <w:noProof/>
              <w:lang w:val="en-US"/>
            </w:rPr>
            <w:t xml:space="preserve">MJA. </w:t>
          </w:r>
          <w:r w:rsidRPr="00F457D1">
            <w:rPr>
              <w:bCs/>
              <w:noProof/>
              <w:lang w:val="en-US"/>
            </w:rPr>
            <w:t>6 March 2017. 206 (4) j .</w:t>
          </w:r>
        </w:p>
        <w:p w14:paraId="7538190F" w14:textId="77777777" w:rsidR="00F457D1" w:rsidRPr="00F457D1" w:rsidRDefault="00F457D1" w:rsidP="00F457D1">
          <w:pPr>
            <w:pStyle w:val="Bibliography"/>
            <w:rPr>
              <w:bCs/>
              <w:noProof/>
              <w:lang w:val="en-US"/>
            </w:rPr>
          </w:pPr>
          <w:r w:rsidRPr="00F457D1">
            <w:rPr>
              <w:bCs/>
              <w:noProof/>
              <w:lang w:val="en-US"/>
            </w:rPr>
            <w:t>15. Scott, Professor Anthony. Health Sector Report Specialists. s.l. : ANZ – Melbourne Institute, 2018.</w:t>
          </w:r>
        </w:p>
        <w:p w14:paraId="04265ACD" w14:textId="77777777" w:rsidR="00F457D1" w:rsidRPr="00F457D1" w:rsidRDefault="00F457D1" w:rsidP="00F457D1">
          <w:pPr>
            <w:pStyle w:val="Bibliography"/>
            <w:rPr>
              <w:bCs/>
              <w:noProof/>
              <w:lang w:val="en-US"/>
            </w:rPr>
          </w:pPr>
          <w:r w:rsidRPr="00F457D1">
            <w:rPr>
              <w:bCs/>
              <w:noProof/>
              <w:lang w:val="en-US"/>
            </w:rPr>
            <w:t>16. Royal College of Surgeons of England. Consent: Supported Decision-Making: A guide to good practice . 2016.</w:t>
          </w:r>
        </w:p>
        <w:p w14:paraId="4E7611CF" w14:textId="77777777" w:rsidR="00F457D1" w:rsidRPr="00F457D1" w:rsidRDefault="00F457D1" w:rsidP="00F457D1">
          <w:pPr>
            <w:pStyle w:val="Bibliography"/>
            <w:rPr>
              <w:bCs/>
              <w:noProof/>
              <w:lang w:val="en-US"/>
            </w:rPr>
          </w:pPr>
          <w:r w:rsidRPr="00F457D1">
            <w:rPr>
              <w:bCs/>
              <w:noProof/>
              <w:lang w:val="en-US"/>
            </w:rPr>
            <w:t>17. Royal College of Surgeons. Position paper: Informed consent. Vols. FES-PST-042.</w:t>
          </w:r>
        </w:p>
        <w:p w14:paraId="229619E7" w14:textId="77777777" w:rsidR="00F457D1" w:rsidRPr="00F457D1" w:rsidRDefault="00F457D1" w:rsidP="00F457D1">
          <w:pPr>
            <w:pStyle w:val="Bibliography"/>
            <w:rPr>
              <w:bCs/>
              <w:noProof/>
              <w:lang w:val="en-US"/>
            </w:rPr>
          </w:pPr>
          <w:r w:rsidRPr="00F457D1">
            <w:rPr>
              <w:bCs/>
              <w:noProof/>
              <w:lang w:val="en-US"/>
            </w:rPr>
            <w:t xml:space="preserve">18. Minion, Lynne. AMA calls for improvements to My Health Record for it to reach potential . </w:t>
          </w:r>
          <w:r w:rsidRPr="00F457D1">
            <w:rPr>
              <w:bCs/>
              <w:i/>
              <w:iCs/>
              <w:noProof/>
              <w:lang w:val="en-US"/>
            </w:rPr>
            <w:t xml:space="preserve">Healthcare IT news. </w:t>
          </w:r>
          <w:r w:rsidRPr="00F457D1">
            <w:rPr>
              <w:bCs/>
              <w:noProof/>
              <w:lang w:val="en-US"/>
            </w:rPr>
            <w:t>15 Dec 2017.</w:t>
          </w:r>
        </w:p>
        <w:p w14:paraId="736C7560" w14:textId="77777777" w:rsidR="00F457D1" w:rsidRPr="00F457D1" w:rsidRDefault="00F457D1" w:rsidP="00F457D1">
          <w:pPr>
            <w:pStyle w:val="Bibliography"/>
            <w:rPr>
              <w:bCs/>
              <w:noProof/>
              <w:lang w:val="en-US"/>
            </w:rPr>
          </w:pPr>
          <w:r w:rsidRPr="00F457D1">
            <w:rPr>
              <w:bCs/>
              <w:noProof/>
              <w:lang w:val="en-US"/>
            </w:rPr>
            <w:t xml:space="preserve">19. Australian Digital Health Agency. </w:t>
          </w:r>
          <w:r w:rsidRPr="00F457D1">
            <w:rPr>
              <w:bCs/>
              <w:i/>
              <w:iCs/>
              <w:noProof/>
              <w:lang w:val="en-US"/>
            </w:rPr>
            <w:t xml:space="preserve">My Health Record Participation and Use Dashboard. </w:t>
          </w:r>
          <w:r w:rsidRPr="00F457D1">
            <w:rPr>
              <w:bCs/>
              <w:noProof/>
              <w:lang w:val="en-US"/>
            </w:rPr>
            <w:t>Period ending 10 September 2017.</w:t>
          </w:r>
        </w:p>
        <w:p w14:paraId="22DFE880" w14:textId="77777777" w:rsidR="00F457D1" w:rsidRPr="00F457D1" w:rsidRDefault="00F457D1" w:rsidP="00F457D1">
          <w:pPr>
            <w:pStyle w:val="Bibliography"/>
            <w:rPr>
              <w:bCs/>
              <w:noProof/>
              <w:lang w:val="en-US"/>
            </w:rPr>
          </w:pPr>
          <w:r w:rsidRPr="00F457D1">
            <w:rPr>
              <w:bCs/>
              <w:noProof/>
              <w:lang w:val="en-US"/>
            </w:rPr>
            <w:t xml:space="preserve">20. Grieve, Grahame. Where to now for the My Health Record. </w:t>
          </w:r>
          <w:r w:rsidRPr="00F457D1">
            <w:rPr>
              <w:bCs/>
              <w:i/>
              <w:iCs/>
              <w:noProof/>
              <w:lang w:val="en-US"/>
            </w:rPr>
            <w:t xml:space="preserve">Healthcare IT. </w:t>
          </w:r>
          <w:r w:rsidRPr="00F457D1">
            <w:rPr>
              <w:bCs/>
              <w:noProof/>
              <w:lang w:val="en-US"/>
            </w:rPr>
            <w:t>November 2017.</w:t>
          </w:r>
        </w:p>
        <w:p w14:paraId="02E73D76" w14:textId="77777777" w:rsidR="00F457D1" w:rsidRPr="00F457D1" w:rsidRDefault="00F457D1" w:rsidP="00F457D1">
          <w:pPr>
            <w:pStyle w:val="Bibliography"/>
            <w:rPr>
              <w:bCs/>
              <w:noProof/>
              <w:lang w:val="en-US"/>
            </w:rPr>
          </w:pPr>
          <w:r w:rsidRPr="00F457D1">
            <w:rPr>
              <w:bCs/>
              <w:noProof/>
              <w:lang w:val="en-US"/>
            </w:rPr>
            <w:t>21. Millers, Siggins. Evaluation of the Participation Trials for the My Health Record. November 2016.</w:t>
          </w:r>
        </w:p>
        <w:p w14:paraId="7C2D8BDD" w14:textId="77777777" w:rsidR="00F457D1" w:rsidRPr="00F457D1" w:rsidRDefault="00F457D1" w:rsidP="00F457D1">
          <w:pPr>
            <w:pStyle w:val="Bibliography"/>
            <w:rPr>
              <w:bCs/>
              <w:noProof/>
              <w:lang w:val="en-US"/>
            </w:rPr>
          </w:pPr>
          <w:r w:rsidRPr="00F457D1">
            <w:rPr>
              <w:bCs/>
              <w:noProof/>
              <w:lang w:val="en-US"/>
            </w:rPr>
            <w:t>22. Center for Information Technology Leadership. The value of personal health records. Charlestown, Mass : CITL, 2008.</w:t>
          </w:r>
        </w:p>
        <w:p w14:paraId="7A5B9FBC" w14:textId="77777777" w:rsidR="00F457D1" w:rsidRPr="00F457D1" w:rsidRDefault="00F457D1" w:rsidP="00F457D1">
          <w:pPr>
            <w:pStyle w:val="Bibliography"/>
            <w:rPr>
              <w:bCs/>
              <w:noProof/>
              <w:lang w:val="en-US"/>
            </w:rPr>
          </w:pPr>
          <w:r w:rsidRPr="00F457D1">
            <w:rPr>
              <w:bCs/>
              <w:noProof/>
              <w:lang w:val="en-US"/>
            </w:rPr>
            <w:t xml:space="preserve">23. NICE. Phototherapy for Psoriasis. </w:t>
          </w:r>
          <w:r w:rsidRPr="00F457D1">
            <w:rPr>
              <w:bCs/>
              <w:i/>
              <w:iCs/>
              <w:noProof/>
              <w:lang w:val="en-US"/>
            </w:rPr>
            <w:t xml:space="preserve">NICE. </w:t>
          </w:r>
          <w:r w:rsidRPr="00F457D1">
            <w:rPr>
              <w:bCs/>
              <w:noProof/>
              <w:lang w:val="en-US"/>
            </w:rPr>
            <w:t>[Online] n/a n/a, 2016. http://pathways.nice.org.uk/pathways/psoriasis#path=view%3A/pathways/psoriasis/phototherapy-for-psoriasis.xml&amp;content=view-index.</w:t>
          </w:r>
        </w:p>
        <w:p w14:paraId="280BE935" w14:textId="77777777" w:rsidR="00C70F2D" w:rsidRPr="00B6680C" w:rsidRDefault="00C70F2D" w:rsidP="00F457D1">
          <w:r w:rsidRPr="00F457D1">
            <w:rPr>
              <w:bCs/>
            </w:rPr>
            <w:fldChar w:fldCharType="end"/>
          </w:r>
        </w:p>
      </w:sdtContent>
    </w:sdt>
    <w:p w14:paraId="6BFE5E1C" w14:textId="77777777" w:rsidR="00C70F2D" w:rsidRDefault="00C70F2D" w:rsidP="00C70F2D">
      <w:pPr>
        <w:rPr>
          <w:lang w:val="en-US" w:eastAsia="en-US"/>
        </w:rPr>
      </w:pPr>
    </w:p>
    <w:p w14:paraId="186D396E" w14:textId="77777777" w:rsidR="00C70F2D" w:rsidRPr="00C70F2D" w:rsidRDefault="00C70F2D" w:rsidP="00C70F2D">
      <w:pPr>
        <w:rPr>
          <w:lang w:val="en-US" w:eastAsia="en-US"/>
        </w:rPr>
      </w:pPr>
    </w:p>
    <w:p w14:paraId="3141021C" w14:textId="77777777" w:rsidR="00C70F2D" w:rsidRDefault="00C70F2D" w:rsidP="00C70F2D">
      <w:pPr>
        <w:pStyle w:val="AppendixStyle1"/>
        <w:numPr>
          <w:ilvl w:val="0"/>
          <w:numId w:val="0"/>
        </w:numPr>
        <w:rPr>
          <w:lang w:val="en-GB"/>
        </w:rPr>
        <w:sectPr w:rsidR="00C70F2D" w:rsidSect="0047078E">
          <w:endnotePr>
            <w:numFmt w:val="decimal"/>
          </w:endnotePr>
          <w:pgSz w:w="11906" w:h="16838" w:code="9"/>
          <w:pgMar w:top="851" w:right="1797" w:bottom="1440" w:left="1797" w:header="720" w:footer="720" w:gutter="0"/>
          <w:cols w:space="720"/>
          <w:docGrid w:linePitch="326"/>
        </w:sectPr>
      </w:pPr>
    </w:p>
    <w:p w14:paraId="25FABB26" w14:textId="77777777" w:rsidR="00C70F2D" w:rsidRPr="00C33C0B" w:rsidRDefault="00785016" w:rsidP="00C70F2D">
      <w:pPr>
        <w:pStyle w:val="Heading1"/>
        <w:rPr>
          <w:lang w:val="en-GB"/>
        </w:rPr>
      </w:pPr>
      <w:r>
        <w:rPr>
          <w:lang w:val="en-GB"/>
        </w:rPr>
        <w:t xml:space="preserve"> </w:t>
      </w:r>
      <w:bookmarkStart w:id="253" w:name="_Toc24544754"/>
      <w:r w:rsidR="00C70F2D" w:rsidRPr="00C33C0B">
        <w:rPr>
          <w:lang w:val="en-GB"/>
        </w:rPr>
        <w:t>Glossary</w:t>
      </w:r>
      <w:bookmarkEnd w:id="253"/>
    </w:p>
    <w:tbl>
      <w:tblPr>
        <w:tblStyle w:val="TableGrid3"/>
        <w:tblW w:w="495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Glossary"/>
        <w:tblDescription w:val="This is the Glossary table which contains two heading columns: terms and their descriptions."/>
      </w:tblPr>
      <w:tblGrid>
        <w:gridCol w:w="1561"/>
        <w:gridCol w:w="6673"/>
      </w:tblGrid>
      <w:tr w:rsidR="00C70F2D" w:rsidRPr="00C33C0B" w14:paraId="79050441" w14:textId="77777777" w:rsidTr="00607BDA">
        <w:trPr>
          <w:tblHeader/>
        </w:trPr>
        <w:tc>
          <w:tcPr>
            <w:tcW w:w="1561" w:type="dxa"/>
            <w:shd w:val="clear" w:color="auto" w:fill="01653F"/>
            <w:vAlign w:val="bottom"/>
          </w:tcPr>
          <w:p w14:paraId="1EEA6584" w14:textId="77777777" w:rsidR="00C70F2D" w:rsidRPr="00C33C0B" w:rsidRDefault="00C70F2D" w:rsidP="00FD3BE7">
            <w:pPr>
              <w:pStyle w:val="Tableheading-white"/>
              <w:spacing w:before="20" w:after="20" w:line="240" w:lineRule="auto"/>
              <w:rPr>
                <w:szCs w:val="18"/>
              </w:rPr>
            </w:pPr>
            <w:r w:rsidRPr="00C33C0B">
              <w:rPr>
                <w:szCs w:val="18"/>
              </w:rPr>
              <w:t>Term</w:t>
            </w:r>
          </w:p>
        </w:tc>
        <w:tc>
          <w:tcPr>
            <w:tcW w:w="6673" w:type="dxa"/>
            <w:shd w:val="clear" w:color="auto" w:fill="01653F"/>
            <w:vAlign w:val="bottom"/>
          </w:tcPr>
          <w:p w14:paraId="21454216" w14:textId="77777777" w:rsidR="00C70F2D" w:rsidRPr="00C33C0B" w:rsidRDefault="00C70F2D" w:rsidP="00FD3BE7">
            <w:pPr>
              <w:pStyle w:val="Tableheading-white"/>
              <w:spacing w:before="20" w:after="20" w:line="240" w:lineRule="auto"/>
              <w:rPr>
                <w:szCs w:val="18"/>
              </w:rPr>
            </w:pPr>
            <w:r w:rsidRPr="00C33C0B">
              <w:rPr>
                <w:szCs w:val="18"/>
              </w:rPr>
              <w:t>Description</w:t>
            </w:r>
          </w:p>
        </w:tc>
      </w:tr>
      <w:tr w:rsidR="00C70F2D" w:rsidRPr="00C33C0B" w14:paraId="2F06B7E3" w14:textId="77777777" w:rsidTr="00607BDA">
        <w:tc>
          <w:tcPr>
            <w:tcW w:w="1561" w:type="dxa"/>
          </w:tcPr>
          <w:p w14:paraId="50812FA4" w14:textId="77777777" w:rsidR="00C70F2D" w:rsidRPr="00C33C0B" w:rsidRDefault="00C70F2D" w:rsidP="00FD3BE7">
            <w:pPr>
              <w:pStyle w:val="Tabletext"/>
              <w:spacing w:before="20" w:after="20" w:line="240" w:lineRule="auto"/>
              <w:rPr>
                <w:rFonts w:cstheme="minorHAnsi"/>
                <w:lang w:val="en-GB"/>
              </w:rPr>
            </w:pPr>
            <w:r>
              <w:rPr>
                <w:rFonts w:cstheme="minorHAnsi"/>
                <w:lang w:val="en-GB"/>
              </w:rPr>
              <w:t>AHP</w:t>
            </w:r>
          </w:p>
        </w:tc>
        <w:tc>
          <w:tcPr>
            <w:tcW w:w="6673" w:type="dxa"/>
          </w:tcPr>
          <w:p w14:paraId="070D9480" w14:textId="77777777" w:rsidR="00C70F2D" w:rsidRPr="00C33C0B" w:rsidRDefault="00C70F2D" w:rsidP="00FD3BE7">
            <w:pPr>
              <w:pStyle w:val="Tabletext"/>
              <w:spacing w:before="20" w:after="20" w:line="240" w:lineRule="auto"/>
              <w:rPr>
                <w:rFonts w:cstheme="minorHAnsi"/>
                <w:lang w:val="en-GB"/>
              </w:rPr>
            </w:pPr>
            <w:r>
              <w:rPr>
                <w:rFonts w:cstheme="minorHAnsi"/>
                <w:lang w:val="en-GB"/>
              </w:rPr>
              <w:t>Allied Health Professional</w:t>
            </w:r>
          </w:p>
        </w:tc>
      </w:tr>
      <w:tr w:rsidR="00C70F2D" w:rsidRPr="00C33C0B" w14:paraId="0C46A9F3" w14:textId="77777777" w:rsidTr="00607BDA">
        <w:tc>
          <w:tcPr>
            <w:tcW w:w="1561" w:type="dxa"/>
          </w:tcPr>
          <w:p w14:paraId="2FC93A96" w14:textId="77777777" w:rsidR="00C70F2D" w:rsidRPr="00C33C0B" w:rsidRDefault="00C70F2D" w:rsidP="00FD3BE7">
            <w:pPr>
              <w:pStyle w:val="Tabletext"/>
              <w:spacing w:before="20" w:after="20" w:line="240" w:lineRule="auto"/>
              <w:rPr>
                <w:rFonts w:cstheme="minorHAnsi"/>
                <w:lang w:val="en-GB"/>
              </w:rPr>
            </w:pPr>
            <w:r w:rsidRPr="00C33C0B">
              <w:rPr>
                <w:rFonts w:cstheme="minorHAnsi"/>
                <w:lang w:val="en-GB"/>
              </w:rPr>
              <w:t>CAGR</w:t>
            </w:r>
          </w:p>
        </w:tc>
        <w:tc>
          <w:tcPr>
            <w:tcW w:w="6673" w:type="dxa"/>
          </w:tcPr>
          <w:p w14:paraId="55D94C08" w14:textId="77777777" w:rsidR="00C70F2D" w:rsidRPr="00C33C0B" w:rsidRDefault="00C70F2D" w:rsidP="00FD3BE7">
            <w:pPr>
              <w:pStyle w:val="Tabletext"/>
              <w:spacing w:before="20" w:after="20" w:line="240" w:lineRule="auto"/>
              <w:rPr>
                <w:rFonts w:cstheme="minorHAnsi"/>
                <w:lang w:val="en-GB"/>
              </w:rPr>
            </w:pPr>
            <w:r w:rsidRPr="00C33C0B">
              <w:rPr>
                <w:rFonts w:cstheme="minorHAnsi"/>
                <w:lang w:val="en-GB"/>
              </w:rPr>
              <w:t>Compound annual growth rate</w:t>
            </w:r>
            <w:r>
              <w:rPr>
                <w:rFonts w:cstheme="minorHAnsi"/>
                <w:lang w:val="en-GB"/>
              </w:rPr>
              <w:t>,</w:t>
            </w:r>
            <w:r w:rsidRPr="00C33C0B">
              <w:rPr>
                <w:rFonts w:cstheme="minorHAnsi"/>
                <w:lang w:val="en-GB"/>
              </w:rPr>
              <w:t xml:space="preserve"> or the average annual growth rate over a specified time period. </w:t>
            </w:r>
          </w:p>
        </w:tc>
      </w:tr>
      <w:tr w:rsidR="003A75BF" w:rsidRPr="00C33C0B" w14:paraId="0595C294" w14:textId="77777777" w:rsidTr="00607BDA">
        <w:tc>
          <w:tcPr>
            <w:tcW w:w="1561" w:type="dxa"/>
          </w:tcPr>
          <w:p w14:paraId="0DF276FE" w14:textId="77777777" w:rsidR="003A75BF" w:rsidRPr="00C33C0B" w:rsidRDefault="003A75BF" w:rsidP="00FD3BE7">
            <w:pPr>
              <w:pStyle w:val="Tabletext"/>
              <w:spacing w:before="20" w:after="20" w:line="240" w:lineRule="auto"/>
              <w:rPr>
                <w:rFonts w:cstheme="minorHAnsi"/>
                <w:lang w:val="en-GB"/>
              </w:rPr>
            </w:pPr>
            <w:r>
              <w:rPr>
                <w:rFonts w:cstheme="minorHAnsi"/>
                <w:lang w:val="en-GB"/>
              </w:rPr>
              <w:t>Carers</w:t>
            </w:r>
          </w:p>
        </w:tc>
        <w:tc>
          <w:tcPr>
            <w:tcW w:w="6673" w:type="dxa"/>
          </w:tcPr>
          <w:p w14:paraId="29CBAC17" w14:textId="77777777" w:rsidR="003A75BF" w:rsidRPr="00C33C0B" w:rsidRDefault="003A75BF" w:rsidP="003A75BF">
            <w:pPr>
              <w:pStyle w:val="Tabletext"/>
              <w:spacing w:before="20" w:after="20" w:line="240" w:lineRule="auto"/>
              <w:rPr>
                <w:rFonts w:cstheme="minorHAnsi"/>
                <w:lang w:val="en-GB"/>
              </w:rPr>
            </w:pPr>
            <w:r w:rsidRPr="00F267F5">
              <w:rPr>
                <w:rFonts w:cstheme="minorHAnsi"/>
                <w:lang w:val="en-GB"/>
              </w:rPr>
              <w:t>Carers provide unpaid care and support to family members and friends who have a disability, mental illness, chronic condition, terminal illness, an alcohol or other dr</w:t>
            </w:r>
            <w:r>
              <w:rPr>
                <w:rFonts w:cstheme="minorHAnsi"/>
                <w:lang w:val="en-GB"/>
              </w:rPr>
              <w:t xml:space="preserve">ug issue or who are frail aged </w:t>
            </w:r>
            <w:sdt>
              <w:sdtPr>
                <w:rPr>
                  <w:rFonts w:cstheme="minorHAnsi"/>
                  <w:lang w:val="en-GB"/>
                </w:rPr>
                <w:id w:val="1731423631"/>
                <w:citation/>
              </w:sdtPr>
              <w:sdtEndPr/>
              <w:sdtContent>
                <w:r w:rsidRPr="00F267F5">
                  <w:rPr>
                    <w:rFonts w:cstheme="minorHAnsi"/>
                    <w:lang w:val="en-GB"/>
                  </w:rPr>
                  <w:fldChar w:fldCharType="begin"/>
                </w:r>
                <w:r w:rsidRPr="00F267F5">
                  <w:rPr>
                    <w:rFonts w:cstheme="minorHAnsi"/>
                    <w:lang w:val="en-GB"/>
                  </w:rPr>
                  <w:instrText xml:space="preserve"> CITATION Car \l 3081 </w:instrText>
                </w:r>
                <w:r w:rsidRPr="00F267F5">
                  <w:rPr>
                    <w:rFonts w:cstheme="minorHAnsi"/>
                    <w:lang w:val="en-GB"/>
                  </w:rPr>
                  <w:fldChar w:fldCharType="separate"/>
                </w:r>
                <w:r w:rsidRPr="00F267F5">
                  <w:rPr>
                    <w:rFonts w:cstheme="minorHAnsi"/>
                    <w:lang w:val="en-GB"/>
                  </w:rPr>
                  <w:t>(Carers Australia, n.d.)</w:t>
                </w:r>
                <w:r w:rsidRPr="00F267F5">
                  <w:rPr>
                    <w:rFonts w:cstheme="minorHAnsi"/>
                    <w:lang w:val="en-GB"/>
                  </w:rPr>
                  <w:fldChar w:fldCharType="end"/>
                </w:r>
              </w:sdtContent>
            </w:sdt>
            <w:r>
              <w:rPr>
                <w:rFonts w:cstheme="minorHAnsi"/>
                <w:lang w:val="en-GB"/>
              </w:rPr>
              <w:t>.</w:t>
            </w:r>
          </w:p>
        </w:tc>
      </w:tr>
      <w:tr w:rsidR="00C70F2D" w:rsidRPr="00C33C0B" w14:paraId="585BB55E" w14:textId="77777777" w:rsidTr="00607BDA">
        <w:tc>
          <w:tcPr>
            <w:tcW w:w="1561" w:type="dxa"/>
            <w:hideMark/>
          </w:tcPr>
          <w:p w14:paraId="5D566189" w14:textId="77777777" w:rsidR="00C70F2D" w:rsidRPr="00C33C0B" w:rsidRDefault="00C70F2D" w:rsidP="00FD3BE7">
            <w:pPr>
              <w:pStyle w:val="Tabletext"/>
              <w:spacing w:before="20" w:after="20" w:line="240" w:lineRule="auto"/>
              <w:rPr>
                <w:rFonts w:cstheme="minorHAnsi"/>
                <w:lang w:val="en-GB"/>
              </w:rPr>
            </w:pPr>
            <w:r w:rsidRPr="00C33C0B">
              <w:rPr>
                <w:rFonts w:cstheme="minorHAnsi"/>
                <w:lang w:val="en-GB"/>
              </w:rPr>
              <w:t>Change</w:t>
            </w:r>
          </w:p>
        </w:tc>
        <w:tc>
          <w:tcPr>
            <w:tcW w:w="6673" w:type="dxa"/>
            <w:hideMark/>
          </w:tcPr>
          <w:p w14:paraId="55E8A055" w14:textId="77777777" w:rsidR="00C70F2D" w:rsidRPr="00C33C0B" w:rsidRDefault="00C70F2D" w:rsidP="00FD3BE7">
            <w:pPr>
              <w:pStyle w:val="Tabletext"/>
              <w:spacing w:before="20" w:after="20" w:line="240" w:lineRule="auto"/>
              <w:rPr>
                <w:rFonts w:cstheme="minorHAnsi"/>
                <w:lang w:val="en-GB"/>
              </w:rPr>
            </w:pPr>
            <w:r w:rsidRPr="00C33C0B">
              <w:rPr>
                <w:rFonts w:cstheme="minorHAnsi"/>
                <w:lang w:val="en-GB"/>
              </w:rPr>
              <w:t xml:space="preserve">When referring to an item, </w:t>
            </w:r>
            <w:r>
              <w:rPr>
                <w:rFonts w:cstheme="minorHAnsi"/>
                <w:lang w:val="en-GB"/>
              </w:rPr>
              <w:t>“</w:t>
            </w:r>
            <w:r w:rsidRPr="00C33C0B">
              <w:rPr>
                <w:rFonts w:cstheme="minorHAnsi"/>
                <w:lang w:val="en-GB"/>
              </w:rPr>
              <w:t>change</w:t>
            </w:r>
            <w:r>
              <w:rPr>
                <w:rFonts w:cstheme="minorHAnsi"/>
                <w:lang w:val="en-GB"/>
              </w:rPr>
              <w:t>”</w:t>
            </w:r>
            <w:r w:rsidRPr="00C33C0B">
              <w:rPr>
                <w:rFonts w:cstheme="minorHAnsi"/>
                <w:lang w:val="en-GB"/>
              </w:rPr>
              <w:t xml:space="preserv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C339F7" w:rsidRPr="00C33C0B" w14:paraId="375FDD6F" w14:textId="77777777" w:rsidTr="00607BDA">
        <w:tc>
          <w:tcPr>
            <w:tcW w:w="1561" w:type="dxa"/>
          </w:tcPr>
          <w:p w14:paraId="5149C4D8" w14:textId="77777777" w:rsidR="00C339F7" w:rsidRPr="00C33C0B" w:rsidRDefault="00C339F7" w:rsidP="00FD3BE7">
            <w:pPr>
              <w:pStyle w:val="Tabletext"/>
              <w:spacing w:before="20" w:after="20" w:line="240" w:lineRule="auto"/>
              <w:rPr>
                <w:rFonts w:cstheme="minorHAnsi"/>
                <w:lang w:val="en-GB"/>
              </w:rPr>
            </w:pPr>
            <w:r>
              <w:rPr>
                <w:rFonts w:cstheme="minorHAnsi"/>
                <w:lang w:val="en-GB"/>
              </w:rPr>
              <w:t>Consumer</w:t>
            </w:r>
          </w:p>
        </w:tc>
        <w:tc>
          <w:tcPr>
            <w:tcW w:w="6673" w:type="dxa"/>
          </w:tcPr>
          <w:p w14:paraId="16116950" w14:textId="77777777" w:rsidR="003A75BF" w:rsidRPr="00F267F5" w:rsidRDefault="003A75BF" w:rsidP="003A75BF">
            <w:pPr>
              <w:pStyle w:val="Tabletext"/>
              <w:spacing w:before="20" w:after="20" w:line="240" w:lineRule="auto"/>
              <w:rPr>
                <w:rFonts w:cstheme="minorHAnsi"/>
                <w:lang w:val="en-GB"/>
              </w:rPr>
            </w:pPr>
            <w:r w:rsidRPr="00F267F5">
              <w:rPr>
                <w:rFonts w:cstheme="minorHAnsi"/>
                <w:lang w:val="en-GB"/>
              </w:rPr>
              <w:t xml:space="preserve">Patients and potential patients, carers, and people who use health care services. </w:t>
            </w:r>
          </w:p>
          <w:p w14:paraId="3501E98C" w14:textId="77777777" w:rsidR="003A75BF" w:rsidRPr="00F267F5" w:rsidRDefault="003A75BF" w:rsidP="003A75BF">
            <w:pPr>
              <w:pStyle w:val="Tabletext"/>
              <w:spacing w:before="20" w:after="20" w:line="240" w:lineRule="auto"/>
              <w:rPr>
                <w:rFonts w:cstheme="minorHAnsi"/>
                <w:lang w:val="en-GB"/>
              </w:rPr>
            </w:pPr>
            <w:r w:rsidRPr="00F267F5">
              <w:rPr>
                <w:rFonts w:cstheme="minorHAnsi"/>
                <w:lang w:val="en-GB"/>
              </w:rPr>
              <w:t xml:space="preserve">Collectively, ‘consumers’ and ‘community members’ may be referred to as ‘the public’. </w:t>
            </w:r>
          </w:p>
          <w:p w14:paraId="25695E47" w14:textId="77777777" w:rsidR="003A75BF" w:rsidRPr="00F267F5" w:rsidRDefault="003A75BF" w:rsidP="003A75BF">
            <w:pPr>
              <w:pStyle w:val="Tabletext"/>
              <w:spacing w:before="20" w:after="20" w:line="240" w:lineRule="auto"/>
              <w:rPr>
                <w:rFonts w:cstheme="minorHAnsi"/>
                <w:lang w:val="en-GB"/>
              </w:rPr>
            </w:pPr>
            <w:r w:rsidRPr="00F267F5">
              <w:rPr>
                <w:rFonts w:cstheme="minorHAnsi"/>
                <w:lang w:val="en-GB"/>
              </w:rPr>
              <w:t xml:space="preserve">The Australian Commission on Safety and Quality in Health Care definition: members of the public who use, or are potential users of health care services - patients, consumers, families, carers and other support people.  </w:t>
            </w:r>
          </w:p>
          <w:p w14:paraId="56528908" w14:textId="77777777" w:rsidR="00C339F7" w:rsidRPr="00C33C0B" w:rsidRDefault="002F1598" w:rsidP="003A75BF">
            <w:pPr>
              <w:pStyle w:val="Tabletext"/>
              <w:spacing w:before="20" w:after="20" w:line="240" w:lineRule="auto"/>
              <w:rPr>
                <w:rFonts w:cstheme="minorHAnsi"/>
                <w:lang w:val="en-GB"/>
              </w:rPr>
            </w:pPr>
            <w:sdt>
              <w:sdtPr>
                <w:rPr>
                  <w:rFonts w:cstheme="minorHAnsi"/>
                  <w:lang w:val="en-GB"/>
                </w:rPr>
                <w:id w:val="1517654414"/>
                <w:citation/>
              </w:sdtPr>
              <w:sdtEndPr/>
              <w:sdtContent>
                <w:r w:rsidR="003A75BF" w:rsidRPr="00F267F5">
                  <w:rPr>
                    <w:rFonts w:cstheme="minorHAnsi"/>
                    <w:lang w:val="en-GB"/>
                  </w:rPr>
                  <w:fldChar w:fldCharType="begin"/>
                </w:r>
                <w:r w:rsidR="003A75BF" w:rsidRPr="00F267F5">
                  <w:rPr>
                    <w:rFonts w:cstheme="minorHAnsi"/>
                    <w:lang w:val="en-GB"/>
                  </w:rPr>
                  <w:instrText xml:space="preserve"> CITATION Nat16 \l 3081 </w:instrText>
                </w:r>
                <w:r w:rsidR="003A75BF" w:rsidRPr="00F267F5">
                  <w:rPr>
                    <w:rFonts w:cstheme="minorHAnsi"/>
                    <w:lang w:val="en-GB"/>
                  </w:rPr>
                  <w:fldChar w:fldCharType="separate"/>
                </w:r>
                <w:r w:rsidR="003A75BF" w:rsidRPr="00F267F5">
                  <w:rPr>
                    <w:rFonts w:cstheme="minorHAnsi"/>
                    <w:lang w:val="en-GB"/>
                  </w:rPr>
                  <w:t>(National Health &amp; Medical Research Council, 2016)</w:t>
                </w:r>
                <w:r w:rsidR="003A75BF" w:rsidRPr="00F267F5">
                  <w:rPr>
                    <w:rFonts w:cstheme="minorHAnsi"/>
                    <w:lang w:val="en-GB"/>
                  </w:rPr>
                  <w:fldChar w:fldCharType="end"/>
                </w:r>
              </w:sdtContent>
            </w:sdt>
          </w:p>
        </w:tc>
      </w:tr>
      <w:tr w:rsidR="003A75BF" w:rsidRPr="00C33C0B" w14:paraId="4E50F848" w14:textId="77777777" w:rsidTr="00607BDA">
        <w:tc>
          <w:tcPr>
            <w:tcW w:w="1561" w:type="dxa"/>
          </w:tcPr>
          <w:p w14:paraId="73BEC9E2" w14:textId="77777777" w:rsidR="003A75BF" w:rsidRPr="00F267F5" w:rsidRDefault="003A75BF" w:rsidP="003A75BF">
            <w:pPr>
              <w:pStyle w:val="Tabletext"/>
              <w:spacing w:before="20" w:after="20" w:line="240" w:lineRule="auto"/>
              <w:rPr>
                <w:rFonts w:cstheme="minorHAnsi"/>
                <w:lang w:val="en-GB"/>
              </w:rPr>
            </w:pPr>
            <w:r w:rsidRPr="00F267F5">
              <w:rPr>
                <w:rFonts w:cstheme="minorHAnsi"/>
                <w:lang w:val="en-GB"/>
              </w:rPr>
              <w:t>Consumer-or person- or patient- centred care</w:t>
            </w:r>
          </w:p>
          <w:p w14:paraId="7953C5C7" w14:textId="77777777" w:rsidR="003A75BF" w:rsidRDefault="003A75BF" w:rsidP="003A75BF">
            <w:pPr>
              <w:pStyle w:val="Tabletext"/>
              <w:spacing w:before="20" w:after="20" w:line="240" w:lineRule="auto"/>
              <w:rPr>
                <w:rFonts w:cstheme="minorHAnsi"/>
                <w:lang w:val="en-GB"/>
              </w:rPr>
            </w:pPr>
          </w:p>
        </w:tc>
        <w:tc>
          <w:tcPr>
            <w:tcW w:w="6673" w:type="dxa"/>
          </w:tcPr>
          <w:p w14:paraId="1DD76C0A" w14:textId="77777777" w:rsidR="003A75BF" w:rsidRPr="00F267F5" w:rsidRDefault="003A75BF" w:rsidP="003A75BF">
            <w:pPr>
              <w:pStyle w:val="Tabletext"/>
              <w:spacing w:before="20" w:after="20" w:line="240" w:lineRule="auto"/>
              <w:rPr>
                <w:rFonts w:cstheme="minorHAnsi"/>
                <w:lang w:val="en-GB"/>
              </w:rPr>
            </w:pPr>
            <w:r w:rsidRPr="00F267F5">
              <w:rPr>
                <w:rFonts w:cstheme="minorHAnsi"/>
                <w:lang w:val="en-GB"/>
              </w:rPr>
              <w:t>Patient or consumer centred care is health care that is respectful of, and responsive to, the preferences, needs and values of patients and consumers and identifies four key principles of patient centred approaches:</w:t>
            </w:r>
          </w:p>
          <w:p w14:paraId="6C588223" w14:textId="77777777" w:rsidR="003A75BF" w:rsidRPr="00F267F5" w:rsidRDefault="003A75BF" w:rsidP="003A75BF">
            <w:pPr>
              <w:pStyle w:val="Tabletext"/>
              <w:spacing w:before="20" w:after="20" w:line="240" w:lineRule="auto"/>
              <w:rPr>
                <w:rFonts w:cstheme="minorHAnsi"/>
                <w:lang w:val="en-GB"/>
              </w:rPr>
            </w:pPr>
            <w:r w:rsidRPr="00F267F5">
              <w:rPr>
                <w:rFonts w:cstheme="minorHAnsi"/>
                <w:lang w:val="en-GB"/>
              </w:rPr>
              <w:t>Treating patients, consumers, carers and families with dignity and respect;</w:t>
            </w:r>
          </w:p>
          <w:p w14:paraId="1A8575FF" w14:textId="77777777" w:rsidR="003A75BF" w:rsidRPr="00F267F5" w:rsidRDefault="003A75BF" w:rsidP="003A75BF">
            <w:pPr>
              <w:pStyle w:val="Tabletext"/>
              <w:spacing w:before="20" w:after="20" w:line="240" w:lineRule="auto"/>
              <w:rPr>
                <w:rFonts w:cstheme="minorHAnsi"/>
                <w:lang w:val="en-GB"/>
              </w:rPr>
            </w:pPr>
            <w:r w:rsidRPr="00F267F5">
              <w:rPr>
                <w:rFonts w:cstheme="minorHAnsi"/>
                <w:lang w:val="en-GB"/>
              </w:rPr>
              <w:t>Encouraging and supporting participation in decision making by patients, consumers, carers and families;</w:t>
            </w:r>
          </w:p>
          <w:p w14:paraId="0D0C8617" w14:textId="77777777" w:rsidR="003A75BF" w:rsidRPr="00F267F5" w:rsidRDefault="003A75BF" w:rsidP="003A75BF">
            <w:pPr>
              <w:pStyle w:val="Tabletext"/>
              <w:spacing w:before="20" w:after="20" w:line="240" w:lineRule="auto"/>
              <w:rPr>
                <w:rFonts w:cstheme="minorHAnsi"/>
                <w:lang w:val="en-GB"/>
              </w:rPr>
            </w:pPr>
            <w:r w:rsidRPr="00F267F5">
              <w:rPr>
                <w:rFonts w:cstheme="minorHAnsi"/>
                <w:lang w:val="en-GB"/>
              </w:rPr>
              <w:t>Communicating and sharing information with patients, consumers, carers and families;</w:t>
            </w:r>
          </w:p>
          <w:p w14:paraId="3480DAA7" w14:textId="77777777" w:rsidR="003A75BF" w:rsidRPr="00F267F5" w:rsidRDefault="003A75BF" w:rsidP="003A75BF">
            <w:pPr>
              <w:pStyle w:val="Tabletext"/>
              <w:spacing w:before="20" w:after="20" w:line="240" w:lineRule="auto"/>
              <w:rPr>
                <w:rFonts w:cstheme="minorHAnsi"/>
                <w:lang w:val="en-GB"/>
              </w:rPr>
            </w:pPr>
            <w:r w:rsidRPr="00F267F5">
              <w:rPr>
                <w:rFonts w:cstheme="minorHAnsi"/>
                <w:lang w:val="en-GB"/>
              </w:rPr>
              <w:t xml:space="preserve">Fostering collaboration with patients, consumers, carers, families and health professionals in program and policy development, and in health service </w:t>
            </w:r>
            <w:r>
              <w:rPr>
                <w:rFonts w:cstheme="minorHAnsi"/>
                <w:lang w:val="en-GB"/>
              </w:rPr>
              <w:t xml:space="preserve">design, delivery and evaluation </w:t>
            </w:r>
            <w:sdt>
              <w:sdtPr>
                <w:rPr>
                  <w:rFonts w:cstheme="minorHAnsi"/>
                  <w:lang w:val="en-GB"/>
                </w:rPr>
                <w:id w:val="1882043952"/>
                <w:citation/>
              </w:sdtPr>
              <w:sdtEndPr/>
              <w:sdtContent>
                <w:r w:rsidRPr="00F267F5">
                  <w:rPr>
                    <w:rFonts w:cstheme="minorHAnsi"/>
                    <w:lang w:val="en-GB"/>
                  </w:rPr>
                  <w:fldChar w:fldCharType="begin"/>
                </w:r>
                <w:r w:rsidRPr="00F267F5">
                  <w:rPr>
                    <w:rFonts w:cstheme="minorHAnsi"/>
                    <w:lang w:val="en-GB"/>
                  </w:rPr>
                  <w:instrText xml:space="preserve">CITATION Aus12 \l 3081 </w:instrText>
                </w:r>
                <w:r w:rsidRPr="00F267F5">
                  <w:rPr>
                    <w:rFonts w:cstheme="minorHAnsi"/>
                    <w:lang w:val="en-GB"/>
                  </w:rPr>
                  <w:fldChar w:fldCharType="separate"/>
                </w:r>
                <w:r w:rsidRPr="00F267F5">
                  <w:rPr>
                    <w:rFonts w:cstheme="minorHAnsi"/>
                    <w:lang w:val="en-GB"/>
                  </w:rPr>
                  <w:t>(Australian Commission on Safety &amp; Quality in Health Care, 2012)</w:t>
                </w:r>
                <w:r w:rsidRPr="00F267F5">
                  <w:rPr>
                    <w:rFonts w:cstheme="minorHAnsi"/>
                    <w:lang w:val="en-GB"/>
                  </w:rPr>
                  <w:fldChar w:fldCharType="end"/>
                </w:r>
              </w:sdtContent>
            </w:sdt>
            <w:r>
              <w:rPr>
                <w:rFonts w:cstheme="minorHAnsi"/>
                <w:lang w:val="en-GB"/>
              </w:rPr>
              <w:t>.</w:t>
            </w:r>
          </w:p>
        </w:tc>
      </w:tr>
      <w:tr w:rsidR="003A75BF" w:rsidRPr="00C33C0B" w14:paraId="0B08812D" w14:textId="77777777" w:rsidTr="00607BDA">
        <w:tc>
          <w:tcPr>
            <w:tcW w:w="1561" w:type="dxa"/>
          </w:tcPr>
          <w:p w14:paraId="1351C42A" w14:textId="77777777" w:rsidR="003A75BF" w:rsidRDefault="003A75BF" w:rsidP="003A75BF">
            <w:pPr>
              <w:pStyle w:val="Tabletext"/>
              <w:spacing w:before="20" w:after="20" w:line="240" w:lineRule="auto"/>
              <w:rPr>
                <w:rFonts w:cstheme="minorHAnsi"/>
                <w:lang w:val="en-GB"/>
              </w:rPr>
            </w:pPr>
            <w:r>
              <w:rPr>
                <w:rFonts w:cstheme="minorHAnsi"/>
                <w:lang w:val="en-GB"/>
              </w:rPr>
              <w:t>Consumer representative</w:t>
            </w:r>
          </w:p>
        </w:tc>
        <w:tc>
          <w:tcPr>
            <w:tcW w:w="6673" w:type="dxa"/>
          </w:tcPr>
          <w:p w14:paraId="42DF4936" w14:textId="77777777" w:rsidR="003A75BF" w:rsidRPr="00F267F5" w:rsidRDefault="003A75BF" w:rsidP="003A75BF">
            <w:pPr>
              <w:pStyle w:val="Tabletext"/>
              <w:spacing w:before="20" w:after="20" w:line="240" w:lineRule="auto"/>
              <w:rPr>
                <w:rFonts w:cstheme="minorHAnsi"/>
                <w:lang w:val="en-GB"/>
              </w:rPr>
            </w:pPr>
            <w:r w:rsidRPr="00F267F5">
              <w:rPr>
                <w:rFonts w:cstheme="minorHAnsi"/>
                <w:lang w:val="en-GB"/>
              </w:rPr>
              <w:t>Someone who voices consumer perspectives and takes part in the decision-making process on behalf of consumers. This person may be nominated by, and may be accountable to, an organisation of consumers. This consumer representative however may have a narrower view as they are speaking on behalf of their organisation and not necessarily that of the wider community.  A consumer representative may be appropriately trained or may undergo training and be supported to advocate fo</w:t>
            </w:r>
            <w:r>
              <w:rPr>
                <w:rFonts w:cstheme="minorHAnsi"/>
                <w:lang w:val="en-GB"/>
              </w:rPr>
              <w:t xml:space="preserve">r consumer-centred health care </w:t>
            </w:r>
            <w:sdt>
              <w:sdtPr>
                <w:rPr>
                  <w:rFonts w:cstheme="minorHAnsi"/>
                  <w:lang w:val="en-GB"/>
                </w:rPr>
                <w:id w:val="-754510695"/>
                <w:citation/>
              </w:sdtPr>
              <w:sdtEndPr/>
              <w:sdtContent>
                <w:r w:rsidRPr="00F267F5">
                  <w:rPr>
                    <w:rFonts w:cstheme="minorHAnsi"/>
                    <w:lang w:val="en-GB"/>
                  </w:rPr>
                  <w:fldChar w:fldCharType="begin"/>
                </w:r>
                <w:r w:rsidRPr="00F267F5">
                  <w:rPr>
                    <w:rFonts w:cstheme="minorHAnsi"/>
                    <w:lang w:val="en-GB"/>
                  </w:rPr>
                  <w:instrText xml:space="preserve"> CITATION Nat16 \l 3081 </w:instrText>
                </w:r>
                <w:r w:rsidRPr="00F267F5">
                  <w:rPr>
                    <w:rFonts w:cstheme="minorHAnsi"/>
                    <w:lang w:val="en-GB"/>
                  </w:rPr>
                  <w:fldChar w:fldCharType="separate"/>
                </w:r>
                <w:r w:rsidRPr="00F267F5">
                  <w:rPr>
                    <w:rFonts w:cstheme="minorHAnsi"/>
                    <w:lang w:val="en-GB"/>
                  </w:rPr>
                  <w:t>(National Health &amp; Medical Research Council, 2016)</w:t>
                </w:r>
                <w:r w:rsidRPr="00F267F5">
                  <w:rPr>
                    <w:rFonts w:cstheme="minorHAnsi"/>
                    <w:lang w:val="en-GB"/>
                  </w:rPr>
                  <w:fldChar w:fldCharType="end"/>
                </w:r>
              </w:sdtContent>
            </w:sdt>
            <w:r>
              <w:rPr>
                <w:rFonts w:cstheme="minorHAnsi"/>
                <w:lang w:val="en-GB"/>
              </w:rPr>
              <w:t>.</w:t>
            </w:r>
          </w:p>
        </w:tc>
      </w:tr>
      <w:tr w:rsidR="003A75BF" w:rsidRPr="00C33C0B" w14:paraId="1FF2C0E2" w14:textId="77777777" w:rsidTr="00607BDA">
        <w:tc>
          <w:tcPr>
            <w:tcW w:w="1561" w:type="dxa"/>
          </w:tcPr>
          <w:p w14:paraId="605045AE" w14:textId="77777777" w:rsidR="003A75BF" w:rsidRPr="00C33C0B" w:rsidRDefault="003A75BF" w:rsidP="003A75BF">
            <w:pPr>
              <w:pStyle w:val="Tabletext"/>
              <w:spacing w:before="20" w:after="20" w:line="240" w:lineRule="auto"/>
              <w:rPr>
                <w:rFonts w:cstheme="minorHAnsi"/>
                <w:lang w:val="en-GB"/>
              </w:rPr>
            </w:pPr>
            <w:r>
              <w:rPr>
                <w:rFonts w:cstheme="minorHAnsi"/>
                <w:lang w:val="en-GB"/>
              </w:rPr>
              <w:t>CPD</w:t>
            </w:r>
          </w:p>
        </w:tc>
        <w:tc>
          <w:tcPr>
            <w:tcW w:w="6673" w:type="dxa"/>
          </w:tcPr>
          <w:p w14:paraId="028E161B" w14:textId="77777777" w:rsidR="003A75BF" w:rsidRPr="00C33C0B" w:rsidRDefault="003A75BF" w:rsidP="003A75BF">
            <w:pPr>
              <w:pStyle w:val="Tabletext"/>
              <w:spacing w:before="20" w:after="20" w:line="240" w:lineRule="auto"/>
              <w:rPr>
                <w:rFonts w:cstheme="minorHAnsi"/>
                <w:lang w:val="en-GB"/>
              </w:rPr>
            </w:pPr>
            <w:r>
              <w:rPr>
                <w:rFonts w:cstheme="minorHAnsi"/>
                <w:lang w:val="en-GB"/>
              </w:rPr>
              <w:t>Continuing professional development</w:t>
            </w:r>
          </w:p>
        </w:tc>
      </w:tr>
      <w:tr w:rsidR="003A75BF" w:rsidRPr="00C33C0B" w14:paraId="2AB8780F" w14:textId="77777777" w:rsidTr="00607BDA">
        <w:tc>
          <w:tcPr>
            <w:tcW w:w="1561" w:type="dxa"/>
            <w:hideMark/>
          </w:tcPr>
          <w:p w14:paraId="3EDE64FD"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Delete</w:t>
            </w:r>
          </w:p>
        </w:tc>
        <w:tc>
          <w:tcPr>
            <w:tcW w:w="6673" w:type="dxa"/>
            <w:hideMark/>
          </w:tcPr>
          <w:p w14:paraId="74D501F1"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Describes when an item is recommended for removal from the MBS and its services will no longer be provided under the MBS.</w:t>
            </w:r>
          </w:p>
        </w:tc>
      </w:tr>
      <w:tr w:rsidR="003A75BF" w:rsidRPr="00C33C0B" w14:paraId="7C4C8BF6" w14:textId="77777777" w:rsidTr="00607BDA">
        <w:tc>
          <w:tcPr>
            <w:tcW w:w="1561" w:type="dxa"/>
            <w:hideMark/>
          </w:tcPr>
          <w:p w14:paraId="01E29485"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Department, The</w:t>
            </w:r>
          </w:p>
        </w:tc>
        <w:tc>
          <w:tcPr>
            <w:tcW w:w="6673" w:type="dxa"/>
            <w:hideMark/>
          </w:tcPr>
          <w:p w14:paraId="6C686737"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Australian Government Department of Health</w:t>
            </w:r>
          </w:p>
        </w:tc>
      </w:tr>
      <w:tr w:rsidR="003A75BF" w:rsidRPr="00C33C0B" w14:paraId="05C7EEBF" w14:textId="77777777" w:rsidTr="00607BDA">
        <w:tc>
          <w:tcPr>
            <w:tcW w:w="1561" w:type="dxa"/>
            <w:hideMark/>
          </w:tcPr>
          <w:p w14:paraId="1FA24B30"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DHS</w:t>
            </w:r>
          </w:p>
        </w:tc>
        <w:tc>
          <w:tcPr>
            <w:tcW w:w="6673" w:type="dxa"/>
            <w:hideMark/>
          </w:tcPr>
          <w:p w14:paraId="302B3CCA"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Australian Government Department of Human Services</w:t>
            </w:r>
          </w:p>
        </w:tc>
      </w:tr>
      <w:tr w:rsidR="003A75BF" w:rsidRPr="00C33C0B" w14:paraId="49D7153E" w14:textId="77777777" w:rsidTr="00785016">
        <w:tc>
          <w:tcPr>
            <w:tcW w:w="1561" w:type="dxa"/>
          </w:tcPr>
          <w:p w14:paraId="621ED54C" w14:textId="77777777" w:rsidR="003A75BF" w:rsidRPr="00C33C0B" w:rsidRDefault="003A75BF" w:rsidP="003A75BF">
            <w:pPr>
              <w:pStyle w:val="Tabletext"/>
              <w:spacing w:before="20" w:after="20" w:line="240" w:lineRule="auto"/>
              <w:rPr>
                <w:rFonts w:cstheme="minorHAnsi"/>
                <w:lang w:val="en-GB"/>
              </w:rPr>
            </w:pPr>
            <w:r>
              <w:rPr>
                <w:rFonts w:cstheme="minorHAnsi"/>
                <w:lang w:val="en-GB"/>
              </w:rPr>
              <w:t>Discipline</w:t>
            </w:r>
          </w:p>
        </w:tc>
        <w:tc>
          <w:tcPr>
            <w:tcW w:w="6673" w:type="dxa"/>
          </w:tcPr>
          <w:p w14:paraId="53E9C27D" w14:textId="77777777" w:rsidR="003A75BF" w:rsidRPr="00C33C0B" w:rsidRDefault="003A75BF" w:rsidP="003A75BF">
            <w:pPr>
              <w:pStyle w:val="Tabletext"/>
              <w:spacing w:before="20" w:after="20" w:line="240" w:lineRule="auto"/>
              <w:rPr>
                <w:rFonts w:cstheme="minorHAnsi"/>
                <w:lang w:val="en-GB"/>
              </w:rPr>
            </w:pPr>
            <w:r>
              <w:rPr>
                <w:rFonts w:cstheme="minorHAnsi"/>
                <w:lang w:val="en-GB"/>
              </w:rPr>
              <w:t>A professional healthcare qualification or role, which contributes a unique domain of knowledge and clinical expertise to a multidisciplinary team, e.g. social worker, cardiologist, physiotherapist etc.</w:t>
            </w:r>
          </w:p>
        </w:tc>
      </w:tr>
      <w:tr w:rsidR="003A75BF" w:rsidRPr="00C33C0B" w14:paraId="64E39812" w14:textId="77777777" w:rsidTr="00607BDA">
        <w:tc>
          <w:tcPr>
            <w:tcW w:w="1561" w:type="dxa"/>
          </w:tcPr>
          <w:p w14:paraId="5B56D193" w14:textId="77777777" w:rsidR="003A75BF" w:rsidRPr="00C33C0B" w:rsidRDefault="003A75BF" w:rsidP="003A75BF">
            <w:pPr>
              <w:pStyle w:val="Tabletext"/>
              <w:spacing w:before="20" w:after="20" w:line="240" w:lineRule="auto"/>
              <w:rPr>
                <w:rFonts w:cstheme="minorHAnsi"/>
                <w:lang w:val="en-GB"/>
              </w:rPr>
            </w:pPr>
            <w:r>
              <w:rPr>
                <w:rFonts w:cstheme="minorHAnsi"/>
                <w:lang w:val="en-GB"/>
              </w:rPr>
              <w:t>FASD</w:t>
            </w:r>
          </w:p>
        </w:tc>
        <w:tc>
          <w:tcPr>
            <w:tcW w:w="6673" w:type="dxa"/>
          </w:tcPr>
          <w:p w14:paraId="2CB2DD61" w14:textId="77777777" w:rsidR="003A75BF" w:rsidRPr="00C33C0B" w:rsidRDefault="003A75BF" w:rsidP="003A75BF">
            <w:pPr>
              <w:pStyle w:val="Tabletext"/>
              <w:spacing w:before="20" w:after="20" w:line="240" w:lineRule="auto"/>
              <w:rPr>
                <w:rFonts w:cstheme="minorHAnsi"/>
                <w:lang w:val="en-GB"/>
              </w:rPr>
            </w:pPr>
            <w:r>
              <w:rPr>
                <w:rFonts w:cstheme="minorHAnsi"/>
                <w:lang w:val="en-GB"/>
              </w:rPr>
              <w:t>Fetal alcohol spectrum disorder</w:t>
            </w:r>
          </w:p>
        </w:tc>
      </w:tr>
      <w:tr w:rsidR="003A75BF" w:rsidRPr="00C33C0B" w14:paraId="00F391DB" w14:textId="77777777" w:rsidTr="00607BDA">
        <w:tc>
          <w:tcPr>
            <w:tcW w:w="1561" w:type="dxa"/>
            <w:hideMark/>
          </w:tcPr>
          <w:p w14:paraId="0A4DCF79"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F</w:t>
            </w:r>
            <w:r>
              <w:rPr>
                <w:rFonts w:cstheme="minorHAnsi"/>
                <w:lang w:val="en-GB"/>
              </w:rPr>
              <w:t>TE</w:t>
            </w:r>
          </w:p>
        </w:tc>
        <w:tc>
          <w:tcPr>
            <w:tcW w:w="6673" w:type="dxa"/>
            <w:hideMark/>
          </w:tcPr>
          <w:p w14:paraId="661CFBC5" w14:textId="77777777" w:rsidR="003A75BF" w:rsidRPr="00C33C0B" w:rsidRDefault="003A75BF" w:rsidP="003A75BF">
            <w:pPr>
              <w:pStyle w:val="Tabletext"/>
              <w:spacing w:before="20" w:after="20" w:line="240" w:lineRule="auto"/>
              <w:rPr>
                <w:rFonts w:cstheme="minorHAnsi"/>
                <w:lang w:val="en-GB"/>
              </w:rPr>
            </w:pPr>
            <w:r>
              <w:rPr>
                <w:rFonts w:cstheme="minorHAnsi"/>
                <w:lang w:val="en-GB"/>
              </w:rPr>
              <w:t>Full-time Equivalent</w:t>
            </w:r>
          </w:p>
        </w:tc>
      </w:tr>
      <w:tr w:rsidR="003A75BF" w:rsidRPr="00C33C0B" w14:paraId="799EB875" w14:textId="77777777" w:rsidTr="00607BDA">
        <w:tc>
          <w:tcPr>
            <w:tcW w:w="1561" w:type="dxa"/>
          </w:tcPr>
          <w:p w14:paraId="1B2F3782" w14:textId="77777777" w:rsidR="003A75BF" w:rsidRPr="00C33C0B" w:rsidRDefault="003A75BF" w:rsidP="003A75BF">
            <w:pPr>
              <w:pStyle w:val="Tabletext"/>
              <w:spacing w:before="20" w:after="20" w:line="240" w:lineRule="auto"/>
              <w:rPr>
                <w:rFonts w:cstheme="minorHAnsi"/>
                <w:lang w:val="en-GB"/>
              </w:rPr>
            </w:pPr>
            <w:r>
              <w:rPr>
                <w:rFonts w:cstheme="minorHAnsi"/>
                <w:lang w:val="en-GB"/>
              </w:rPr>
              <w:t>GP</w:t>
            </w:r>
          </w:p>
        </w:tc>
        <w:tc>
          <w:tcPr>
            <w:tcW w:w="6673" w:type="dxa"/>
          </w:tcPr>
          <w:p w14:paraId="7D712B80" w14:textId="77777777" w:rsidR="003A75BF" w:rsidRPr="00C33C0B" w:rsidRDefault="003A75BF" w:rsidP="003A75BF">
            <w:pPr>
              <w:pStyle w:val="Tabletext"/>
              <w:spacing w:before="20" w:after="20" w:line="240" w:lineRule="auto"/>
              <w:rPr>
                <w:rFonts w:cstheme="minorHAnsi"/>
                <w:lang w:val="en-GB"/>
              </w:rPr>
            </w:pPr>
            <w:r>
              <w:rPr>
                <w:rFonts w:cstheme="minorHAnsi"/>
                <w:lang w:val="en-GB"/>
              </w:rPr>
              <w:t>General practitioner</w:t>
            </w:r>
          </w:p>
        </w:tc>
      </w:tr>
      <w:tr w:rsidR="003A75BF" w:rsidRPr="00C33C0B" w14:paraId="127B2373" w14:textId="77777777" w:rsidTr="00607BDA">
        <w:tc>
          <w:tcPr>
            <w:tcW w:w="1561" w:type="dxa"/>
          </w:tcPr>
          <w:p w14:paraId="591758C3" w14:textId="77777777" w:rsidR="003A75BF" w:rsidRDefault="003A75BF" w:rsidP="003A75BF">
            <w:pPr>
              <w:pStyle w:val="Tabletext"/>
              <w:spacing w:before="20" w:after="20" w:line="240" w:lineRule="auto"/>
              <w:rPr>
                <w:rFonts w:cstheme="minorHAnsi"/>
                <w:lang w:val="en-GB"/>
              </w:rPr>
            </w:pPr>
            <w:r>
              <w:rPr>
                <w:rFonts w:cstheme="minorHAnsi"/>
                <w:lang w:val="en-GB"/>
              </w:rPr>
              <w:t>GPPCCC</w:t>
            </w:r>
          </w:p>
        </w:tc>
        <w:tc>
          <w:tcPr>
            <w:tcW w:w="6673" w:type="dxa"/>
          </w:tcPr>
          <w:p w14:paraId="6FB51F35" w14:textId="77777777" w:rsidR="003A75BF" w:rsidRDefault="003A75BF" w:rsidP="003A75BF">
            <w:pPr>
              <w:pStyle w:val="Tabletext"/>
              <w:spacing w:before="20" w:after="20" w:line="240" w:lineRule="auto"/>
              <w:rPr>
                <w:rFonts w:cstheme="minorHAnsi"/>
                <w:lang w:val="en-GB"/>
              </w:rPr>
            </w:pPr>
            <w:r>
              <w:rPr>
                <w:rFonts w:cstheme="minorHAnsi"/>
                <w:lang w:val="en-GB"/>
              </w:rPr>
              <w:t>General Practice and Primary Care Clinical Committee</w:t>
            </w:r>
          </w:p>
        </w:tc>
      </w:tr>
      <w:tr w:rsidR="0078706C" w:rsidRPr="00C33C0B" w14:paraId="3F548BDC" w14:textId="77777777" w:rsidTr="00607BDA">
        <w:tc>
          <w:tcPr>
            <w:tcW w:w="1561" w:type="dxa"/>
          </w:tcPr>
          <w:p w14:paraId="190BBB89" w14:textId="77777777" w:rsidR="0078706C" w:rsidRDefault="0078706C" w:rsidP="003A75BF">
            <w:pPr>
              <w:pStyle w:val="Tabletext"/>
              <w:spacing w:before="20" w:after="20" w:line="240" w:lineRule="auto"/>
              <w:rPr>
                <w:rFonts w:cstheme="minorHAnsi"/>
                <w:lang w:val="en-GB"/>
              </w:rPr>
            </w:pPr>
            <w:r>
              <w:rPr>
                <w:rFonts w:cstheme="minorHAnsi"/>
                <w:lang w:val="en-GB"/>
              </w:rPr>
              <w:t>Health literacy</w:t>
            </w:r>
          </w:p>
        </w:tc>
        <w:tc>
          <w:tcPr>
            <w:tcW w:w="6673" w:type="dxa"/>
          </w:tcPr>
          <w:p w14:paraId="7226388E" w14:textId="77777777" w:rsidR="0078706C" w:rsidRDefault="0078706C" w:rsidP="0078706C">
            <w:pPr>
              <w:pStyle w:val="Tabletext"/>
              <w:spacing w:before="20" w:after="20" w:line="240" w:lineRule="auto"/>
              <w:rPr>
                <w:rFonts w:cstheme="minorHAnsi"/>
                <w:lang w:val="en-GB"/>
              </w:rPr>
            </w:pPr>
            <w:r w:rsidRPr="00F267F5">
              <w:rPr>
                <w:rFonts w:cstheme="minorHAnsi"/>
                <w:lang w:val="en-GB"/>
              </w:rPr>
              <w:t>Individual health literacy is the knowledge, motivation, skills and capacity of a person to access, understand, appraise and apply information to make effective decisions about health and health care, and make appropriate decisions. The health literacy environment is the infrastructure, policies, processes, materials, people and relationships that have an impact on the way in which people access, understand, appraise and apply health-related information and service.</w:t>
            </w:r>
            <w:r>
              <w:rPr>
                <w:rFonts w:cstheme="minorHAnsi"/>
                <w:lang w:val="en-GB"/>
              </w:rPr>
              <w:t xml:space="preserve"> </w:t>
            </w:r>
            <w:sdt>
              <w:sdtPr>
                <w:rPr>
                  <w:rFonts w:cstheme="minorHAnsi"/>
                  <w:lang w:val="en-GB"/>
                </w:rPr>
                <w:id w:val="1113635866"/>
                <w:citation/>
              </w:sdtPr>
              <w:sdtEndPr/>
              <w:sdtContent>
                <w:r w:rsidRPr="00F267F5">
                  <w:rPr>
                    <w:rFonts w:cstheme="minorHAnsi"/>
                    <w:lang w:val="en-GB"/>
                  </w:rPr>
                  <w:fldChar w:fldCharType="begin"/>
                </w:r>
                <w:r w:rsidRPr="00F267F5">
                  <w:rPr>
                    <w:rFonts w:cstheme="minorHAnsi"/>
                    <w:lang w:val="en-GB"/>
                  </w:rPr>
                  <w:instrText xml:space="preserve">CITATION Aus12 \l 3081 </w:instrText>
                </w:r>
                <w:r w:rsidRPr="00F267F5">
                  <w:rPr>
                    <w:rFonts w:cstheme="minorHAnsi"/>
                    <w:lang w:val="en-GB"/>
                  </w:rPr>
                  <w:fldChar w:fldCharType="separate"/>
                </w:r>
                <w:r w:rsidRPr="00F267F5">
                  <w:rPr>
                    <w:rFonts w:cstheme="minorHAnsi"/>
                    <w:lang w:val="en-GB"/>
                  </w:rPr>
                  <w:t>(Australian Commission on Safety &amp; Quality in Health Care, 2012)</w:t>
                </w:r>
                <w:r w:rsidRPr="00F267F5">
                  <w:rPr>
                    <w:rFonts w:cstheme="minorHAnsi"/>
                    <w:lang w:val="en-GB"/>
                  </w:rPr>
                  <w:fldChar w:fldCharType="end"/>
                </w:r>
              </w:sdtContent>
            </w:sdt>
            <w:r>
              <w:rPr>
                <w:rFonts w:cstheme="minorHAnsi"/>
                <w:lang w:val="en-GB"/>
              </w:rPr>
              <w:t>.</w:t>
            </w:r>
          </w:p>
        </w:tc>
      </w:tr>
      <w:tr w:rsidR="003A75BF" w:rsidRPr="00C33C0B" w14:paraId="5C233E80" w14:textId="77777777" w:rsidTr="00607BDA">
        <w:tc>
          <w:tcPr>
            <w:tcW w:w="1561" w:type="dxa"/>
            <w:hideMark/>
          </w:tcPr>
          <w:p w14:paraId="29863C88"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High-value care</w:t>
            </w:r>
          </w:p>
        </w:tc>
        <w:tc>
          <w:tcPr>
            <w:tcW w:w="6673" w:type="dxa"/>
            <w:hideMark/>
          </w:tcPr>
          <w:p w14:paraId="1DCCFD6F"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Services of proven efficacy reflecting current best medical practice, or for which the potential benefit to consumers exceeds the risk and costs.</w:t>
            </w:r>
          </w:p>
        </w:tc>
      </w:tr>
      <w:tr w:rsidR="003A75BF" w:rsidRPr="00C33C0B" w14:paraId="7DB35CCA" w14:textId="77777777" w:rsidTr="00607BDA">
        <w:tc>
          <w:tcPr>
            <w:tcW w:w="1561" w:type="dxa"/>
            <w:hideMark/>
          </w:tcPr>
          <w:p w14:paraId="4F2190A9"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Inappropriate use / misuse</w:t>
            </w:r>
          </w:p>
        </w:tc>
        <w:tc>
          <w:tcPr>
            <w:tcW w:w="6673" w:type="dxa"/>
            <w:hideMark/>
          </w:tcPr>
          <w:p w14:paraId="55B78D44"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The use of MBS services for purposes other than those intended. This includes a range of behaviours, from failing to adhere to particular item descriptors or rules through to deliberate fraud.</w:t>
            </w:r>
          </w:p>
        </w:tc>
      </w:tr>
      <w:tr w:rsidR="003A75BF" w:rsidRPr="00C33C0B" w14:paraId="5E7B9984" w14:textId="77777777" w:rsidTr="00607BDA">
        <w:tc>
          <w:tcPr>
            <w:tcW w:w="1561" w:type="dxa"/>
            <w:hideMark/>
          </w:tcPr>
          <w:p w14:paraId="64FBB195"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Low-value care</w:t>
            </w:r>
          </w:p>
        </w:tc>
        <w:tc>
          <w:tcPr>
            <w:tcW w:w="6673" w:type="dxa"/>
            <w:hideMark/>
          </w:tcPr>
          <w:p w14:paraId="26D8993E"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Services that evidence suggests provide little or no benefit to consumers; or for which the risk of harm exceeds the likely benefit; or, more broadly, where the added costs of services do not provide proportional added benefits.</w:t>
            </w:r>
          </w:p>
        </w:tc>
      </w:tr>
      <w:tr w:rsidR="003A75BF" w:rsidRPr="00C33C0B" w14:paraId="015E5C3F" w14:textId="77777777" w:rsidTr="00607BDA">
        <w:tc>
          <w:tcPr>
            <w:tcW w:w="1561" w:type="dxa"/>
            <w:hideMark/>
          </w:tcPr>
          <w:p w14:paraId="46BD4D6C"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MBS</w:t>
            </w:r>
          </w:p>
        </w:tc>
        <w:tc>
          <w:tcPr>
            <w:tcW w:w="6673" w:type="dxa"/>
            <w:hideMark/>
          </w:tcPr>
          <w:p w14:paraId="674FF45C"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 xml:space="preserve">Medicare Benefits Schedule </w:t>
            </w:r>
          </w:p>
        </w:tc>
      </w:tr>
      <w:tr w:rsidR="003A75BF" w:rsidRPr="00C33C0B" w14:paraId="0061BC30" w14:textId="77777777" w:rsidTr="00607BDA">
        <w:tc>
          <w:tcPr>
            <w:tcW w:w="1561" w:type="dxa"/>
            <w:hideMark/>
          </w:tcPr>
          <w:p w14:paraId="1C0582CE"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MBS item</w:t>
            </w:r>
          </w:p>
        </w:tc>
        <w:tc>
          <w:tcPr>
            <w:tcW w:w="6673" w:type="dxa"/>
            <w:hideMark/>
          </w:tcPr>
          <w:p w14:paraId="1A77C8DE"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An administrative object listed in the MBS and used for the purposes of claiming and paying Medicare benefits, consisting of an item number, service descriptor and supporting information, schedule fee and Medicare benefits.</w:t>
            </w:r>
          </w:p>
        </w:tc>
      </w:tr>
      <w:tr w:rsidR="003A75BF" w:rsidRPr="00C33C0B" w14:paraId="2AB1BE83" w14:textId="77777777" w:rsidTr="00607BDA">
        <w:tc>
          <w:tcPr>
            <w:tcW w:w="1561" w:type="dxa"/>
            <w:hideMark/>
          </w:tcPr>
          <w:p w14:paraId="407D3CDD"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MBS service</w:t>
            </w:r>
          </w:p>
        </w:tc>
        <w:tc>
          <w:tcPr>
            <w:tcW w:w="6673" w:type="dxa"/>
            <w:hideMark/>
          </w:tcPr>
          <w:p w14:paraId="1F94CE0E"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The actual medical consultation, procedure or test to which the relevant MBS item refers.</w:t>
            </w:r>
          </w:p>
        </w:tc>
      </w:tr>
      <w:tr w:rsidR="003A75BF" w:rsidRPr="00C33C0B" w14:paraId="7D86C431" w14:textId="77777777" w:rsidTr="00607BDA">
        <w:tc>
          <w:tcPr>
            <w:tcW w:w="1561" w:type="dxa"/>
          </w:tcPr>
          <w:p w14:paraId="7FE66FBE" w14:textId="77777777" w:rsidR="003A75BF" w:rsidRPr="00C33C0B" w:rsidRDefault="003A75BF" w:rsidP="003A75BF">
            <w:pPr>
              <w:pStyle w:val="Tabletext"/>
              <w:spacing w:before="20" w:after="20" w:line="240" w:lineRule="auto"/>
              <w:rPr>
                <w:rFonts w:cstheme="minorHAnsi"/>
                <w:lang w:val="en-GB"/>
              </w:rPr>
            </w:pPr>
            <w:r>
              <w:rPr>
                <w:rFonts w:cstheme="minorHAnsi"/>
                <w:lang w:val="en-GB"/>
              </w:rPr>
              <w:t>MDT</w:t>
            </w:r>
          </w:p>
        </w:tc>
        <w:tc>
          <w:tcPr>
            <w:tcW w:w="6673" w:type="dxa"/>
          </w:tcPr>
          <w:p w14:paraId="4659C927" w14:textId="77777777" w:rsidR="003A75BF" w:rsidRPr="00C33C0B" w:rsidRDefault="003A75BF" w:rsidP="003A75BF">
            <w:pPr>
              <w:pStyle w:val="Tabletext"/>
              <w:spacing w:before="20" w:after="20" w:line="240" w:lineRule="auto"/>
              <w:rPr>
                <w:rFonts w:cstheme="minorHAnsi"/>
                <w:lang w:val="en-GB"/>
              </w:rPr>
            </w:pPr>
            <w:r>
              <w:rPr>
                <w:rFonts w:cstheme="minorHAnsi"/>
                <w:lang w:val="en-GB"/>
              </w:rPr>
              <w:t>Multidisciplinary team</w:t>
            </w:r>
          </w:p>
        </w:tc>
      </w:tr>
      <w:tr w:rsidR="003A75BF" w:rsidRPr="00C33C0B" w14:paraId="3BEB4211" w14:textId="77777777" w:rsidTr="00607BDA">
        <w:tc>
          <w:tcPr>
            <w:tcW w:w="1561" w:type="dxa"/>
            <w:hideMark/>
          </w:tcPr>
          <w:p w14:paraId="362182A3"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MSAC</w:t>
            </w:r>
          </w:p>
        </w:tc>
        <w:tc>
          <w:tcPr>
            <w:tcW w:w="6673" w:type="dxa"/>
            <w:hideMark/>
          </w:tcPr>
          <w:p w14:paraId="3E9D845A"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Medical Services Advisory Committee</w:t>
            </w:r>
          </w:p>
        </w:tc>
      </w:tr>
      <w:tr w:rsidR="003A75BF" w:rsidRPr="00C33C0B" w14:paraId="3A3C515D" w14:textId="77777777" w:rsidTr="00607BDA">
        <w:tc>
          <w:tcPr>
            <w:tcW w:w="1561" w:type="dxa"/>
            <w:hideMark/>
          </w:tcPr>
          <w:p w14:paraId="4B526A0E"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 xml:space="preserve">New service </w:t>
            </w:r>
          </w:p>
        </w:tc>
        <w:tc>
          <w:tcPr>
            <w:tcW w:w="6673" w:type="dxa"/>
            <w:hideMark/>
          </w:tcPr>
          <w:p w14:paraId="33BB79CC"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3A75BF" w:rsidRPr="00C33C0B" w14:paraId="4360CE2C" w14:textId="77777777" w:rsidTr="00607BDA">
        <w:tc>
          <w:tcPr>
            <w:tcW w:w="1561" w:type="dxa"/>
            <w:hideMark/>
          </w:tcPr>
          <w:p w14:paraId="370A36DA"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No change or leave unchanged</w:t>
            </w:r>
          </w:p>
        </w:tc>
        <w:tc>
          <w:tcPr>
            <w:tcW w:w="6673" w:type="dxa"/>
            <w:hideMark/>
          </w:tcPr>
          <w:p w14:paraId="1DE70969"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3A75BF" w:rsidRPr="00C33C0B" w14:paraId="6BE0CFFF" w14:textId="77777777" w:rsidTr="00607BDA">
        <w:tc>
          <w:tcPr>
            <w:tcW w:w="1561" w:type="dxa"/>
            <w:hideMark/>
          </w:tcPr>
          <w:p w14:paraId="73D23D55"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Obsolete services / items</w:t>
            </w:r>
          </w:p>
        </w:tc>
        <w:tc>
          <w:tcPr>
            <w:tcW w:w="6673" w:type="dxa"/>
            <w:hideMark/>
          </w:tcPr>
          <w:p w14:paraId="6387CD6E"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Services that should no longer be performed as they do not represent current clinical best practice and have been superseded by superior tests or procedures.</w:t>
            </w:r>
          </w:p>
        </w:tc>
      </w:tr>
      <w:tr w:rsidR="003A75BF" w:rsidRPr="00C33C0B" w14:paraId="64CBE8BF" w14:textId="77777777" w:rsidTr="00607BDA">
        <w:tc>
          <w:tcPr>
            <w:tcW w:w="1561" w:type="dxa"/>
          </w:tcPr>
          <w:p w14:paraId="2A985E14" w14:textId="77777777" w:rsidR="003A75BF" w:rsidRPr="00C33C0B" w:rsidRDefault="003A75BF" w:rsidP="003A75BF">
            <w:pPr>
              <w:pStyle w:val="Tabletext"/>
              <w:spacing w:before="20" w:after="20" w:line="240" w:lineRule="auto"/>
              <w:rPr>
                <w:rFonts w:cstheme="minorHAnsi"/>
                <w:lang w:val="en-GB"/>
              </w:rPr>
            </w:pPr>
            <w:r>
              <w:rPr>
                <w:rFonts w:cstheme="minorHAnsi"/>
                <w:lang w:val="en-GB"/>
              </w:rPr>
              <w:t>Patient</w:t>
            </w:r>
          </w:p>
        </w:tc>
        <w:tc>
          <w:tcPr>
            <w:tcW w:w="6673" w:type="dxa"/>
          </w:tcPr>
          <w:p w14:paraId="325DE33C" w14:textId="77777777" w:rsidR="003A75BF" w:rsidRPr="00F267F5" w:rsidRDefault="003A75BF" w:rsidP="003A75BF">
            <w:pPr>
              <w:pStyle w:val="Tabletext"/>
              <w:spacing w:before="20" w:after="20" w:line="240" w:lineRule="auto"/>
              <w:rPr>
                <w:rFonts w:cstheme="minorHAnsi"/>
                <w:lang w:val="en-GB"/>
              </w:rPr>
            </w:pPr>
            <w:r w:rsidRPr="00F267F5">
              <w:rPr>
                <w:rFonts w:cstheme="minorHAnsi"/>
                <w:lang w:val="en-GB"/>
              </w:rPr>
              <w:t>A person receiving medical services because of a problem or a check-up.</w:t>
            </w:r>
          </w:p>
          <w:p w14:paraId="56E33097" w14:textId="77777777" w:rsidR="003A75BF" w:rsidRPr="00C33C0B" w:rsidRDefault="002F1598" w:rsidP="003A75BF">
            <w:pPr>
              <w:pStyle w:val="Tabletext"/>
              <w:spacing w:before="20" w:after="20" w:line="240" w:lineRule="auto"/>
              <w:rPr>
                <w:rFonts w:cstheme="minorHAnsi"/>
                <w:lang w:val="en-GB"/>
              </w:rPr>
            </w:pPr>
            <w:sdt>
              <w:sdtPr>
                <w:rPr>
                  <w:rFonts w:cstheme="minorHAnsi"/>
                  <w:lang w:val="en-GB"/>
                </w:rPr>
                <w:id w:val="-701622690"/>
                <w:citation/>
              </w:sdtPr>
              <w:sdtEndPr/>
              <w:sdtContent>
                <w:r w:rsidR="003A75BF" w:rsidRPr="00F267F5">
                  <w:rPr>
                    <w:rFonts w:cstheme="minorHAnsi"/>
                    <w:lang w:val="en-GB"/>
                  </w:rPr>
                  <w:fldChar w:fldCharType="begin"/>
                </w:r>
                <w:r w:rsidR="003A75BF" w:rsidRPr="00F267F5">
                  <w:rPr>
                    <w:rFonts w:cstheme="minorHAnsi"/>
                    <w:lang w:val="en-GB"/>
                  </w:rPr>
                  <w:instrText xml:space="preserve"> CITATION Bro16 \l 3081 </w:instrText>
                </w:r>
                <w:r w:rsidR="003A75BF" w:rsidRPr="00F267F5">
                  <w:rPr>
                    <w:rFonts w:cstheme="minorHAnsi"/>
                    <w:lang w:val="en-GB"/>
                  </w:rPr>
                  <w:fldChar w:fldCharType="separate"/>
                </w:r>
                <w:r w:rsidR="003A75BF" w:rsidRPr="00F267F5">
                  <w:rPr>
                    <w:rFonts w:cstheme="minorHAnsi"/>
                    <w:lang w:val="en-GB"/>
                  </w:rPr>
                  <w:t>(Bronkart, 2016)</w:t>
                </w:r>
                <w:r w:rsidR="003A75BF" w:rsidRPr="00F267F5">
                  <w:rPr>
                    <w:rFonts w:cstheme="minorHAnsi"/>
                    <w:lang w:val="en-GB"/>
                  </w:rPr>
                  <w:fldChar w:fldCharType="end"/>
                </w:r>
              </w:sdtContent>
            </w:sdt>
          </w:p>
        </w:tc>
      </w:tr>
      <w:tr w:rsidR="003A75BF" w:rsidRPr="00C33C0B" w14:paraId="1079BBE2" w14:textId="77777777" w:rsidTr="00607BDA">
        <w:tc>
          <w:tcPr>
            <w:tcW w:w="1561" w:type="dxa"/>
          </w:tcPr>
          <w:p w14:paraId="7DACC3B2"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PBS</w:t>
            </w:r>
          </w:p>
        </w:tc>
        <w:tc>
          <w:tcPr>
            <w:tcW w:w="6673" w:type="dxa"/>
          </w:tcPr>
          <w:p w14:paraId="67DC7B79"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Pharmaceutical Benefits Scheme</w:t>
            </w:r>
          </w:p>
        </w:tc>
      </w:tr>
      <w:tr w:rsidR="003A75BF" w:rsidRPr="00C33C0B" w14:paraId="7C185FD0" w14:textId="77777777" w:rsidTr="00607BDA">
        <w:tc>
          <w:tcPr>
            <w:tcW w:w="1561" w:type="dxa"/>
          </w:tcPr>
          <w:p w14:paraId="2929884C" w14:textId="77777777" w:rsidR="003A75BF" w:rsidRPr="00C33C0B" w:rsidRDefault="003A75BF" w:rsidP="003A75BF">
            <w:pPr>
              <w:pStyle w:val="Tabletext"/>
              <w:spacing w:before="20" w:after="20" w:line="240" w:lineRule="auto"/>
              <w:rPr>
                <w:rFonts w:cstheme="minorHAnsi"/>
                <w:lang w:val="en-GB"/>
              </w:rPr>
            </w:pPr>
            <w:r>
              <w:rPr>
                <w:rFonts w:cstheme="minorHAnsi"/>
                <w:lang w:val="en-GB"/>
              </w:rPr>
              <w:t>PHN</w:t>
            </w:r>
          </w:p>
        </w:tc>
        <w:tc>
          <w:tcPr>
            <w:tcW w:w="6673" w:type="dxa"/>
          </w:tcPr>
          <w:p w14:paraId="395E921E" w14:textId="77777777" w:rsidR="003A75BF" w:rsidRPr="00C33C0B" w:rsidRDefault="003A75BF" w:rsidP="003A75BF">
            <w:pPr>
              <w:pStyle w:val="Tabletext"/>
              <w:spacing w:before="20" w:after="20" w:line="240" w:lineRule="auto"/>
              <w:rPr>
                <w:rFonts w:cstheme="minorHAnsi"/>
                <w:lang w:val="en-GB"/>
              </w:rPr>
            </w:pPr>
            <w:r>
              <w:rPr>
                <w:rFonts w:cstheme="minorHAnsi"/>
                <w:lang w:val="en-GB"/>
              </w:rPr>
              <w:t>Primary health network</w:t>
            </w:r>
          </w:p>
        </w:tc>
      </w:tr>
      <w:tr w:rsidR="003A75BF" w:rsidRPr="00C33C0B" w14:paraId="0CF47942" w14:textId="77777777" w:rsidTr="00607BDA">
        <w:tc>
          <w:tcPr>
            <w:tcW w:w="1561" w:type="dxa"/>
          </w:tcPr>
          <w:p w14:paraId="4E20A360" w14:textId="77777777" w:rsidR="003A75BF" w:rsidRPr="00C33C0B" w:rsidRDefault="003A75BF" w:rsidP="003A75BF">
            <w:pPr>
              <w:pStyle w:val="Tabletext"/>
              <w:spacing w:before="20" w:after="20" w:line="240" w:lineRule="auto"/>
              <w:rPr>
                <w:rFonts w:cstheme="minorHAnsi"/>
                <w:lang w:val="en-GB"/>
              </w:rPr>
            </w:pPr>
            <w:r>
              <w:rPr>
                <w:rFonts w:cstheme="minorHAnsi"/>
                <w:lang w:val="en-GB"/>
              </w:rPr>
              <w:t>RVS</w:t>
            </w:r>
          </w:p>
        </w:tc>
        <w:tc>
          <w:tcPr>
            <w:tcW w:w="6673" w:type="dxa"/>
          </w:tcPr>
          <w:p w14:paraId="55287A9B" w14:textId="77777777" w:rsidR="003A75BF" w:rsidRPr="00C33C0B" w:rsidRDefault="003A75BF" w:rsidP="003A75BF">
            <w:pPr>
              <w:pStyle w:val="Tabletext"/>
              <w:spacing w:before="20" w:after="20" w:line="240" w:lineRule="auto"/>
              <w:rPr>
                <w:rFonts w:cstheme="minorHAnsi"/>
                <w:lang w:val="en-GB"/>
              </w:rPr>
            </w:pPr>
            <w:r>
              <w:rPr>
                <w:rFonts w:cstheme="minorHAnsi"/>
                <w:lang w:val="en-GB"/>
              </w:rPr>
              <w:t xml:space="preserve">Relative Value Study </w:t>
            </w:r>
            <w:r w:rsidRPr="003B0C4E">
              <w:rPr>
                <w:rFonts w:cstheme="minorHAnsi"/>
                <w:lang w:val="en-GB"/>
              </w:rPr>
              <w:t>was a review of the services and fees in the General Medical Services Table of the Medicare Benefits Schedule (MBS)</w:t>
            </w:r>
            <w:r>
              <w:rPr>
                <w:lang w:val="en-GB" w:eastAsia="en-US"/>
              </w:rPr>
              <w:t>.</w:t>
            </w:r>
          </w:p>
        </w:tc>
      </w:tr>
      <w:tr w:rsidR="003A75BF" w:rsidRPr="00C33C0B" w14:paraId="4916CE0C" w14:textId="77777777" w:rsidTr="00785016">
        <w:tc>
          <w:tcPr>
            <w:tcW w:w="1561" w:type="dxa"/>
          </w:tcPr>
          <w:p w14:paraId="19DC9080" w14:textId="77777777" w:rsidR="003A75BF" w:rsidRDefault="003A75BF" w:rsidP="003A75BF">
            <w:pPr>
              <w:pStyle w:val="Tabletext"/>
              <w:spacing w:before="20" w:after="20" w:line="240" w:lineRule="auto"/>
              <w:rPr>
                <w:rFonts w:cstheme="minorHAnsi"/>
                <w:lang w:val="en-GB"/>
              </w:rPr>
            </w:pPr>
            <w:r>
              <w:rPr>
                <w:rFonts w:cstheme="minorHAnsi"/>
                <w:lang w:val="en-GB"/>
              </w:rPr>
              <w:t>SCPCCC</w:t>
            </w:r>
          </w:p>
        </w:tc>
        <w:tc>
          <w:tcPr>
            <w:tcW w:w="6673" w:type="dxa"/>
          </w:tcPr>
          <w:p w14:paraId="3DA048D4" w14:textId="77777777" w:rsidR="003A75BF" w:rsidRDefault="003A75BF" w:rsidP="003A75BF">
            <w:pPr>
              <w:pStyle w:val="Tabletext"/>
              <w:spacing w:before="20" w:after="20" w:line="240" w:lineRule="auto"/>
              <w:rPr>
                <w:rFonts w:cstheme="minorHAnsi"/>
                <w:lang w:val="en-GB"/>
              </w:rPr>
            </w:pPr>
            <w:r>
              <w:rPr>
                <w:rFonts w:cstheme="minorHAnsi"/>
                <w:lang w:val="en-GB"/>
              </w:rPr>
              <w:t>See: The Committee</w:t>
            </w:r>
          </w:p>
        </w:tc>
      </w:tr>
      <w:tr w:rsidR="003A75BF" w:rsidRPr="00C33C0B" w14:paraId="76194957" w14:textId="77777777" w:rsidTr="00607BDA">
        <w:tc>
          <w:tcPr>
            <w:tcW w:w="1561" w:type="dxa"/>
            <w:hideMark/>
          </w:tcPr>
          <w:p w14:paraId="0AEB84D2"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Services average annual growth</w:t>
            </w:r>
          </w:p>
        </w:tc>
        <w:tc>
          <w:tcPr>
            <w:tcW w:w="6673" w:type="dxa"/>
            <w:hideMark/>
          </w:tcPr>
          <w:p w14:paraId="08531355"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The average growth per year, over five years to 2014/15, in utilisation of services. Also known as the compound annual growth rate (CAGR).</w:t>
            </w:r>
          </w:p>
        </w:tc>
      </w:tr>
      <w:tr w:rsidR="003A75BF" w:rsidRPr="00C33C0B" w14:paraId="4C305255" w14:textId="77777777" w:rsidTr="00607BDA">
        <w:tc>
          <w:tcPr>
            <w:tcW w:w="1561" w:type="dxa"/>
            <w:hideMark/>
          </w:tcPr>
          <w:p w14:paraId="431F87EA"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 xml:space="preserve">The Committee </w:t>
            </w:r>
          </w:p>
        </w:tc>
        <w:tc>
          <w:tcPr>
            <w:tcW w:w="6673" w:type="dxa"/>
            <w:hideMark/>
          </w:tcPr>
          <w:p w14:paraId="2BADF8D8"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 xml:space="preserve">The </w:t>
            </w:r>
            <w:r>
              <w:rPr>
                <w:rFonts w:cstheme="minorHAnsi"/>
                <w:lang w:val="en-GB"/>
              </w:rPr>
              <w:t>Specialist and Consultant Physician Consultation</w:t>
            </w:r>
            <w:r w:rsidRPr="00C33C0B">
              <w:rPr>
                <w:rFonts w:cstheme="minorHAnsi"/>
                <w:lang w:val="en-GB"/>
              </w:rPr>
              <w:t xml:space="preserve"> Clinical Committee of the MBS Review</w:t>
            </w:r>
          </w:p>
        </w:tc>
      </w:tr>
      <w:tr w:rsidR="003A75BF" w:rsidRPr="00C33C0B" w14:paraId="5005FA9E" w14:textId="77777777" w:rsidTr="00607BDA">
        <w:tc>
          <w:tcPr>
            <w:tcW w:w="1561" w:type="dxa"/>
          </w:tcPr>
          <w:p w14:paraId="74D354E0" w14:textId="77777777" w:rsidR="003A75BF" w:rsidRPr="00C33C0B" w:rsidRDefault="003A75BF" w:rsidP="003A75BF">
            <w:pPr>
              <w:pStyle w:val="Tabletext"/>
              <w:spacing w:before="20" w:after="20" w:line="240" w:lineRule="auto"/>
              <w:rPr>
                <w:rFonts w:cstheme="minorHAnsi"/>
                <w:lang w:val="en-GB"/>
              </w:rPr>
            </w:pPr>
            <w:r>
              <w:rPr>
                <w:rFonts w:cstheme="minorHAnsi"/>
                <w:lang w:val="en-GB"/>
              </w:rPr>
              <w:t>The Minister</w:t>
            </w:r>
          </w:p>
        </w:tc>
        <w:tc>
          <w:tcPr>
            <w:tcW w:w="6673" w:type="dxa"/>
          </w:tcPr>
          <w:p w14:paraId="6A6C18F2" w14:textId="77777777" w:rsidR="003A75BF" w:rsidRPr="00C33C0B" w:rsidRDefault="003A75BF" w:rsidP="003A75BF">
            <w:pPr>
              <w:pStyle w:val="Tabletext"/>
              <w:spacing w:before="20" w:after="20" w:line="240" w:lineRule="auto"/>
              <w:rPr>
                <w:rFonts w:cstheme="minorHAnsi"/>
                <w:lang w:val="en-GB"/>
              </w:rPr>
            </w:pPr>
            <w:r>
              <w:rPr>
                <w:rFonts w:cstheme="minorHAnsi"/>
                <w:lang w:val="en-GB"/>
              </w:rPr>
              <w:t>Minister for Health</w:t>
            </w:r>
          </w:p>
        </w:tc>
      </w:tr>
      <w:tr w:rsidR="003A75BF" w:rsidRPr="00C33C0B" w14:paraId="06065422" w14:textId="77777777" w:rsidTr="00607BDA">
        <w:tc>
          <w:tcPr>
            <w:tcW w:w="1561" w:type="dxa"/>
            <w:hideMark/>
          </w:tcPr>
          <w:p w14:paraId="106C5F29"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 xml:space="preserve">The Taskforce </w:t>
            </w:r>
          </w:p>
        </w:tc>
        <w:tc>
          <w:tcPr>
            <w:tcW w:w="6673" w:type="dxa"/>
            <w:hideMark/>
          </w:tcPr>
          <w:p w14:paraId="288B609E"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 xml:space="preserve">The MBS Review Taskforce </w:t>
            </w:r>
          </w:p>
        </w:tc>
      </w:tr>
      <w:tr w:rsidR="003A75BF" w:rsidRPr="00C33C0B" w14:paraId="1F380417" w14:textId="77777777" w:rsidTr="00607BDA">
        <w:tc>
          <w:tcPr>
            <w:tcW w:w="1561" w:type="dxa"/>
          </w:tcPr>
          <w:p w14:paraId="3BD661D0"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Total benefits</w:t>
            </w:r>
          </w:p>
        </w:tc>
        <w:tc>
          <w:tcPr>
            <w:tcW w:w="6673" w:type="dxa"/>
          </w:tcPr>
          <w:p w14:paraId="2A732AA7" w14:textId="77777777" w:rsidR="003A75BF" w:rsidRPr="00C33C0B" w:rsidRDefault="003A75BF" w:rsidP="003A75BF">
            <w:pPr>
              <w:pStyle w:val="Tabletext"/>
              <w:spacing w:before="20" w:after="20" w:line="240" w:lineRule="auto"/>
              <w:rPr>
                <w:rFonts w:cstheme="minorHAnsi"/>
                <w:lang w:val="en-GB"/>
              </w:rPr>
            </w:pPr>
            <w:r w:rsidRPr="00C33C0B">
              <w:rPr>
                <w:rFonts w:cstheme="minorHAnsi"/>
                <w:lang w:val="en-GB"/>
              </w:rPr>
              <w:t>Total benefits paid in 2014/15 unless otherwise specified.</w:t>
            </w:r>
          </w:p>
        </w:tc>
      </w:tr>
    </w:tbl>
    <w:p w14:paraId="43019B68" w14:textId="77777777" w:rsidR="00C70F2D" w:rsidRDefault="00C70F2D" w:rsidP="00C70F2D">
      <w:pPr>
        <w:pStyle w:val="AppendixStyle1"/>
        <w:spacing w:before="360"/>
        <w:rPr>
          <w:lang w:val="en-GB"/>
        </w:rPr>
        <w:sectPr w:rsidR="00C70F2D" w:rsidSect="00DF09CD">
          <w:endnotePr>
            <w:numFmt w:val="decimal"/>
          </w:endnotePr>
          <w:pgSz w:w="11906" w:h="16838" w:code="9"/>
          <w:pgMar w:top="1440" w:right="1797" w:bottom="1440" w:left="1797" w:header="720" w:footer="720" w:gutter="0"/>
          <w:cols w:space="720"/>
          <w:docGrid w:linePitch="326"/>
        </w:sectPr>
      </w:pPr>
    </w:p>
    <w:p w14:paraId="2FB3AF56" w14:textId="77777777" w:rsidR="00E76A74" w:rsidRPr="00C33C0B" w:rsidRDefault="00E76A74" w:rsidP="00E76A74">
      <w:pPr>
        <w:pStyle w:val="AppendixStyle1"/>
        <w:rPr>
          <w:lang w:val="en-GB"/>
        </w:rPr>
      </w:pPr>
      <w:bookmarkStart w:id="254" w:name="_Toc24544755"/>
      <w:r w:rsidRPr="00C33C0B">
        <w:rPr>
          <w:lang w:val="en-GB"/>
        </w:rPr>
        <w:t>Index of items</w:t>
      </w:r>
      <w:bookmarkEnd w:id="254"/>
      <w:bookmarkEnd w:id="251"/>
      <w:bookmarkEnd w:id="250"/>
      <w:bookmarkEnd w:id="249"/>
      <w:bookmarkEnd w:id="248"/>
    </w:p>
    <w:p w14:paraId="1B5A45D2" w14:textId="77777777" w:rsidR="00E76A74" w:rsidRPr="00C33C0B" w:rsidRDefault="00E76A74" w:rsidP="00E76A74">
      <w:pPr>
        <w:pStyle w:val="Heading2"/>
        <w:numPr>
          <w:ilvl w:val="0"/>
          <w:numId w:val="0"/>
        </w:numPr>
        <w:rPr>
          <w:lang w:val="en-GB"/>
        </w:rPr>
      </w:pPr>
      <w:bookmarkStart w:id="255" w:name="_Toc521442214"/>
      <w:bookmarkStart w:id="256" w:name="_Toc24544756"/>
      <w:r w:rsidRPr="00C33C0B">
        <w:rPr>
          <w:lang w:val="en-GB"/>
        </w:rPr>
        <w:t>A.1. Standard attendance items</w:t>
      </w:r>
      <w:bookmarkEnd w:id="255"/>
      <w:bookmarkEnd w:id="256"/>
    </w:p>
    <w:tbl>
      <w:tblPr>
        <w:tblStyle w:val="TableGrid"/>
        <w:tblW w:w="4699"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A - A.1 Standard attendance items"/>
        <w:tblDescription w:val="A.1 is a 7 column table. Column 1 is the item number. Column 2 is the item descriptor. Column 3 is the schedule fee. Column 4 is the benefits paid in financial year 2016/17. Column 5 is services provided in financial year 2016/17. Column 6 is the 5 yearly growth expressed as a percentage. Column 6 is the recommended change to the item. "/>
      </w:tblPr>
      <w:tblGrid>
        <w:gridCol w:w="423"/>
        <w:gridCol w:w="3000"/>
        <w:gridCol w:w="715"/>
        <w:gridCol w:w="1011"/>
        <w:gridCol w:w="858"/>
        <w:gridCol w:w="715"/>
        <w:gridCol w:w="1122"/>
      </w:tblGrid>
      <w:tr w:rsidR="001E05F9" w:rsidRPr="00C33C0B" w14:paraId="25CA79CD" w14:textId="77777777" w:rsidTr="00607BDA">
        <w:trPr>
          <w:tblHeader/>
        </w:trPr>
        <w:tc>
          <w:tcPr>
            <w:tcW w:w="423" w:type="dxa"/>
            <w:shd w:val="clear" w:color="auto" w:fill="01653F"/>
            <w:vAlign w:val="bottom"/>
            <w:hideMark/>
          </w:tcPr>
          <w:p w14:paraId="71353904" w14:textId="77777777" w:rsidR="001E05F9" w:rsidRDefault="001E05F9" w:rsidP="00501544">
            <w:pPr>
              <w:spacing w:before="20" w:after="20" w:line="240" w:lineRule="auto"/>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 xml:space="preserve">Item </w:t>
            </w:r>
            <w:r>
              <w:rPr>
                <w:rFonts w:ascii="Calibri" w:hAnsi="Calibri" w:cs="Calibri"/>
                <w:b/>
                <w:color w:val="FFFFFF" w:themeColor="background1"/>
                <w:sz w:val="17"/>
                <w:szCs w:val="17"/>
                <w:lang w:val="en-GB"/>
              </w:rPr>
              <w:t>n</w:t>
            </w:r>
            <w:r w:rsidRPr="00C33C0B">
              <w:rPr>
                <w:rFonts w:ascii="Calibri" w:hAnsi="Calibri" w:cs="Calibri"/>
                <w:b/>
                <w:color w:val="FFFFFF" w:themeColor="background1"/>
                <w:sz w:val="17"/>
                <w:szCs w:val="17"/>
                <w:lang w:val="en-GB"/>
              </w:rPr>
              <w:t>o.</w:t>
            </w:r>
          </w:p>
          <w:p w14:paraId="21D94358" w14:textId="77777777" w:rsidR="006E7930" w:rsidRPr="00C33C0B" w:rsidRDefault="006E7930" w:rsidP="00501544">
            <w:pPr>
              <w:spacing w:before="20" w:after="20" w:line="240" w:lineRule="auto"/>
              <w:rPr>
                <w:rFonts w:ascii="Calibri" w:hAnsi="Calibri" w:cs="Calibri"/>
                <w:b/>
                <w:color w:val="FFFFFF" w:themeColor="background1"/>
                <w:sz w:val="17"/>
                <w:szCs w:val="17"/>
                <w:lang w:val="en-GB"/>
              </w:rPr>
            </w:pPr>
          </w:p>
        </w:tc>
        <w:tc>
          <w:tcPr>
            <w:tcW w:w="3000" w:type="dxa"/>
            <w:shd w:val="clear" w:color="auto" w:fill="01653F"/>
            <w:vAlign w:val="bottom"/>
            <w:hideMark/>
          </w:tcPr>
          <w:p w14:paraId="26F9483C" w14:textId="77777777" w:rsidR="001E05F9" w:rsidRPr="00C33C0B" w:rsidRDefault="001E05F9" w:rsidP="00501544">
            <w:pPr>
              <w:spacing w:before="20" w:after="20" w:line="240" w:lineRule="auto"/>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Item descriptor</w:t>
            </w:r>
          </w:p>
        </w:tc>
        <w:tc>
          <w:tcPr>
            <w:tcW w:w="715" w:type="dxa"/>
            <w:shd w:val="clear" w:color="auto" w:fill="01653F"/>
            <w:vAlign w:val="bottom"/>
            <w:hideMark/>
          </w:tcPr>
          <w:p w14:paraId="4454E14A" w14:textId="77777777" w:rsidR="001E05F9" w:rsidRPr="00C33C0B" w:rsidRDefault="001E05F9" w:rsidP="00501544">
            <w:pPr>
              <w:spacing w:before="20" w:after="20" w:line="240" w:lineRule="auto"/>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 xml:space="preserve">Schedule </w:t>
            </w:r>
            <w:r>
              <w:rPr>
                <w:rFonts w:ascii="Calibri" w:hAnsi="Calibri" w:cs="Calibri"/>
                <w:b/>
                <w:color w:val="FFFFFF" w:themeColor="background1"/>
                <w:sz w:val="17"/>
                <w:szCs w:val="17"/>
                <w:lang w:val="en-GB"/>
              </w:rPr>
              <w:t>f</w:t>
            </w:r>
            <w:r w:rsidRPr="00C33C0B">
              <w:rPr>
                <w:rFonts w:ascii="Calibri" w:hAnsi="Calibri" w:cs="Calibri"/>
                <w:b/>
                <w:color w:val="FFFFFF" w:themeColor="background1"/>
                <w:sz w:val="17"/>
                <w:szCs w:val="17"/>
                <w:lang w:val="en-GB"/>
              </w:rPr>
              <w:t xml:space="preserve">ee </w:t>
            </w:r>
          </w:p>
        </w:tc>
        <w:tc>
          <w:tcPr>
            <w:tcW w:w="1011" w:type="dxa"/>
            <w:shd w:val="clear" w:color="auto" w:fill="01653F"/>
            <w:vAlign w:val="bottom"/>
            <w:hideMark/>
          </w:tcPr>
          <w:p w14:paraId="0753B644" w14:textId="77777777" w:rsidR="001E05F9" w:rsidRPr="00C33C0B" w:rsidRDefault="001E05F9" w:rsidP="00501544">
            <w:pPr>
              <w:spacing w:before="20" w:after="20" w:line="240" w:lineRule="auto"/>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Benefits 2016</w:t>
            </w:r>
            <w:r>
              <w:rPr>
                <w:rFonts w:ascii="Calibri" w:hAnsi="Calibri" w:cs="Calibri"/>
                <w:b/>
                <w:color w:val="FFFFFF" w:themeColor="background1"/>
                <w:sz w:val="17"/>
                <w:szCs w:val="17"/>
                <w:lang w:val="en-GB"/>
              </w:rPr>
              <w:t>/</w:t>
            </w:r>
            <w:r w:rsidRPr="00C33C0B">
              <w:rPr>
                <w:rFonts w:ascii="Calibri" w:hAnsi="Calibri" w:cs="Calibri"/>
                <w:b/>
                <w:color w:val="FFFFFF" w:themeColor="background1"/>
                <w:sz w:val="17"/>
                <w:szCs w:val="17"/>
                <w:lang w:val="en-GB"/>
              </w:rPr>
              <w:t>17</w:t>
            </w:r>
          </w:p>
        </w:tc>
        <w:tc>
          <w:tcPr>
            <w:tcW w:w="858" w:type="dxa"/>
            <w:shd w:val="clear" w:color="auto" w:fill="01653F"/>
            <w:vAlign w:val="bottom"/>
            <w:hideMark/>
          </w:tcPr>
          <w:p w14:paraId="31841523" w14:textId="77777777" w:rsidR="001E05F9" w:rsidRPr="00C33C0B" w:rsidRDefault="001E05F9" w:rsidP="00501544">
            <w:pPr>
              <w:spacing w:before="20" w:after="20" w:line="240" w:lineRule="auto"/>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Services 2016</w:t>
            </w:r>
            <w:r>
              <w:rPr>
                <w:rFonts w:ascii="Calibri" w:hAnsi="Calibri" w:cs="Calibri"/>
                <w:b/>
                <w:color w:val="FFFFFF" w:themeColor="background1"/>
                <w:sz w:val="17"/>
                <w:szCs w:val="17"/>
                <w:lang w:val="en-GB"/>
              </w:rPr>
              <w:t>/</w:t>
            </w:r>
            <w:r w:rsidRPr="00C33C0B">
              <w:rPr>
                <w:rFonts w:ascii="Calibri" w:hAnsi="Calibri" w:cs="Calibri"/>
                <w:b/>
                <w:color w:val="FFFFFF" w:themeColor="background1"/>
                <w:sz w:val="17"/>
                <w:szCs w:val="17"/>
                <w:lang w:val="en-GB"/>
              </w:rPr>
              <w:t>17</w:t>
            </w:r>
          </w:p>
        </w:tc>
        <w:tc>
          <w:tcPr>
            <w:tcW w:w="715" w:type="dxa"/>
            <w:shd w:val="clear" w:color="auto" w:fill="01653F"/>
            <w:vAlign w:val="bottom"/>
            <w:hideMark/>
          </w:tcPr>
          <w:p w14:paraId="332BAFAA" w14:textId="77777777" w:rsidR="001E05F9" w:rsidRPr="00C33C0B" w:rsidRDefault="001E05F9" w:rsidP="00501544">
            <w:pPr>
              <w:spacing w:before="20" w:after="20" w:line="240" w:lineRule="auto"/>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Services 5-year annual avg. growth</w:t>
            </w:r>
          </w:p>
        </w:tc>
        <w:tc>
          <w:tcPr>
            <w:tcW w:w="1142" w:type="dxa"/>
            <w:shd w:val="clear" w:color="auto" w:fill="01653F"/>
            <w:vAlign w:val="bottom"/>
          </w:tcPr>
          <w:p w14:paraId="2DFEDF55" w14:textId="77777777" w:rsidR="001E05F9" w:rsidRPr="00C33C0B" w:rsidRDefault="001E05F9" w:rsidP="00501544">
            <w:pPr>
              <w:spacing w:before="20" w:after="20" w:line="240" w:lineRule="auto"/>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Recommended change</w:t>
            </w:r>
          </w:p>
        </w:tc>
      </w:tr>
      <w:tr w:rsidR="001E05F9" w:rsidRPr="00C33C0B" w14:paraId="528A4B44" w14:textId="77777777" w:rsidTr="00607BDA">
        <w:tc>
          <w:tcPr>
            <w:tcW w:w="423" w:type="dxa"/>
            <w:shd w:val="clear" w:color="auto" w:fill="auto"/>
            <w:noWrap/>
            <w:hideMark/>
          </w:tcPr>
          <w:p w14:paraId="63AF709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104</w:t>
            </w:r>
          </w:p>
        </w:tc>
        <w:tc>
          <w:tcPr>
            <w:tcW w:w="3000" w:type="dxa"/>
            <w:shd w:val="clear" w:color="auto" w:fill="auto"/>
            <w:noWrap/>
            <w:hideMark/>
          </w:tcPr>
          <w:p w14:paraId="5C7FE0E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in the practice of his or her specialty after referral of the patient to him or her—each attendance, other than a second or subsequent attendance, in a single course of treatment, other than a service to which item 106, 109 or 16401 applies</w:t>
            </w:r>
          </w:p>
        </w:tc>
        <w:tc>
          <w:tcPr>
            <w:tcW w:w="715" w:type="dxa"/>
            <w:shd w:val="clear" w:color="auto" w:fill="auto"/>
            <w:noWrap/>
            <w:hideMark/>
          </w:tcPr>
          <w:p w14:paraId="30E485D1"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$85.55 </w:t>
            </w:r>
          </w:p>
        </w:tc>
        <w:tc>
          <w:tcPr>
            <w:tcW w:w="1011" w:type="dxa"/>
            <w:shd w:val="clear" w:color="auto" w:fill="auto"/>
            <w:noWrap/>
            <w:hideMark/>
          </w:tcPr>
          <w:p w14:paraId="49EE72B9"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$396,169,730 </w:t>
            </w:r>
          </w:p>
        </w:tc>
        <w:tc>
          <w:tcPr>
            <w:tcW w:w="858" w:type="dxa"/>
            <w:shd w:val="clear" w:color="auto" w:fill="auto"/>
            <w:noWrap/>
            <w:hideMark/>
          </w:tcPr>
          <w:p w14:paraId="5BB40E34"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5,278,404 </w:t>
            </w:r>
          </w:p>
        </w:tc>
        <w:tc>
          <w:tcPr>
            <w:tcW w:w="715" w:type="dxa"/>
            <w:shd w:val="clear" w:color="auto" w:fill="auto"/>
            <w:noWrap/>
            <w:hideMark/>
          </w:tcPr>
          <w:p w14:paraId="2591C96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3.4%</w:t>
            </w:r>
          </w:p>
        </w:tc>
        <w:tc>
          <w:tcPr>
            <w:tcW w:w="1142" w:type="dxa"/>
            <w:shd w:val="clear" w:color="auto" w:fill="auto"/>
          </w:tcPr>
          <w:p w14:paraId="64E8D041"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2FBF503E" w14:textId="77777777" w:rsidTr="00607BDA">
        <w:tc>
          <w:tcPr>
            <w:tcW w:w="423" w:type="dxa"/>
            <w:shd w:val="clear" w:color="auto" w:fill="auto"/>
            <w:noWrap/>
            <w:hideMark/>
          </w:tcPr>
          <w:p w14:paraId="1E7660FF" w14:textId="77777777" w:rsidR="001E05F9" w:rsidRPr="00C33C0B" w:rsidRDefault="001E05F9" w:rsidP="00501544">
            <w:pPr>
              <w:spacing w:before="20" w:after="20" w:line="240" w:lineRule="auto"/>
              <w:rPr>
                <w:rFonts w:ascii="Calibri" w:hAnsi="Calibri" w:cs="Calibri"/>
                <w:bCs/>
                <w:color w:val="000000"/>
                <w:sz w:val="17"/>
                <w:szCs w:val="17"/>
                <w:lang w:val="en-GB"/>
              </w:rPr>
            </w:pPr>
            <w:r w:rsidRPr="00C33C0B">
              <w:rPr>
                <w:rFonts w:ascii="Calibri" w:hAnsi="Calibri" w:cs="Calibri"/>
                <w:bCs/>
                <w:color w:val="000000"/>
                <w:sz w:val="17"/>
                <w:szCs w:val="17"/>
                <w:lang w:val="en-GB"/>
              </w:rPr>
              <w:t>105</w:t>
            </w:r>
          </w:p>
        </w:tc>
        <w:tc>
          <w:tcPr>
            <w:tcW w:w="3000" w:type="dxa"/>
            <w:shd w:val="clear" w:color="auto" w:fill="auto"/>
            <w:noWrap/>
            <w:hideMark/>
          </w:tcPr>
          <w:p w14:paraId="3E73E2B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his or her specialty following referral of the patient to him or her—an attendance after the first in a single course of treatment, if that attendance is at consulting rooms or hospital</w:t>
            </w:r>
          </w:p>
        </w:tc>
        <w:tc>
          <w:tcPr>
            <w:tcW w:w="715" w:type="dxa"/>
            <w:shd w:val="clear" w:color="auto" w:fill="auto"/>
            <w:noWrap/>
            <w:hideMark/>
          </w:tcPr>
          <w:p w14:paraId="7ECC61C9"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$43.00 </w:t>
            </w:r>
          </w:p>
        </w:tc>
        <w:tc>
          <w:tcPr>
            <w:tcW w:w="1011" w:type="dxa"/>
            <w:shd w:val="clear" w:color="auto" w:fill="auto"/>
            <w:noWrap/>
            <w:hideMark/>
          </w:tcPr>
          <w:p w14:paraId="01D052C9"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$271,057,335 </w:t>
            </w:r>
          </w:p>
        </w:tc>
        <w:tc>
          <w:tcPr>
            <w:tcW w:w="858" w:type="dxa"/>
            <w:shd w:val="clear" w:color="auto" w:fill="auto"/>
            <w:noWrap/>
            <w:hideMark/>
          </w:tcPr>
          <w:p w14:paraId="300498C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6,815,886 </w:t>
            </w:r>
          </w:p>
        </w:tc>
        <w:tc>
          <w:tcPr>
            <w:tcW w:w="715" w:type="dxa"/>
            <w:shd w:val="clear" w:color="auto" w:fill="auto"/>
            <w:noWrap/>
            <w:hideMark/>
          </w:tcPr>
          <w:p w14:paraId="3B64CC47"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3.6%</w:t>
            </w:r>
          </w:p>
        </w:tc>
        <w:tc>
          <w:tcPr>
            <w:tcW w:w="1142" w:type="dxa"/>
            <w:shd w:val="clear" w:color="auto" w:fill="auto"/>
          </w:tcPr>
          <w:p w14:paraId="24FD980F"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4598C2CB" w14:textId="77777777" w:rsidTr="00607BDA">
        <w:tc>
          <w:tcPr>
            <w:tcW w:w="423" w:type="dxa"/>
            <w:shd w:val="clear" w:color="auto" w:fill="auto"/>
            <w:noWrap/>
            <w:hideMark/>
          </w:tcPr>
          <w:p w14:paraId="5976175D"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106</w:t>
            </w:r>
          </w:p>
        </w:tc>
        <w:tc>
          <w:tcPr>
            <w:tcW w:w="3000" w:type="dxa"/>
            <w:shd w:val="clear" w:color="auto" w:fill="auto"/>
            <w:noWrap/>
            <w:hideMark/>
          </w:tcPr>
          <w:p w14:paraId="226B3782"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his or her specialty of ophthalmology and following referral of the patient to him or her—an attendance (other than a second or subsequent attendance in a single course of treatment) at which the only service provided is refraction testing for the issue of a prescription for spectacles or contact lenses, if that attendance is at consulting rooms or hospital (other than a service to which any of items 104, 109 and 10801 to 10816 applies)</w:t>
            </w:r>
          </w:p>
        </w:tc>
        <w:tc>
          <w:tcPr>
            <w:tcW w:w="715" w:type="dxa"/>
            <w:shd w:val="clear" w:color="auto" w:fill="auto"/>
            <w:noWrap/>
            <w:hideMark/>
          </w:tcPr>
          <w:p w14:paraId="063D3F36"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$71.00 </w:t>
            </w:r>
          </w:p>
        </w:tc>
        <w:tc>
          <w:tcPr>
            <w:tcW w:w="1011" w:type="dxa"/>
            <w:shd w:val="clear" w:color="auto" w:fill="auto"/>
            <w:noWrap/>
            <w:hideMark/>
          </w:tcPr>
          <w:p w14:paraId="76AEAAF1"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$48,694 </w:t>
            </w:r>
          </w:p>
        </w:tc>
        <w:tc>
          <w:tcPr>
            <w:tcW w:w="858" w:type="dxa"/>
            <w:shd w:val="clear" w:color="auto" w:fill="auto"/>
            <w:noWrap/>
            <w:hideMark/>
          </w:tcPr>
          <w:p w14:paraId="25E0E5D3"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780 </w:t>
            </w:r>
          </w:p>
        </w:tc>
        <w:tc>
          <w:tcPr>
            <w:tcW w:w="715" w:type="dxa"/>
            <w:shd w:val="clear" w:color="auto" w:fill="auto"/>
            <w:noWrap/>
            <w:hideMark/>
          </w:tcPr>
          <w:p w14:paraId="3FDD964F"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-5.5%</w:t>
            </w:r>
          </w:p>
        </w:tc>
        <w:tc>
          <w:tcPr>
            <w:tcW w:w="1142" w:type="dxa"/>
            <w:shd w:val="clear" w:color="auto" w:fill="auto"/>
          </w:tcPr>
          <w:p w14:paraId="32DC398E"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77E76817" w14:textId="77777777" w:rsidTr="00607BDA">
        <w:tc>
          <w:tcPr>
            <w:tcW w:w="423" w:type="dxa"/>
            <w:shd w:val="clear" w:color="auto" w:fill="auto"/>
            <w:noWrap/>
            <w:hideMark/>
          </w:tcPr>
          <w:p w14:paraId="1075C728"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107</w:t>
            </w:r>
          </w:p>
        </w:tc>
        <w:tc>
          <w:tcPr>
            <w:tcW w:w="3000" w:type="dxa"/>
            <w:shd w:val="clear" w:color="auto" w:fill="auto"/>
            <w:noWrap/>
            <w:hideMark/>
          </w:tcPr>
          <w:p w14:paraId="1166021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his or her specialty following referral of the patient to him or her—an attendance (other than a second or subsequent attendance in a single course of treatment), if that attendance is at a place other than consulting rooms or hospital</w:t>
            </w:r>
          </w:p>
        </w:tc>
        <w:tc>
          <w:tcPr>
            <w:tcW w:w="715" w:type="dxa"/>
            <w:shd w:val="clear" w:color="auto" w:fill="auto"/>
            <w:noWrap/>
            <w:hideMark/>
          </w:tcPr>
          <w:p w14:paraId="116B7E9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$125.50 </w:t>
            </w:r>
          </w:p>
        </w:tc>
        <w:tc>
          <w:tcPr>
            <w:tcW w:w="1011" w:type="dxa"/>
            <w:shd w:val="clear" w:color="auto" w:fill="auto"/>
            <w:noWrap/>
            <w:hideMark/>
          </w:tcPr>
          <w:p w14:paraId="63E4CE02"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$171,899 </w:t>
            </w:r>
          </w:p>
        </w:tc>
        <w:tc>
          <w:tcPr>
            <w:tcW w:w="858" w:type="dxa"/>
            <w:shd w:val="clear" w:color="auto" w:fill="auto"/>
            <w:noWrap/>
            <w:hideMark/>
          </w:tcPr>
          <w:p w14:paraId="5BC00A6D"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1,599 </w:t>
            </w:r>
          </w:p>
        </w:tc>
        <w:tc>
          <w:tcPr>
            <w:tcW w:w="715" w:type="dxa"/>
            <w:shd w:val="clear" w:color="auto" w:fill="auto"/>
            <w:noWrap/>
            <w:hideMark/>
          </w:tcPr>
          <w:p w14:paraId="715CE06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5.1%</w:t>
            </w:r>
          </w:p>
        </w:tc>
        <w:tc>
          <w:tcPr>
            <w:tcW w:w="1142" w:type="dxa"/>
            <w:shd w:val="clear" w:color="auto" w:fill="auto"/>
          </w:tcPr>
          <w:p w14:paraId="131A6D7F"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354505A5" w14:textId="77777777" w:rsidTr="00607BDA">
        <w:tc>
          <w:tcPr>
            <w:tcW w:w="423" w:type="dxa"/>
            <w:shd w:val="clear" w:color="auto" w:fill="auto"/>
            <w:noWrap/>
            <w:hideMark/>
          </w:tcPr>
          <w:p w14:paraId="03913B16" w14:textId="77777777" w:rsidR="001E05F9" w:rsidRPr="00C33C0B" w:rsidRDefault="001E05F9" w:rsidP="00501544">
            <w:pPr>
              <w:spacing w:before="20" w:after="20" w:line="240" w:lineRule="auto"/>
              <w:rPr>
                <w:rFonts w:ascii="Calibri" w:hAnsi="Calibri" w:cs="Calibri"/>
                <w:bCs/>
                <w:color w:val="000000"/>
                <w:sz w:val="17"/>
                <w:szCs w:val="17"/>
                <w:lang w:val="en-GB"/>
              </w:rPr>
            </w:pPr>
            <w:r w:rsidRPr="00C33C0B">
              <w:rPr>
                <w:rFonts w:ascii="Calibri" w:hAnsi="Calibri" w:cs="Calibri"/>
                <w:bCs/>
                <w:color w:val="000000"/>
                <w:sz w:val="17"/>
                <w:szCs w:val="17"/>
                <w:lang w:val="en-GB"/>
              </w:rPr>
              <w:t>108</w:t>
            </w:r>
          </w:p>
        </w:tc>
        <w:tc>
          <w:tcPr>
            <w:tcW w:w="3000" w:type="dxa"/>
            <w:shd w:val="clear" w:color="auto" w:fill="auto"/>
            <w:noWrap/>
            <w:hideMark/>
          </w:tcPr>
          <w:p w14:paraId="759470DD"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his or her specialty following referral of the patient to him or her—each attendance after the first in a single course of treatment, if that attendance is at a place other than consulting rooms or hospital</w:t>
            </w:r>
          </w:p>
        </w:tc>
        <w:tc>
          <w:tcPr>
            <w:tcW w:w="715" w:type="dxa"/>
            <w:shd w:val="clear" w:color="auto" w:fill="auto"/>
            <w:noWrap/>
            <w:hideMark/>
          </w:tcPr>
          <w:p w14:paraId="5ABABF2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$79.45 </w:t>
            </w:r>
          </w:p>
        </w:tc>
        <w:tc>
          <w:tcPr>
            <w:tcW w:w="1011" w:type="dxa"/>
            <w:shd w:val="clear" w:color="auto" w:fill="auto"/>
            <w:noWrap/>
            <w:hideMark/>
          </w:tcPr>
          <w:p w14:paraId="49431DBE"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$266,101 </w:t>
            </w:r>
          </w:p>
        </w:tc>
        <w:tc>
          <w:tcPr>
            <w:tcW w:w="858" w:type="dxa"/>
            <w:shd w:val="clear" w:color="auto" w:fill="auto"/>
            <w:noWrap/>
            <w:hideMark/>
          </w:tcPr>
          <w:p w14:paraId="2ED8EA2D"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3,906 </w:t>
            </w:r>
          </w:p>
        </w:tc>
        <w:tc>
          <w:tcPr>
            <w:tcW w:w="715" w:type="dxa"/>
            <w:shd w:val="clear" w:color="auto" w:fill="auto"/>
            <w:noWrap/>
            <w:hideMark/>
          </w:tcPr>
          <w:p w14:paraId="529C8641"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23.6%</w:t>
            </w:r>
          </w:p>
        </w:tc>
        <w:tc>
          <w:tcPr>
            <w:tcW w:w="1142" w:type="dxa"/>
            <w:shd w:val="clear" w:color="auto" w:fill="auto"/>
          </w:tcPr>
          <w:p w14:paraId="59D75782"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62EC70AB" w14:textId="77777777" w:rsidTr="00607BDA">
        <w:tc>
          <w:tcPr>
            <w:tcW w:w="423" w:type="dxa"/>
            <w:shd w:val="clear" w:color="auto" w:fill="auto"/>
            <w:noWrap/>
            <w:hideMark/>
          </w:tcPr>
          <w:p w14:paraId="33F6689A"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109</w:t>
            </w:r>
          </w:p>
        </w:tc>
        <w:tc>
          <w:tcPr>
            <w:tcW w:w="3000" w:type="dxa"/>
            <w:shd w:val="clear" w:color="auto" w:fill="auto"/>
            <w:noWrap/>
            <w:hideMark/>
          </w:tcPr>
          <w:p w14:paraId="0F17B7BC"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his or her specialty of ophthalmology following referral of the patient to him or her—an attendance (other than a second or subsequent attendance in a single course of treatment) at which a comprehensive eye examination, including pupil dilation, is performed on: (a) a patient aged 9 years or younger; or (b) a patient aged 14 years or younger with developmental delay;(other than a service to which any of items 104, 106 and 10801 to 10816 applies)</w:t>
            </w:r>
          </w:p>
        </w:tc>
        <w:tc>
          <w:tcPr>
            <w:tcW w:w="715" w:type="dxa"/>
            <w:shd w:val="clear" w:color="auto" w:fill="auto"/>
            <w:noWrap/>
            <w:hideMark/>
          </w:tcPr>
          <w:p w14:paraId="1BF06E55"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$192.80 </w:t>
            </w:r>
          </w:p>
        </w:tc>
        <w:tc>
          <w:tcPr>
            <w:tcW w:w="1011" w:type="dxa"/>
            <w:shd w:val="clear" w:color="auto" w:fill="auto"/>
            <w:noWrap/>
            <w:hideMark/>
          </w:tcPr>
          <w:p w14:paraId="71C56DD8"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$6,158,378 </w:t>
            </w:r>
          </w:p>
        </w:tc>
        <w:tc>
          <w:tcPr>
            <w:tcW w:w="858" w:type="dxa"/>
            <w:shd w:val="clear" w:color="auto" w:fill="auto"/>
            <w:noWrap/>
            <w:hideMark/>
          </w:tcPr>
          <w:p w14:paraId="3E13F5CC"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36,565 </w:t>
            </w:r>
          </w:p>
        </w:tc>
        <w:tc>
          <w:tcPr>
            <w:tcW w:w="715" w:type="dxa"/>
            <w:shd w:val="clear" w:color="auto" w:fill="auto"/>
            <w:noWrap/>
            <w:hideMark/>
          </w:tcPr>
          <w:p w14:paraId="1EC9768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7.1%</w:t>
            </w:r>
          </w:p>
        </w:tc>
        <w:tc>
          <w:tcPr>
            <w:tcW w:w="1142" w:type="dxa"/>
            <w:shd w:val="clear" w:color="auto" w:fill="auto"/>
          </w:tcPr>
          <w:p w14:paraId="31D56766"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3BE4B2E6" w14:textId="77777777" w:rsidTr="00607BDA">
        <w:tc>
          <w:tcPr>
            <w:tcW w:w="423" w:type="dxa"/>
            <w:shd w:val="clear" w:color="auto" w:fill="auto"/>
            <w:noWrap/>
            <w:hideMark/>
          </w:tcPr>
          <w:p w14:paraId="23AB4E4D"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110</w:t>
            </w:r>
          </w:p>
        </w:tc>
        <w:tc>
          <w:tcPr>
            <w:tcW w:w="3000" w:type="dxa"/>
            <w:shd w:val="clear" w:color="auto" w:fill="auto"/>
            <w:noWrap/>
            <w:hideMark/>
          </w:tcPr>
          <w:p w14:paraId="7DE7B55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consultant physician in the practice of his or her specialty (other than psychiatry) following referral of the patient to him or her by a referring practitioner—initial attendance in a single course of treatment</w:t>
            </w:r>
          </w:p>
        </w:tc>
        <w:tc>
          <w:tcPr>
            <w:tcW w:w="715" w:type="dxa"/>
            <w:shd w:val="clear" w:color="auto" w:fill="auto"/>
            <w:noWrap/>
            <w:hideMark/>
          </w:tcPr>
          <w:p w14:paraId="3D23B9FF"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$150.90 </w:t>
            </w:r>
          </w:p>
        </w:tc>
        <w:tc>
          <w:tcPr>
            <w:tcW w:w="1011" w:type="dxa"/>
            <w:shd w:val="clear" w:color="auto" w:fill="auto"/>
            <w:noWrap/>
            <w:hideMark/>
          </w:tcPr>
          <w:p w14:paraId="1EA32FE6"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$313,540,883 </w:t>
            </w:r>
          </w:p>
        </w:tc>
        <w:tc>
          <w:tcPr>
            <w:tcW w:w="858" w:type="dxa"/>
            <w:shd w:val="clear" w:color="auto" w:fill="auto"/>
            <w:noWrap/>
            <w:hideMark/>
          </w:tcPr>
          <w:p w14:paraId="7571503C"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2,451,095 </w:t>
            </w:r>
          </w:p>
        </w:tc>
        <w:tc>
          <w:tcPr>
            <w:tcW w:w="715" w:type="dxa"/>
            <w:shd w:val="clear" w:color="auto" w:fill="auto"/>
            <w:noWrap/>
            <w:hideMark/>
          </w:tcPr>
          <w:p w14:paraId="17200B28"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4.0%</w:t>
            </w:r>
          </w:p>
        </w:tc>
        <w:tc>
          <w:tcPr>
            <w:tcW w:w="1142" w:type="dxa"/>
            <w:shd w:val="clear" w:color="auto" w:fill="auto"/>
          </w:tcPr>
          <w:p w14:paraId="4358ACA9"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68555ED1" w14:textId="77777777" w:rsidTr="00607BDA">
        <w:tc>
          <w:tcPr>
            <w:tcW w:w="423" w:type="dxa"/>
            <w:shd w:val="clear" w:color="auto" w:fill="auto"/>
            <w:noWrap/>
            <w:hideMark/>
          </w:tcPr>
          <w:p w14:paraId="4FB003C9"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111</w:t>
            </w:r>
          </w:p>
        </w:tc>
        <w:tc>
          <w:tcPr>
            <w:tcW w:w="3000" w:type="dxa"/>
            <w:shd w:val="clear" w:color="auto" w:fill="auto"/>
            <w:noWrap/>
            <w:hideMark/>
          </w:tcPr>
          <w:p w14:paraId="2E8E14E1"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in hospital by a specialist in the practice of his or her specialty following referral of the patient to him or her by a referring practitioner—an attendance after the first attendance in a single course of treatment, if: (a) during the attendance, the specialist determines the need to perform an operation on the patient that had not otherwise been scheduled; and (b) the specialist subsequently performs the operation on the patient, on the same day; and (c) the operation is a service to which an item in Group T8 applies; and (d) the amount specified in the item in Group T8 as the fee for a service to which that item applies is$300 or more For any particular patient, once only on the same day</w:t>
            </w:r>
          </w:p>
        </w:tc>
        <w:tc>
          <w:tcPr>
            <w:tcW w:w="715" w:type="dxa"/>
            <w:shd w:val="clear" w:color="auto" w:fill="auto"/>
            <w:noWrap/>
            <w:hideMark/>
          </w:tcPr>
          <w:p w14:paraId="1BC3D3EE"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$43.00 </w:t>
            </w:r>
          </w:p>
        </w:tc>
        <w:tc>
          <w:tcPr>
            <w:tcW w:w="1011" w:type="dxa"/>
            <w:shd w:val="clear" w:color="auto" w:fill="auto"/>
            <w:noWrap/>
            <w:hideMark/>
          </w:tcPr>
          <w:p w14:paraId="42A62348"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New Item </w:t>
            </w:r>
          </w:p>
        </w:tc>
        <w:tc>
          <w:tcPr>
            <w:tcW w:w="858" w:type="dxa"/>
            <w:shd w:val="clear" w:color="auto" w:fill="auto"/>
            <w:noWrap/>
            <w:hideMark/>
          </w:tcPr>
          <w:p w14:paraId="7AA4687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New Item </w:t>
            </w:r>
          </w:p>
        </w:tc>
        <w:tc>
          <w:tcPr>
            <w:tcW w:w="715" w:type="dxa"/>
            <w:shd w:val="clear" w:color="auto" w:fill="auto"/>
            <w:noWrap/>
            <w:hideMark/>
          </w:tcPr>
          <w:p w14:paraId="10492308"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New Item </w:t>
            </w:r>
          </w:p>
        </w:tc>
        <w:tc>
          <w:tcPr>
            <w:tcW w:w="1142" w:type="dxa"/>
            <w:shd w:val="clear" w:color="auto" w:fill="auto"/>
          </w:tcPr>
          <w:p w14:paraId="60D1B68E"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191CBD45" w14:textId="77777777" w:rsidTr="00607BDA">
        <w:tc>
          <w:tcPr>
            <w:tcW w:w="423" w:type="dxa"/>
            <w:shd w:val="clear" w:color="auto" w:fill="auto"/>
            <w:noWrap/>
            <w:hideMark/>
          </w:tcPr>
          <w:p w14:paraId="2E237415"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116</w:t>
            </w:r>
          </w:p>
        </w:tc>
        <w:tc>
          <w:tcPr>
            <w:tcW w:w="3000" w:type="dxa"/>
            <w:shd w:val="clear" w:color="auto" w:fill="auto"/>
            <w:noWrap/>
            <w:hideMark/>
          </w:tcPr>
          <w:p w14:paraId="212922A5"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consultant physician in the practice of his or her specialty (other than psychiatry) following referral of the patient to him or her by a referring practitioner—each attendance (other than a service to which item 119 applies) after the first in a single course of treatment</w:t>
            </w:r>
          </w:p>
        </w:tc>
        <w:tc>
          <w:tcPr>
            <w:tcW w:w="715" w:type="dxa"/>
            <w:shd w:val="clear" w:color="auto" w:fill="auto"/>
            <w:noWrap/>
            <w:hideMark/>
          </w:tcPr>
          <w:p w14:paraId="4222E5B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$75.50 </w:t>
            </w:r>
          </w:p>
        </w:tc>
        <w:tc>
          <w:tcPr>
            <w:tcW w:w="1011" w:type="dxa"/>
            <w:shd w:val="clear" w:color="auto" w:fill="auto"/>
            <w:noWrap/>
            <w:hideMark/>
          </w:tcPr>
          <w:p w14:paraId="4FD2714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$553,213,691 </w:t>
            </w:r>
          </w:p>
        </w:tc>
        <w:tc>
          <w:tcPr>
            <w:tcW w:w="858" w:type="dxa"/>
            <w:shd w:val="clear" w:color="auto" w:fill="auto"/>
            <w:noWrap/>
            <w:hideMark/>
          </w:tcPr>
          <w:p w14:paraId="57513AB6"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8,751,583 </w:t>
            </w:r>
          </w:p>
        </w:tc>
        <w:tc>
          <w:tcPr>
            <w:tcW w:w="715" w:type="dxa"/>
            <w:shd w:val="clear" w:color="auto" w:fill="auto"/>
            <w:noWrap/>
            <w:hideMark/>
          </w:tcPr>
          <w:p w14:paraId="62464A9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4.8%</w:t>
            </w:r>
          </w:p>
        </w:tc>
        <w:tc>
          <w:tcPr>
            <w:tcW w:w="1142" w:type="dxa"/>
            <w:shd w:val="clear" w:color="auto" w:fill="auto"/>
          </w:tcPr>
          <w:p w14:paraId="3DA90B21"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7A4EBA58" w14:textId="77777777" w:rsidTr="00607BDA">
        <w:tc>
          <w:tcPr>
            <w:tcW w:w="423" w:type="dxa"/>
            <w:shd w:val="clear" w:color="auto" w:fill="auto"/>
            <w:noWrap/>
            <w:hideMark/>
          </w:tcPr>
          <w:p w14:paraId="7E95B018"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117</w:t>
            </w:r>
          </w:p>
        </w:tc>
        <w:tc>
          <w:tcPr>
            <w:tcW w:w="3000" w:type="dxa"/>
            <w:shd w:val="clear" w:color="auto" w:fill="auto"/>
            <w:noWrap/>
            <w:hideMark/>
          </w:tcPr>
          <w:p w14:paraId="4F91731E"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in hospital, by a consultant physician in the practice of his or her specialty (other than psychiatry) following referral of the patient to him or her by a referring practitioner—an attendance after the first attendance in a single course of treatment, if: (a) the attendance is not a minor attendance; and (b) during the attendance, the consultant physician determines the need to perform an operation on the patient that had not otherwise been scheduled; and (c) the consultant physician subsequently performs the operation on the patient, on the same day; and (d) the operation is a service to which an item in Group T8 applies; and (e) the amount specified in the item in Group T8 as the fee for a service to which that item applies is$300 or more For any particular patient, once only on the same day</w:t>
            </w:r>
          </w:p>
        </w:tc>
        <w:tc>
          <w:tcPr>
            <w:tcW w:w="715" w:type="dxa"/>
            <w:shd w:val="clear" w:color="auto" w:fill="auto"/>
            <w:noWrap/>
            <w:hideMark/>
          </w:tcPr>
          <w:p w14:paraId="19FA1D0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$75.50 </w:t>
            </w:r>
          </w:p>
        </w:tc>
        <w:tc>
          <w:tcPr>
            <w:tcW w:w="1011" w:type="dxa"/>
            <w:shd w:val="clear" w:color="auto" w:fill="auto"/>
            <w:noWrap/>
            <w:hideMark/>
          </w:tcPr>
          <w:p w14:paraId="2B38EBFD"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New Item </w:t>
            </w:r>
          </w:p>
        </w:tc>
        <w:tc>
          <w:tcPr>
            <w:tcW w:w="858" w:type="dxa"/>
            <w:shd w:val="clear" w:color="auto" w:fill="auto"/>
            <w:noWrap/>
            <w:hideMark/>
          </w:tcPr>
          <w:p w14:paraId="41C21D34"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New Item </w:t>
            </w:r>
          </w:p>
        </w:tc>
        <w:tc>
          <w:tcPr>
            <w:tcW w:w="715" w:type="dxa"/>
            <w:shd w:val="clear" w:color="auto" w:fill="auto"/>
            <w:noWrap/>
            <w:hideMark/>
          </w:tcPr>
          <w:p w14:paraId="4EE73AFE"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New Item </w:t>
            </w:r>
          </w:p>
        </w:tc>
        <w:tc>
          <w:tcPr>
            <w:tcW w:w="1142" w:type="dxa"/>
            <w:shd w:val="clear" w:color="auto" w:fill="auto"/>
          </w:tcPr>
          <w:p w14:paraId="17CEF9B8"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16ED5014" w14:textId="77777777" w:rsidTr="00607BDA">
        <w:tc>
          <w:tcPr>
            <w:tcW w:w="423" w:type="dxa"/>
            <w:shd w:val="clear" w:color="auto" w:fill="auto"/>
            <w:noWrap/>
            <w:hideMark/>
          </w:tcPr>
          <w:p w14:paraId="394FAC25"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119</w:t>
            </w:r>
          </w:p>
        </w:tc>
        <w:tc>
          <w:tcPr>
            <w:tcW w:w="3000" w:type="dxa"/>
            <w:shd w:val="clear" w:color="auto" w:fill="auto"/>
            <w:noWrap/>
            <w:hideMark/>
          </w:tcPr>
          <w:p w14:paraId="408BC9C1"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consultant physician in the practice of his or her specialty (other than psychiatry) following referral of the patient to him or her by a referring practitioner—each minor attendance after the first in a single course of treatment</w:t>
            </w:r>
          </w:p>
        </w:tc>
        <w:tc>
          <w:tcPr>
            <w:tcW w:w="715" w:type="dxa"/>
            <w:shd w:val="clear" w:color="auto" w:fill="auto"/>
            <w:noWrap/>
            <w:hideMark/>
          </w:tcPr>
          <w:p w14:paraId="4DC7C17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$43.00 </w:t>
            </w:r>
          </w:p>
        </w:tc>
        <w:tc>
          <w:tcPr>
            <w:tcW w:w="1011" w:type="dxa"/>
            <w:shd w:val="clear" w:color="auto" w:fill="auto"/>
            <w:noWrap/>
            <w:hideMark/>
          </w:tcPr>
          <w:p w14:paraId="0354B4BE"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$3,260,213 </w:t>
            </w:r>
          </w:p>
        </w:tc>
        <w:tc>
          <w:tcPr>
            <w:tcW w:w="858" w:type="dxa"/>
            <w:shd w:val="clear" w:color="auto" w:fill="auto"/>
            <w:noWrap/>
            <w:hideMark/>
          </w:tcPr>
          <w:p w14:paraId="63A68256"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93,852 </w:t>
            </w:r>
          </w:p>
        </w:tc>
        <w:tc>
          <w:tcPr>
            <w:tcW w:w="715" w:type="dxa"/>
            <w:shd w:val="clear" w:color="auto" w:fill="auto"/>
            <w:noWrap/>
            <w:hideMark/>
          </w:tcPr>
          <w:p w14:paraId="05E3089F"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-1.0%</w:t>
            </w:r>
          </w:p>
        </w:tc>
        <w:tc>
          <w:tcPr>
            <w:tcW w:w="1142" w:type="dxa"/>
            <w:shd w:val="clear" w:color="auto" w:fill="auto"/>
          </w:tcPr>
          <w:p w14:paraId="71CE6B0A"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5A607CC2" w14:textId="77777777" w:rsidTr="00607BDA">
        <w:tc>
          <w:tcPr>
            <w:tcW w:w="423" w:type="dxa"/>
            <w:shd w:val="clear" w:color="auto" w:fill="auto"/>
            <w:noWrap/>
            <w:hideMark/>
          </w:tcPr>
          <w:p w14:paraId="2925C30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120</w:t>
            </w:r>
          </w:p>
        </w:tc>
        <w:tc>
          <w:tcPr>
            <w:tcW w:w="3000" w:type="dxa"/>
            <w:shd w:val="clear" w:color="auto" w:fill="auto"/>
            <w:noWrap/>
            <w:hideMark/>
          </w:tcPr>
          <w:p w14:paraId="28B8442E"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in hospital by a consultant physician in the practice of his or her specialty (other than psychiatry) following referral of the patient to him or her by a referring practitioner—an attendance after the first attendance in a single course of treatment, if: (a) the attendance is a minor attendance; and (b) during the attendance, the consultant physician determines the need to perform an operation on the patient that had not otherwise been scheduled; and (c) the consultant physician subsequently performs the operation on the patient, on the same day; and (d) the operation is a service to which an item in Group T8 applies; and (e) the amount specified in the item in Group T8 as the fee for a service to which that item applies is$300 or more For any particular patient, once only on the same day</w:t>
            </w:r>
          </w:p>
        </w:tc>
        <w:tc>
          <w:tcPr>
            <w:tcW w:w="715" w:type="dxa"/>
            <w:shd w:val="clear" w:color="auto" w:fill="auto"/>
            <w:noWrap/>
            <w:hideMark/>
          </w:tcPr>
          <w:p w14:paraId="401C619E"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$43.00 </w:t>
            </w:r>
          </w:p>
        </w:tc>
        <w:tc>
          <w:tcPr>
            <w:tcW w:w="1011" w:type="dxa"/>
            <w:shd w:val="clear" w:color="auto" w:fill="auto"/>
            <w:noWrap/>
            <w:hideMark/>
          </w:tcPr>
          <w:p w14:paraId="1BD9BA2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New Item </w:t>
            </w:r>
          </w:p>
        </w:tc>
        <w:tc>
          <w:tcPr>
            <w:tcW w:w="858" w:type="dxa"/>
            <w:shd w:val="clear" w:color="auto" w:fill="auto"/>
            <w:noWrap/>
            <w:hideMark/>
          </w:tcPr>
          <w:p w14:paraId="0AC61B4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New Item </w:t>
            </w:r>
          </w:p>
        </w:tc>
        <w:tc>
          <w:tcPr>
            <w:tcW w:w="715" w:type="dxa"/>
            <w:shd w:val="clear" w:color="auto" w:fill="auto"/>
            <w:noWrap/>
            <w:hideMark/>
          </w:tcPr>
          <w:p w14:paraId="6D11D287"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New Item </w:t>
            </w:r>
          </w:p>
        </w:tc>
        <w:tc>
          <w:tcPr>
            <w:tcW w:w="1142" w:type="dxa"/>
            <w:shd w:val="clear" w:color="auto" w:fill="auto"/>
          </w:tcPr>
          <w:p w14:paraId="5FC66D6B"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0E74B335" w14:textId="77777777" w:rsidTr="00607BDA">
        <w:tc>
          <w:tcPr>
            <w:tcW w:w="423" w:type="dxa"/>
            <w:shd w:val="clear" w:color="auto" w:fill="auto"/>
            <w:noWrap/>
            <w:hideMark/>
          </w:tcPr>
          <w:p w14:paraId="429F04F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122</w:t>
            </w:r>
          </w:p>
        </w:tc>
        <w:tc>
          <w:tcPr>
            <w:tcW w:w="3000" w:type="dxa"/>
            <w:shd w:val="clear" w:color="auto" w:fill="auto"/>
            <w:noWrap/>
            <w:hideMark/>
          </w:tcPr>
          <w:p w14:paraId="698ED73D"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consultant physician in the practice of his or her specialty (other than psychiatry) following referral of the patient to him or her by a referring practitioner—initial attendance in a single course of treatment</w:t>
            </w:r>
          </w:p>
        </w:tc>
        <w:tc>
          <w:tcPr>
            <w:tcW w:w="715" w:type="dxa"/>
            <w:shd w:val="clear" w:color="auto" w:fill="auto"/>
            <w:noWrap/>
            <w:hideMark/>
          </w:tcPr>
          <w:p w14:paraId="27E438FF"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$183.10 </w:t>
            </w:r>
          </w:p>
        </w:tc>
        <w:tc>
          <w:tcPr>
            <w:tcW w:w="1011" w:type="dxa"/>
            <w:shd w:val="clear" w:color="auto" w:fill="auto"/>
            <w:noWrap/>
            <w:hideMark/>
          </w:tcPr>
          <w:p w14:paraId="796B4F72"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$584,925 </w:t>
            </w:r>
          </w:p>
        </w:tc>
        <w:tc>
          <w:tcPr>
            <w:tcW w:w="858" w:type="dxa"/>
            <w:shd w:val="clear" w:color="auto" w:fill="auto"/>
            <w:noWrap/>
            <w:hideMark/>
          </w:tcPr>
          <w:p w14:paraId="24D3CD3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3,490 </w:t>
            </w:r>
          </w:p>
        </w:tc>
        <w:tc>
          <w:tcPr>
            <w:tcW w:w="715" w:type="dxa"/>
            <w:shd w:val="clear" w:color="auto" w:fill="auto"/>
            <w:noWrap/>
            <w:hideMark/>
          </w:tcPr>
          <w:p w14:paraId="6C737F2E"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-17.8%</w:t>
            </w:r>
          </w:p>
        </w:tc>
        <w:tc>
          <w:tcPr>
            <w:tcW w:w="1142" w:type="dxa"/>
            <w:shd w:val="clear" w:color="auto" w:fill="auto"/>
          </w:tcPr>
          <w:p w14:paraId="25E2F243"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10D21824" w14:textId="77777777" w:rsidTr="00607BDA">
        <w:tc>
          <w:tcPr>
            <w:tcW w:w="423" w:type="dxa"/>
            <w:shd w:val="clear" w:color="auto" w:fill="auto"/>
            <w:noWrap/>
            <w:hideMark/>
          </w:tcPr>
          <w:p w14:paraId="2E0BBAF1"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128</w:t>
            </w:r>
          </w:p>
        </w:tc>
        <w:tc>
          <w:tcPr>
            <w:tcW w:w="3000" w:type="dxa"/>
            <w:shd w:val="clear" w:color="auto" w:fill="auto"/>
            <w:noWrap/>
            <w:hideMark/>
          </w:tcPr>
          <w:p w14:paraId="130F7C5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consultant physician in the practice of his or her specialty (other than psychiatry) following referral of the patient to him or her by a referring practitioner—each attendance (other than a service to which item 131 applies) after the first in a single course of treatment</w:t>
            </w:r>
          </w:p>
        </w:tc>
        <w:tc>
          <w:tcPr>
            <w:tcW w:w="715" w:type="dxa"/>
            <w:shd w:val="clear" w:color="auto" w:fill="auto"/>
            <w:noWrap/>
            <w:hideMark/>
          </w:tcPr>
          <w:p w14:paraId="5422698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$110.75 </w:t>
            </w:r>
          </w:p>
        </w:tc>
        <w:tc>
          <w:tcPr>
            <w:tcW w:w="1011" w:type="dxa"/>
            <w:shd w:val="clear" w:color="auto" w:fill="auto"/>
            <w:noWrap/>
            <w:hideMark/>
          </w:tcPr>
          <w:p w14:paraId="4736476A"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$1,235,542 </w:t>
            </w:r>
          </w:p>
        </w:tc>
        <w:tc>
          <w:tcPr>
            <w:tcW w:w="858" w:type="dxa"/>
            <w:shd w:val="clear" w:color="auto" w:fill="auto"/>
            <w:noWrap/>
            <w:hideMark/>
          </w:tcPr>
          <w:p w14:paraId="085E8747"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12,945 </w:t>
            </w:r>
          </w:p>
        </w:tc>
        <w:tc>
          <w:tcPr>
            <w:tcW w:w="715" w:type="dxa"/>
            <w:shd w:val="clear" w:color="auto" w:fill="auto"/>
            <w:noWrap/>
            <w:hideMark/>
          </w:tcPr>
          <w:p w14:paraId="2D785322"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-5.6%</w:t>
            </w:r>
          </w:p>
        </w:tc>
        <w:tc>
          <w:tcPr>
            <w:tcW w:w="1142" w:type="dxa"/>
            <w:shd w:val="clear" w:color="auto" w:fill="auto"/>
          </w:tcPr>
          <w:p w14:paraId="7C1A1CDC"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 tiered standard attendances</w:t>
            </w:r>
          </w:p>
        </w:tc>
      </w:tr>
      <w:tr w:rsidR="001E05F9" w:rsidRPr="00C33C0B" w14:paraId="50CE89D2" w14:textId="77777777" w:rsidTr="00607BDA">
        <w:tc>
          <w:tcPr>
            <w:tcW w:w="423" w:type="dxa"/>
            <w:shd w:val="clear" w:color="auto" w:fill="auto"/>
            <w:noWrap/>
            <w:hideMark/>
          </w:tcPr>
          <w:p w14:paraId="66F4C61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131</w:t>
            </w:r>
          </w:p>
        </w:tc>
        <w:tc>
          <w:tcPr>
            <w:tcW w:w="3000" w:type="dxa"/>
            <w:shd w:val="clear" w:color="auto" w:fill="auto"/>
            <w:noWrap/>
            <w:hideMark/>
          </w:tcPr>
          <w:p w14:paraId="575F3B5D"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consultant physician in the practice of his or her specialty (other than psychiatry) following referral of the patient to him or her by a referring practitioner—each minor attendance after the first in a single course of treatment</w:t>
            </w:r>
          </w:p>
        </w:tc>
        <w:tc>
          <w:tcPr>
            <w:tcW w:w="715" w:type="dxa"/>
            <w:shd w:val="clear" w:color="auto" w:fill="auto"/>
            <w:noWrap/>
            <w:hideMark/>
          </w:tcPr>
          <w:p w14:paraId="7B7539A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$79.75 </w:t>
            </w:r>
          </w:p>
        </w:tc>
        <w:tc>
          <w:tcPr>
            <w:tcW w:w="1011" w:type="dxa"/>
            <w:shd w:val="clear" w:color="auto" w:fill="auto"/>
            <w:noWrap/>
            <w:hideMark/>
          </w:tcPr>
          <w:p w14:paraId="5B3261FC"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$99,051 </w:t>
            </w:r>
          </w:p>
        </w:tc>
        <w:tc>
          <w:tcPr>
            <w:tcW w:w="858" w:type="dxa"/>
            <w:shd w:val="clear" w:color="auto" w:fill="auto"/>
            <w:noWrap/>
            <w:hideMark/>
          </w:tcPr>
          <w:p w14:paraId="36E5ECF8"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1,400 </w:t>
            </w:r>
          </w:p>
        </w:tc>
        <w:tc>
          <w:tcPr>
            <w:tcW w:w="715" w:type="dxa"/>
            <w:shd w:val="clear" w:color="auto" w:fill="auto"/>
            <w:noWrap/>
            <w:hideMark/>
          </w:tcPr>
          <w:p w14:paraId="2DC0B991"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-4.6%</w:t>
            </w:r>
          </w:p>
        </w:tc>
        <w:tc>
          <w:tcPr>
            <w:tcW w:w="1142" w:type="dxa"/>
            <w:shd w:val="clear" w:color="auto" w:fill="auto"/>
          </w:tcPr>
          <w:p w14:paraId="559BB07D"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61BD5357" w14:textId="77777777" w:rsidTr="00607BDA">
        <w:tc>
          <w:tcPr>
            <w:tcW w:w="423" w:type="dxa"/>
            <w:shd w:val="clear" w:color="auto" w:fill="auto"/>
            <w:noWrap/>
            <w:hideMark/>
          </w:tcPr>
          <w:p w14:paraId="1E8A1209"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160</w:t>
            </w:r>
          </w:p>
        </w:tc>
        <w:tc>
          <w:tcPr>
            <w:tcW w:w="3000" w:type="dxa"/>
            <w:shd w:val="clear" w:color="auto" w:fill="auto"/>
            <w:noWrap/>
            <w:hideMark/>
          </w:tcPr>
          <w:p w14:paraId="31E2A775"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for a period of not less than 1 hour but less than 2 hours (other than a service to which another item applies) on a patient in imminent danger of death</w:t>
            </w:r>
          </w:p>
        </w:tc>
        <w:tc>
          <w:tcPr>
            <w:tcW w:w="715" w:type="dxa"/>
            <w:shd w:val="clear" w:color="auto" w:fill="auto"/>
            <w:noWrap/>
            <w:hideMark/>
          </w:tcPr>
          <w:p w14:paraId="5F3EF238"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$221.50 </w:t>
            </w:r>
          </w:p>
        </w:tc>
        <w:tc>
          <w:tcPr>
            <w:tcW w:w="1011" w:type="dxa"/>
            <w:shd w:val="clear" w:color="auto" w:fill="auto"/>
            <w:noWrap/>
            <w:hideMark/>
          </w:tcPr>
          <w:p w14:paraId="0CDF2976"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$3,617,787 </w:t>
            </w:r>
          </w:p>
        </w:tc>
        <w:tc>
          <w:tcPr>
            <w:tcW w:w="858" w:type="dxa"/>
            <w:shd w:val="clear" w:color="auto" w:fill="auto"/>
            <w:noWrap/>
            <w:hideMark/>
          </w:tcPr>
          <w:p w14:paraId="6846428C"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16,923 </w:t>
            </w:r>
          </w:p>
        </w:tc>
        <w:tc>
          <w:tcPr>
            <w:tcW w:w="715" w:type="dxa"/>
            <w:shd w:val="clear" w:color="auto" w:fill="auto"/>
            <w:noWrap/>
            <w:hideMark/>
          </w:tcPr>
          <w:p w14:paraId="6A73D4EA"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16.6%</w:t>
            </w:r>
          </w:p>
        </w:tc>
        <w:tc>
          <w:tcPr>
            <w:tcW w:w="1142" w:type="dxa"/>
            <w:shd w:val="clear" w:color="auto" w:fill="auto"/>
          </w:tcPr>
          <w:p w14:paraId="78BC0FF6"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No change</w:t>
            </w:r>
          </w:p>
        </w:tc>
      </w:tr>
      <w:tr w:rsidR="001E05F9" w:rsidRPr="00C33C0B" w14:paraId="5844D6C3" w14:textId="77777777" w:rsidTr="00607BDA">
        <w:tc>
          <w:tcPr>
            <w:tcW w:w="423" w:type="dxa"/>
            <w:shd w:val="clear" w:color="auto" w:fill="auto"/>
            <w:noWrap/>
            <w:hideMark/>
          </w:tcPr>
          <w:p w14:paraId="37331DED"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161</w:t>
            </w:r>
          </w:p>
        </w:tc>
        <w:tc>
          <w:tcPr>
            <w:tcW w:w="3000" w:type="dxa"/>
            <w:shd w:val="clear" w:color="auto" w:fill="auto"/>
            <w:noWrap/>
            <w:hideMark/>
          </w:tcPr>
          <w:p w14:paraId="3F0FE776"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for a period of not less than 2 hours but less than 3 hours (other than a service to which another item applies) on a patient in imminent danger of death</w:t>
            </w:r>
          </w:p>
        </w:tc>
        <w:tc>
          <w:tcPr>
            <w:tcW w:w="715" w:type="dxa"/>
            <w:shd w:val="clear" w:color="auto" w:fill="auto"/>
            <w:noWrap/>
            <w:hideMark/>
          </w:tcPr>
          <w:p w14:paraId="602F75F4"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$369.15 </w:t>
            </w:r>
          </w:p>
        </w:tc>
        <w:tc>
          <w:tcPr>
            <w:tcW w:w="1011" w:type="dxa"/>
            <w:shd w:val="clear" w:color="auto" w:fill="auto"/>
            <w:noWrap/>
            <w:hideMark/>
          </w:tcPr>
          <w:p w14:paraId="17CCF48C"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$910,448 </w:t>
            </w:r>
          </w:p>
        </w:tc>
        <w:tc>
          <w:tcPr>
            <w:tcW w:w="858" w:type="dxa"/>
            <w:shd w:val="clear" w:color="auto" w:fill="auto"/>
            <w:noWrap/>
            <w:hideMark/>
          </w:tcPr>
          <w:p w14:paraId="2CCE6FB5"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2,730 </w:t>
            </w:r>
          </w:p>
        </w:tc>
        <w:tc>
          <w:tcPr>
            <w:tcW w:w="715" w:type="dxa"/>
            <w:shd w:val="clear" w:color="auto" w:fill="auto"/>
            <w:noWrap/>
            <w:hideMark/>
          </w:tcPr>
          <w:p w14:paraId="06A04C39"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8.1%</w:t>
            </w:r>
          </w:p>
        </w:tc>
        <w:tc>
          <w:tcPr>
            <w:tcW w:w="1142" w:type="dxa"/>
            <w:shd w:val="clear" w:color="auto" w:fill="auto"/>
          </w:tcPr>
          <w:p w14:paraId="4E98D589"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No change</w:t>
            </w:r>
          </w:p>
        </w:tc>
      </w:tr>
      <w:tr w:rsidR="001E05F9" w:rsidRPr="00C33C0B" w14:paraId="1B564027" w14:textId="77777777" w:rsidTr="00607BDA">
        <w:tc>
          <w:tcPr>
            <w:tcW w:w="423" w:type="dxa"/>
            <w:shd w:val="clear" w:color="auto" w:fill="auto"/>
            <w:noWrap/>
            <w:hideMark/>
          </w:tcPr>
          <w:p w14:paraId="63EFE98E"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162</w:t>
            </w:r>
          </w:p>
        </w:tc>
        <w:tc>
          <w:tcPr>
            <w:tcW w:w="3000" w:type="dxa"/>
            <w:shd w:val="clear" w:color="auto" w:fill="auto"/>
            <w:noWrap/>
            <w:hideMark/>
          </w:tcPr>
          <w:p w14:paraId="05DFC9F3"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for a period of not less than 3 hours but less than 4 hours (other than a service to which another item applies) on a patient in imminent danger of death</w:t>
            </w:r>
          </w:p>
        </w:tc>
        <w:tc>
          <w:tcPr>
            <w:tcW w:w="715" w:type="dxa"/>
            <w:shd w:val="clear" w:color="auto" w:fill="auto"/>
            <w:noWrap/>
            <w:hideMark/>
          </w:tcPr>
          <w:p w14:paraId="75532F3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$516.65 </w:t>
            </w:r>
          </w:p>
        </w:tc>
        <w:tc>
          <w:tcPr>
            <w:tcW w:w="1011" w:type="dxa"/>
            <w:shd w:val="clear" w:color="auto" w:fill="auto"/>
            <w:noWrap/>
            <w:hideMark/>
          </w:tcPr>
          <w:p w14:paraId="13464252"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$495,928 </w:t>
            </w:r>
          </w:p>
        </w:tc>
        <w:tc>
          <w:tcPr>
            <w:tcW w:w="858" w:type="dxa"/>
            <w:shd w:val="clear" w:color="auto" w:fill="auto"/>
            <w:noWrap/>
            <w:hideMark/>
          </w:tcPr>
          <w:p w14:paraId="096AFD43"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1,112 </w:t>
            </w:r>
          </w:p>
        </w:tc>
        <w:tc>
          <w:tcPr>
            <w:tcW w:w="715" w:type="dxa"/>
            <w:shd w:val="clear" w:color="auto" w:fill="auto"/>
            <w:noWrap/>
            <w:hideMark/>
          </w:tcPr>
          <w:p w14:paraId="6882B307"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7.3%</w:t>
            </w:r>
          </w:p>
        </w:tc>
        <w:tc>
          <w:tcPr>
            <w:tcW w:w="1142" w:type="dxa"/>
            <w:shd w:val="clear" w:color="auto" w:fill="auto"/>
          </w:tcPr>
          <w:p w14:paraId="791AFC84"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No change</w:t>
            </w:r>
          </w:p>
        </w:tc>
      </w:tr>
      <w:tr w:rsidR="001E05F9" w:rsidRPr="00C33C0B" w14:paraId="275BC590" w14:textId="77777777" w:rsidTr="00607BDA">
        <w:tc>
          <w:tcPr>
            <w:tcW w:w="423" w:type="dxa"/>
            <w:shd w:val="clear" w:color="auto" w:fill="auto"/>
            <w:noWrap/>
            <w:hideMark/>
          </w:tcPr>
          <w:p w14:paraId="56E7D6B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163</w:t>
            </w:r>
          </w:p>
        </w:tc>
        <w:tc>
          <w:tcPr>
            <w:tcW w:w="3000" w:type="dxa"/>
            <w:shd w:val="clear" w:color="auto" w:fill="auto"/>
            <w:noWrap/>
            <w:hideMark/>
          </w:tcPr>
          <w:p w14:paraId="1725B77A"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for a period of not less than 4 hours but less than 5 hours (other than a service to which another item applies) on a patient in imminent danger of death</w:t>
            </w:r>
          </w:p>
        </w:tc>
        <w:tc>
          <w:tcPr>
            <w:tcW w:w="715" w:type="dxa"/>
            <w:shd w:val="clear" w:color="auto" w:fill="auto"/>
            <w:noWrap/>
            <w:hideMark/>
          </w:tcPr>
          <w:p w14:paraId="1CFC7A3F"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$664.55 </w:t>
            </w:r>
          </w:p>
        </w:tc>
        <w:tc>
          <w:tcPr>
            <w:tcW w:w="1011" w:type="dxa"/>
            <w:shd w:val="clear" w:color="auto" w:fill="auto"/>
            <w:noWrap/>
            <w:hideMark/>
          </w:tcPr>
          <w:p w14:paraId="1CEA7BD6"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$233,428 </w:t>
            </w:r>
          </w:p>
        </w:tc>
        <w:tc>
          <w:tcPr>
            <w:tcW w:w="858" w:type="dxa"/>
            <w:shd w:val="clear" w:color="auto" w:fill="auto"/>
            <w:noWrap/>
            <w:hideMark/>
          </w:tcPr>
          <w:p w14:paraId="6A9D7604"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386 </w:t>
            </w:r>
          </w:p>
        </w:tc>
        <w:tc>
          <w:tcPr>
            <w:tcW w:w="715" w:type="dxa"/>
            <w:shd w:val="clear" w:color="auto" w:fill="auto"/>
            <w:noWrap/>
            <w:hideMark/>
          </w:tcPr>
          <w:p w14:paraId="35C556EA"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11.3%</w:t>
            </w:r>
          </w:p>
        </w:tc>
        <w:tc>
          <w:tcPr>
            <w:tcW w:w="1142" w:type="dxa"/>
            <w:shd w:val="clear" w:color="auto" w:fill="auto"/>
          </w:tcPr>
          <w:p w14:paraId="6EA41237"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No change</w:t>
            </w:r>
          </w:p>
        </w:tc>
      </w:tr>
      <w:tr w:rsidR="001E05F9" w:rsidRPr="00C33C0B" w14:paraId="144EE710" w14:textId="77777777" w:rsidTr="00607BDA">
        <w:tc>
          <w:tcPr>
            <w:tcW w:w="423" w:type="dxa"/>
            <w:shd w:val="clear" w:color="auto" w:fill="auto"/>
            <w:noWrap/>
            <w:hideMark/>
          </w:tcPr>
          <w:p w14:paraId="06B6E947"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164</w:t>
            </w:r>
          </w:p>
        </w:tc>
        <w:tc>
          <w:tcPr>
            <w:tcW w:w="3000" w:type="dxa"/>
            <w:shd w:val="clear" w:color="auto" w:fill="auto"/>
            <w:noWrap/>
            <w:hideMark/>
          </w:tcPr>
          <w:p w14:paraId="321FF29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for a period of 5 hours or more (other than a service to which another item applies) on a patient in imminent danger of death</w:t>
            </w:r>
          </w:p>
        </w:tc>
        <w:tc>
          <w:tcPr>
            <w:tcW w:w="715" w:type="dxa"/>
            <w:shd w:val="clear" w:color="auto" w:fill="auto"/>
            <w:noWrap/>
            <w:hideMark/>
          </w:tcPr>
          <w:p w14:paraId="0EAAE56D"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$738.40 </w:t>
            </w:r>
          </w:p>
        </w:tc>
        <w:tc>
          <w:tcPr>
            <w:tcW w:w="1011" w:type="dxa"/>
            <w:shd w:val="clear" w:color="auto" w:fill="auto"/>
            <w:noWrap/>
            <w:hideMark/>
          </w:tcPr>
          <w:p w14:paraId="4D303427"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$288,216 </w:t>
            </w:r>
          </w:p>
        </w:tc>
        <w:tc>
          <w:tcPr>
            <w:tcW w:w="858" w:type="dxa"/>
            <w:shd w:val="clear" w:color="auto" w:fill="auto"/>
            <w:noWrap/>
            <w:hideMark/>
          </w:tcPr>
          <w:p w14:paraId="4D4DA6CA"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428 </w:t>
            </w:r>
          </w:p>
        </w:tc>
        <w:tc>
          <w:tcPr>
            <w:tcW w:w="715" w:type="dxa"/>
            <w:shd w:val="clear" w:color="auto" w:fill="auto"/>
            <w:noWrap/>
            <w:hideMark/>
          </w:tcPr>
          <w:p w14:paraId="37047F6E"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16.2%</w:t>
            </w:r>
          </w:p>
        </w:tc>
        <w:tc>
          <w:tcPr>
            <w:tcW w:w="1142" w:type="dxa"/>
            <w:shd w:val="clear" w:color="auto" w:fill="auto"/>
          </w:tcPr>
          <w:p w14:paraId="429975F4"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No change</w:t>
            </w:r>
          </w:p>
        </w:tc>
      </w:tr>
      <w:tr w:rsidR="001E05F9" w:rsidRPr="00C33C0B" w14:paraId="6FB6AEB5" w14:textId="77777777" w:rsidTr="00607BDA">
        <w:tc>
          <w:tcPr>
            <w:tcW w:w="423" w:type="dxa"/>
            <w:shd w:val="clear" w:color="auto" w:fill="auto"/>
            <w:noWrap/>
            <w:hideMark/>
          </w:tcPr>
          <w:p w14:paraId="320306FD"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385</w:t>
            </w:r>
          </w:p>
        </w:tc>
        <w:tc>
          <w:tcPr>
            <w:tcW w:w="3000" w:type="dxa"/>
            <w:shd w:val="clear" w:color="auto" w:fill="auto"/>
            <w:noWrap/>
            <w:hideMark/>
          </w:tcPr>
          <w:p w14:paraId="392FD7E6"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consultant occupational physician in the practice of his or her specialty of occupational medicine following referral of the patient to him or her by a referring practitioner--initial attendance in a single course of treatment</w:t>
            </w:r>
          </w:p>
        </w:tc>
        <w:tc>
          <w:tcPr>
            <w:tcW w:w="715" w:type="dxa"/>
            <w:shd w:val="clear" w:color="auto" w:fill="auto"/>
            <w:noWrap/>
            <w:hideMark/>
          </w:tcPr>
          <w:p w14:paraId="7B7A7109"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$85.55 </w:t>
            </w:r>
          </w:p>
        </w:tc>
        <w:tc>
          <w:tcPr>
            <w:tcW w:w="1011" w:type="dxa"/>
            <w:shd w:val="clear" w:color="auto" w:fill="auto"/>
            <w:noWrap/>
            <w:hideMark/>
          </w:tcPr>
          <w:p w14:paraId="234F6859"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$61,481 </w:t>
            </w:r>
          </w:p>
        </w:tc>
        <w:tc>
          <w:tcPr>
            <w:tcW w:w="858" w:type="dxa"/>
            <w:shd w:val="clear" w:color="auto" w:fill="auto"/>
            <w:noWrap/>
            <w:hideMark/>
          </w:tcPr>
          <w:p w14:paraId="3862DE66"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809 </w:t>
            </w:r>
          </w:p>
        </w:tc>
        <w:tc>
          <w:tcPr>
            <w:tcW w:w="715" w:type="dxa"/>
            <w:shd w:val="clear" w:color="auto" w:fill="auto"/>
            <w:noWrap/>
            <w:hideMark/>
          </w:tcPr>
          <w:p w14:paraId="43FAAE25"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5.3%</w:t>
            </w:r>
          </w:p>
        </w:tc>
        <w:tc>
          <w:tcPr>
            <w:tcW w:w="1142" w:type="dxa"/>
            <w:shd w:val="clear" w:color="auto" w:fill="auto"/>
          </w:tcPr>
          <w:p w14:paraId="02F79909"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35705FFD" w14:textId="77777777" w:rsidTr="00607BDA">
        <w:tc>
          <w:tcPr>
            <w:tcW w:w="423" w:type="dxa"/>
            <w:shd w:val="clear" w:color="auto" w:fill="auto"/>
            <w:noWrap/>
            <w:hideMark/>
          </w:tcPr>
          <w:p w14:paraId="4E5937B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386</w:t>
            </w:r>
          </w:p>
        </w:tc>
        <w:tc>
          <w:tcPr>
            <w:tcW w:w="3000" w:type="dxa"/>
            <w:shd w:val="clear" w:color="auto" w:fill="auto"/>
            <w:noWrap/>
            <w:hideMark/>
          </w:tcPr>
          <w:p w14:paraId="4FBA34ED"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consultant occupational physician in the practice of his or her specialty of occupational medicine following referral of the patient to him or her by a referring practitioner--each attendance after the first in a single course of treatment</w:t>
            </w:r>
          </w:p>
        </w:tc>
        <w:tc>
          <w:tcPr>
            <w:tcW w:w="715" w:type="dxa"/>
            <w:shd w:val="clear" w:color="auto" w:fill="auto"/>
            <w:noWrap/>
            <w:hideMark/>
          </w:tcPr>
          <w:p w14:paraId="358D47B5"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$43.00 </w:t>
            </w:r>
          </w:p>
        </w:tc>
        <w:tc>
          <w:tcPr>
            <w:tcW w:w="1011" w:type="dxa"/>
            <w:shd w:val="clear" w:color="auto" w:fill="auto"/>
            <w:noWrap/>
            <w:hideMark/>
          </w:tcPr>
          <w:p w14:paraId="0804BBE8"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$19,948 </w:t>
            </w:r>
          </w:p>
        </w:tc>
        <w:tc>
          <w:tcPr>
            <w:tcW w:w="858" w:type="dxa"/>
            <w:shd w:val="clear" w:color="auto" w:fill="auto"/>
            <w:noWrap/>
            <w:hideMark/>
          </w:tcPr>
          <w:p w14:paraId="38A95BE5"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466 </w:t>
            </w:r>
          </w:p>
        </w:tc>
        <w:tc>
          <w:tcPr>
            <w:tcW w:w="715" w:type="dxa"/>
            <w:shd w:val="clear" w:color="auto" w:fill="auto"/>
            <w:noWrap/>
            <w:hideMark/>
          </w:tcPr>
          <w:p w14:paraId="543724E6"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-3.7%</w:t>
            </w:r>
          </w:p>
        </w:tc>
        <w:tc>
          <w:tcPr>
            <w:tcW w:w="1142" w:type="dxa"/>
            <w:shd w:val="clear" w:color="auto" w:fill="auto"/>
          </w:tcPr>
          <w:p w14:paraId="628F7B0C"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518FA463" w14:textId="77777777" w:rsidTr="00607BDA">
        <w:tc>
          <w:tcPr>
            <w:tcW w:w="423" w:type="dxa"/>
            <w:shd w:val="clear" w:color="auto" w:fill="auto"/>
            <w:noWrap/>
            <w:hideMark/>
          </w:tcPr>
          <w:p w14:paraId="331F4494"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387</w:t>
            </w:r>
          </w:p>
        </w:tc>
        <w:tc>
          <w:tcPr>
            <w:tcW w:w="3000" w:type="dxa"/>
            <w:shd w:val="clear" w:color="auto" w:fill="auto"/>
            <w:noWrap/>
            <w:hideMark/>
          </w:tcPr>
          <w:p w14:paraId="5196A92C"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consultant occupational physician in the practice of his or her specialty of occupational medicine following referral of the patient to him or her by a referring practitioner--initial attendance in a single course of treatment</w:t>
            </w:r>
          </w:p>
        </w:tc>
        <w:tc>
          <w:tcPr>
            <w:tcW w:w="715" w:type="dxa"/>
            <w:shd w:val="clear" w:color="auto" w:fill="auto"/>
            <w:noWrap/>
            <w:hideMark/>
          </w:tcPr>
          <w:p w14:paraId="1BE4DACC"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$125.50 </w:t>
            </w:r>
          </w:p>
        </w:tc>
        <w:tc>
          <w:tcPr>
            <w:tcW w:w="1011" w:type="dxa"/>
            <w:shd w:val="clear" w:color="auto" w:fill="auto"/>
            <w:noWrap/>
            <w:hideMark/>
          </w:tcPr>
          <w:p w14:paraId="35AA8779"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$1,067 </w:t>
            </w:r>
          </w:p>
        </w:tc>
        <w:tc>
          <w:tcPr>
            <w:tcW w:w="858" w:type="dxa"/>
            <w:shd w:val="clear" w:color="auto" w:fill="auto"/>
            <w:noWrap/>
            <w:hideMark/>
          </w:tcPr>
          <w:p w14:paraId="6A1BEBBF"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10 </w:t>
            </w:r>
          </w:p>
        </w:tc>
        <w:tc>
          <w:tcPr>
            <w:tcW w:w="715" w:type="dxa"/>
            <w:shd w:val="clear" w:color="auto" w:fill="auto"/>
            <w:noWrap/>
            <w:hideMark/>
          </w:tcPr>
          <w:p w14:paraId="4C2FE078"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-1.2%</w:t>
            </w:r>
          </w:p>
        </w:tc>
        <w:tc>
          <w:tcPr>
            <w:tcW w:w="1142" w:type="dxa"/>
            <w:shd w:val="clear" w:color="auto" w:fill="auto"/>
          </w:tcPr>
          <w:p w14:paraId="63C32C84"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1DE4A038" w14:textId="77777777" w:rsidTr="00607BDA">
        <w:tc>
          <w:tcPr>
            <w:tcW w:w="423" w:type="dxa"/>
            <w:shd w:val="clear" w:color="auto" w:fill="auto"/>
            <w:noWrap/>
            <w:hideMark/>
          </w:tcPr>
          <w:p w14:paraId="0EA23B0A"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388</w:t>
            </w:r>
          </w:p>
        </w:tc>
        <w:tc>
          <w:tcPr>
            <w:tcW w:w="3000" w:type="dxa"/>
            <w:shd w:val="clear" w:color="auto" w:fill="auto"/>
            <w:noWrap/>
            <w:hideMark/>
          </w:tcPr>
          <w:p w14:paraId="00BFB6A5"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consultant occupational physician in the practice of his or her specialty of occupational medicine following referral of the patient to him or her by a referring practitioner--each attendance after the first in a single course of treatment</w:t>
            </w:r>
          </w:p>
        </w:tc>
        <w:tc>
          <w:tcPr>
            <w:tcW w:w="715" w:type="dxa"/>
            <w:shd w:val="clear" w:color="auto" w:fill="auto"/>
            <w:noWrap/>
            <w:hideMark/>
          </w:tcPr>
          <w:p w14:paraId="55CE7A68"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$79.45 </w:t>
            </w:r>
          </w:p>
        </w:tc>
        <w:tc>
          <w:tcPr>
            <w:tcW w:w="1011" w:type="dxa"/>
            <w:shd w:val="clear" w:color="auto" w:fill="auto"/>
            <w:noWrap/>
            <w:hideMark/>
          </w:tcPr>
          <w:p w14:paraId="6D3AD6E6"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$676 </w:t>
            </w:r>
          </w:p>
        </w:tc>
        <w:tc>
          <w:tcPr>
            <w:tcW w:w="858" w:type="dxa"/>
            <w:shd w:val="clear" w:color="auto" w:fill="auto"/>
            <w:noWrap/>
            <w:hideMark/>
          </w:tcPr>
          <w:p w14:paraId="0553292C"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10 </w:t>
            </w:r>
          </w:p>
        </w:tc>
        <w:tc>
          <w:tcPr>
            <w:tcW w:w="715" w:type="dxa"/>
            <w:shd w:val="clear" w:color="auto" w:fill="auto"/>
            <w:noWrap/>
            <w:hideMark/>
          </w:tcPr>
          <w:p w14:paraId="625F3AF3"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2.5%</w:t>
            </w:r>
          </w:p>
        </w:tc>
        <w:tc>
          <w:tcPr>
            <w:tcW w:w="1142" w:type="dxa"/>
            <w:shd w:val="clear" w:color="auto" w:fill="auto"/>
          </w:tcPr>
          <w:p w14:paraId="7A655E6E"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6BE28704" w14:textId="77777777" w:rsidTr="00607BDA">
        <w:tc>
          <w:tcPr>
            <w:tcW w:w="423" w:type="dxa"/>
            <w:shd w:val="clear" w:color="auto" w:fill="auto"/>
            <w:noWrap/>
            <w:hideMark/>
          </w:tcPr>
          <w:p w14:paraId="66E33A5D"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410</w:t>
            </w:r>
          </w:p>
        </w:tc>
        <w:tc>
          <w:tcPr>
            <w:tcW w:w="3000" w:type="dxa"/>
            <w:shd w:val="clear" w:color="auto" w:fill="auto"/>
            <w:noWrap/>
            <w:hideMark/>
          </w:tcPr>
          <w:p w14:paraId="36430091"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by a public health physician in the practice of his or her specialty of public health medicine--attendance for an obvious problem characterised by the straightforward nature of the task that requires a short patient history and, if required, limited examination and management.</w:t>
            </w:r>
          </w:p>
        </w:tc>
        <w:tc>
          <w:tcPr>
            <w:tcW w:w="715" w:type="dxa"/>
            <w:shd w:val="clear" w:color="auto" w:fill="auto"/>
            <w:noWrap/>
            <w:hideMark/>
          </w:tcPr>
          <w:p w14:paraId="43797B0A"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$19.55 </w:t>
            </w:r>
          </w:p>
        </w:tc>
        <w:tc>
          <w:tcPr>
            <w:tcW w:w="1011" w:type="dxa"/>
            <w:shd w:val="clear" w:color="auto" w:fill="auto"/>
            <w:noWrap/>
            <w:hideMark/>
          </w:tcPr>
          <w:p w14:paraId="26720999"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$1,382 </w:t>
            </w:r>
          </w:p>
        </w:tc>
        <w:tc>
          <w:tcPr>
            <w:tcW w:w="858" w:type="dxa"/>
            <w:shd w:val="clear" w:color="auto" w:fill="auto"/>
            <w:noWrap/>
            <w:hideMark/>
          </w:tcPr>
          <w:p w14:paraId="7FE6F9AF"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83 </w:t>
            </w:r>
          </w:p>
        </w:tc>
        <w:tc>
          <w:tcPr>
            <w:tcW w:w="715" w:type="dxa"/>
            <w:shd w:val="clear" w:color="auto" w:fill="auto"/>
            <w:noWrap/>
            <w:hideMark/>
          </w:tcPr>
          <w:p w14:paraId="5B05BD3D"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-26.7%</w:t>
            </w:r>
          </w:p>
        </w:tc>
        <w:tc>
          <w:tcPr>
            <w:tcW w:w="1142" w:type="dxa"/>
            <w:shd w:val="clear" w:color="auto" w:fill="auto"/>
          </w:tcPr>
          <w:p w14:paraId="0639A102"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6F37FCB4" w14:textId="77777777" w:rsidTr="00607BDA">
        <w:tc>
          <w:tcPr>
            <w:tcW w:w="423" w:type="dxa"/>
            <w:shd w:val="clear" w:color="auto" w:fill="auto"/>
            <w:noWrap/>
            <w:hideMark/>
          </w:tcPr>
          <w:p w14:paraId="6C62949E"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411</w:t>
            </w:r>
          </w:p>
        </w:tc>
        <w:tc>
          <w:tcPr>
            <w:tcW w:w="3000" w:type="dxa"/>
            <w:shd w:val="clear" w:color="auto" w:fill="auto"/>
            <w:noWrap/>
            <w:hideMark/>
          </w:tcPr>
          <w:p w14:paraId="1CEC6E75"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consulting rooms, lasting less than 20 minutes and including any of the following that are clinically relevant: (a) taking a patient history; (b) performing a clinical examination; (c) arranging any necessary investigation; (d) implementing a management plan; (e) providing appropriate preventive health care; for one or more health-related issues, with appropriate documentation.</w:t>
            </w:r>
          </w:p>
        </w:tc>
        <w:tc>
          <w:tcPr>
            <w:tcW w:w="715" w:type="dxa"/>
            <w:shd w:val="clear" w:color="auto" w:fill="auto"/>
            <w:noWrap/>
            <w:hideMark/>
          </w:tcPr>
          <w:p w14:paraId="3556382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$42.75 </w:t>
            </w:r>
          </w:p>
        </w:tc>
        <w:tc>
          <w:tcPr>
            <w:tcW w:w="1011" w:type="dxa"/>
            <w:shd w:val="clear" w:color="auto" w:fill="auto"/>
            <w:noWrap/>
            <w:hideMark/>
          </w:tcPr>
          <w:p w14:paraId="47B3F14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$327,563 </w:t>
            </w:r>
          </w:p>
        </w:tc>
        <w:tc>
          <w:tcPr>
            <w:tcW w:w="858" w:type="dxa"/>
            <w:shd w:val="clear" w:color="auto" w:fill="auto"/>
            <w:noWrap/>
            <w:hideMark/>
          </w:tcPr>
          <w:p w14:paraId="5D3B04F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8,968 </w:t>
            </w:r>
          </w:p>
        </w:tc>
        <w:tc>
          <w:tcPr>
            <w:tcW w:w="715" w:type="dxa"/>
            <w:shd w:val="clear" w:color="auto" w:fill="auto"/>
            <w:noWrap/>
            <w:hideMark/>
          </w:tcPr>
          <w:p w14:paraId="3C3AFE21"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9.1%</w:t>
            </w:r>
          </w:p>
        </w:tc>
        <w:tc>
          <w:tcPr>
            <w:tcW w:w="1142" w:type="dxa"/>
            <w:shd w:val="clear" w:color="auto" w:fill="auto"/>
          </w:tcPr>
          <w:p w14:paraId="3E3415E0"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5AAECB04" w14:textId="77777777" w:rsidTr="00607BDA">
        <w:tc>
          <w:tcPr>
            <w:tcW w:w="423" w:type="dxa"/>
            <w:shd w:val="clear" w:color="auto" w:fill="auto"/>
            <w:noWrap/>
            <w:hideMark/>
          </w:tcPr>
          <w:p w14:paraId="51E6666C"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412</w:t>
            </w:r>
          </w:p>
        </w:tc>
        <w:tc>
          <w:tcPr>
            <w:tcW w:w="3000" w:type="dxa"/>
            <w:shd w:val="clear" w:color="auto" w:fill="auto"/>
            <w:noWrap/>
            <w:hideMark/>
          </w:tcPr>
          <w:p w14:paraId="0EF41FC5"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consulting rooms, lasting at least 20 minutes and including any of the following that are clinically relevant: (a) taking a detailed patient history; (b) performing a clinical examination; (c) arranging any necessary investigation; (d) implementing a management plan; (e) providing appropriate preventive health care; for one or more health-related issues, with appropriate documentation</w:t>
            </w:r>
          </w:p>
        </w:tc>
        <w:tc>
          <w:tcPr>
            <w:tcW w:w="715" w:type="dxa"/>
            <w:shd w:val="clear" w:color="auto" w:fill="auto"/>
            <w:noWrap/>
            <w:hideMark/>
          </w:tcPr>
          <w:p w14:paraId="46737693"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$82.65 </w:t>
            </w:r>
          </w:p>
        </w:tc>
        <w:tc>
          <w:tcPr>
            <w:tcW w:w="1011" w:type="dxa"/>
            <w:shd w:val="clear" w:color="auto" w:fill="auto"/>
            <w:noWrap/>
            <w:hideMark/>
          </w:tcPr>
          <w:p w14:paraId="5698AD1C"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$187,627 </w:t>
            </w:r>
          </w:p>
        </w:tc>
        <w:tc>
          <w:tcPr>
            <w:tcW w:w="858" w:type="dxa"/>
            <w:shd w:val="clear" w:color="auto" w:fill="auto"/>
            <w:noWrap/>
            <w:hideMark/>
          </w:tcPr>
          <w:p w14:paraId="3A35DE7E"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2,661 </w:t>
            </w:r>
          </w:p>
        </w:tc>
        <w:tc>
          <w:tcPr>
            <w:tcW w:w="715" w:type="dxa"/>
            <w:shd w:val="clear" w:color="auto" w:fill="auto"/>
            <w:noWrap/>
            <w:hideMark/>
          </w:tcPr>
          <w:p w14:paraId="3FA56103"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5.8%</w:t>
            </w:r>
          </w:p>
        </w:tc>
        <w:tc>
          <w:tcPr>
            <w:tcW w:w="1142" w:type="dxa"/>
            <w:shd w:val="clear" w:color="auto" w:fill="auto"/>
          </w:tcPr>
          <w:p w14:paraId="468796BE"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3223D617" w14:textId="77777777" w:rsidTr="00607BDA">
        <w:tc>
          <w:tcPr>
            <w:tcW w:w="423" w:type="dxa"/>
            <w:shd w:val="clear" w:color="auto" w:fill="auto"/>
            <w:noWrap/>
            <w:hideMark/>
          </w:tcPr>
          <w:p w14:paraId="7EAF4A0A"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413</w:t>
            </w:r>
          </w:p>
        </w:tc>
        <w:tc>
          <w:tcPr>
            <w:tcW w:w="3000" w:type="dxa"/>
            <w:shd w:val="clear" w:color="auto" w:fill="auto"/>
            <w:noWrap/>
            <w:hideMark/>
          </w:tcPr>
          <w:p w14:paraId="25B86FEC"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consulting rooms, lasting at least 40 minutes and including any of the following that are clinically relevant: (a) taking an extensive patient history; (b) performing a clinical examination; (c) arranging any necessary investigation; (d) implementing a management plan; (e) providing appropriate preventive health care; for one or more health-related issues, with appropriate documentation</w:t>
            </w:r>
          </w:p>
        </w:tc>
        <w:tc>
          <w:tcPr>
            <w:tcW w:w="715" w:type="dxa"/>
            <w:shd w:val="clear" w:color="auto" w:fill="auto"/>
            <w:noWrap/>
            <w:hideMark/>
          </w:tcPr>
          <w:p w14:paraId="2FAA882D"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$121.70 </w:t>
            </w:r>
          </w:p>
        </w:tc>
        <w:tc>
          <w:tcPr>
            <w:tcW w:w="1011" w:type="dxa"/>
            <w:shd w:val="clear" w:color="auto" w:fill="auto"/>
            <w:noWrap/>
            <w:hideMark/>
          </w:tcPr>
          <w:p w14:paraId="3C36FF37"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$30,413 </w:t>
            </w:r>
          </w:p>
        </w:tc>
        <w:tc>
          <w:tcPr>
            <w:tcW w:w="858" w:type="dxa"/>
            <w:shd w:val="clear" w:color="auto" w:fill="auto"/>
            <w:noWrap/>
            <w:hideMark/>
          </w:tcPr>
          <w:p w14:paraId="24E9A4C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294 </w:t>
            </w:r>
          </w:p>
        </w:tc>
        <w:tc>
          <w:tcPr>
            <w:tcW w:w="715" w:type="dxa"/>
            <w:shd w:val="clear" w:color="auto" w:fill="auto"/>
            <w:noWrap/>
            <w:hideMark/>
          </w:tcPr>
          <w:p w14:paraId="3263C1FC"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12.6%</w:t>
            </w:r>
          </w:p>
        </w:tc>
        <w:tc>
          <w:tcPr>
            <w:tcW w:w="1142" w:type="dxa"/>
            <w:shd w:val="clear" w:color="auto" w:fill="auto"/>
          </w:tcPr>
          <w:p w14:paraId="3815A9E7"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7E02666C" w14:textId="77777777" w:rsidTr="00607BDA">
        <w:tc>
          <w:tcPr>
            <w:tcW w:w="423" w:type="dxa"/>
            <w:shd w:val="clear" w:color="auto" w:fill="auto"/>
            <w:noWrap/>
            <w:hideMark/>
          </w:tcPr>
          <w:p w14:paraId="23D8FBA9"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414</w:t>
            </w:r>
          </w:p>
        </w:tc>
        <w:tc>
          <w:tcPr>
            <w:tcW w:w="3000" w:type="dxa"/>
            <w:shd w:val="clear" w:color="auto" w:fill="auto"/>
            <w:noWrap/>
            <w:hideMark/>
          </w:tcPr>
          <w:p w14:paraId="563B4AED"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other than consulting rooms by a public health physician in the practice of his or her specialty of public health medicine--attendance for an obvious problem characterised by the straightforward nature of the task that requires a short patient history and, if required, limited examination and management</w:t>
            </w:r>
          </w:p>
        </w:tc>
        <w:tc>
          <w:tcPr>
            <w:tcW w:w="715" w:type="dxa"/>
            <w:shd w:val="clear" w:color="auto" w:fill="auto"/>
            <w:noWrap/>
            <w:hideMark/>
          </w:tcPr>
          <w:p w14:paraId="3BB63958"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Derived Fee </w:t>
            </w:r>
          </w:p>
        </w:tc>
        <w:tc>
          <w:tcPr>
            <w:tcW w:w="1011" w:type="dxa"/>
            <w:shd w:val="clear" w:color="auto" w:fill="auto"/>
            <w:noWrap/>
            <w:hideMark/>
          </w:tcPr>
          <w:p w14:paraId="58C2B73D"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w:t>
            </w:r>
          </w:p>
        </w:tc>
        <w:tc>
          <w:tcPr>
            <w:tcW w:w="858" w:type="dxa"/>
            <w:shd w:val="clear" w:color="auto" w:fill="auto"/>
            <w:noWrap/>
            <w:hideMark/>
          </w:tcPr>
          <w:p w14:paraId="40FC89EF"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 </w:t>
            </w:r>
          </w:p>
        </w:tc>
        <w:tc>
          <w:tcPr>
            <w:tcW w:w="715" w:type="dxa"/>
            <w:shd w:val="clear" w:color="auto" w:fill="auto"/>
            <w:noWrap/>
            <w:hideMark/>
          </w:tcPr>
          <w:p w14:paraId="33446972" w14:textId="77777777" w:rsidR="001E05F9" w:rsidRPr="00C33C0B" w:rsidRDefault="001E05F9" w:rsidP="00501544">
            <w:pPr>
              <w:spacing w:before="20" w:after="20" w:line="240" w:lineRule="auto"/>
              <w:rPr>
                <w:rFonts w:ascii="Calibri" w:hAnsi="Calibri" w:cs="Calibri"/>
                <w:color w:val="000000"/>
                <w:sz w:val="17"/>
                <w:szCs w:val="17"/>
                <w:lang w:val="en-GB"/>
              </w:rPr>
            </w:pPr>
          </w:p>
        </w:tc>
        <w:tc>
          <w:tcPr>
            <w:tcW w:w="1142" w:type="dxa"/>
            <w:shd w:val="clear" w:color="auto" w:fill="auto"/>
          </w:tcPr>
          <w:p w14:paraId="628E0929"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72125A34" w14:textId="77777777" w:rsidTr="00607BDA">
        <w:tc>
          <w:tcPr>
            <w:tcW w:w="423" w:type="dxa"/>
            <w:shd w:val="clear" w:color="auto" w:fill="auto"/>
            <w:noWrap/>
            <w:hideMark/>
          </w:tcPr>
          <w:p w14:paraId="3D203917"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415</w:t>
            </w:r>
          </w:p>
        </w:tc>
        <w:tc>
          <w:tcPr>
            <w:tcW w:w="3000" w:type="dxa"/>
            <w:shd w:val="clear" w:color="auto" w:fill="auto"/>
            <w:noWrap/>
            <w:hideMark/>
          </w:tcPr>
          <w:p w14:paraId="183B0AF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other than consulting rooms, lasting less than 20 minutes and including any of the following that are clinically relevant: (a) taking a patient history; (b) performing a clinical examination; (c) arranging any necessary investigation; (d) implementing a management plan; (e) providing appropriate preventive health care; for one or more health-related issues, with appropriate documentation</w:t>
            </w:r>
          </w:p>
        </w:tc>
        <w:tc>
          <w:tcPr>
            <w:tcW w:w="715" w:type="dxa"/>
            <w:shd w:val="clear" w:color="auto" w:fill="auto"/>
            <w:noWrap/>
            <w:hideMark/>
          </w:tcPr>
          <w:p w14:paraId="2C1F5C06"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Derived Fee </w:t>
            </w:r>
          </w:p>
        </w:tc>
        <w:tc>
          <w:tcPr>
            <w:tcW w:w="1011" w:type="dxa"/>
            <w:shd w:val="clear" w:color="auto" w:fill="auto"/>
            <w:noWrap/>
            <w:hideMark/>
          </w:tcPr>
          <w:p w14:paraId="4A1A2CE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$50 </w:t>
            </w:r>
          </w:p>
        </w:tc>
        <w:tc>
          <w:tcPr>
            <w:tcW w:w="858" w:type="dxa"/>
            <w:shd w:val="clear" w:color="auto" w:fill="auto"/>
            <w:noWrap/>
            <w:hideMark/>
          </w:tcPr>
          <w:p w14:paraId="693A0BEF"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1 </w:t>
            </w:r>
          </w:p>
        </w:tc>
        <w:tc>
          <w:tcPr>
            <w:tcW w:w="715" w:type="dxa"/>
            <w:shd w:val="clear" w:color="auto" w:fill="auto"/>
            <w:noWrap/>
            <w:hideMark/>
          </w:tcPr>
          <w:p w14:paraId="72E8C47C" w14:textId="77777777" w:rsidR="001E05F9" w:rsidRPr="00C33C0B" w:rsidRDefault="001E05F9" w:rsidP="00501544">
            <w:pPr>
              <w:spacing w:before="20" w:after="20" w:line="240" w:lineRule="auto"/>
              <w:rPr>
                <w:rFonts w:ascii="Calibri" w:hAnsi="Calibri" w:cs="Calibri"/>
                <w:color w:val="000000"/>
                <w:sz w:val="17"/>
                <w:szCs w:val="17"/>
                <w:lang w:val="en-GB"/>
              </w:rPr>
            </w:pPr>
          </w:p>
        </w:tc>
        <w:tc>
          <w:tcPr>
            <w:tcW w:w="1142" w:type="dxa"/>
            <w:shd w:val="clear" w:color="auto" w:fill="auto"/>
          </w:tcPr>
          <w:p w14:paraId="66C6C221"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62053812" w14:textId="77777777" w:rsidTr="00607BDA">
        <w:tc>
          <w:tcPr>
            <w:tcW w:w="423" w:type="dxa"/>
            <w:shd w:val="clear" w:color="auto" w:fill="auto"/>
            <w:noWrap/>
            <w:hideMark/>
          </w:tcPr>
          <w:p w14:paraId="451B8483"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416</w:t>
            </w:r>
          </w:p>
        </w:tc>
        <w:tc>
          <w:tcPr>
            <w:tcW w:w="3000" w:type="dxa"/>
            <w:shd w:val="clear" w:color="auto" w:fill="auto"/>
            <w:noWrap/>
            <w:hideMark/>
          </w:tcPr>
          <w:p w14:paraId="4BB766BD"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other than consulting rooms, lasting at least 20 minutes and including any of the following that are clinically relevant: (a) taking a detailed patient history; (b) performing a clinical examination; (c) arranging any necessary investigation; (d) implementing a management plan; (e) providing appropriate preventive health care; for one or more health-related issues, with appropriate documentation</w:t>
            </w:r>
          </w:p>
        </w:tc>
        <w:tc>
          <w:tcPr>
            <w:tcW w:w="715" w:type="dxa"/>
            <w:shd w:val="clear" w:color="auto" w:fill="auto"/>
            <w:noWrap/>
            <w:hideMark/>
          </w:tcPr>
          <w:p w14:paraId="55ED2FA2"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Derived Fee </w:t>
            </w:r>
          </w:p>
        </w:tc>
        <w:tc>
          <w:tcPr>
            <w:tcW w:w="1011" w:type="dxa"/>
            <w:shd w:val="clear" w:color="auto" w:fill="auto"/>
            <w:noWrap/>
            <w:hideMark/>
          </w:tcPr>
          <w:p w14:paraId="074944EE"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$446 </w:t>
            </w:r>
          </w:p>
        </w:tc>
        <w:tc>
          <w:tcPr>
            <w:tcW w:w="858" w:type="dxa"/>
            <w:shd w:val="clear" w:color="auto" w:fill="auto"/>
            <w:noWrap/>
            <w:hideMark/>
          </w:tcPr>
          <w:p w14:paraId="20E6013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5 </w:t>
            </w:r>
          </w:p>
        </w:tc>
        <w:tc>
          <w:tcPr>
            <w:tcW w:w="715" w:type="dxa"/>
            <w:shd w:val="clear" w:color="auto" w:fill="auto"/>
            <w:noWrap/>
            <w:hideMark/>
          </w:tcPr>
          <w:p w14:paraId="32C9F2B3"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1.0%</w:t>
            </w:r>
          </w:p>
        </w:tc>
        <w:tc>
          <w:tcPr>
            <w:tcW w:w="1142" w:type="dxa"/>
            <w:shd w:val="clear" w:color="auto" w:fill="auto"/>
          </w:tcPr>
          <w:p w14:paraId="087094B2"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6F35E831" w14:textId="77777777" w:rsidTr="00607BDA">
        <w:tc>
          <w:tcPr>
            <w:tcW w:w="423" w:type="dxa"/>
            <w:shd w:val="clear" w:color="auto" w:fill="auto"/>
            <w:noWrap/>
            <w:hideMark/>
          </w:tcPr>
          <w:p w14:paraId="7D44E859"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417</w:t>
            </w:r>
          </w:p>
        </w:tc>
        <w:tc>
          <w:tcPr>
            <w:tcW w:w="3000" w:type="dxa"/>
            <w:shd w:val="clear" w:color="auto" w:fill="auto"/>
            <w:noWrap/>
            <w:hideMark/>
          </w:tcPr>
          <w:p w14:paraId="5792880E"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other than consulting rooms, lasting at least 40 minutes and including any of the following that are clinically relevant: (a) taking an extensive patient history; (b) performing a clinical examination; (c) arranging any necessary investigation; (d) implementing a management plan; (e) providing appropriate preventive health care; for one or more health-related issues, with appropriate documentation</w:t>
            </w:r>
          </w:p>
        </w:tc>
        <w:tc>
          <w:tcPr>
            <w:tcW w:w="715" w:type="dxa"/>
            <w:shd w:val="clear" w:color="auto" w:fill="auto"/>
            <w:noWrap/>
            <w:hideMark/>
          </w:tcPr>
          <w:p w14:paraId="2B7A6651"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Derived Fee </w:t>
            </w:r>
          </w:p>
        </w:tc>
        <w:tc>
          <w:tcPr>
            <w:tcW w:w="1011" w:type="dxa"/>
            <w:shd w:val="clear" w:color="auto" w:fill="auto"/>
            <w:noWrap/>
            <w:hideMark/>
          </w:tcPr>
          <w:p w14:paraId="11B3F41D"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w:t>
            </w:r>
          </w:p>
        </w:tc>
        <w:tc>
          <w:tcPr>
            <w:tcW w:w="858" w:type="dxa"/>
            <w:shd w:val="clear" w:color="auto" w:fill="auto"/>
            <w:noWrap/>
            <w:hideMark/>
          </w:tcPr>
          <w:p w14:paraId="3FA8C956"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 </w:t>
            </w:r>
          </w:p>
        </w:tc>
        <w:tc>
          <w:tcPr>
            <w:tcW w:w="715" w:type="dxa"/>
            <w:shd w:val="clear" w:color="auto" w:fill="auto"/>
            <w:noWrap/>
            <w:hideMark/>
          </w:tcPr>
          <w:p w14:paraId="4940C90D" w14:textId="77777777" w:rsidR="001E05F9" w:rsidRPr="00C33C0B" w:rsidRDefault="001E05F9" w:rsidP="00501544">
            <w:pPr>
              <w:spacing w:before="20" w:after="20" w:line="240" w:lineRule="auto"/>
              <w:rPr>
                <w:rFonts w:ascii="Calibri" w:hAnsi="Calibri" w:cs="Calibri"/>
                <w:color w:val="000000"/>
                <w:sz w:val="17"/>
                <w:szCs w:val="17"/>
                <w:lang w:val="en-GB"/>
              </w:rPr>
            </w:pPr>
          </w:p>
        </w:tc>
        <w:tc>
          <w:tcPr>
            <w:tcW w:w="1142" w:type="dxa"/>
            <w:shd w:val="clear" w:color="auto" w:fill="auto"/>
          </w:tcPr>
          <w:p w14:paraId="556DC546"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4B833075" w14:textId="77777777" w:rsidTr="00607BDA">
        <w:tc>
          <w:tcPr>
            <w:tcW w:w="423" w:type="dxa"/>
            <w:shd w:val="clear" w:color="auto" w:fill="auto"/>
            <w:noWrap/>
            <w:hideMark/>
          </w:tcPr>
          <w:p w14:paraId="021990DF"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2801</w:t>
            </w:r>
          </w:p>
        </w:tc>
        <w:tc>
          <w:tcPr>
            <w:tcW w:w="3000" w:type="dxa"/>
            <w:shd w:val="clear" w:color="auto" w:fill="auto"/>
            <w:noWrap/>
            <w:hideMark/>
          </w:tcPr>
          <w:p w14:paraId="29D7723C"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pain medicine following referral of the patient to him or her by a referring practitioner--initial attendance in a single course of treatment</w:t>
            </w:r>
          </w:p>
        </w:tc>
        <w:tc>
          <w:tcPr>
            <w:tcW w:w="715" w:type="dxa"/>
            <w:shd w:val="clear" w:color="auto" w:fill="auto"/>
            <w:noWrap/>
            <w:hideMark/>
          </w:tcPr>
          <w:p w14:paraId="49463C9E"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$150.90 </w:t>
            </w:r>
          </w:p>
        </w:tc>
        <w:tc>
          <w:tcPr>
            <w:tcW w:w="1011" w:type="dxa"/>
            <w:shd w:val="clear" w:color="auto" w:fill="auto"/>
            <w:noWrap/>
            <w:hideMark/>
          </w:tcPr>
          <w:p w14:paraId="26905B8E"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$4,437,672 </w:t>
            </w:r>
          </w:p>
        </w:tc>
        <w:tc>
          <w:tcPr>
            <w:tcW w:w="858" w:type="dxa"/>
            <w:shd w:val="clear" w:color="auto" w:fill="auto"/>
            <w:noWrap/>
            <w:hideMark/>
          </w:tcPr>
          <w:p w14:paraId="0B152E7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33,797 </w:t>
            </w:r>
          </w:p>
        </w:tc>
        <w:tc>
          <w:tcPr>
            <w:tcW w:w="715" w:type="dxa"/>
            <w:shd w:val="clear" w:color="auto" w:fill="auto"/>
            <w:noWrap/>
            <w:hideMark/>
          </w:tcPr>
          <w:p w14:paraId="46A4DAA2"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17.9%</w:t>
            </w:r>
          </w:p>
        </w:tc>
        <w:tc>
          <w:tcPr>
            <w:tcW w:w="1142" w:type="dxa"/>
            <w:shd w:val="clear" w:color="auto" w:fill="auto"/>
          </w:tcPr>
          <w:p w14:paraId="3D644A4D"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7A93EE69" w14:textId="77777777" w:rsidTr="00607BDA">
        <w:tc>
          <w:tcPr>
            <w:tcW w:w="423" w:type="dxa"/>
            <w:shd w:val="clear" w:color="auto" w:fill="auto"/>
            <w:noWrap/>
            <w:hideMark/>
          </w:tcPr>
          <w:p w14:paraId="02E6D319"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2806</w:t>
            </w:r>
          </w:p>
        </w:tc>
        <w:tc>
          <w:tcPr>
            <w:tcW w:w="3000" w:type="dxa"/>
            <w:shd w:val="clear" w:color="auto" w:fill="auto"/>
            <w:noWrap/>
            <w:hideMark/>
          </w:tcPr>
          <w:p w14:paraId="6C3D0A58"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pain medicine following referral of the patient to him or her by a referring practitioner--each attendance (other than a service to which item 2814 applies) after the first in a single course of treatment</w:t>
            </w:r>
          </w:p>
        </w:tc>
        <w:tc>
          <w:tcPr>
            <w:tcW w:w="715" w:type="dxa"/>
            <w:shd w:val="clear" w:color="auto" w:fill="auto"/>
            <w:noWrap/>
            <w:hideMark/>
          </w:tcPr>
          <w:p w14:paraId="7CC2CEE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$75.50 </w:t>
            </w:r>
          </w:p>
        </w:tc>
        <w:tc>
          <w:tcPr>
            <w:tcW w:w="1011" w:type="dxa"/>
            <w:shd w:val="clear" w:color="auto" w:fill="auto"/>
            <w:noWrap/>
            <w:hideMark/>
          </w:tcPr>
          <w:p w14:paraId="58875059"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$4,424,902 </w:t>
            </w:r>
          </w:p>
        </w:tc>
        <w:tc>
          <w:tcPr>
            <w:tcW w:w="858" w:type="dxa"/>
            <w:shd w:val="clear" w:color="auto" w:fill="auto"/>
            <w:noWrap/>
            <w:hideMark/>
          </w:tcPr>
          <w:p w14:paraId="5A22529A"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66,798 </w:t>
            </w:r>
          </w:p>
        </w:tc>
        <w:tc>
          <w:tcPr>
            <w:tcW w:w="715" w:type="dxa"/>
            <w:shd w:val="clear" w:color="auto" w:fill="auto"/>
            <w:noWrap/>
            <w:hideMark/>
          </w:tcPr>
          <w:p w14:paraId="71C7C9D7"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17.7%</w:t>
            </w:r>
          </w:p>
        </w:tc>
        <w:tc>
          <w:tcPr>
            <w:tcW w:w="1142" w:type="dxa"/>
            <w:shd w:val="clear" w:color="auto" w:fill="auto"/>
          </w:tcPr>
          <w:p w14:paraId="18972C87"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50C961F5" w14:textId="77777777" w:rsidTr="00607BDA">
        <w:tc>
          <w:tcPr>
            <w:tcW w:w="423" w:type="dxa"/>
            <w:shd w:val="clear" w:color="auto" w:fill="auto"/>
            <w:noWrap/>
            <w:hideMark/>
          </w:tcPr>
          <w:p w14:paraId="182E3B44"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2814</w:t>
            </w:r>
          </w:p>
        </w:tc>
        <w:tc>
          <w:tcPr>
            <w:tcW w:w="3000" w:type="dxa"/>
            <w:shd w:val="clear" w:color="auto" w:fill="auto"/>
            <w:noWrap/>
            <w:hideMark/>
          </w:tcPr>
          <w:p w14:paraId="40A462C4"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pain medicine following referral of the patient to him or her by a referring practitioner--each minor attendance after the first attendance in a single course of treatment</w:t>
            </w:r>
          </w:p>
        </w:tc>
        <w:tc>
          <w:tcPr>
            <w:tcW w:w="715" w:type="dxa"/>
            <w:shd w:val="clear" w:color="auto" w:fill="auto"/>
            <w:noWrap/>
            <w:hideMark/>
          </w:tcPr>
          <w:p w14:paraId="7D6DC27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$43.00 </w:t>
            </w:r>
          </w:p>
        </w:tc>
        <w:tc>
          <w:tcPr>
            <w:tcW w:w="1011" w:type="dxa"/>
            <w:shd w:val="clear" w:color="auto" w:fill="auto"/>
            <w:noWrap/>
            <w:hideMark/>
          </w:tcPr>
          <w:p w14:paraId="76CADB3F"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$38,597 </w:t>
            </w:r>
          </w:p>
        </w:tc>
        <w:tc>
          <w:tcPr>
            <w:tcW w:w="858" w:type="dxa"/>
            <w:shd w:val="clear" w:color="auto" w:fill="auto"/>
            <w:noWrap/>
            <w:hideMark/>
          </w:tcPr>
          <w:p w14:paraId="5F49F5BF"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1,117 </w:t>
            </w:r>
          </w:p>
        </w:tc>
        <w:tc>
          <w:tcPr>
            <w:tcW w:w="715" w:type="dxa"/>
            <w:shd w:val="clear" w:color="auto" w:fill="auto"/>
            <w:noWrap/>
            <w:hideMark/>
          </w:tcPr>
          <w:p w14:paraId="336595F3"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3.8%</w:t>
            </w:r>
          </w:p>
        </w:tc>
        <w:tc>
          <w:tcPr>
            <w:tcW w:w="1142" w:type="dxa"/>
            <w:shd w:val="clear" w:color="auto" w:fill="auto"/>
          </w:tcPr>
          <w:p w14:paraId="5B3664E4"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74EE1EE5" w14:textId="77777777" w:rsidTr="00607BDA">
        <w:tc>
          <w:tcPr>
            <w:tcW w:w="423" w:type="dxa"/>
            <w:shd w:val="clear" w:color="auto" w:fill="auto"/>
            <w:noWrap/>
            <w:hideMark/>
          </w:tcPr>
          <w:p w14:paraId="58BFD9C1"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2824</w:t>
            </w:r>
          </w:p>
        </w:tc>
        <w:tc>
          <w:tcPr>
            <w:tcW w:w="3000" w:type="dxa"/>
            <w:shd w:val="clear" w:color="auto" w:fill="auto"/>
            <w:noWrap/>
            <w:hideMark/>
          </w:tcPr>
          <w:p w14:paraId="5311B494"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pain medicine following referral of the patient to him or her by a referring practitioner--initial attendance in a single course of treatment</w:t>
            </w:r>
          </w:p>
        </w:tc>
        <w:tc>
          <w:tcPr>
            <w:tcW w:w="715" w:type="dxa"/>
            <w:shd w:val="clear" w:color="auto" w:fill="auto"/>
            <w:noWrap/>
            <w:hideMark/>
          </w:tcPr>
          <w:p w14:paraId="69496815"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$183.10 </w:t>
            </w:r>
          </w:p>
        </w:tc>
        <w:tc>
          <w:tcPr>
            <w:tcW w:w="1011" w:type="dxa"/>
            <w:shd w:val="clear" w:color="auto" w:fill="auto"/>
            <w:noWrap/>
            <w:hideMark/>
          </w:tcPr>
          <w:p w14:paraId="402AD10F"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$1,712 </w:t>
            </w:r>
          </w:p>
        </w:tc>
        <w:tc>
          <w:tcPr>
            <w:tcW w:w="858" w:type="dxa"/>
            <w:shd w:val="clear" w:color="auto" w:fill="auto"/>
            <w:noWrap/>
            <w:hideMark/>
          </w:tcPr>
          <w:p w14:paraId="45A307B6"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11 </w:t>
            </w:r>
          </w:p>
        </w:tc>
        <w:tc>
          <w:tcPr>
            <w:tcW w:w="715" w:type="dxa"/>
            <w:shd w:val="clear" w:color="auto" w:fill="auto"/>
            <w:noWrap/>
            <w:hideMark/>
          </w:tcPr>
          <w:p w14:paraId="1A6BB41A"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62.1%</w:t>
            </w:r>
          </w:p>
        </w:tc>
        <w:tc>
          <w:tcPr>
            <w:tcW w:w="1142" w:type="dxa"/>
            <w:shd w:val="clear" w:color="auto" w:fill="auto"/>
          </w:tcPr>
          <w:p w14:paraId="30E8FAE6"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7E33FDA8" w14:textId="77777777" w:rsidTr="00607BDA">
        <w:tc>
          <w:tcPr>
            <w:tcW w:w="423" w:type="dxa"/>
            <w:shd w:val="clear" w:color="auto" w:fill="auto"/>
            <w:noWrap/>
            <w:hideMark/>
          </w:tcPr>
          <w:p w14:paraId="6E24331F"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2832</w:t>
            </w:r>
          </w:p>
        </w:tc>
        <w:tc>
          <w:tcPr>
            <w:tcW w:w="3000" w:type="dxa"/>
            <w:shd w:val="clear" w:color="auto" w:fill="auto"/>
            <w:noWrap/>
            <w:hideMark/>
          </w:tcPr>
          <w:p w14:paraId="7DCA16E2"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pain medicine following referral of the patient to him or her by a referring practitioner--each attendance (other than a service to which item 2840 applies) after the first in a single course of treatment</w:t>
            </w:r>
          </w:p>
        </w:tc>
        <w:tc>
          <w:tcPr>
            <w:tcW w:w="715" w:type="dxa"/>
            <w:shd w:val="clear" w:color="auto" w:fill="auto"/>
            <w:noWrap/>
            <w:hideMark/>
          </w:tcPr>
          <w:p w14:paraId="4CDCC839"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$110.75 </w:t>
            </w:r>
          </w:p>
        </w:tc>
        <w:tc>
          <w:tcPr>
            <w:tcW w:w="1011" w:type="dxa"/>
            <w:shd w:val="clear" w:color="auto" w:fill="auto"/>
            <w:noWrap/>
            <w:hideMark/>
          </w:tcPr>
          <w:p w14:paraId="4CFA10BE"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$5,686 </w:t>
            </w:r>
          </w:p>
        </w:tc>
        <w:tc>
          <w:tcPr>
            <w:tcW w:w="858" w:type="dxa"/>
            <w:shd w:val="clear" w:color="auto" w:fill="auto"/>
            <w:noWrap/>
            <w:hideMark/>
          </w:tcPr>
          <w:p w14:paraId="3061214A"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53 </w:t>
            </w:r>
          </w:p>
        </w:tc>
        <w:tc>
          <w:tcPr>
            <w:tcW w:w="715" w:type="dxa"/>
            <w:shd w:val="clear" w:color="auto" w:fill="auto"/>
            <w:noWrap/>
            <w:hideMark/>
          </w:tcPr>
          <w:p w14:paraId="1946ECAD"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55.0%</w:t>
            </w:r>
          </w:p>
        </w:tc>
        <w:tc>
          <w:tcPr>
            <w:tcW w:w="1142" w:type="dxa"/>
            <w:shd w:val="clear" w:color="auto" w:fill="auto"/>
          </w:tcPr>
          <w:p w14:paraId="50F265B0"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47E05937" w14:textId="77777777" w:rsidTr="00607BDA">
        <w:tc>
          <w:tcPr>
            <w:tcW w:w="423" w:type="dxa"/>
            <w:shd w:val="clear" w:color="auto" w:fill="auto"/>
            <w:noWrap/>
            <w:hideMark/>
          </w:tcPr>
          <w:p w14:paraId="2B97056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2840</w:t>
            </w:r>
          </w:p>
        </w:tc>
        <w:tc>
          <w:tcPr>
            <w:tcW w:w="3000" w:type="dxa"/>
            <w:shd w:val="clear" w:color="auto" w:fill="auto"/>
            <w:noWrap/>
            <w:hideMark/>
          </w:tcPr>
          <w:p w14:paraId="5BB60AB7"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pain medicine following referral of the patient to him or her by a referring practitioner--each minor attendance after the first attendance in a single course of treatment</w:t>
            </w:r>
          </w:p>
        </w:tc>
        <w:tc>
          <w:tcPr>
            <w:tcW w:w="715" w:type="dxa"/>
            <w:shd w:val="clear" w:color="auto" w:fill="auto"/>
            <w:noWrap/>
            <w:hideMark/>
          </w:tcPr>
          <w:p w14:paraId="71C5FC53"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$79.75 </w:t>
            </w:r>
          </w:p>
        </w:tc>
        <w:tc>
          <w:tcPr>
            <w:tcW w:w="1011" w:type="dxa"/>
            <w:shd w:val="clear" w:color="auto" w:fill="auto"/>
            <w:noWrap/>
            <w:hideMark/>
          </w:tcPr>
          <w:p w14:paraId="536DE0EE"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w:t>
            </w:r>
          </w:p>
        </w:tc>
        <w:tc>
          <w:tcPr>
            <w:tcW w:w="858" w:type="dxa"/>
            <w:shd w:val="clear" w:color="auto" w:fill="auto"/>
            <w:noWrap/>
            <w:hideMark/>
          </w:tcPr>
          <w:p w14:paraId="395AF024"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 </w:t>
            </w:r>
          </w:p>
        </w:tc>
        <w:tc>
          <w:tcPr>
            <w:tcW w:w="715" w:type="dxa"/>
            <w:shd w:val="clear" w:color="auto" w:fill="auto"/>
            <w:noWrap/>
            <w:hideMark/>
          </w:tcPr>
          <w:p w14:paraId="70BB5B35"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-100.0%</w:t>
            </w:r>
          </w:p>
        </w:tc>
        <w:tc>
          <w:tcPr>
            <w:tcW w:w="1142" w:type="dxa"/>
            <w:shd w:val="clear" w:color="auto" w:fill="auto"/>
          </w:tcPr>
          <w:p w14:paraId="5EA7010E"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0B7E2357" w14:textId="77777777" w:rsidTr="00607BDA">
        <w:tc>
          <w:tcPr>
            <w:tcW w:w="423" w:type="dxa"/>
            <w:shd w:val="clear" w:color="auto" w:fill="auto"/>
            <w:noWrap/>
            <w:hideMark/>
          </w:tcPr>
          <w:p w14:paraId="04CB78BD"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3005</w:t>
            </w:r>
          </w:p>
        </w:tc>
        <w:tc>
          <w:tcPr>
            <w:tcW w:w="3000" w:type="dxa"/>
            <w:shd w:val="clear" w:color="auto" w:fill="auto"/>
            <w:noWrap/>
            <w:hideMark/>
          </w:tcPr>
          <w:p w14:paraId="0CE39167"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palliative medicine following referral of the patient to him or her by a referring practitioner--initial attendance in a single course of treatment</w:t>
            </w:r>
          </w:p>
        </w:tc>
        <w:tc>
          <w:tcPr>
            <w:tcW w:w="715" w:type="dxa"/>
            <w:shd w:val="clear" w:color="auto" w:fill="auto"/>
            <w:noWrap/>
            <w:hideMark/>
          </w:tcPr>
          <w:p w14:paraId="114DCC6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$150.90 </w:t>
            </w:r>
          </w:p>
        </w:tc>
        <w:tc>
          <w:tcPr>
            <w:tcW w:w="1011" w:type="dxa"/>
            <w:shd w:val="clear" w:color="auto" w:fill="auto"/>
            <w:noWrap/>
            <w:hideMark/>
          </w:tcPr>
          <w:p w14:paraId="70A63BF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$1,447,287 </w:t>
            </w:r>
          </w:p>
        </w:tc>
        <w:tc>
          <w:tcPr>
            <w:tcW w:w="858" w:type="dxa"/>
            <w:shd w:val="clear" w:color="auto" w:fill="auto"/>
            <w:noWrap/>
            <w:hideMark/>
          </w:tcPr>
          <w:p w14:paraId="345667D1"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12,296 </w:t>
            </w:r>
          </w:p>
        </w:tc>
        <w:tc>
          <w:tcPr>
            <w:tcW w:w="715" w:type="dxa"/>
            <w:shd w:val="clear" w:color="auto" w:fill="auto"/>
            <w:noWrap/>
            <w:hideMark/>
          </w:tcPr>
          <w:p w14:paraId="71D979B1"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10.4%</w:t>
            </w:r>
          </w:p>
        </w:tc>
        <w:tc>
          <w:tcPr>
            <w:tcW w:w="1142" w:type="dxa"/>
            <w:shd w:val="clear" w:color="auto" w:fill="auto"/>
          </w:tcPr>
          <w:p w14:paraId="3F1E610E"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79BA8575" w14:textId="77777777" w:rsidTr="00607BDA">
        <w:tc>
          <w:tcPr>
            <w:tcW w:w="423" w:type="dxa"/>
            <w:shd w:val="clear" w:color="auto" w:fill="auto"/>
            <w:noWrap/>
            <w:hideMark/>
          </w:tcPr>
          <w:p w14:paraId="011E7E8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3010</w:t>
            </w:r>
          </w:p>
        </w:tc>
        <w:tc>
          <w:tcPr>
            <w:tcW w:w="3000" w:type="dxa"/>
            <w:shd w:val="clear" w:color="auto" w:fill="auto"/>
            <w:noWrap/>
            <w:hideMark/>
          </w:tcPr>
          <w:p w14:paraId="09E7A954"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palliative medicine following referral of the patient to him or her by a referring practitioner--each attendance (other than a service to which item 3014 applies) after the first in a single course of treatment</w:t>
            </w:r>
          </w:p>
        </w:tc>
        <w:tc>
          <w:tcPr>
            <w:tcW w:w="715" w:type="dxa"/>
            <w:shd w:val="clear" w:color="auto" w:fill="auto"/>
            <w:noWrap/>
            <w:hideMark/>
          </w:tcPr>
          <w:p w14:paraId="1757B12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$75.50 </w:t>
            </w:r>
          </w:p>
        </w:tc>
        <w:tc>
          <w:tcPr>
            <w:tcW w:w="1011" w:type="dxa"/>
            <w:shd w:val="clear" w:color="auto" w:fill="auto"/>
            <w:noWrap/>
            <w:hideMark/>
          </w:tcPr>
          <w:p w14:paraId="1A347FB3"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$3,097,277 </w:t>
            </w:r>
          </w:p>
        </w:tc>
        <w:tc>
          <w:tcPr>
            <w:tcW w:w="858" w:type="dxa"/>
            <w:shd w:val="clear" w:color="auto" w:fill="auto"/>
            <w:noWrap/>
            <w:hideMark/>
          </w:tcPr>
          <w:p w14:paraId="6B13B347"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53,225 </w:t>
            </w:r>
          </w:p>
        </w:tc>
        <w:tc>
          <w:tcPr>
            <w:tcW w:w="715" w:type="dxa"/>
            <w:shd w:val="clear" w:color="auto" w:fill="auto"/>
            <w:noWrap/>
            <w:hideMark/>
          </w:tcPr>
          <w:p w14:paraId="6DD1AAA8"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10.0%</w:t>
            </w:r>
          </w:p>
        </w:tc>
        <w:tc>
          <w:tcPr>
            <w:tcW w:w="1142" w:type="dxa"/>
            <w:shd w:val="clear" w:color="auto" w:fill="auto"/>
          </w:tcPr>
          <w:p w14:paraId="1F8CDB01"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13B5F183" w14:textId="77777777" w:rsidTr="00607BDA">
        <w:tc>
          <w:tcPr>
            <w:tcW w:w="423" w:type="dxa"/>
            <w:shd w:val="clear" w:color="auto" w:fill="auto"/>
            <w:noWrap/>
            <w:hideMark/>
          </w:tcPr>
          <w:p w14:paraId="039EE061"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3014</w:t>
            </w:r>
          </w:p>
        </w:tc>
        <w:tc>
          <w:tcPr>
            <w:tcW w:w="3000" w:type="dxa"/>
            <w:shd w:val="clear" w:color="auto" w:fill="auto"/>
            <w:noWrap/>
            <w:hideMark/>
          </w:tcPr>
          <w:p w14:paraId="01129AE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palliative medicine following referral of the patient to him or her by a referring practitioner--each minor attendance after the first attendance in a single course of treatment</w:t>
            </w:r>
          </w:p>
        </w:tc>
        <w:tc>
          <w:tcPr>
            <w:tcW w:w="715" w:type="dxa"/>
            <w:shd w:val="clear" w:color="auto" w:fill="auto"/>
            <w:noWrap/>
            <w:hideMark/>
          </w:tcPr>
          <w:p w14:paraId="41CDED42"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$43.00 </w:t>
            </w:r>
          </w:p>
        </w:tc>
        <w:tc>
          <w:tcPr>
            <w:tcW w:w="1011" w:type="dxa"/>
            <w:shd w:val="clear" w:color="auto" w:fill="auto"/>
            <w:noWrap/>
            <w:hideMark/>
          </w:tcPr>
          <w:p w14:paraId="1413C63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$22,274 </w:t>
            </w:r>
          </w:p>
        </w:tc>
        <w:tc>
          <w:tcPr>
            <w:tcW w:w="858" w:type="dxa"/>
            <w:shd w:val="clear" w:color="auto" w:fill="auto"/>
            <w:noWrap/>
            <w:hideMark/>
          </w:tcPr>
          <w:p w14:paraId="55A6C9C5"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689 </w:t>
            </w:r>
          </w:p>
        </w:tc>
        <w:tc>
          <w:tcPr>
            <w:tcW w:w="715" w:type="dxa"/>
            <w:shd w:val="clear" w:color="auto" w:fill="auto"/>
            <w:noWrap/>
            <w:hideMark/>
          </w:tcPr>
          <w:p w14:paraId="7A977C74"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-4.8%</w:t>
            </w:r>
          </w:p>
        </w:tc>
        <w:tc>
          <w:tcPr>
            <w:tcW w:w="1142" w:type="dxa"/>
            <w:shd w:val="clear" w:color="auto" w:fill="auto"/>
          </w:tcPr>
          <w:p w14:paraId="208E71F1"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11D60278" w14:textId="77777777" w:rsidTr="00607BDA">
        <w:tc>
          <w:tcPr>
            <w:tcW w:w="423" w:type="dxa"/>
            <w:shd w:val="clear" w:color="auto" w:fill="auto"/>
            <w:noWrap/>
            <w:hideMark/>
          </w:tcPr>
          <w:p w14:paraId="45FEE297"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3018</w:t>
            </w:r>
          </w:p>
        </w:tc>
        <w:tc>
          <w:tcPr>
            <w:tcW w:w="3000" w:type="dxa"/>
            <w:shd w:val="clear" w:color="auto" w:fill="auto"/>
            <w:noWrap/>
            <w:hideMark/>
          </w:tcPr>
          <w:p w14:paraId="5E4796F1"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palliative medicine following referral of the patient to him or her by a referring practitioner--initial attendance in a single course of treatment</w:t>
            </w:r>
          </w:p>
        </w:tc>
        <w:tc>
          <w:tcPr>
            <w:tcW w:w="715" w:type="dxa"/>
            <w:shd w:val="clear" w:color="auto" w:fill="auto"/>
            <w:noWrap/>
            <w:hideMark/>
          </w:tcPr>
          <w:p w14:paraId="7B767E74"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$183.10 </w:t>
            </w:r>
          </w:p>
        </w:tc>
        <w:tc>
          <w:tcPr>
            <w:tcW w:w="1011" w:type="dxa"/>
            <w:shd w:val="clear" w:color="auto" w:fill="auto"/>
            <w:noWrap/>
            <w:hideMark/>
          </w:tcPr>
          <w:p w14:paraId="0BDE1F5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$333,131 </w:t>
            </w:r>
          </w:p>
        </w:tc>
        <w:tc>
          <w:tcPr>
            <w:tcW w:w="858" w:type="dxa"/>
            <w:shd w:val="clear" w:color="auto" w:fill="auto"/>
            <w:noWrap/>
            <w:hideMark/>
          </w:tcPr>
          <w:p w14:paraId="6365993C"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2,136 </w:t>
            </w:r>
          </w:p>
        </w:tc>
        <w:tc>
          <w:tcPr>
            <w:tcW w:w="715" w:type="dxa"/>
            <w:shd w:val="clear" w:color="auto" w:fill="auto"/>
            <w:noWrap/>
            <w:hideMark/>
          </w:tcPr>
          <w:p w14:paraId="4BB46EF5"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10.9%</w:t>
            </w:r>
          </w:p>
        </w:tc>
        <w:tc>
          <w:tcPr>
            <w:tcW w:w="1142" w:type="dxa"/>
            <w:shd w:val="clear" w:color="auto" w:fill="auto"/>
          </w:tcPr>
          <w:p w14:paraId="641196E0"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6992D855" w14:textId="77777777" w:rsidTr="00607BDA">
        <w:tc>
          <w:tcPr>
            <w:tcW w:w="423" w:type="dxa"/>
            <w:shd w:val="clear" w:color="auto" w:fill="auto"/>
            <w:noWrap/>
            <w:hideMark/>
          </w:tcPr>
          <w:p w14:paraId="5A296911"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3023</w:t>
            </w:r>
          </w:p>
        </w:tc>
        <w:tc>
          <w:tcPr>
            <w:tcW w:w="3000" w:type="dxa"/>
            <w:shd w:val="clear" w:color="auto" w:fill="auto"/>
            <w:noWrap/>
            <w:hideMark/>
          </w:tcPr>
          <w:p w14:paraId="01B0A937"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palliative medicine following referral of the patient to him or her by a referring practitioner--each attendance (other than a service to which item 3028 applies) after the first in a single course of treatment</w:t>
            </w:r>
          </w:p>
        </w:tc>
        <w:tc>
          <w:tcPr>
            <w:tcW w:w="715" w:type="dxa"/>
            <w:shd w:val="clear" w:color="auto" w:fill="auto"/>
            <w:noWrap/>
            <w:hideMark/>
          </w:tcPr>
          <w:p w14:paraId="71585601"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$110.75 </w:t>
            </w:r>
          </w:p>
        </w:tc>
        <w:tc>
          <w:tcPr>
            <w:tcW w:w="1011" w:type="dxa"/>
            <w:shd w:val="clear" w:color="auto" w:fill="auto"/>
            <w:noWrap/>
            <w:hideMark/>
          </w:tcPr>
          <w:p w14:paraId="64E858F4"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$281,552 </w:t>
            </w:r>
          </w:p>
        </w:tc>
        <w:tc>
          <w:tcPr>
            <w:tcW w:w="858" w:type="dxa"/>
            <w:shd w:val="clear" w:color="auto" w:fill="auto"/>
            <w:noWrap/>
            <w:hideMark/>
          </w:tcPr>
          <w:p w14:paraId="40A96B79"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2,968 </w:t>
            </w:r>
          </w:p>
        </w:tc>
        <w:tc>
          <w:tcPr>
            <w:tcW w:w="715" w:type="dxa"/>
            <w:shd w:val="clear" w:color="auto" w:fill="auto"/>
            <w:noWrap/>
            <w:hideMark/>
          </w:tcPr>
          <w:p w14:paraId="3E8CCAD6"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13.8%</w:t>
            </w:r>
          </w:p>
        </w:tc>
        <w:tc>
          <w:tcPr>
            <w:tcW w:w="1142" w:type="dxa"/>
            <w:shd w:val="clear" w:color="auto" w:fill="auto"/>
          </w:tcPr>
          <w:p w14:paraId="3A4E5154"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577F9E33" w14:textId="77777777" w:rsidTr="00607BDA">
        <w:tc>
          <w:tcPr>
            <w:tcW w:w="423" w:type="dxa"/>
            <w:shd w:val="clear" w:color="auto" w:fill="auto"/>
            <w:noWrap/>
            <w:hideMark/>
          </w:tcPr>
          <w:p w14:paraId="41822665"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3028</w:t>
            </w:r>
          </w:p>
        </w:tc>
        <w:tc>
          <w:tcPr>
            <w:tcW w:w="3000" w:type="dxa"/>
            <w:shd w:val="clear" w:color="auto" w:fill="auto"/>
            <w:noWrap/>
            <w:hideMark/>
          </w:tcPr>
          <w:p w14:paraId="3907D1A6"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palliative medicine following referral of the patient to him or her by a referring practitioner--each minor attendance after the first attendance in a single course of treatment</w:t>
            </w:r>
          </w:p>
        </w:tc>
        <w:tc>
          <w:tcPr>
            <w:tcW w:w="715" w:type="dxa"/>
            <w:shd w:val="clear" w:color="auto" w:fill="auto"/>
            <w:noWrap/>
            <w:hideMark/>
          </w:tcPr>
          <w:p w14:paraId="7C02A8CA"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$79.75 </w:t>
            </w:r>
          </w:p>
        </w:tc>
        <w:tc>
          <w:tcPr>
            <w:tcW w:w="1011" w:type="dxa"/>
            <w:shd w:val="clear" w:color="auto" w:fill="auto"/>
            <w:noWrap/>
            <w:hideMark/>
          </w:tcPr>
          <w:p w14:paraId="0D124546"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$68 </w:t>
            </w:r>
          </w:p>
        </w:tc>
        <w:tc>
          <w:tcPr>
            <w:tcW w:w="858" w:type="dxa"/>
            <w:shd w:val="clear" w:color="auto" w:fill="auto"/>
            <w:noWrap/>
            <w:hideMark/>
          </w:tcPr>
          <w:p w14:paraId="10F83386"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1 </w:t>
            </w:r>
          </w:p>
        </w:tc>
        <w:tc>
          <w:tcPr>
            <w:tcW w:w="715" w:type="dxa"/>
            <w:shd w:val="clear" w:color="auto" w:fill="auto"/>
            <w:noWrap/>
            <w:hideMark/>
          </w:tcPr>
          <w:p w14:paraId="1CDD4BC9"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-62.8%</w:t>
            </w:r>
          </w:p>
        </w:tc>
        <w:tc>
          <w:tcPr>
            <w:tcW w:w="1142" w:type="dxa"/>
            <w:shd w:val="clear" w:color="auto" w:fill="auto"/>
          </w:tcPr>
          <w:p w14:paraId="70B12905"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794514F7" w14:textId="77777777" w:rsidTr="00607BDA">
        <w:tc>
          <w:tcPr>
            <w:tcW w:w="423" w:type="dxa"/>
            <w:shd w:val="clear" w:color="auto" w:fill="auto"/>
            <w:noWrap/>
            <w:hideMark/>
          </w:tcPr>
          <w:p w14:paraId="55E4EE42"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6007</w:t>
            </w:r>
          </w:p>
        </w:tc>
        <w:tc>
          <w:tcPr>
            <w:tcW w:w="3000" w:type="dxa"/>
            <w:shd w:val="clear" w:color="auto" w:fill="auto"/>
            <w:noWrap/>
            <w:hideMark/>
          </w:tcPr>
          <w:p w14:paraId="4A952AC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neurosurgery following referral of the patient to him or her--an attendance (other than a second or subsequent attendance in a single course of treatment) at consulting rooms or hospital</w:t>
            </w:r>
          </w:p>
        </w:tc>
        <w:tc>
          <w:tcPr>
            <w:tcW w:w="715" w:type="dxa"/>
            <w:shd w:val="clear" w:color="auto" w:fill="auto"/>
            <w:noWrap/>
            <w:hideMark/>
          </w:tcPr>
          <w:p w14:paraId="5795DA3F"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$129.60 </w:t>
            </w:r>
          </w:p>
        </w:tc>
        <w:tc>
          <w:tcPr>
            <w:tcW w:w="1011" w:type="dxa"/>
            <w:shd w:val="clear" w:color="auto" w:fill="auto"/>
            <w:noWrap/>
            <w:hideMark/>
          </w:tcPr>
          <w:p w14:paraId="2AE27C34"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$10,783,437 </w:t>
            </w:r>
          </w:p>
        </w:tc>
        <w:tc>
          <w:tcPr>
            <w:tcW w:w="858" w:type="dxa"/>
            <w:shd w:val="clear" w:color="auto" w:fill="auto"/>
            <w:noWrap/>
            <w:hideMark/>
          </w:tcPr>
          <w:p w14:paraId="4DC39E26"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91,467 </w:t>
            </w:r>
          </w:p>
        </w:tc>
        <w:tc>
          <w:tcPr>
            <w:tcW w:w="715" w:type="dxa"/>
            <w:shd w:val="clear" w:color="auto" w:fill="auto"/>
            <w:noWrap/>
            <w:hideMark/>
          </w:tcPr>
          <w:p w14:paraId="6496E7AD"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4.0%</w:t>
            </w:r>
          </w:p>
        </w:tc>
        <w:tc>
          <w:tcPr>
            <w:tcW w:w="1142" w:type="dxa"/>
            <w:shd w:val="clear" w:color="auto" w:fill="auto"/>
          </w:tcPr>
          <w:p w14:paraId="0C42C9D1"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704E68B8" w14:textId="77777777" w:rsidTr="00607BDA">
        <w:tc>
          <w:tcPr>
            <w:tcW w:w="423" w:type="dxa"/>
            <w:shd w:val="clear" w:color="auto" w:fill="auto"/>
            <w:noWrap/>
            <w:hideMark/>
          </w:tcPr>
          <w:p w14:paraId="6A4230DA"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6009</w:t>
            </w:r>
          </w:p>
        </w:tc>
        <w:tc>
          <w:tcPr>
            <w:tcW w:w="3000" w:type="dxa"/>
            <w:shd w:val="clear" w:color="auto" w:fill="auto"/>
            <w:noWrap/>
            <w:hideMark/>
          </w:tcPr>
          <w:p w14:paraId="08591568"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neurosurgery following referral of the patient to him or her--a minor attendance after the first in a single course of treatment at consulting rooms or hospital</w:t>
            </w:r>
          </w:p>
        </w:tc>
        <w:tc>
          <w:tcPr>
            <w:tcW w:w="715" w:type="dxa"/>
            <w:shd w:val="clear" w:color="auto" w:fill="auto"/>
            <w:noWrap/>
            <w:hideMark/>
          </w:tcPr>
          <w:p w14:paraId="5C96F412"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$43.00 </w:t>
            </w:r>
          </w:p>
        </w:tc>
        <w:tc>
          <w:tcPr>
            <w:tcW w:w="1011" w:type="dxa"/>
            <w:shd w:val="clear" w:color="auto" w:fill="auto"/>
            <w:noWrap/>
            <w:hideMark/>
          </w:tcPr>
          <w:p w14:paraId="261E46B5"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$2,129,180 </w:t>
            </w:r>
          </w:p>
        </w:tc>
        <w:tc>
          <w:tcPr>
            <w:tcW w:w="858" w:type="dxa"/>
            <w:shd w:val="clear" w:color="auto" w:fill="auto"/>
            <w:noWrap/>
            <w:hideMark/>
          </w:tcPr>
          <w:p w14:paraId="728B645E"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54,283 </w:t>
            </w:r>
          </w:p>
        </w:tc>
        <w:tc>
          <w:tcPr>
            <w:tcW w:w="715" w:type="dxa"/>
            <w:shd w:val="clear" w:color="auto" w:fill="auto"/>
            <w:noWrap/>
            <w:hideMark/>
          </w:tcPr>
          <w:p w14:paraId="68966973"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0.9%</w:t>
            </w:r>
          </w:p>
        </w:tc>
        <w:tc>
          <w:tcPr>
            <w:tcW w:w="1142" w:type="dxa"/>
            <w:shd w:val="clear" w:color="auto" w:fill="auto"/>
          </w:tcPr>
          <w:p w14:paraId="6D5851FE"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6362F206" w14:textId="77777777" w:rsidTr="00607BDA">
        <w:tc>
          <w:tcPr>
            <w:tcW w:w="423" w:type="dxa"/>
            <w:shd w:val="clear" w:color="auto" w:fill="auto"/>
            <w:noWrap/>
            <w:hideMark/>
          </w:tcPr>
          <w:p w14:paraId="0B1446F8"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6011</w:t>
            </w:r>
          </w:p>
        </w:tc>
        <w:tc>
          <w:tcPr>
            <w:tcW w:w="3000" w:type="dxa"/>
            <w:shd w:val="clear" w:color="auto" w:fill="auto"/>
            <w:noWrap/>
            <w:hideMark/>
          </w:tcPr>
          <w:p w14:paraId="23F34FC4"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neurosurgery following referral of the patient to him or her--an attendance after the first in a single course of treatment, involving an extensive and comprehensive examination, arranging any necessary investigations in relation to one or more complex problems and of more than 15 minutes in duration but not more than 30 minutes in duration at consulting rooms or hospital</w:t>
            </w:r>
          </w:p>
        </w:tc>
        <w:tc>
          <w:tcPr>
            <w:tcW w:w="715" w:type="dxa"/>
            <w:shd w:val="clear" w:color="auto" w:fill="auto"/>
            <w:noWrap/>
            <w:hideMark/>
          </w:tcPr>
          <w:p w14:paraId="4847EA78"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$85.55 </w:t>
            </w:r>
          </w:p>
        </w:tc>
        <w:tc>
          <w:tcPr>
            <w:tcW w:w="1011" w:type="dxa"/>
            <w:shd w:val="clear" w:color="auto" w:fill="auto"/>
            <w:noWrap/>
            <w:hideMark/>
          </w:tcPr>
          <w:p w14:paraId="09FAD663"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$5,951,516 </w:t>
            </w:r>
          </w:p>
        </w:tc>
        <w:tc>
          <w:tcPr>
            <w:tcW w:w="858" w:type="dxa"/>
            <w:shd w:val="clear" w:color="auto" w:fill="auto"/>
            <w:noWrap/>
            <w:hideMark/>
          </w:tcPr>
          <w:p w14:paraId="76FF50CE"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77,146 </w:t>
            </w:r>
          </w:p>
        </w:tc>
        <w:tc>
          <w:tcPr>
            <w:tcW w:w="715" w:type="dxa"/>
            <w:shd w:val="clear" w:color="auto" w:fill="auto"/>
            <w:noWrap/>
            <w:hideMark/>
          </w:tcPr>
          <w:p w14:paraId="3BCBDB8F"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3.9%</w:t>
            </w:r>
          </w:p>
        </w:tc>
        <w:tc>
          <w:tcPr>
            <w:tcW w:w="1142" w:type="dxa"/>
            <w:shd w:val="clear" w:color="auto" w:fill="auto"/>
          </w:tcPr>
          <w:p w14:paraId="16B2C602"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656CDB4C" w14:textId="77777777" w:rsidTr="00607BDA">
        <w:tc>
          <w:tcPr>
            <w:tcW w:w="423" w:type="dxa"/>
            <w:shd w:val="clear" w:color="auto" w:fill="auto"/>
            <w:noWrap/>
            <w:hideMark/>
          </w:tcPr>
          <w:p w14:paraId="65EBABF7"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6013</w:t>
            </w:r>
          </w:p>
        </w:tc>
        <w:tc>
          <w:tcPr>
            <w:tcW w:w="3000" w:type="dxa"/>
            <w:shd w:val="clear" w:color="auto" w:fill="auto"/>
            <w:noWrap/>
            <w:hideMark/>
          </w:tcPr>
          <w:p w14:paraId="1D311021"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neurosurgery following referral of the patient to him or her--an attendance after the first in a single course of treatment, involving a detailed and comprehensive examination, arranging any necessary investigations in relation to one or more complex problems and of more than 30 minutes in duration but not more than 45 minutes in duration at consulting rooms or hospital</w:t>
            </w:r>
          </w:p>
        </w:tc>
        <w:tc>
          <w:tcPr>
            <w:tcW w:w="715" w:type="dxa"/>
            <w:shd w:val="clear" w:color="auto" w:fill="auto"/>
            <w:noWrap/>
            <w:hideMark/>
          </w:tcPr>
          <w:p w14:paraId="7E447CF4"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$118.50 </w:t>
            </w:r>
          </w:p>
        </w:tc>
        <w:tc>
          <w:tcPr>
            <w:tcW w:w="1011" w:type="dxa"/>
            <w:shd w:val="clear" w:color="auto" w:fill="auto"/>
            <w:noWrap/>
            <w:hideMark/>
          </w:tcPr>
          <w:p w14:paraId="247A9AF9"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$994,519 </w:t>
            </w:r>
          </w:p>
        </w:tc>
        <w:tc>
          <w:tcPr>
            <w:tcW w:w="858" w:type="dxa"/>
            <w:shd w:val="clear" w:color="auto" w:fill="auto"/>
            <w:noWrap/>
            <w:hideMark/>
          </w:tcPr>
          <w:p w14:paraId="0E97FF87"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9,841 </w:t>
            </w:r>
          </w:p>
        </w:tc>
        <w:tc>
          <w:tcPr>
            <w:tcW w:w="715" w:type="dxa"/>
            <w:shd w:val="clear" w:color="auto" w:fill="auto"/>
            <w:noWrap/>
            <w:hideMark/>
          </w:tcPr>
          <w:p w14:paraId="783292F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19.6%</w:t>
            </w:r>
          </w:p>
        </w:tc>
        <w:tc>
          <w:tcPr>
            <w:tcW w:w="1142" w:type="dxa"/>
            <w:shd w:val="clear" w:color="auto" w:fill="auto"/>
          </w:tcPr>
          <w:p w14:paraId="473C0A88"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31E8690A" w14:textId="77777777" w:rsidTr="00607BDA">
        <w:tc>
          <w:tcPr>
            <w:tcW w:w="423" w:type="dxa"/>
            <w:shd w:val="clear" w:color="auto" w:fill="auto"/>
            <w:noWrap/>
            <w:hideMark/>
          </w:tcPr>
          <w:p w14:paraId="1C25CEEC"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6015</w:t>
            </w:r>
          </w:p>
        </w:tc>
        <w:tc>
          <w:tcPr>
            <w:tcW w:w="3000" w:type="dxa"/>
            <w:shd w:val="clear" w:color="auto" w:fill="auto"/>
            <w:noWrap/>
            <w:hideMark/>
          </w:tcPr>
          <w:p w14:paraId="7180052E"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neurosurgery following referral of the patient to him or her--an attendance after the first in a single course of treatment, involving an exhaustive and comprehensive examination, arranging any necessary investigations in relation to one or more complex problems and of more than 45 minutes in duration at consulting rooms or hospital</w:t>
            </w:r>
          </w:p>
        </w:tc>
        <w:tc>
          <w:tcPr>
            <w:tcW w:w="715" w:type="dxa"/>
            <w:shd w:val="clear" w:color="auto" w:fill="auto"/>
            <w:noWrap/>
            <w:hideMark/>
          </w:tcPr>
          <w:p w14:paraId="5753A08F"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$150.90 </w:t>
            </w:r>
          </w:p>
        </w:tc>
        <w:tc>
          <w:tcPr>
            <w:tcW w:w="1011" w:type="dxa"/>
            <w:shd w:val="clear" w:color="auto" w:fill="auto"/>
            <w:noWrap/>
            <w:hideMark/>
          </w:tcPr>
          <w:p w14:paraId="3E4368B0"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$226,703 </w:t>
            </w:r>
          </w:p>
        </w:tc>
        <w:tc>
          <w:tcPr>
            <w:tcW w:w="858" w:type="dxa"/>
            <w:shd w:val="clear" w:color="auto" w:fill="auto"/>
            <w:noWrap/>
            <w:hideMark/>
          </w:tcPr>
          <w:p w14:paraId="3B140081"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1,785 </w:t>
            </w:r>
          </w:p>
        </w:tc>
        <w:tc>
          <w:tcPr>
            <w:tcW w:w="715" w:type="dxa"/>
            <w:shd w:val="clear" w:color="auto" w:fill="auto"/>
            <w:noWrap/>
            <w:hideMark/>
          </w:tcPr>
          <w:p w14:paraId="0964232B"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11.7%</w:t>
            </w:r>
          </w:p>
        </w:tc>
        <w:tc>
          <w:tcPr>
            <w:tcW w:w="1142" w:type="dxa"/>
            <w:shd w:val="clear" w:color="auto" w:fill="auto"/>
          </w:tcPr>
          <w:p w14:paraId="61A5D4FA"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173100D4" w14:textId="77777777" w:rsidTr="00607BDA">
        <w:tc>
          <w:tcPr>
            <w:tcW w:w="423" w:type="dxa"/>
            <w:shd w:val="clear" w:color="auto" w:fill="auto"/>
            <w:noWrap/>
          </w:tcPr>
          <w:p w14:paraId="3C1285E4"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6018</w:t>
            </w:r>
          </w:p>
        </w:tc>
        <w:tc>
          <w:tcPr>
            <w:tcW w:w="3000" w:type="dxa"/>
            <w:shd w:val="clear" w:color="auto" w:fill="auto"/>
            <w:noWrap/>
          </w:tcPr>
          <w:p w14:paraId="2DA74CD4"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an addiction medicine specialist in the practice of his or her specialty following referral of the patient to him or her by a referring practitioner, if the attendance: (a) includes a comprehensive assessment; and (b) is the first or only time in a single course of treatment that a comprehensive assessment is provided</w:t>
            </w:r>
          </w:p>
        </w:tc>
        <w:tc>
          <w:tcPr>
            <w:tcW w:w="715" w:type="dxa"/>
            <w:shd w:val="clear" w:color="auto" w:fill="auto"/>
            <w:noWrap/>
          </w:tcPr>
          <w:p w14:paraId="063B220F" w14:textId="77777777" w:rsidR="001E05F9" w:rsidRPr="00C33C0B" w:rsidRDefault="001E05F9" w:rsidP="005626D5">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$150.90 </w:t>
            </w:r>
          </w:p>
          <w:p w14:paraId="2596400A" w14:textId="77777777" w:rsidR="001E05F9" w:rsidRPr="00C33C0B" w:rsidRDefault="001E05F9" w:rsidP="00741A07">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w:t>
            </w:r>
          </w:p>
          <w:p w14:paraId="10238804" w14:textId="77777777" w:rsidR="001E05F9" w:rsidRPr="00C33C0B" w:rsidRDefault="001E05F9" w:rsidP="005626D5">
            <w:pPr>
              <w:spacing w:before="20" w:after="20" w:line="240" w:lineRule="auto"/>
              <w:rPr>
                <w:rFonts w:ascii="Calibri" w:hAnsi="Calibri" w:cs="Calibri"/>
                <w:color w:val="000000"/>
                <w:sz w:val="17"/>
                <w:szCs w:val="17"/>
                <w:lang w:val="en-GB"/>
              </w:rPr>
            </w:pPr>
          </w:p>
        </w:tc>
        <w:tc>
          <w:tcPr>
            <w:tcW w:w="1011" w:type="dxa"/>
            <w:shd w:val="clear" w:color="auto" w:fill="auto"/>
            <w:noWrap/>
          </w:tcPr>
          <w:p w14:paraId="3E25C6C3"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$93,281</w:t>
            </w:r>
          </w:p>
        </w:tc>
        <w:tc>
          <w:tcPr>
            <w:tcW w:w="858" w:type="dxa"/>
            <w:shd w:val="clear" w:color="auto" w:fill="auto"/>
            <w:noWrap/>
          </w:tcPr>
          <w:p w14:paraId="4A47015A"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731</w:t>
            </w:r>
          </w:p>
        </w:tc>
        <w:tc>
          <w:tcPr>
            <w:tcW w:w="715" w:type="dxa"/>
            <w:shd w:val="clear" w:color="auto" w:fill="auto"/>
            <w:noWrap/>
          </w:tcPr>
          <w:p w14:paraId="210BC3B9" w14:textId="77777777" w:rsidR="001E05F9" w:rsidRPr="00C33C0B" w:rsidRDefault="001E05F9" w:rsidP="00501544">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142" w:type="dxa"/>
            <w:shd w:val="clear" w:color="auto" w:fill="auto"/>
          </w:tcPr>
          <w:p w14:paraId="5B604481" w14:textId="77777777" w:rsidR="001E05F9" w:rsidRPr="00C33C0B" w:rsidRDefault="001E05F9" w:rsidP="00501544">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3214114C" w14:textId="77777777" w:rsidTr="00607BDA">
        <w:tc>
          <w:tcPr>
            <w:tcW w:w="423" w:type="dxa"/>
            <w:shd w:val="clear" w:color="auto" w:fill="auto"/>
            <w:noWrap/>
          </w:tcPr>
          <w:p w14:paraId="4DF97113"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6019</w:t>
            </w:r>
          </w:p>
        </w:tc>
        <w:tc>
          <w:tcPr>
            <w:tcW w:w="3000" w:type="dxa"/>
            <w:shd w:val="clear" w:color="auto" w:fill="auto"/>
            <w:noWrap/>
          </w:tcPr>
          <w:p w14:paraId="7573B83F"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an addiction medicine specialist in the practice of his or her specialty following referral of the patient to him or her by a referring practitioner, if the attendance is a patient assessment: (a) before or after a comprehensive assessment under item 6018 in a single course of treatment; or (b) that follows an initial assessment under item 6023 in a single course of treatment; or (c) that follows a review under item 6024 in a single course of treatment</w:t>
            </w:r>
          </w:p>
        </w:tc>
        <w:tc>
          <w:tcPr>
            <w:tcW w:w="715" w:type="dxa"/>
            <w:shd w:val="clear" w:color="auto" w:fill="auto"/>
            <w:noWrap/>
          </w:tcPr>
          <w:p w14:paraId="73703AA0"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$75.50</w:t>
            </w:r>
          </w:p>
        </w:tc>
        <w:tc>
          <w:tcPr>
            <w:tcW w:w="1011" w:type="dxa"/>
            <w:shd w:val="clear" w:color="auto" w:fill="auto"/>
            <w:noWrap/>
          </w:tcPr>
          <w:p w14:paraId="33860223"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$305,606</w:t>
            </w:r>
          </w:p>
        </w:tc>
        <w:tc>
          <w:tcPr>
            <w:tcW w:w="858" w:type="dxa"/>
            <w:shd w:val="clear" w:color="auto" w:fill="auto"/>
            <w:noWrap/>
          </w:tcPr>
          <w:p w14:paraId="370CD5DA"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4,580</w:t>
            </w:r>
          </w:p>
        </w:tc>
        <w:tc>
          <w:tcPr>
            <w:tcW w:w="715" w:type="dxa"/>
            <w:shd w:val="clear" w:color="auto" w:fill="auto"/>
            <w:noWrap/>
          </w:tcPr>
          <w:p w14:paraId="0274DD92"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142" w:type="dxa"/>
            <w:shd w:val="clear" w:color="auto" w:fill="auto"/>
          </w:tcPr>
          <w:p w14:paraId="5864E78E" w14:textId="77777777" w:rsidR="001E05F9" w:rsidRPr="00C33C0B" w:rsidRDefault="001E05F9" w:rsidP="00B276AB">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0F6A453B" w14:textId="77777777" w:rsidTr="00607BDA">
        <w:tc>
          <w:tcPr>
            <w:tcW w:w="423" w:type="dxa"/>
            <w:shd w:val="clear" w:color="auto" w:fill="auto"/>
            <w:noWrap/>
          </w:tcPr>
          <w:p w14:paraId="46E871DE"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6051</w:t>
            </w:r>
          </w:p>
        </w:tc>
        <w:tc>
          <w:tcPr>
            <w:tcW w:w="3000" w:type="dxa"/>
            <w:shd w:val="clear" w:color="auto" w:fill="auto"/>
            <w:noWrap/>
          </w:tcPr>
          <w:p w14:paraId="5E6522A5"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sexual health medicine specialist in the practice of his or her specialty following referral of the patient to him or her by a referring practitioner, if the attendance: (a) includes a comprehensive assessment; and (b) is the first or only time in a single course of treatment that a comprehensive assessment is provided</w:t>
            </w:r>
          </w:p>
        </w:tc>
        <w:tc>
          <w:tcPr>
            <w:tcW w:w="715" w:type="dxa"/>
            <w:shd w:val="clear" w:color="auto" w:fill="auto"/>
            <w:noWrap/>
          </w:tcPr>
          <w:p w14:paraId="68EEFB57"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$150.90</w:t>
            </w:r>
          </w:p>
        </w:tc>
        <w:tc>
          <w:tcPr>
            <w:tcW w:w="1011" w:type="dxa"/>
            <w:shd w:val="clear" w:color="auto" w:fill="auto"/>
            <w:noWrap/>
          </w:tcPr>
          <w:p w14:paraId="332D2BEC"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$172,474</w:t>
            </w:r>
          </w:p>
        </w:tc>
        <w:tc>
          <w:tcPr>
            <w:tcW w:w="858" w:type="dxa"/>
            <w:shd w:val="clear" w:color="auto" w:fill="auto"/>
            <w:noWrap/>
          </w:tcPr>
          <w:p w14:paraId="66FAC51D"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1,324</w:t>
            </w:r>
          </w:p>
        </w:tc>
        <w:tc>
          <w:tcPr>
            <w:tcW w:w="715" w:type="dxa"/>
            <w:shd w:val="clear" w:color="auto" w:fill="auto"/>
            <w:noWrap/>
          </w:tcPr>
          <w:p w14:paraId="3D68D535"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142" w:type="dxa"/>
            <w:shd w:val="clear" w:color="auto" w:fill="auto"/>
          </w:tcPr>
          <w:p w14:paraId="79C82CC4" w14:textId="77777777" w:rsidR="001E05F9" w:rsidRPr="00C33C0B" w:rsidRDefault="001E05F9" w:rsidP="00B276AB">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6CA87F7B" w14:textId="77777777" w:rsidTr="00607BDA">
        <w:tc>
          <w:tcPr>
            <w:tcW w:w="423" w:type="dxa"/>
            <w:shd w:val="clear" w:color="auto" w:fill="auto"/>
            <w:noWrap/>
          </w:tcPr>
          <w:p w14:paraId="7AEE9CCE"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6052</w:t>
            </w:r>
          </w:p>
        </w:tc>
        <w:tc>
          <w:tcPr>
            <w:tcW w:w="3000" w:type="dxa"/>
            <w:shd w:val="clear" w:color="auto" w:fill="auto"/>
            <w:noWrap/>
          </w:tcPr>
          <w:p w14:paraId="2F0289C4"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sexual health medicine specialist in the practice of his or her specialty following referral of the patient to him or her by a referring practitioner, if the attendance is a patient assessment: (a) before or after a comprehensive assessment under item 6051 in a single course of treatment; or (b) that follows an initial assessment under item 6057 in a single course of treatment; or (c) that follows a review under item 6058 in a single course of treatment</w:t>
            </w:r>
          </w:p>
        </w:tc>
        <w:tc>
          <w:tcPr>
            <w:tcW w:w="715" w:type="dxa"/>
            <w:shd w:val="clear" w:color="auto" w:fill="auto"/>
            <w:noWrap/>
          </w:tcPr>
          <w:p w14:paraId="0F6BF2A8"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$75.50</w:t>
            </w:r>
          </w:p>
        </w:tc>
        <w:tc>
          <w:tcPr>
            <w:tcW w:w="1011" w:type="dxa"/>
            <w:shd w:val="clear" w:color="auto" w:fill="auto"/>
            <w:noWrap/>
          </w:tcPr>
          <w:p w14:paraId="3B48D153"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$221,276</w:t>
            </w:r>
          </w:p>
        </w:tc>
        <w:tc>
          <w:tcPr>
            <w:tcW w:w="858" w:type="dxa"/>
            <w:shd w:val="clear" w:color="auto" w:fill="auto"/>
            <w:noWrap/>
          </w:tcPr>
          <w:p w14:paraId="73934320"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3,358</w:t>
            </w:r>
          </w:p>
        </w:tc>
        <w:tc>
          <w:tcPr>
            <w:tcW w:w="715" w:type="dxa"/>
            <w:shd w:val="clear" w:color="auto" w:fill="auto"/>
            <w:noWrap/>
          </w:tcPr>
          <w:p w14:paraId="73832AFE"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142" w:type="dxa"/>
            <w:shd w:val="clear" w:color="auto" w:fill="auto"/>
          </w:tcPr>
          <w:p w14:paraId="0A154298" w14:textId="77777777" w:rsidR="001E05F9" w:rsidRPr="00C33C0B" w:rsidRDefault="001E05F9" w:rsidP="00B276AB">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340B6BC5" w14:textId="77777777" w:rsidTr="00607BDA">
        <w:tc>
          <w:tcPr>
            <w:tcW w:w="423" w:type="dxa"/>
            <w:shd w:val="clear" w:color="auto" w:fill="auto"/>
            <w:noWrap/>
          </w:tcPr>
          <w:p w14:paraId="172F8FB7"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6062</w:t>
            </w:r>
          </w:p>
        </w:tc>
        <w:tc>
          <w:tcPr>
            <w:tcW w:w="3000" w:type="dxa"/>
            <w:shd w:val="clear" w:color="auto" w:fill="auto"/>
            <w:noWrap/>
          </w:tcPr>
          <w:p w14:paraId="16A9270A"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a hospital by a sexual health medicine specialist in the practice of his or her specialty following referral of the patient to him or her by a referring practitioner--initial attendance in a single course of treatment</w:t>
            </w:r>
          </w:p>
        </w:tc>
        <w:tc>
          <w:tcPr>
            <w:tcW w:w="715" w:type="dxa"/>
            <w:shd w:val="clear" w:color="auto" w:fill="auto"/>
            <w:noWrap/>
          </w:tcPr>
          <w:p w14:paraId="724B7003"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$183.10</w:t>
            </w:r>
          </w:p>
        </w:tc>
        <w:tc>
          <w:tcPr>
            <w:tcW w:w="1011" w:type="dxa"/>
            <w:shd w:val="clear" w:color="auto" w:fill="auto"/>
            <w:noWrap/>
          </w:tcPr>
          <w:p w14:paraId="53152AEF"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$246</w:t>
            </w:r>
          </w:p>
        </w:tc>
        <w:tc>
          <w:tcPr>
            <w:tcW w:w="858" w:type="dxa"/>
            <w:shd w:val="clear" w:color="auto" w:fill="auto"/>
            <w:noWrap/>
          </w:tcPr>
          <w:p w14:paraId="6E1CF8CD"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w:t>
            </w:r>
          </w:p>
        </w:tc>
        <w:tc>
          <w:tcPr>
            <w:tcW w:w="715" w:type="dxa"/>
            <w:shd w:val="clear" w:color="auto" w:fill="auto"/>
            <w:noWrap/>
          </w:tcPr>
          <w:p w14:paraId="6881B27A"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142" w:type="dxa"/>
            <w:shd w:val="clear" w:color="auto" w:fill="auto"/>
          </w:tcPr>
          <w:p w14:paraId="52A8E2A3" w14:textId="77777777" w:rsidR="001E05F9" w:rsidRPr="00C33C0B" w:rsidRDefault="001E05F9" w:rsidP="00B276AB">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r w:rsidR="001E05F9" w:rsidRPr="00C33C0B" w14:paraId="4ED8FB51" w14:textId="77777777" w:rsidTr="00607BDA">
        <w:tc>
          <w:tcPr>
            <w:tcW w:w="423" w:type="dxa"/>
            <w:shd w:val="clear" w:color="auto" w:fill="auto"/>
            <w:noWrap/>
          </w:tcPr>
          <w:p w14:paraId="35323544"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6063</w:t>
            </w:r>
          </w:p>
        </w:tc>
        <w:tc>
          <w:tcPr>
            <w:tcW w:w="3000" w:type="dxa"/>
            <w:shd w:val="clear" w:color="auto" w:fill="auto"/>
            <w:noWrap/>
          </w:tcPr>
          <w:p w14:paraId="62323D3B"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a hospital by a sexual health medicine specialist in the practice of his or her specialty following referral of the patient to him or her by a referring practitioner--each attendance after the attendance under item 6062 in a single course of treatment</w:t>
            </w:r>
          </w:p>
        </w:tc>
        <w:tc>
          <w:tcPr>
            <w:tcW w:w="715" w:type="dxa"/>
            <w:shd w:val="clear" w:color="auto" w:fill="auto"/>
            <w:noWrap/>
          </w:tcPr>
          <w:p w14:paraId="3C63DDDF"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$110.75</w:t>
            </w:r>
          </w:p>
        </w:tc>
        <w:tc>
          <w:tcPr>
            <w:tcW w:w="1011" w:type="dxa"/>
            <w:shd w:val="clear" w:color="auto" w:fill="auto"/>
            <w:noWrap/>
          </w:tcPr>
          <w:p w14:paraId="5E437AE4"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$188</w:t>
            </w:r>
          </w:p>
        </w:tc>
        <w:tc>
          <w:tcPr>
            <w:tcW w:w="858" w:type="dxa"/>
            <w:shd w:val="clear" w:color="auto" w:fill="auto"/>
            <w:noWrap/>
          </w:tcPr>
          <w:p w14:paraId="5DCE7696"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w:t>
            </w:r>
          </w:p>
        </w:tc>
        <w:tc>
          <w:tcPr>
            <w:tcW w:w="715" w:type="dxa"/>
            <w:shd w:val="clear" w:color="auto" w:fill="auto"/>
            <w:noWrap/>
          </w:tcPr>
          <w:p w14:paraId="54A838B3" w14:textId="77777777" w:rsidR="001E05F9" w:rsidRPr="00C33C0B" w:rsidRDefault="001E05F9" w:rsidP="00B276AB">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142" w:type="dxa"/>
            <w:shd w:val="clear" w:color="auto" w:fill="auto"/>
          </w:tcPr>
          <w:p w14:paraId="54940D8F" w14:textId="77777777" w:rsidR="001E05F9" w:rsidRPr="00C33C0B" w:rsidRDefault="001E05F9" w:rsidP="00B276AB">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p>
        </w:tc>
      </w:tr>
    </w:tbl>
    <w:p w14:paraId="752E407E" w14:textId="77777777" w:rsidR="00E76A74" w:rsidRPr="00C33C0B" w:rsidRDefault="00E76A74" w:rsidP="00FB4475">
      <w:pPr>
        <w:rPr>
          <w:lang w:val="en-GB"/>
        </w:rPr>
      </w:pPr>
    </w:p>
    <w:p w14:paraId="0A6D1B76" w14:textId="77777777" w:rsidR="0063055E" w:rsidRPr="00C33C0B" w:rsidRDefault="005E0DEC" w:rsidP="0063055E">
      <w:pPr>
        <w:pStyle w:val="Heading2"/>
        <w:numPr>
          <w:ilvl w:val="0"/>
          <w:numId w:val="0"/>
        </w:numPr>
        <w:rPr>
          <w:lang w:val="en-GB"/>
        </w:rPr>
      </w:pPr>
      <w:bookmarkStart w:id="257" w:name="_Toc521442217"/>
      <w:bookmarkStart w:id="258" w:name="_Toc24544757"/>
      <w:bookmarkStart w:id="259" w:name="_Toc521442216"/>
      <w:r>
        <w:rPr>
          <w:lang w:val="en-GB"/>
        </w:rPr>
        <w:t>A.2</w:t>
      </w:r>
      <w:r w:rsidR="0063055E" w:rsidRPr="00C33C0B">
        <w:rPr>
          <w:lang w:val="en-GB"/>
        </w:rPr>
        <w:t>. Complex management plans attendance items</w:t>
      </w:r>
      <w:bookmarkEnd w:id="257"/>
      <w:bookmarkEnd w:id="258"/>
    </w:p>
    <w:tbl>
      <w:tblPr>
        <w:tblStyle w:val="TableGrid"/>
        <w:tblW w:w="469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Caption w:val="Appendix - A.2 Complex Management plans attendance items"/>
        <w:tblDescription w:val="A.2 is a 7 column table. Column 1 is the item number. Column 2 is the item descriptor. Column 3 is the schedule fee. Column 4 is the benefits paid in financial year 2016/17. Column 5 is services provided in financial year 2016/17. Column 6 is the 5 yearly growth expressed as a percentage. Column 6 is the recommended change to the item. "/>
      </w:tblPr>
      <w:tblGrid>
        <w:gridCol w:w="422"/>
        <w:gridCol w:w="2975"/>
        <w:gridCol w:w="722"/>
        <w:gridCol w:w="1002"/>
        <w:gridCol w:w="630"/>
        <w:gridCol w:w="907"/>
        <w:gridCol w:w="1134"/>
      </w:tblGrid>
      <w:tr w:rsidR="001E05F9" w:rsidRPr="00C33C0B" w14:paraId="4DF66421" w14:textId="77777777" w:rsidTr="00607BDA">
        <w:trPr>
          <w:tblHeader/>
        </w:trPr>
        <w:tc>
          <w:tcPr>
            <w:tcW w:w="424" w:type="dxa"/>
            <w:shd w:val="clear" w:color="auto" w:fill="01653F"/>
            <w:vAlign w:val="bottom"/>
            <w:hideMark/>
          </w:tcPr>
          <w:p w14:paraId="16C330BF" w14:textId="77777777" w:rsidR="001E05F9" w:rsidRPr="00C33C0B" w:rsidRDefault="001E05F9" w:rsidP="0063055E">
            <w:pPr>
              <w:spacing w:before="20" w:after="20" w:line="240" w:lineRule="auto"/>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 xml:space="preserve">Item </w:t>
            </w:r>
            <w:r>
              <w:rPr>
                <w:rFonts w:ascii="Calibri" w:hAnsi="Calibri" w:cs="Calibri"/>
                <w:b/>
                <w:color w:val="FFFFFF" w:themeColor="background1"/>
                <w:sz w:val="17"/>
                <w:szCs w:val="17"/>
                <w:lang w:val="en-GB"/>
              </w:rPr>
              <w:t>n</w:t>
            </w:r>
            <w:r w:rsidRPr="00C33C0B">
              <w:rPr>
                <w:rFonts w:ascii="Calibri" w:hAnsi="Calibri" w:cs="Calibri"/>
                <w:b/>
                <w:color w:val="FFFFFF" w:themeColor="background1"/>
                <w:sz w:val="17"/>
                <w:szCs w:val="17"/>
                <w:lang w:val="en-GB"/>
              </w:rPr>
              <w:t>o.</w:t>
            </w:r>
          </w:p>
        </w:tc>
        <w:tc>
          <w:tcPr>
            <w:tcW w:w="3000" w:type="dxa"/>
            <w:shd w:val="clear" w:color="auto" w:fill="01653F"/>
            <w:vAlign w:val="bottom"/>
            <w:hideMark/>
          </w:tcPr>
          <w:p w14:paraId="5931CFAD" w14:textId="77777777" w:rsidR="001E05F9" w:rsidRPr="00C33C0B" w:rsidRDefault="001E05F9" w:rsidP="0063055E">
            <w:pPr>
              <w:spacing w:before="20" w:after="20" w:line="240" w:lineRule="auto"/>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Item descriptor</w:t>
            </w:r>
          </w:p>
        </w:tc>
        <w:tc>
          <w:tcPr>
            <w:tcW w:w="728" w:type="dxa"/>
            <w:shd w:val="clear" w:color="auto" w:fill="01653F"/>
            <w:vAlign w:val="bottom"/>
            <w:hideMark/>
          </w:tcPr>
          <w:p w14:paraId="66F8F3D7" w14:textId="77777777" w:rsidR="001E05F9" w:rsidRPr="00C33C0B" w:rsidRDefault="001E05F9" w:rsidP="0063055E">
            <w:pPr>
              <w:spacing w:before="20" w:after="20" w:line="240" w:lineRule="auto"/>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 xml:space="preserve">Schedule </w:t>
            </w:r>
            <w:r>
              <w:rPr>
                <w:rFonts w:ascii="Calibri" w:hAnsi="Calibri" w:cs="Calibri"/>
                <w:b/>
                <w:color w:val="FFFFFF" w:themeColor="background1"/>
                <w:sz w:val="17"/>
                <w:szCs w:val="17"/>
                <w:lang w:val="en-GB"/>
              </w:rPr>
              <w:t>f</w:t>
            </w:r>
            <w:r w:rsidRPr="00C33C0B">
              <w:rPr>
                <w:rFonts w:ascii="Calibri" w:hAnsi="Calibri" w:cs="Calibri"/>
                <w:b/>
                <w:color w:val="FFFFFF" w:themeColor="background1"/>
                <w:sz w:val="17"/>
                <w:szCs w:val="17"/>
                <w:lang w:val="en-GB"/>
              </w:rPr>
              <w:t xml:space="preserve">ee </w:t>
            </w:r>
          </w:p>
        </w:tc>
        <w:tc>
          <w:tcPr>
            <w:tcW w:w="1010" w:type="dxa"/>
            <w:shd w:val="clear" w:color="auto" w:fill="01653F"/>
            <w:vAlign w:val="bottom"/>
            <w:hideMark/>
          </w:tcPr>
          <w:p w14:paraId="77AF70B2" w14:textId="77777777" w:rsidR="001E05F9" w:rsidRPr="00C33C0B" w:rsidRDefault="001E05F9" w:rsidP="0063055E">
            <w:pPr>
              <w:spacing w:before="20" w:after="20" w:line="240" w:lineRule="auto"/>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Benefits 2016</w:t>
            </w:r>
            <w:r>
              <w:rPr>
                <w:rFonts w:ascii="Calibri" w:hAnsi="Calibri" w:cs="Calibri"/>
                <w:b/>
                <w:color w:val="FFFFFF" w:themeColor="background1"/>
                <w:sz w:val="17"/>
                <w:szCs w:val="17"/>
                <w:lang w:val="en-GB"/>
              </w:rPr>
              <w:t>/</w:t>
            </w:r>
            <w:r w:rsidRPr="00C33C0B">
              <w:rPr>
                <w:rFonts w:ascii="Calibri" w:hAnsi="Calibri" w:cs="Calibri"/>
                <w:b/>
                <w:color w:val="FFFFFF" w:themeColor="background1"/>
                <w:sz w:val="17"/>
                <w:szCs w:val="17"/>
                <w:lang w:val="en-GB"/>
              </w:rPr>
              <w:t>17</w:t>
            </w:r>
          </w:p>
        </w:tc>
        <w:tc>
          <w:tcPr>
            <w:tcW w:w="635" w:type="dxa"/>
            <w:shd w:val="clear" w:color="auto" w:fill="01653F"/>
            <w:vAlign w:val="bottom"/>
            <w:hideMark/>
          </w:tcPr>
          <w:p w14:paraId="20834498" w14:textId="77777777" w:rsidR="001E05F9" w:rsidRPr="00C33C0B" w:rsidRDefault="001E05F9" w:rsidP="0063055E">
            <w:pPr>
              <w:spacing w:before="20" w:after="20" w:line="240" w:lineRule="auto"/>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Services 2016</w:t>
            </w:r>
            <w:r>
              <w:rPr>
                <w:rFonts w:ascii="Calibri" w:hAnsi="Calibri" w:cs="Calibri"/>
                <w:b/>
                <w:color w:val="FFFFFF" w:themeColor="background1"/>
                <w:sz w:val="17"/>
                <w:szCs w:val="17"/>
                <w:lang w:val="en-GB"/>
              </w:rPr>
              <w:t>/</w:t>
            </w:r>
            <w:r w:rsidRPr="00C33C0B">
              <w:rPr>
                <w:rFonts w:ascii="Calibri" w:hAnsi="Calibri" w:cs="Calibri"/>
                <w:b/>
                <w:color w:val="FFFFFF" w:themeColor="background1"/>
                <w:sz w:val="17"/>
                <w:szCs w:val="17"/>
                <w:lang w:val="en-GB"/>
              </w:rPr>
              <w:t>17</w:t>
            </w:r>
          </w:p>
        </w:tc>
        <w:tc>
          <w:tcPr>
            <w:tcW w:w="914" w:type="dxa"/>
            <w:shd w:val="clear" w:color="auto" w:fill="01653F"/>
            <w:vAlign w:val="bottom"/>
            <w:hideMark/>
          </w:tcPr>
          <w:p w14:paraId="66EB2C4B" w14:textId="77777777" w:rsidR="001E05F9" w:rsidRPr="00C33C0B" w:rsidRDefault="001E05F9" w:rsidP="0063055E">
            <w:pPr>
              <w:spacing w:before="20" w:after="20" w:line="240" w:lineRule="auto"/>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Services 5-year annual avg. growth</w:t>
            </w:r>
          </w:p>
        </w:tc>
        <w:tc>
          <w:tcPr>
            <w:tcW w:w="1143" w:type="dxa"/>
            <w:shd w:val="clear" w:color="auto" w:fill="01653F"/>
            <w:vAlign w:val="bottom"/>
          </w:tcPr>
          <w:p w14:paraId="670F3879" w14:textId="77777777" w:rsidR="001E05F9" w:rsidRPr="00C33C0B" w:rsidRDefault="001E05F9" w:rsidP="0063055E">
            <w:pPr>
              <w:spacing w:before="20" w:after="20" w:line="240" w:lineRule="auto"/>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Recommended change</w:t>
            </w:r>
          </w:p>
        </w:tc>
      </w:tr>
      <w:tr w:rsidR="001E05F9" w:rsidRPr="00C33C0B" w14:paraId="57D1FF1A" w14:textId="77777777" w:rsidTr="00607BDA">
        <w:tc>
          <w:tcPr>
            <w:tcW w:w="424" w:type="dxa"/>
            <w:shd w:val="clear" w:color="auto" w:fill="auto"/>
            <w:noWrap/>
            <w:hideMark/>
          </w:tcPr>
          <w:p w14:paraId="006C2E98"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132</w:t>
            </w:r>
          </w:p>
        </w:tc>
        <w:tc>
          <w:tcPr>
            <w:tcW w:w="3000" w:type="dxa"/>
            <w:shd w:val="clear" w:color="auto" w:fill="auto"/>
            <w:noWrap/>
            <w:hideMark/>
          </w:tcPr>
          <w:p w14:paraId="51442036"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consultant physician in the practice of his or her specialty (other than psychiatry) of at least 45 minutes in duration for an initial assessment of a patient with at least 2 morbidities (which may include complex congenital, developmental and behavioural disorders) following referral of the patient to him or her by a referring practitioner, if: (a) an assessment is undertaken that covers: (i) a comprehensive history, including psychosocial history and medication review; and (ii) comprehensive multi or detailed single organ system assessment; and (iii) the formulation of differential diagnoses; and (b) a consultant physician treatment and management plan of significant complexity is prepared and provided to the referring practitioner, which involves: (i) an opinion on diagnosis and risk assessment; and (ii) treatment options and decisions; and (iii) medication recommendations; and (c) an attendance on the patient to which item 110, 116 or 119 applies did not take place on the same day by the same consultant physician; and (d) this item has not applied to an attendance on the patient in the preceding 12 months by the same consultant physician</w:t>
            </w:r>
          </w:p>
        </w:tc>
        <w:tc>
          <w:tcPr>
            <w:tcW w:w="728" w:type="dxa"/>
            <w:shd w:val="clear" w:color="auto" w:fill="auto"/>
            <w:noWrap/>
            <w:hideMark/>
          </w:tcPr>
          <w:p w14:paraId="3D948ACA"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$263.90 </w:t>
            </w:r>
          </w:p>
        </w:tc>
        <w:tc>
          <w:tcPr>
            <w:tcW w:w="1010" w:type="dxa"/>
            <w:shd w:val="clear" w:color="auto" w:fill="auto"/>
            <w:noWrap/>
            <w:hideMark/>
          </w:tcPr>
          <w:p w14:paraId="069D3E27"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$218,143,379 </w:t>
            </w:r>
          </w:p>
        </w:tc>
        <w:tc>
          <w:tcPr>
            <w:tcW w:w="635" w:type="dxa"/>
            <w:shd w:val="clear" w:color="auto" w:fill="auto"/>
            <w:noWrap/>
            <w:hideMark/>
          </w:tcPr>
          <w:p w14:paraId="59661EAE"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972,726 </w:t>
            </w:r>
          </w:p>
        </w:tc>
        <w:tc>
          <w:tcPr>
            <w:tcW w:w="914" w:type="dxa"/>
            <w:shd w:val="clear" w:color="auto" w:fill="auto"/>
            <w:noWrap/>
            <w:hideMark/>
          </w:tcPr>
          <w:p w14:paraId="3DB3E21C"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11.8%</w:t>
            </w:r>
          </w:p>
        </w:tc>
        <w:tc>
          <w:tcPr>
            <w:tcW w:w="1143" w:type="dxa"/>
            <w:shd w:val="clear" w:color="auto" w:fill="auto"/>
          </w:tcPr>
          <w:p w14:paraId="38F63167" w14:textId="77777777" w:rsidR="001E05F9" w:rsidRPr="00C33C0B" w:rsidRDefault="001E05F9" w:rsidP="0063055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item from MBS; Complex plans to be claimed via standard time-tiered attendances</w:t>
            </w:r>
          </w:p>
        </w:tc>
      </w:tr>
      <w:tr w:rsidR="001E05F9" w:rsidRPr="00C33C0B" w14:paraId="2D0C5E2A" w14:textId="77777777" w:rsidTr="00607BDA">
        <w:tc>
          <w:tcPr>
            <w:tcW w:w="424" w:type="dxa"/>
            <w:shd w:val="clear" w:color="auto" w:fill="auto"/>
            <w:noWrap/>
            <w:hideMark/>
          </w:tcPr>
          <w:p w14:paraId="2E347B9D"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133</w:t>
            </w:r>
          </w:p>
        </w:tc>
        <w:tc>
          <w:tcPr>
            <w:tcW w:w="3000" w:type="dxa"/>
            <w:shd w:val="clear" w:color="auto" w:fill="auto"/>
            <w:noWrap/>
            <w:hideMark/>
          </w:tcPr>
          <w:p w14:paraId="2E76F07B"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at least 20 minutes duration subsequent to the first attendance in a single course of treatment for a review of a patient with at least two morbidities (this can include complex congenital, developmental and behavioural disorders), where</w:t>
            </w:r>
            <w:r>
              <w:rPr>
                <w:rFonts w:ascii="Calibri" w:hAnsi="Calibri" w:cs="Calibri"/>
                <w:color w:val="000000"/>
                <w:sz w:val="17"/>
                <w:szCs w:val="17"/>
                <w:lang w:val="en-GB"/>
              </w:rPr>
              <w:t xml:space="preserve"> </w:t>
            </w:r>
            <w:r w:rsidRPr="00C33C0B">
              <w:rPr>
                <w:rFonts w:ascii="Calibri" w:hAnsi="Calibri" w:cs="Calibri"/>
                <w:color w:val="000000"/>
                <w:sz w:val="17"/>
                <w:szCs w:val="17"/>
                <w:lang w:val="en-GB"/>
              </w:rPr>
              <w:t>a) a review is undertaken that covers:- review of initial presenting problem/s and results of diagnostic investigations- review of responses to treatment and medication plans initiated at time of initial consultation comprehensive multi or detailed single organ system assessment,- review of original and differential diagnoses; and b) a modified consultant physician treatment and management plan is provided to the referring practitioner that involves, where appropriate:- a revised opinion on the diagnosis and risk assessment - treatment options and decisions- revised medication recommendations not being an attendance on a patient in respect of whom, an attendance under item 110, 116 and 119 has been received on the same day by the same consultant physician or locum tenens. being an attendance on a patient in respect of whom, in the preceding 12 months, payment has been made under item 132. item 133 can be provided by either the same consultant physician or a locum tenens. payable no more than twice in any 12 month period.</w:t>
            </w:r>
          </w:p>
        </w:tc>
        <w:tc>
          <w:tcPr>
            <w:tcW w:w="728" w:type="dxa"/>
            <w:shd w:val="clear" w:color="auto" w:fill="auto"/>
            <w:noWrap/>
            <w:hideMark/>
          </w:tcPr>
          <w:p w14:paraId="23F46C3D"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$132.10 </w:t>
            </w:r>
          </w:p>
        </w:tc>
        <w:tc>
          <w:tcPr>
            <w:tcW w:w="1010" w:type="dxa"/>
            <w:shd w:val="clear" w:color="auto" w:fill="auto"/>
            <w:noWrap/>
            <w:hideMark/>
          </w:tcPr>
          <w:p w14:paraId="72E9138F"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$76,504,490 </w:t>
            </w:r>
          </w:p>
        </w:tc>
        <w:tc>
          <w:tcPr>
            <w:tcW w:w="635" w:type="dxa"/>
            <w:shd w:val="clear" w:color="auto" w:fill="auto"/>
            <w:noWrap/>
            <w:hideMark/>
          </w:tcPr>
          <w:p w14:paraId="72A04603"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674,305 </w:t>
            </w:r>
          </w:p>
        </w:tc>
        <w:tc>
          <w:tcPr>
            <w:tcW w:w="914" w:type="dxa"/>
            <w:shd w:val="clear" w:color="auto" w:fill="auto"/>
            <w:noWrap/>
            <w:hideMark/>
          </w:tcPr>
          <w:p w14:paraId="09AAE50B"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12.8%</w:t>
            </w:r>
          </w:p>
        </w:tc>
        <w:tc>
          <w:tcPr>
            <w:tcW w:w="1143" w:type="dxa"/>
            <w:shd w:val="clear" w:color="auto" w:fill="auto"/>
          </w:tcPr>
          <w:p w14:paraId="7C218586" w14:textId="77777777" w:rsidR="001E05F9" w:rsidRPr="00C33C0B" w:rsidRDefault="001E05F9" w:rsidP="0063055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item from MBS; Complex plans to be claimed via standard time-tiered attendances</w:t>
            </w:r>
          </w:p>
        </w:tc>
      </w:tr>
      <w:tr w:rsidR="001E05F9" w:rsidRPr="00C33C0B" w14:paraId="3B9FE9C0" w14:textId="77777777" w:rsidTr="00607BDA">
        <w:tc>
          <w:tcPr>
            <w:tcW w:w="424" w:type="dxa"/>
            <w:shd w:val="clear" w:color="auto" w:fill="auto"/>
            <w:noWrap/>
            <w:hideMark/>
          </w:tcPr>
          <w:p w14:paraId="4E854E18"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135</w:t>
            </w:r>
          </w:p>
        </w:tc>
        <w:tc>
          <w:tcPr>
            <w:tcW w:w="3000" w:type="dxa"/>
            <w:shd w:val="clear" w:color="auto" w:fill="auto"/>
            <w:noWrap/>
            <w:hideMark/>
          </w:tcPr>
          <w:p w14:paraId="6B11CA94"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at least 45 minutes in duration at consulting rooms or hospital, by a consultant physician in the practice of his or her specialty of paediatrics, following referral of the patient to the consultant by a referring practitioner, for assessment, diagnosis and preparation of a treatment and management plan for a patient aged under 13 years with autism or another pervasive developmental disorder, if the consultant paediatrician does all of the following: (a) undertakes a comprehensive assessment and makes a diagnosis (if appropriate, using information provided by an eligible allied health provider); (b) develops a treatment and management plan, which must include the following: (i) an assessment and diagnosis of the patient's condition; (ii) a risk assessment; (iii) treatment options and decisions; (iv) if necessary—medical recommendations; (c) provides a copy of the treatment and management plan to: (i) the referring practitioner; and (ii) one or more allied health providers, if appropriate, for the treatment of the patient;(other than attendance on a patient for whom payment has previously been made under this item or item 137, 139 or 289)</w:t>
            </w:r>
          </w:p>
        </w:tc>
        <w:tc>
          <w:tcPr>
            <w:tcW w:w="728" w:type="dxa"/>
            <w:shd w:val="clear" w:color="auto" w:fill="auto"/>
            <w:noWrap/>
            <w:hideMark/>
          </w:tcPr>
          <w:p w14:paraId="24958422"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$263.90 </w:t>
            </w:r>
          </w:p>
        </w:tc>
        <w:tc>
          <w:tcPr>
            <w:tcW w:w="1010" w:type="dxa"/>
            <w:shd w:val="clear" w:color="auto" w:fill="auto"/>
            <w:noWrap/>
            <w:hideMark/>
          </w:tcPr>
          <w:p w14:paraId="16FAC347"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$2,702,445 </w:t>
            </w:r>
          </w:p>
        </w:tc>
        <w:tc>
          <w:tcPr>
            <w:tcW w:w="635" w:type="dxa"/>
            <w:shd w:val="clear" w:color="auto" w:fill="auto"/>
            <w:noWrap/>
            <w:hideMark/>
          </w:tcPr>
          <w:p w14:paraId="2D2233BD"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11,473 </w:t>
            </w:r>
          </w:p>
        </w:tc>
        <w:tc>
          <w:tcPr>
            <w:tcW w:w="914" w:type="dxa"/>
            <w:shd w:val="clear" w:color="auto" w:fill="auto"/>
            <w:noWrap/>
            <w:hideMark/>
          </w:tcPr>
          <w:p w14:paraId="1427B54D"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6.8%</w:t>
            </w:r>
          </w:p>
        </w:tc>
        <w:tc>
          <w:tcPr>
            <w:tcW w:w="1143" w:type="dxa"/>
            <w:shd w:val="clear" w:color="auto" w:fill="auto"/>
          </w:tcPr>
          <w:p w14:paraId="52630411" w14:textId="77777777" w:rsidR="001E05F9" w:rsidRPr="00C33C0B" w:rsidRDefault="001E05F9" w:rsidP="0063055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Change item descriptor</w:t>
            </w:r>
          </w:p>
        </w:tc>
      </w:tr>
      <w:tr w:rsidR="001E05F9" w:rsidRPr="00C33C0B" w14:paraId="0DD81A59" w14:textId="77777777" w:rsidTr="00607BDA">
        <w:tc>
          <w:tcPr>
            <w:tcW w:w="424" w:type="dxa"/>
            <w:shd w:val="clear" w:color="auto" w:fill="auto"/>
            <w:noWrap/>
            <w:hideMark/>
          </w:tcPr>
          <w:p w14:paraId="00D741F9"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137</w:t>
            </w:r>
          </w:p>
        </w:tc>
        <w:tc>
          <w:tcPr>
            <w:tcW w:w="3000" w:type="dxa"/>
            <w:shd w:val="clear" w:color="auto" w:fill="auto"/>
            <w:noWrap/>
            <w:hideMark/>
          </w:tcPr>
          <w:p w14:paraId="5D0A8B0D"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Specialist or consultant physician, referred consultation for assessment, diagnosis and development of a treatment and management plan for a child with an eligible disability - surgery or hospital professional attendance of at least 45 minutes duration, at consulting rooms or hospital, by a specialist or consultant physician, for assessment, diagnosis and the preparation of a treatment and management plan for a child aged under 13 years, with an eligible disability, who has been referred to the specialist or consultant physician by a referring practitioner, if the specialist or consultant physician does the following:(a) undertakes a comprehensive assessment of the child and forms a diagnosis (using the assistance of one or more allied health providers where appropriate)(b) develops a treatment and management plan which must include the following: (i) the outcomes of the assessment; (ii) the diagnosis or diagnoses; (iii) opinion on risk assessment; (iv) treatment options and decisions; (v) appropriate medication recommendations, where necessary.(c) provides a copy of the treatment and management plan to the: (i) referring practitioner; and (ii) relevant allied health providers (where appropriate).not being an attendance on a child in respect of whom payment has previously been made under this item or items 135, 139 or 289.</w:t>
            </w:r>
          </w:p>
        </w:tc>
        <w:tc>
          <w:tcPr>
            <w:tcW w:w="728" w:type="dxa"/>
            <w:shd w:val="clear" w:color="auto" w:fill="auto"/>
            <w:noWrap/>
            <w:hideMark/>
          </w:tcPr>
          <w:p w14:paraId="78856842"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$263.90 </w:t>
            </w:r>
          </w:p>
        </w:tc>
        <w:tc>
          <w:tcPr>
            <w:tcW w:w="1010" w:type="dxa"/>
            <w:shd w:val="clear" w:color="auto" w:fill="auto"/>
            <w:noWrap/>
            <w:hideMark/>
          </w:tcPr>
          <w:p w14:paraId="30FD9EEB"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$95,585 </w:t>
            </w:r>
          </w:p>
        </w:tc>
        <w:tc>
          <w:tcPr>
            <w:tcW w:w="635" w:type="dxa"/>
            <w:shd w:val="clear" w:color="auto" w:fill="auto"/>
            <w:noWrap/>
            <w:hideMark/>
          </w:tcPr>
          <w:p w14:paraId="0CC6696D"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422 </w:t>
            </w:r>
          </w:p>
        </w:tc>
        <w:tc>
          <w:tcPr>
            <w:tcW w:w="914" w:type="dxa"/>
            <w:shd w:val="clear" w:color="auto" w:fill="auto"/>
            <w:noWrap/>
            <w:hideMark/>
          </w:tcPr>
          <w:p w14:paraId="32C73C16"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-15.4%</w:t>
            </w:r>
          </w:p>
        </w:tc>
        <w:tc>
          <w:tcPr>
            <w:tcW w:w="1143" w:type="dxa"/>
            <w:shd w:val="clear" w:color="auto" w:fill="auto"/>
          </w:tcPr>
          <w:p w14:paraId="2058E864" w14:textId="77777777" w:rsidR="001E05F9" w:rsidRPr="00C33C0B" w:rsidRDefault="001E05F9" w:rsidP="0063055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Change item descriptor</w:t>
            </w:r>
          </w:p>
        </w:tc>
      </w:tr>
      <w:tr w:rsidR="001E05F9" w:rsidRPr="00C33C0B" w14:paraId="4221A7AB" w14:textId="77777777" w:rsidTr="00607BDA">
        <w:tc>
          <w:tcPr>
            <w:tcW w:w="424" w:type="dxa"/>
            <w:shd w:val="clear" w:color="auto" w:fill="auto"/>
            <w:noWrap/>
            <w:hideMark/>
          </w:tcPr>
          <w:p w14:paraId="36778FE4"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141</w:t>
            </w:r>
          </w:p>
        </w:tc>
        <w:tc>
          <w:tcPr>
            <w:tcW w:w="3000" w:type="dxa"/>
            <w:shd w:val="clear" w:color="auto" w:fill="auto"/>
            <w:noWrap/>
            <w:hideMark/>
          </w:tcPr>
          <w:p w14:paraId="23D7E337"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more than 60 minutes in duration at consulting rooms or hospital by a consultant physician or specialist in the practice of his or her specialty of geriatric medicine, if: (a) the patient is at least 65 years old and referred by a medical practitioner practising in general practice (including a general practitioner, but not including a specialist or consultant physician) or a participating nurse practitioner; and (b) the attendance is initiated by the referring practitioner for the provision of a comprehensive assessment and management plan; and (c) during the attendance: (i) the medical, physical, psychological and social aspects of the patient's health are evaluated in detail using appropriately validated assessment tools if indicated (the assessment); and (ii) the patient's various health problems and care needs are identified and prioritised (the formulation); and (iii) a detailed management plan is prepared (the management plan) setting out: (a) the prioritised list of health problems and care needs; and (b) short and longer term management goals; and (c) recommended actions or intervention strategies to be undertaken by the patient's general practitioner or another relevant health care provider that are likely to improve or maintain health status and are readily available and acceptable to the patient and the patient's family and carers; and (iv) the management plan is explained and discussed with the patient and, if appropriate, the patient's family and any carers; and (v) the management plan is communicated in writing to the referring practitioner; and (d) an attendance to which item 104, 105, 107, 108, 110, 116 or 119 applies has not been provided to the patient on the same day by the same practitioner; and (e) an attendance to which this item or item 145 applies has not been provided to the patient by the same practitioner in the preceding 12 months</w:t>
            </w:r>
          </w:p>
        </w:tc>
        <w:tc>
          <w:tcPr>
            <w:tcW w:w="728" w:type="dxa"/>
            <w:shd w:val="clear" w:color="auto" w:fill="auto"/>
            <w:noWrap/>
            <w:hideMark/>
          </w:tcPr>
          <w:p w14:paraId="2C34701A"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$452.65 </w:t>
            </w:r>
          </w:p>
        </w:tc>
        <w:tc>
          <w:tcPr>
            <w:tcW w:w="1010" w:type="dxa"/>
            <w:shd w:val="clear" w:color="auto" w:fill="auto"/>
            <w:noWrap/>
            <w:hideMark/>
          </w:tcPr>
          <w:p w14:paraId="72BD54FB"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$10,917,413 </w:t>
            </w:r>
          </w:p>
        </w:tc>
        <w:tc>
          <w:tcPr>
            <w:tcW w:w="635" w:type="dxa"/>
            <w:shd w:val="clear" w:color="auto" w:fill="auto"/>
            <w:noWrap/>
            <w:hideMark/>
          </w:tcPr>
          <w:p w14:paraId="64722295"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28,433 </w:t>
            </w:r>
          </w:p>
        </w:tc>
        <w:tc>
          <w:tcPr>
            <w:tcW w:w="914" w:type="dxa"/>
            <w:shd w:val="clear" w:color="auto" w:fill="auto"/>
            <w:noWrap/>
            <w:hideMark/>
          </w:tcPr>
          <w:p w14:paraId="09A5A2A5"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15.8%</w:t>
            </w:r>
          </w:p>
        </w:tc>
        <w:tc>
          <w:tcPr>
            <w:tcW w:w="1143" w:type="dxa"/>
            <w:shd w:val="clear" w:color="auto" w:fill="auto"/>
          </w:tcPr>
          <w:p w14:paraId="325D58BA" w14:textId="77777777" w:rsidR="001E05F9" w:rsidRPr="00C33C0B" w:rsidRDefault="00FC6719" w:rsidP="0063055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No change</w:t>
            </w:r>
          </w:p>
        </w:tc>
      </w:tr>
      <w:tr w:rsidR="001E05F9" w:rsidRPr="00C33C0B" w14:paraId="7B8C8DF1" w14:textId="77777777" w:rsidTr="00607BDA">
        <w:tc>
          <w:tcPr>
            <w:tcW w:w="424" w:type="dxa"/>
            <w:shd w:val="clear" w:color="auto" w:fill="auto"/>
            <w:noWrap/>
            <w:hideMark/>
          </w:tcPr>
          <w:p w14:paraId="202A2BA2"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143</w:t>
            </w:r>
          </w:p>
        </w:tc>
        <w:tc>
          <w:tcPr>
            <w:tcW w:w="3000" w:type="dxa"/>
            <w:shd w:val="clear" w:color="auto" w:fill="auto"/>
            <w:noWrap/>
            <w:hideMark/>
          </w:tcPr>
          <w:p w14:paraId="0CD89788"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more than 30 minutes in duration at consulting rooms or hospital by a consultant physician or specialist in the practice of his or her specialty of geriatric medicine to review a management plan previously prepared by that consultant physician or specialist under item 141 or 145, if: (a) the review is initiated by the referring medical practitioner practising in general practice or a participating nurse practitioner; and (b) during the attendance: (i) the patient's health status is reassessed; and (ii) a management plan prepared under item 141 or 145 is reviewed and revised; and (iii) the revised management plan is explained to the patient and (if appropriate) the patient's family and any carers and communicated in writing to the referring practitioner; and (c) an attendance to which item 104, 105, 107, 108, 110, 116 or 119 applies was not provided to the patient on the same day by the same practitioner; and (d) an attendance to which item 141 or 145 applies has been provided to the patient by the same practitioner in the preceding 12 months; and (e) an attendance to which this item or item 147 applies has not been provided to the patient in the preceding 12 months, unless there has been a significant change in the patient's clinical condition or care circumstances that requires a further review</w:t>
            </w:r>
          </w:p>
        </w:tc>
        <w:tc>
          <w:tcPr>
            <w:tcW w:w="728" w:type="dxa"/>
            <w:shd w:val="clear" w:color="auto" w:fill="auto"/>
            <w:noWrap/>
            <w:hideMark/>
          </w:tcPr>
          <w:p w14:paraId="6C3A004A"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$282.95 </w:t>
            </w:r>
          </w:p>
        </w:tc>
        <w:tc>
          <w:tcPr>
            <w:tcW w:w="1010" w:type="dxa"/>
            <w:shd w:val="clear" w:color="auto" w:fill="auto"/>
            <w:noWrap/>
            <w:hideMark/>
          </w:tcPr>
          <w:p w14:paraId="082A0674"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$3,318,319 </w:t>
            </w:r>
          </w:p>
        </w:tc>
        <w:tc>
          <w:tcPr>
            <w:tcW w:w="635" w:type="dxa"/>
            <w:shd w:val="clear" w:color="auto" w:fill="auto"/>
            <w:noWrap/>
            <w:hideMark/>
          </w:tcPr>
          <w:p w14:paraId="4F465573"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13,797 </w:t>
            </w:r>
          </w:p>
        </w:tc>
        <w:tc>
          <w:tcPr>
            <w:tcW w:w="914" w:type="dxa"/>
            <w:shd w:val="clear" w:color="auto" w:fill="auto"/>
            <w:noWrap/>
            <w:hideMark/>
          </w:tcPr>
          <w:p w14:paraId="5848F74A"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13.9%</w:t>
            </w:r>
          </w:p>
        </w:tc>
        <w:tc>
          <w:tcPr>
            <w:tcW w:w="1143" w:type="dxa"/>
            <w:shd w:val="clear" w:color="auto" w:fill="auto"/>
          </w:tcPr>
          <w:p w14:paraId="0243BBE9" w14:textId="77777777" w:rsidR="001E05F9" w:rsidRPr="00C33C0B" w:rsidRDefault="00FC6719" w:rsidP="0063055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No change</w:t>
            </w:r>
          </w:p>
        </w:tc>
      </w:tr>
      <w:tr w:rsidR="001E05F9" w:rsidRPr="00C33C0B" w14:paraId="32754C52" w14:textId="77777777" w:rsidTr="00607BDA">
        <w:tc>
          <w:tcPr>
            <w:tcW w:w="424" w:type="dxa"/>
            <w:shd w:val="clear" w:color="auto" w:fill="auto"/>
            <w:noWrap/>
            <w:hideMark/>
          </w:tcPr>
          <w:p w14:paraId="5A2E4E83"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145</w:t>
            </w:r>
          </w:p>
        </w:tc>
        <w:tc>
          <w:tcPr>
            <w:tcW w:w="3000" w:type="dxa"/>
            <w:shd w:val="clear" w:color="auto" w:fill="auto"/>
            <w:noWrap/>
            <w:hideMark/>
          </w:tcPr>
          <w:p w14:paraId="3D86E104"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more than 60 minutes in duration at a place other than consulting rooms or hospital by a consultant physician or specialist in the practice of his or her specialty of geriatric medicine, if: (a) the patient is at least 65 years old and referred by a medical practitioner practising in general practice (including a general practitioner, but not including a specialist or consultant physician) or a participating nurse practitioner; and (b) the attendance is initiated by the referring practitioner for the provision of a comprehensive assessment and management plan; and(c) during the attendance: (i) the medical, physical, psychological and social aspects of the patient's health are evaluated in detail utilising appropriately validated assessment tools if indicated (the assessment); and (ii) the patient's various health problems and care needs are identified and prioritised (the formulation); and (iii) a detailed management plan is prepared (the management plan) setting out: (a) the prioritised list of health problems and care needs; and (b) short and longer term management goals; and (c) recommended actions or intervention strategies, to be undertaken by the patient's general practitioner or another relevant health care provider that are likely to improve or maintain health status and are readily available and acceptable to the patient, the patient's family and any carers; and (iv) the management plan is explained and discussed with the patient and, if appropriate, the patient's family and any carers; and (v) the management plan is communicated in writing to the referring practitioner; and (d) an attendance to which item 104, 105, 107, 108, 110, 116 or 119 applies has not been provided to the patient on the same day by the same practitioner; and (e) an attendance to which this item or item 141 applies has not been provided to the patient by the same practitioner in the preceding 12 months</w:t>
            </w:r>
          </w:p>
        </w:tc>
        <w:tc>
          <w:tcPr>
            <w:tcW w:w="728" w:type="dxa"/>
            <w:shd w:val="clear" w:color="auto" w:fill="auto"/>
            <w:noWrap/>
            <w:hideMark/>
          </w:tcPr>
          <w:p w14:paraId="7A731FBB"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$548.85 </w:t>
            </w:r>
          </w:p>
        </w:tc>
        <w:tc>
          <w:tcPr>
            <w:tcW w:w="1010" w:type="dxa"/>
            <w:shd w:val="clear" w:color="auto" w:fill="auto"/>
            <w:noWrap/>
            <w:hideMark/>
          </w:tcPr>
          <w:p w14:paraId="2D953B80"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$4,938,495 </w:t>
            </w:r>
          </w:p>
        </w:tc>
        <w:tc>
          <w:tcPr>
            <w:tcW w:w="635" w:type="dxa"/>
            <w:shd w:val="clear" w:color="auto" w:fill="auto"/>
            <w:noWrap/>
            <w:hideMark/>
          </w:tcPr>
          <w:p w14:paraId="51186D00"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10,526 </w:t>
            </w:r>
          </w:p>
        </w:tc>
        <w:tc>
          <w:tcPr>
            <w:tcW w:w="914" w:type="dxa"/>
            <w:shd w:val="clear" w:color="auto" w:fill="auto"/>
            <w:noWrap/>
            <w:hideMark/>
          </w:tcPr>
          <w:p w14:paraId="311A6820"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32.9%</w:t>
            </w:r>
          </w:p>
        </w:tc>
        <w:tc>
          <w:tcPr>
            <w:tcW w:w="1143" w:type="dxa"/>
            <w:shd w:val="clear" w:color="auto" w:fill="auto"/>
          </w:tcPr>
          <w:p w14:paraId="5D196645" w14:textId="77777777" w:rsidR="001E05F9" w:rsidRPr="00C33C0B" w:rsidRDefault="00FC6719" w:rsidP="0063055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No change</w:t>
            </w:r>
          </w:p>
        </w:tc>
      </w:tr>
      <w:tr w:rsidR="001E05F9" w:rsidRPr="00C33C0B" w14:paraId="1D16225E" w14:textId="77777777" w:rsidTr="00607BDA">
        <w:tc>
          <w:tcPr>
            <w:tcW w:w="424" w:type="dxa"/>
            <w:shd w:val="clear" w:color="auto" w:fill="auto"/>
            <w:noWrap/>
            <w:hideMark/>
          </w:tcPr>
          <w:p w14:paraId="58FDA4CD"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147</w:t>
            </w:r>
          </w:p>
        </w:tc>
        <w:tc>
          <w:tcPr>
            <w:tcW w:w="3000" w:type="dxa"/>
            <w:shd w:val="clear" w:color="auto" w:fill="auto"/>
            <w:noWrap/>
            <w:hideMark/>
          </w:tcPr>
          <w:p w14:paraId="15A84376"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more than 30 minutes in duration at a place other than consulting rooms or hospital by a consultant physician or specialist in the practice of his or her specialty of geriatric medicine to review a management plan previously prepared by that consultant physician or specialist under items 141 or 145, if: (a) the review is initiated by the referring medical practitioner practising in general practice or a participating nurse practitioner; and (b) during the attendance: (i) the patient's health status is reassessed; and (ii) a management plan that was prepared under item 141 or 145 is reviewed and revised; and (iii) the revised management plan is explained to the patient and (if appropriate) the patient's family and any carers and communicated in writing to the referring practitioner; and (c) an attendance to which item 104, 105, 107, 108, 110, 116 or 119 applies has not been provided to the patient on the same day by the same practitioner; and (d) an attendance to which item 141 or 145 applies has been provided to the patient by the same practitioner in the preceding 12 months; and (e) an attendance to which this item or 143 applies has not been provided by the same practitioner in the preceding 12 months, unless there has been a significant change in the patient's clinical condition or care circumstances that requires a further review</w:t>
            </w:r>
          </w:p>
        </w:tc>
        <w:tc>
          <w:tcPr>
            <w:tcW w:w="728" w:type="dxa"/>
            <w:shd w:val="clear" w:color="auto" w:fill="auto"/>
            <w:noWrap/>
            <w:hideMark/>
          </w:tcPr>
          <w:p w14:paraId="7330CA6C"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$343.10 </w:t>
            </w:r>
          </w:p>
        </w:tc>
        <w:tc>
          <w:tcPr>
            <w:tcW w:w="1010" w:type="dxa"/>
            <w:shd w:val="clear" w:color="auto" w:fill="auto"/>
            <w:noWrap/>
            <w:hideMark/>
          </w:tcPr>
          <w:p w14:paraId="31D29928"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$1,410,833 </w:t>
            </w:r>
          </w:p>
        </w:tc>
        <w:tc>
          <w:tcPr>
            <w:tcW w:w="635" w:type="dxa"/>
            <w:shd w:val="clear" w:color="auto" w:fill="auto"/>
            <w:noWrap/>
            <w:hideMark/>
          </w:tcPr>
          <w:p w14:paraId="774A5A30"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4,835 </w:t>
            </w:r>
          </w:p>
        </w:tc>
        <w:tc>
          <w:tcPr>
            <w:tcW w:w="914" w:type="dxa"/>
            <w:shd w:val="clear" w:color="auto" w:fill="auto"/>
            <w:noWrap/>
            <w:hideMark/>
          </w:tcPr>
          <w:p w14:paraId="7A72C84A"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37.2%</w:t>
            </w:r>
          </w:p>
        </w:tc>
        <w:tc>
          <w:tcPr>
            <w:tcW w:w="1143" w:type="dxa"/>
            <w:shd w:val="clear" w:color="auto" w:fill="auto"/>
          </w:tcPr>
          <w:p w14:paraId="207AAB9B" w14:textId="77777777" w:rsidR="001E05F9" w:rsidRPr="00C33C0B" w:rsidRDefault="00FC6719" w:rsidP="0063055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No change</w:t>
            </w:r>
          </w:p>
        </w:tc>
      </w:tr>
      <w:tr w:rsidR="001E05F9" w:rsidRPr="00C33C0B" w14:paraId="541D06E2" w14:textId="77777777" w:rsidTr="00607BDA">
        <w:tc>
          <w:tcPr>
            <w:tcW w:w="424" w:type="dxa"/>
            <w:shd w:val="clear" w:color="auto" w:fill="auto"/>
            <w:noWrap/>
          </w:tcPr>
          <w:p w14:paraId="75312771"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6023</w:t>
            </w:r>
          </w:p>
        </w:tc>
        <w:tc>
          <w:tcPr>
            <w:tcW w:w="3000" w:type="dxa"/>
            <w:shd w:val="clear" w:color="auto" w:fill="auto"/>
            <w:noWrap/>
          </w:tcPr>
          <w:p w14:paraId="79C31C33"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an addiction medicine specialist in the practice of his or her specialty of at least 45 minutes for an initial assessment of a patient with at least 2 morbidities, following referral of the patient to him or her by a referring practitioner, if: (a) an assessment is undertaken that covers: (i) a comprehensive history, including psychosocial history and medication review; and (ii) a comprehensive multi or detailed single organ system assessment; and (iii) the formulation of differential diagnoses; and (b) an addiction medicine specialist treatment and management plan of significant complexity that includes the following is prepared and provided to the referring practitioner: (i) an opinion on diagnosis and risk assessment; (ii) treatment options and decisions; (iii) medication recommendations; and (c) an attendance on the patient to which item 104, 105, 110, 116, 119, 132, 133, 6018 or 6019 applies did not take place on the same day by the same addiction medicine specialist; and (d) neither this item nor item 132 has applied to an attendance on the patient in the preceding 12 months by the same addiction medicine specialist</w:t>
            </w:r>
          </w:p>
        </w:tc>
        <w:tc>
          <w:tcPr>
            <w:tcW w:w="728" w:type="dxa"/>
            <w:shd w:val="clear" w:color="auto" w:fill="auto"/>
            <w:noWrap/>
          </w:tcPr>
          <w:p w14:paraId="4D1DBDFF"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$263.90</w:t>
            </w:r>
          </w:p>
        </w:tc>
        <w:tc>
          <w:tcPr>
            <w:tcW w:w="1010" w:type="dxa"/>
            <w:shd w:val="clear" w:color="auto" w:fill="auto"/>
            <w:noWrap/>
          </w:tcPr>
          <w:p w14:paraId="090EC804"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$130,001</w:t>
            </w:r>
          </w:p>
        </w:tc>
        <w:tc>
          <w:tcPr>
            <w:tcW w:w="635" w:type="dxa"/>
            <w:shd w:val="clear" w:color="auto" w:fill="auto"/>
            <w:noWrap/>
          </w:tcPr>
          <w:p w14:paraId="171BF5E8"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595</w:t>
            </w:r>
          </w:p>
        </w:tc>
        <w:tc>
          <w:tcPr>
            <w:tcW w:w="914" w:type="dxa"/>
            <w:shd w:val="clear" w:color="auto" w:fill="auto"/>
            <w:noWrap/>
          </w:tcPr>
          <w:p w14:paraId="26B57E74"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143" w:type="dxa"/>
            <w:shd w:val="clear" w:color="auto" w:fill="auto"/>
          </w:tcPr>
          <w:p w14:paraId="1BC0F252" w14:textId="77777777" w:rsidR="001E05F9" w:rsidRPr="00C33C0B" w:rsidRDefault="001E05F9" w:rsidP="0063055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item from MBS; Complex plans to be claimed via standard time-tiered attendances</w:t>
            </w:r>
          </w:p>
        </w:tc>
      </w:tr>
      <w:tr w:rsidR="001E05F9" w:rsidRPr="00C33C0B" w14:paraId="4B86A7C8" w14:textId="77777777" w:rsidTr="00607BDA">
        <w:tc>
          <w:tcPr>
            <w:tcW w:w="424" w:type="dxa"/>
            <w:shd w:val="clear" w:color="auto" w:fill="auto"/>
            <w:noWrap/>
          </w:tcPr>
          <w:p w14:paraId="789DF6CC"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6024</w:t>
            </w:r>
          </w:p>
        </w:tc>
        <w:tc>
          <w:tcPr>
            <w:tcW w:w="3000" w:type="dxa"/>
            <w:shd w:val="clear" w:color="auto" w:fill="auto"/>
            <w:noWrap/>
          </w:tcPr>
          <w:p w14:paraId="5F11E31F"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an addiction medicine specialist in the practice of his or her specialty of at least 20 minutes, after the first attendance in a single course of treatment, for a review of a patient with at least 2 morbidities if: (a) a review is undertaken that covers: (i) review of initial presenting problems and results of diagnostic investigations; and (ii) review of responses to treatment and medication plans initiated at time of initial consultation; and (iii) comprehensive multi or detailed single organ system assessment; and (iv) review of original and differential diagnoses; and (b) the modified addiction medicine specialist treatment and management plan is provided to the referring practitioner, which involves, if appropriate: (i) a revised opinion on diagnosis and risk assessment; and (ii) treatment options and decisions; and (iii) revised medication recommendations; and (c) an attendance on the patient to which item 104, 105, 110, 116, 119, 132, 133, 6018 or 6019 applies did not take place on the same day by the same addiction medicine specialist; and (d) item 6023 applied to an attendance claimed in the preceding 12 months; and (e) the attendance under this item is claimed by the same addiction medicine specialist who claimed item 6023 or by a locum tenens; and (f) this item has not applied more than twice in any 12 month period</w:t>
            </w:r>
          </w:p>
        </w:tc>
        <w:tc>
          <w:tcPr>
            <w:tcW w:w="728" w:type="dxa"/>
            <w:shd w:val="clear" w:color="auto" w:fill="auto"/>
            <w:noWrap/>
          </w:tcPr>
          <w:p w14:paraId="4C431592"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$132.10</w:t>
            </w:r>
          </w:p>
        </w:tc>
        <w:tc>
          <w:tcPr>
            <w:tcW w:w="1010" w:type="dxa"/>
            <w:shd w:val="clear" w:color="auto" w:fill="auto"/>
            <w:noWrap/>
          </w:tcPr>
          <w:p w14:paraId="449F5ECD"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$25,065</w:t>
            </w:r>
          </w:p>
        </w:tc>
        <w:tc>
          <w:tcPr>
            <w:tcW w:w="635" w:type="dxa"/>
            <w:shd w:val="clear" w:color="auto" w:fill="auto"/>
            <w:noWrap/>
          </w:tcPr>
          <w:p w14:paraId="3104B35E"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242</w:t>
            </w:r>
          </w:p>
        </w:tc>
        <w:tc>
          <w:tcPr>
            <w:tcW w:w="914" w:type="dxa"/>
            <w:shd w:val="clear" w:color="auto" w:fill="auto"/>
            <w:noWrap/>
          </w:tcPr>
          <w:p w14:paraId="1C61EF46"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143" w:type="dxa"/>
            <w:shd w:val="clear" w:color="auto" w:fill="auto"/>
          </w:tcPr>
          <w:p w14:paraId="742506E6" w14:textId="77777777" w:rsidR="001E05F9" w:rsidRPr="00C33C0B" w:rsidRDefault="001E05F9" w:rsidP="0063055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item from MBS; Complex plans to be claimed via standard time-tiered attendances</w:t>
            </w:r>
          </w:p>
        </w:tc>
      </w:tr>
      <w:tr w:rsidR="001E05F9" w:rsidRPr="00C33C0B" w14:paraId="3E38B3B6" w14:textId="77777777" w:rsidTr="00607BDA">
        <w:tc>
          <w:tcPr>
            <w:tcW w:w="424" w:type="dxa"/>
            <w:shd w:val="clear" w:color="auto" w:fill="auto"/>
            <w:noWrap/>
          </w:tcPr>
          <w:p w14:paraId="07DF71CF"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6057</w:t>
            </w:r>
          </w:p>
        </w:tc>
        <w:tc>
          <w:tcPr>
            <w:tcW w:w="3000" w:type="dxa"/>
            <w:shd w:val="clear" w:color="auto" w:fill="auto"/>
            <w:noWrap/>
          </w:tcPr>
          <w:p w14:paraId="221DD6FC"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sexual health medicine specialist in the practice of his or her specialty of at least 45 minutes for an initial assessment of a patient with at least 2 morbidities, following referral of the patient to him or her by a referring practitioner, if: (a) an assessment is undertaken that covers: (i) a comprehensive history, including psychosocial history and medication review; and (ii) a comprehensive multi or detailed single organ system assessment; and (iii) the formulation of differential diagnoses; and (b) a sexual health medicine specialist treatment and management plan of significant complexity that includes the following is prepared and provided to the referring practitioner: (i) an opinion on diagnosis and risk assessment; (ii) treatment options and decisions; (iii) medication recommendations; and (c) an attendance on the patient to which item 104, 105, 110, 116, 119, 132, 133, 6051 or 6052 applies did not take place on the same day by the same sexual health medicine specialist; and (d) neither this item nor item 132 has applied to an attendance on the patient in the preceding 12 months by the same sexual health medicine specialist</w:t>
            </w:r>
          </w:p>
        </w:tc>
        <w:tc>
          <w:tcPr>
            <w:tcW w:w="728" w:type="dxa"/>
            <w:shd w:val="clear" w:color="auto" w:fill="auto"/>
            <w:noWrap/>
          </w:tcPr>
          <w:p w14:paraId="6DCD51A5"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$263.90</w:t>
            </w:r>
          </w:p>
        </w:tc>
        <w:tc>
          <w:tcPr>
            <w:tcW w:w="1010" w:type="dxa"/>
            <w:shd w:val="clear" w:color="auto" w:fill="auto"/>
            <w:noWrap/>
          </w:tcPr>
          <w:p w14:paraId="78C20772"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$147,985</w:t>
            </w:r>
          </w:p>
        </w:tc>
        <w:tc>
          <w:tcPr>
            <w:tcW w:w="635" w:type="dxa"/>
            <w:shd w:val="clear" w:color="auto" w:fill="auto"/>
            <w:noWrap/>
          </w:tcPr>
          <w:p w14:paraId="46A49ED1"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657</w:t>
            </w:r>
          </w:p>
        </w:tc>
        <w:tc>
          <w:tcPr>
            <w:tcW w:w="914" w:type="dxa"/>
            <w:shd w:val="clear" w:color="auto" w:fill="auto"/>
            <w:noWrap/>
          </w:tcPr>
          <w:p w14:paraId="346DA240"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143" w:type="dxa"/>
            <w:shd w:val="clear" w:color="auto" w:fill="auto"/>
          </w:tcPr>
          <w:p w14:paraId="6CF6416C" w14:textId="77777777" w:rsidR="001E05F9" w:rsidRPr="00C33C0B" w:rsidRDefault="001E05F9" w:rsidP="0063055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item from MBS; Complex plans to be claimed via standard time-tiered attendances</w:t>
            </w:r>
          </w:p>
        </w:tc>
      </w:tr>
      <w:tr w:rsidR="001E05F9" w:rsidRPr="00C33C0B" w14:paraId="02814A95" w14:textId="77777777" w:rsidTr="00607BDA">
        <w:tc>
          <w:tcPr>
            <w:tcW w:w="424" w:type="dxa"/>
            <w:shd w:val="clear" w:color="auto" w:fill="auto"/>
            <w:noWrap/>
          </w:tcPr>
          <w:p w14:paraId="2053211D"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6058</w:t>
            </w:r>
          </w:p>
        </w:tc>
        <w:tc>
          <w:tcPr>
            <w:tcW w:w="3000" w:type="dxa"/>
            <w:shd w:val="clear" w:color="auto" w:fill="auto"/>
            <w:noWrap/>
          </w:tcPr>
          <w:p w14:paraId="302A20C4"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sexual health medicine specialist in the practice of his or her specialty of at least 20 minutes, after the first attendance in a single course of treatment, for a review of a patient with at least 2 morbidities if: (a) a review is undertaken that covers: (i) review of initial presenting problems and results of diagnostic investigations; and (ii) review of responses to treatment and medication plans initiated at time of initial consultation; and (iii) comprehensive multi or detailed single organ system assessment; and (iv) review of original and differential diagnoses; and (b) the modified sexual health medicine specialist treatment and management plan is provided to the referring practitioner, which involves, if appropriate: (i) a revised opinion on diagnosis and risk assessment; and (ii) treatment options and decisions; and (iii) revised medication recommendations; and (c) an attendance on the patient, being an attendance to which item 104, 105, 110, 116, 119, 132, 133, 6051 or 6052 applies did not take place on the same day by the same sexual health medicine specialist; and (d) item 6057 applied to an attendance claimed in the preceding 12 months; and (e) the attendance under this item is claimed by the same sexual health medicine specialist who claimed item 6057 or by a locum tenens; and (f) this item has not applied more than twice in any 12 month period</w:t>
            </w:r>
          </w:p>
        </w:tc>
        <w:tc>
          <w:tcPr>
            <w:tcW w:w="728" w:type="dxa"/>
            <w:shd w:val="clear" w:color="auto" w:fill="auto"/>
            <w:noWrap/>
          </w:tcPr>
          <w:p w14:paraId="5B37C0C4"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$132.10</w:t>
            </w:r>
          </w:p>
        </w:tc>
        <w:tc>
          <w:tcPr>
            <w:tcW w:w="1010" w:type="dxa"/>
            <w:shd w:val="clear" w:color="auto" w:fill="auto"/>
            <w:noWrap/>
          </w:tcPr>
          <w:p w14:paraId="04EAF693"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$29,857</w:t>
            </w:r>
          </w:p>
        </w:tc>
        <w:tc>
          <w:tcPr>
            <w:tcW w:w="635" w:type="dxa"/>
            <w:shd w:val="clear" w:color="auto" w:fill="auto"/>
            <w:noWrap/>
          </w:tcPr>
          <w:p w14:paraId="450210F0"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263</w:t>
            </w:r>
          </w:p>
        </w:tc>
        <w:tc>
          <w:tcPr>
            <w:tcW w:w="914" w:type="dxa"/>
            <w:shd w:val="clear" w:color="auto" w:fill="auto"/>
            <w:noWrap/>
          </w:tcPr>
          <w:p w14:paraId="7B508F1E" w14:textId="77777777" w:rsidR="001E05F9" w:rsidRPr="00C33C0B" w:rsidRDefault="001E05F9" w:rsidP="0063055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143" w:type="dxa"/>
            <w:shd w:val="clear" w:color="auto" w:fill="auto"/>
          </w:tcPr>
          <w:p w14:paraId="5C8F5A1F" w14:textId="77777777" w:rsidR="001E05F9" w:rsidRPr="00C33C0B" w:rsidRDefault="001E05F9" w:rsidP="0063055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item from MBS; Complex plans to be claimed via standard time-tiered attendances</w:t>
            </w:r>
          </w:p>
        </w:tc>
      </w:tr>
    </w:tbl>
    <w:p w14:paraId="3516D826" w14:textId="77777777" w:rsidR="00E76A74" w:rsidRPr="00C33C0B" w:rsidRDefault="00E76A74" w:rsidP="00E76A74">
      <w:pPr>
        <w:pStyle w:val="Heading2"/>
        <w:numPr>
          <w:ilvl w:val="0"/>
          <w:numId w:val="0"/>
        </w:numPr>
        <w:rPr>
          <w:lang w:val="en-GB"/>
        </w:rPr>
      </w:pPr>
      <w:bookmarkStart w:id="260" w:name="_Toc24544758"/>
      <w:r w:rsidRPr="00C33C0B">
        <w:rPr>
          <w:lang w:val="en-GB"/>
        </w:rPr>
        <w:t>A.3. Telehealth attendance items</w:t>
      </w:r>
      <w:bookmarkEnd w:id="259"/>
      <w:bookmarkEnd w:id="260"/>
    </w:p>
    <w:tbl>
      <w:tblPr>
        <w:tblStyle w:val="TableGrid"/>
        <w:tblW w:w="459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Caption w:val="Appendix - A.3 Telehealth attendance items"/>
        <w:tblDescription w:val="A.3 is a 7 column table. Column 1 is the item number. Column 2 is the item descriptor. Column 3 is the schedule fee. Column 4 is the benefits paid in financial year 2016/17. Column 5 is services provided in financial year 2016/17. Column 6 is the 5 yearly growth expressed as a percentage. Column 6 is the recommended change to the item. "/>
      </w:tblPr>
      <w:tblGrid>
        <w:gridCol w:w="421"/>
        <w:gridCol w:w="2950"/>
        <w:gridCol w:w="734"/>
        <w:gridCol w:w="755"/>
        <w:gridCol w:w="819"/>
        <w:gridCol w:w="827"/>
        <w:gridCol w:w="1127"/>
      </w:tblGrid>
      <w:tr w:rsidR="001E05F9" w:rsidRPr="00C33C0B" w14:paraId="0FC6BF6F" w14:textId="77777777" w:rsidTr="00607BDA">
        <w:trPr>
          <w:tblHeader/>
        </w:trPr>
        <w:tc>
          <w:tcPr>
            <w:tcW w:w="424" w:type="dxa"/>
            <w:shd w:val="clear" w:color="auto" w:fill="01653F"/>
            <w:vAlign w:val="bottom"/>
            <w:hideMark/>
          </w:tcPr>
          <w:p w14:paraId="486EEF1E" w14:textId="77777777" w:rsidR="001E05F9" w:rsidRPr="00C33C0B" w:rsidRDefault="001E05F9" w:rsidP="001C7211">
            <w:pPr>
              <w:spacing w:beforeLines="20" w:before="48" w:afterLines="20" w:after="48" w:line="20" w:lineRule="atLeast"/>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 xml:space="preserve">Item </w:t>
            </w:r>
            <w:r>
              <w:rPr>
                <w:rFonts w:ascii="Calibri" w:hAnsi="Calibri" w:cs="Calibri"/>
                <w:b/>
                <w:color w:val="FFFFFF" w:themeColor="background1"/>
                <w:sz w:val="17"/>
                <w:szCs w:val="17"/>
                <w:lang w:val="en-GB"/>
              </w:rPr>
              <w:t>n</w:t>
            </w:r>
            <w:r w:rsidRPr="00C33C0B">
              <w:rPr>
                <w:rFonts w:ascii="Calibri" w:hAnsi="Calibri" w:cs="Calibri"/>
                <w:b/>
                <w:color w:val="FFFFFF" w:themeColor="background1"/>
                <w:sz w:val="17"/>
                <w:szCs w:val="17"/>
                <w:lang w:val="en-GB"/>
              </w:rPr>
              <w:t>o.</w:t>
            </w:r>
          </w:p>
        </w:tc>
        <w:tc>
          <w:tcPr>
            <w:tcW w:w="2974" w:type="dxa"/>
            <w:shd w:val="clear" w:color="auto" w:fill="01653F"/>
            <w:vAlign w:val="bottom"/>
            <w:hideMark/>
          </w:tcPr>
          <w:p w14:paraId="62D81D0D" w14:textId="77777777" w:rsidR="001E05F9" w:rsidRPr="00C33C0B" w:rsidRDefault="001E05F9" w:rsidP="001C7211">
            <w:pPr>
              <w:spacing w:beforeLines="20" w:before="48" w:afterLines="20" w:after="48" w:line="20" w:lineRule="atLeast"/>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Item descriptor</w:t>
            </w:r>
          </w:p>
        </w:tc>
        <w:tc>
          <w:tcPr>
            <w:tcW w:w="740" w:type="dxa"/>
            <w:shd w:val="clear" w:color="auto" w:fill="01653F"/>
            <w:vAlign w:val="bottom"/>
            <w:hideMark/>
          </w:tcPr>
          <w:p w14:paraId="17DF5CAF" w14:textId="77777777" w:rsidR="001E05F9" w:rsidRPr="00C33C0B" w:rsidRDefault="001E05F9" w:rsidP="001C7211">
            <w:pPr>
              <w:spacing w:beforeLines="20" w:before="48" w:afterLines="20" w:after="48" w:line="20" w:lineRule="atLeast"/>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 xml:space="preserve">Schedule </w:t>
            </w:r>
            <w:r>
              <w:rPr>
                <w:rFonts w:ascii="Calibri" w:hAnsi="Calibri" w:cs="Calibri"/>
                <w:b/>
                <w:color w:val="FFFFFF" w:themeColor="background1"/>
                <w:sz w:val="17"/>
                <w:szCs w:val="17"/>
                <w:lang w:val="en-GB"/>
              </w:rPr>
              <w:t>f</w:t>
            </w:r>
            <w:r w:rsidRPr="00C33C0B">
              <w:rPr>
                <w:rFonts w:ascii="Calibri" w:hAnsi="Calibri" w:cs="Calibri"/>
                <w:b/>
                <w:color w:val="FFFFFF" w:themeColor="background1"/>
                <w:sz w:val="17"/>
                <w:szCs w:val="17"/>
                <w:lang w:val="en-GB"/>
              </w:rPr>
              <w:t xml:space="preserve">ee </w:t>
            </w:r>
          </w:p>
        </w:tc>
        <w:tc>
          <w:tcPr>
            <w:tcW w:w="761" w:type="dxa"/>
            <w:shd w:val="clear" w:color="auto" w:fill="01653F"/>
            <w:vAlign w:val="bottom"/>
            <w:hideMark/>
          </w:tcPr>
          <w:p w14:paraId="6EF35AB2" w14:textId="77777777" w:rsidR="001E05F9" w:rsidRPr="00C33C0B" w:rsidRDefault="001E05F9" w:rsidP="001C7211">
            <w:pPr>
              <w:spacing w:beforeLines="20" w:before="48" w:afterLines="20" w:after="48" w:line="20" w:lineRule="atLeast"/>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Benefits 2016</w:t>
            </w:r>
            <w:r>
              <w:rPr>
                <w:rFonts w:ascii="Calibri" w:hAnsi="Calibri" w:cs="Calibri"/>
                <w:b/>
                <w:color w:val="FFFFFF" w:themeColor="background1"/>
                <w:sz w:val="17"/>
                <w:szCs w:val="17"/>
                <w:lang w:val="en-GB"/>
              </w:rPr>
              <w:t>/</w:t>
            </w:r>
            <w:r w:rsidRPr="00C33C0B">
              <w:rPr>
                <w:rFonts w:ascii="Calibri" w:hAnsi="Calibri" w:cs="Calibri"/>
                <w:b/>
                <w:color w:val="FFFFFF" w:themeColor="background1"/>
                <w:sz w:val="17"/>
                <w:szCs w:val="17"/>
                <w:lang w:val="en-GB"/>
              </w:rPr>
              <w:t>17</w:t>
            </w:r>
          </w:p>
        </w:tc>
        <w:tc>
          <w:tcPr>
            <w:tcW w:w="825" w:type="dxa"/>
            <w:shd w:val="clear" w:color="auto" w:fill="01653F"/>
            <w:vAlign w:val="bottom"/>
            <w:hideMark/>
          </w:tcPr>
          <w:p w14:paraId="08EB568E" w14:textId="77777777" w:rsidR="001E05F9" w:rsidRPr="00C33C0B" w:rsidRDefault="001E05F9" w:rsidP="001C7211">
            <w:pPr>
              <w:spacing w:beforeLines="20" w:before="48" w:afterLines="20" w:after="48" w:line="20" w:lineRule="atLeast"/>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Services 2016</w:t>
            </w:r>
            <w:r>
              <w:rPr>
                <w:rFonts w:ascii="Calibri" w:hAnsi="Calibri" w:cs="Calibri"/>
                <w:b/>
                <w:color w:val="FFFFFF" w:themeColor="background1"/>
                <w:sz w:val="17"/>
                <w:szCs w:val="17"/>
                <w:lang w:val="en-GB"/>
              </w:rPr>
              <w:t>/</w:t>
            </w:r>
            <w:r w:rsidRPr="00C33C0B">
              <w:rPr>
                <w:rFonts w:ascii="Calibri" w:hAnsi="Calibri" w:cs="Calibri"/>
                <w:b/>
                <w:color w:val="FFFFFF" w:themeColor="background1"/>
                <w:sz w:val="17"/>
                <w:szCs w:val="17"/>
                <w:lang w:val="en-GB"/>
              </w:rPr>
              <w:t>17</w:t>
            </w:r>
          </w:p>
        </w:tc>
        <w:tc>
          <w:tcPr>
            <w:tcW w:w="833" w:type="dxa"/>
            <w:shd w:val="clear" w:color="auto" w:fill="01653F"/>
            <w:vAlign w:val="bottom"/>
            <w:hideMark/>
          </w:tcPr>
          <w:p w14:paraId="47642AAD" w14:textId="77777777" w:rsidR="001E05F9" w:rsidRPr="00C33C0B" w:rsidRDefault="001E05F9" w:rsidP="001C7211">
            <w:pPr>
              <w:spacing w:beforeLines="20" w:before="48" w:afterLines="20" w:after="48" w:line="20" w:lineRule="atLeast"/>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Services 5-year annual avg. growth</w:t>
            </w:r>
          </w:p>
        </w:tc>
        <w:tc>
          <w:tcPr>
            <w:tcW w:w="1136" w:type="dxa"/>
            <w:shd w:val="clear" w:color="auto" w:fill="01653F"/>
            <w:vAlign w:val="bottom"/>
          </w:tcPr>
          <w:p w14:paraId="68C60550" w14:textId="77777777" w:rsidR="001E05F9" w:rsidRPr="00C33C0B" w:rsidRDefault="001E05F9" w:rsidP="001C7211">
            <w:pPr>
              <w:spacing w:beforeLines="20" w:before="48" w:afterLines="20" w:after="48" w:line="20" w:lineRule="atLeast"/>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Recommended change</w:t>
            </w:r>
          </w:p>
        </w:tc>
      </w:tr>
      <w:tr w:rsidR="001E05F9" w:rsidRPr="00C33C0B" w14:paraId="3F2AAFD4" w14:textId="77777777" w:rsidTr="00607BDA">
        <w:tc>
          <w:tcPr>
            <w:tcW w:w="424" w:type="dxa"/>
            <w:shd w:val="clear" w:color="auto" w:fill="auto"/>
            <w:noWrap/>
            <w:hideMark/>
          </w:tcPr>
          <w:p w14:paraId="56AAB1FB"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99</w:t>
            </w:r>
          </w:p>
        </w:tc>
        <w:tc>
          <w:tcPr>
            <w:tcW w:w="2974" w:type="dxa"/>
            <w:shd w:val="clear" w:color="auto" w:fill="auto"/>
            <w:noWrap/>
            <w:hideMark/>
          </w:tcPr>
          <w:p w14:paraId="6D7ACDE9"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specialist practising in his or her specialty if: (a) the attendance is by video conference; and (b) the attendance is for a service: (i) provided with item 104 lasting more than 10 minutes; or (ii) provided with item 105; and (c) the patient is not an admitted patient; and (d) the patient: (i) is located both: (a) within a telehealth eligible area; and (b) at the time of the attendance—at least 15 kms by road from the specialist; or (ii) is a care recipient in a residential care service; or (iii) is a patient of: (a) an aboriginal medical service; or (b) an aboriginal community controlled health service; for which a direction made under subsection 19(2) of the act applies</w:t>
            </w:r>
          </w:p>
        </w:tc>
        <w:tc>
          <w:tcPr>
            <w:tcW w:w="740" w:type="dxa"/>
            <w:shd w:val="clear" w:color="auto" w:fill="auto"/>
            <w:noWrap/>
            <w:hideMark/>
          </w:tcPr>
          <w:p w14:paraId="1B3A5AC8"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Derived Fee </w:t>
            </w:r>
          </w:p>
        </w:tc>
        <w:tc>
          <w:tcPr>
            <w:tcW w:w="761" w:type="dxa"/>
            <w:shd w:val="clear" w:color="auto" w:fill="auto"/>
            <w:noWrap/>
            <w:hideMark/>
          </w:tcPr>
          <w:p w14:paraId="28B97D4E"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$726,446 </w:t>
            </w:r>
          </w:p>
        </w:tc>
        <w:tc>
          <w:tcPr>
            <w:tcW w:w="825" w:type="dxa"/>
            <w:shd w:val="clear" w:color="auto" w:fill="auto"/>
            <w:noWrap/>
            <w:hideMark/>
          </w:tcPr>
          <w:p w14:paraId="6F08DA39"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 10,137 </w:t>
            </w:r>
          </w:p>
        </w:tc>
        <w:tc>
          <w:tcPr>
            <w:tcW w:w="833" w:type="dxa"/>
            <w:shd w:val="clear" w:color="auto" w:fill="auto"/>
            <w:noWrap/>
            <w:hideMark/>
          </w:tcPr>
          <w:p w14:paraId="41A8A216"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22.3%</w:t>
            </w:r>
          </w:p>
        </w:tc>
        <w:tc>
          <w:tcPr>
            <w:tcW w:w="1136" w:type="dxa"/>
            <w:shd w:val="clear" w:color="auto" w:fill="auto"/>
          </w:tcPr>
          <w:p w14:paraId="7D5EF6B0"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r>
      <w:tr w:rsidR="001E05F9" w:rsidRPr="00C33C0B" w14:paraId="018F45AF" w14:textId="77777777" w:rsidTr="00607BDA">
        <w:tc>
          <w:tcPr>
            <w:tcW w:w="424" w:type="dxa"/>
            <w:shd w:val="clear" w:color="auto" w:fill="auto"/>
            <w:noWrap/>
          </w:tcPr>
          <w:p w14:paraId="63A83573"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112</w:t>
            </w:r>
          </w:p>
        </w:tc>
        <w:tc>
          <w:tcPr>
            <w:tcW w:w="2974" w:type="dxa"/>
            <w:shd w:val="clear" w:color="auto" w:fill="auto"/>
            <w:noWrap/>
          </w:tcPr>
          <w:p w14:paraId="47176A06"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consultant physician practising in his or her specialty if: (a) the attendance is by video conference; and (b) the attendance is for a service: (i) provided with item 110 lasting more than 10 minutes; or (ii) provided with item 116, 119, 132 or 133; and (c) the patient is not an admitted patient; and (d) the patient: (i) is located both: (a) within a telehealth eligible area; and (b) at the time of the attendance—at least 15 kms by road from the physician; or (ii) is a care recipient in a residential care service; or (iii) is a patient of: (a) an aboriginal medical service; or (b) an aboriginal community controlled health service; for which a direction made under subsection 19(2) of the act applies</w:t>
            </w:r>
          </w:p>
        </w:tc>
        <w:tc>
          <w:tcPr>
            <w:tcW w:w="740" w:type="dxa"/>
            <w:shd w:val="clear" w:color="auto" w:fill="auto"/>
            <w:noWrap/>
          </w:tcPr>
          <w:p w14:paraId="684B3B93"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 Derived Fee </w:t>
            </w:r>
          </w:p>
        </w:tc>
        <w:tc>
          <w:tcPr>
            <w:tcW w:w="761" w:type="dxa"/>
            <w:shd w:val="clear" w:color="auto" w:fill="auto"/>
            <w:noWrap/>
          </w:tcPr>
          <w:p w14:paraId="2939569D"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$7,954,688 </w:t>
            </w:r>
          </w:p>
        </w:tc>
        <w:tc>
          <w:tcPr>
            <w:tcW w:w="825" w:type="dxa"/>
            <w:shd w:val="clear" w:color="auto" w:fill="auto"/>
            <w:noWrap/>
          </w:tcPr>
          <w:p w14:paraId="17BC8135"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 55,445 </w:t>
            </w:r>
          </w:p>
        </w:tc>
        <w:tc>
          <w:tcPr>
            <w:tcW w:w="833" w:type="dxa"/>
            <w:shd w:val="clear" w:color="auto" w:fill="auto"/>
            <w:noWrap/>
          </w:tcPr>
          <w:p w14:paraId="35B57C43"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43.6%</w:t>
            </w:r>
          </w:p>
        </w:tc>
        <w:tc>
          <w:tcPr>
            <w:tcW w:w="1136" w:type="dxa"/>
            <w:shd w:val="clear" w:color="auto" w:fill="auto"/>
          </w:tcPr>
          <w:p w14:paraId="0E6CDE0D"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r>
      <w:tr w:rsidR="001E05F9" w:rsidRPr="00C33C0B" w14:paraId="4221DFAE" w14:textId="77777777" w:rsidTr="00607BDA">
        <w:tc>
          <w:tcPr>
            <w:tcW w:w="424" w:type="dxa"/>
            <w:shd w:val="clear" w:color="auto" w:fill="auto"/>
            <w:noWrap/>
            <w:hideMark/>
          </w:tcPr>
          <w:p w14:paraId="7070FD73"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113</w:t>
            </w:r>
          </w:p>
        </w:tc>
        <w:tc>
          <w:tcPr>
            <w:tcW w:w="2974" w:type="dxa"/>
            <w:shd w:val="clear" w:color="auto" w:fill="auto"/>
            <w:noWrap/>
            <w:hideMark/>
          </w:tcPr>
          <w:p w14:paraId="39B80B6E"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specialist in the practice of his or her speciality if: (a) the attendance is by video conference; and (b) the patient is not an admitted patient; and (c) the patient: (i) is located both: (a) within a telehealth eligible area; and (b) at the time of the attendance—at least 15 kms by road from the specialist;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740" w:type="dxa"/>
            <w:shd w:val="clear" w:color="auto" w:fill="auto"/>
            <w:noWrap/>
            <w:hideMark/>
          </w:tcPr>
          <w:p w14:paraId="649B5A7E"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$64.20 </w:t>
            </w:r>
          </w:p>
        </w:tc>
        <w:tc>
          <w:tcPr>
            <w:tcW w:w="761" w:type="dxa"/>
            <w:shd w:val="clear" w:color="auto" w:fill="auto"/>
            <w:noWrap/>
            <w:hideMark/>
          </w:tcPr>
          <w:p w14:paraId="36EB8451"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$1,937 </w:t>
            </w:r>
          </w:p>
        </w:tc>
        <w:tc>
          <w:tcPr>
            <w:tcW w:w="825" w:type="dxa"/>
            <w:shd w:val="clear" w:color="auto" w:fill="auto"/>
            <w:noWrap/>
            <w:hideMark/>
          </w:tcPr>
          <w:p w14:paraId="043FEA86"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 31 </w:t>
            </w:r>
          </w:p>
        </w:tc>
        <w:tc>
          <w:tcPr>
            <w:tcW w:w="833" w:type="dxa"/>
            <w:shd w:val="clear" w:color="auto" w:fill="auto"/>
            <w:noWrap/>
            <w:hideMark/>
          </w:tcPr>
          <w:p w14:paraId="2314DB04"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136" w:type="dxa"/>
            <w:shd w:val="clear" w:color="auto" w:fill="auto"/>
          </w:tcPr>
          <w:p w14:paraId="7222F51A"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 from MBS</w:t>
            </w:r>
          </w:p>
        </w:tc>
      </w:tr>
      <w:tr w:rsidR="001E05F9" w:rsidRPr="00C33C0B" w14:paraId="260EC179" w14:textId="77777777" w:rsidTr="00607BDA">
        <w:tc>
          <w:tcPr>
            <w:tcW w:w="424" w:type="dxa"/>
            <w:shd w:val="clear" w:color="auto" w:fill="auto"/>
            <w:noWrap/>
            <w:hideMark/>
          </w:tcPr>
          <w:p w14:paraId="288EEC28"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114</w:t>
            </w:r>
          </w:p>
        </w:tc>
        <w:tc>
          <w:tcPr>
            <w:tcW w:w="2974" w:type="dxa"/>
            <w:shd w:val="clear" w:color="auto" w:fill="auto"/>
            <w:noWrap/>
            <w:hideMark/>
          </w:tcPr>
          <w:p w14:paraId="0E067B1F"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consultant physician practising in his or her specialty if: (a) the attendance is by video conference; and (b) the patient is not an admitted patient; and (c) the patient: (i) is located both: (a) within a telehealth eligible area; and (b) at the time of the attendance—at least 15 kms by road from the physician;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740" w:type="dxa"/>
            <w:shd w:val="clear" w:color="auto" w:fill="auto"/>
            <w:noWrap/>
            <w:hideMark/>
          </w:tcPr>
          <w:p w14:paraId="29AE1DC5"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$113.20 </w:t>
            </w:r>
          </w:p>
        </w:tc>
        <w:tc>
          <w:tcPr>
            <w:tcW w:w="761" w:type="dxa"/>
            <w:shd w:val="clear" w:color="auto" w:fill="auto"/>
            <w:noWrap/>
            <w:hideMark/>
          </w:tcPr>
          <w:p w14:paraId="17B8C950"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$11,032 </w:t>
            </w:r>
          </w:p>
        </w:tc>
        <w:tc>
          <w:tcPr>
            <w:tcW w:w="825" w:type="dxa"/>
            <w:shd w:val="clear" w:color="auto" w:fill="auto"/>
            <w:noWrap/>
            <w:hideMark/>
          </w:tcPr>
          <w:p w14:paraId="270FC520"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 117 </w:t>
            </w:r>
          </w:p>
        </w:tc>
        <w:tc>
          <w:tcPr>
            <w:tcW w:w="833" w:type="dxa"/>
            <w:shd w:val="clear" w:color="auto" w:fill="auto"/>
            <w:noWrap/>
            <w:hideMark/>
          </w:tcPr>
          <w:p w14:paraId="230A25E8"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136" w:type="dxa"/>
            <w:shd w:val="clear" w:color="auto" w:fill="auto"/>
          </w:tcPr>
          <w:p w14:paraId="575D017B"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 from MBS</w:t>
            </w:r>
          </w:p>
        </w:tc>
      </w:tr>
      <w:tr w:rsidR="001E05F9" w:rsidRPr="00C33C0B" w14:paraId="7DDAC049" w14:textId="77777777" w:rsidTr="00607BDA">
        <w:tc>
          <w:tcPr>
            <w:tcW w:w="424" w:type="dxa"/>
            <w:shd w:val="clear" w:color="auto" w:fill="auto"/>
            <w:noWrap/>
            <w:hideMark/>
          </w:tcPr>
          <w:p w14:paraId="1F21071E"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149</w:t>
            </w:r>
          </w:p>
        </w:tc>
        <w:tc>
          <w:tcPr>
            <w:tcW w:w="2974" w:type="dxa"/>
            <w:shd w:val="clear" w:color="auto" w:fill="auto"/>
            <w:noWrap/>
            <w:hideMark/>
          </w:tcPr>
          <w:p w14:paraId="511ABA4D"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consultant physician or specialist practising in his or her specialty of geriatric medicine if: (a) the attendance is by video conference; and (b) item 141 or 143 applies to the attendance; and (c) the patient is not an admitted patient; and (d) the patient: (i) is located both: (a) within a telehealth eligible area; and (b) at the time of the attendance--at least 15 kms by road from the physician or specialist; or (ii) is a care recipient in a residential care service; or (iii) is a patient of: (a) an aboriginal medical service; or (b) an aboriginal community controlled health service: for which a direction made under subsection 19(2) of the act applies</w:t>
            </w:r>
          </w:p>
        </w:tc>
        <w:tc>
          <w:tcPr>
            <w:tcW w:w="740" w:type="dxa"/>
            <w:shd w:val="clear" w:color="auto" w:fill="auto"/>
            <w:noWrap/>
            <w:hideMark/>
          </w:tcPr>
          <w:p w14:paraId="096A02DA"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 Derived Fee </w:t>
            </w:r>
          </w:p>
        </w:tc>
        <w:tc>
          <w:tcPr>
            <w:tcW w:w="761" w:type="dxa"/>
            <w:shd w:val="clear" w:color="auto" w:fill="auto"/>
            <w:noWrap/>
            <w:hideMark/>
          </w:tcPr>
          <w:p w14:paraId="42FC27BB"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$251,984 </w:t>
            </w:r>
          </w:p>
        </w:tc>
        <w:tc>
          <w:tcPr>
            <w:tcW w:w="825" w:type="dxa"/>
            <w:shd w:val="clear" w:color="auto" w:fill="auto"/>
            <w:noWrap/>
            <w:hideMark/>
          </w:tcPr>
          <w:p w14:paraId="5E8D1629"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 462 </w:t>
            </w:r>
          </w:p>
        </w:tc>
        <w:tc>
          <w:tcPr>
            <w:tcW w:w="833" w:type="dxa"/>
            <w:shd w:val="clear" w:color="auto" w:fill="auto"/>
            <w:noWrap/>
            <w:hideMark/>
          </w:tcPr>
          <w:p w14:paraId="65980BF1"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43.4%</w:t>
            </w:r>
          </w:p>
        </w:tc>
        <w:tc>
          <w:tcPr>
            <w:tcW w:w="1136" w:type="dxa"/>
            <w:shd w:val="clear" w:color="auto" w:fill="auto"/>
          </w:tcPr>
          <w:p w14:paraId="150F0FB8"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r>
      <w:tr w:rsidR="001E05F9" w:rsidRPr="00C33C0B" w14:paraId="54990C8D" w14:textId="77777777" w:rsidTr="00607BDA">
        <w:tc>
          <w:tcPr>
            <w:tcW w:w="424" w:type="dxa"/>
            <w:shd w:val="clear" w:color="auto" w:fill="auto"/>
            <w:noWrap/>
            <w:hideMark/>
          </w:tcPr>
          <w:p w14:paraId="4C0FA46F"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384</w:t>
            </w:r>
          </w:p>
        </w:tc>
        <w:tc>
          <w:tcPr>
            <w:tcW w:w="2974" w:type="dxa"/>
            <w:shd w:val="clear" w:color="auto" w:fill="auto"/>
            <w:noWrap/>
            <w:hideMark/>
          </w:tcPr>
          <w:p w14:paraId="0F24102B"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consultant occupational physician practising in his or her specialty of occupational medicine if: (a) the attendance is by video conference; and (b) the patient is not an admitted patient; and (c) the patient: (i) is located both: (a) within a telehealth eligible area; and (b) at the time of the attendance--at least 15 kms by road from the physician;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740" w:type="dxa"/>
            <w:shd w:val="clear" w:color="auto" w:fill="auto"/>
            <w:noWrap/>
            <w:hideMark/>
          </w:tcPr>
          <w:p w14:paraId="758CECED"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$64.20 </w:t>
            </w:r>
          </w:p>
        </w:tc>
        <w:tc>
          <w:tcPr>
            <w:tcW w:w="761" w:type="dxa"/>
            <w:shd w:val="clear" w:color="auto" w:fill="auto"/>
            <w:noWrap/>
            <w:hideMark/>
          </w:tcPr>
          <w:p w14:paraId="3A6A3FDA"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$164 </w:t>
            </w:r>
          </w:p>
        </w:tc>
        <w:tc>
          <w:tcPr>
            <w:tcW w:w="825" w:type="dxa"/>
            <w:shd w:val="clear" w:color="auto" w:fill="auto"/>
            <w:noWrap/>
            <w:hideMark/>
          </w:tcPr>
          <w:p w14:paraId="19205C80"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 3 </w:t>
            </w:r>
          </w:p>
        </w:tc>
        <w:tc>
          <w:tcPr>
            <w:tcW w:w="833" w:type="dxa"/>
            <w:shd w:val="clear" w:color="auto" w:fill="auto"/>
            <w:noWrap/>
            <w:hideMark/>
          </w:tcPr>
          <w:p w14:paraId="098946DC"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136" w:type="dxa"/>
            <w:shd w:val="clear" w:color="auto" w:fill="auto"/>
          </w:tcPr>
          <w:p w14:paraId="72702DC6"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 from MBS</w:t>
            </w:r>
          </w:p>
        </w:tc>
      </w:tr>
      <w:tr w:rsidR="001E05F9" w:rsidRPr="00C33C0B" w14:paraId="2779E6A4" w14:textId="77777777" w:rsidTr="00607BDA">
        <w:tc>
          <w:tcPr>
            <w:tcW w:w="424" w:type="dxa"/>
            <w:shd w:val="clear" w:color="auto" w:fill="auto"/>
            <w:noWrap/>
            <w:hideMark/>
          </w:tcPr>
          <w:p w14:paraId="0E834E60"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389</w:t>
            </w:r>
          </w:p>
        </w:tc>
        <w:tc>
          <w:tcPr>
            <w:tcW w:w="2974" w:type="dxa"/>
            <w:shd w:val="clear" w:color="auto" w:fill="auto"/>
            <w:noWrap/>
            <w:hideMark/>
          </w:tcPr>
          <w:p w14:paraId="5E62617C"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consultant occupational physician practising in his or her specialty of occupational medicine if: (a) the attendance is by video conference; and (b) the attendance is for a service: (i) provided with item 385 lasting more than 10 minutes; or (ii) provided with item 386; and (c) the patient is not an admitted patient; and (d) the patient: (i) is located both: (a) within a telehealth eligible area; and (b) at the time of the attendance--at least 15 kms by road from the physician; or (ii) is a care recipient in a residential care service; or (iii) is a patient of: (a) an aboriginal medical service; or (b) an aboriginal community controlled health service; for which a direction made under subsection 19(2) of the act applies</w:t>
            </w:r>
          </w:p>
        </w:tc>
        <w:tc>
          <w:tcPr>
            <w:tcW w:w="740" w:type="dxa"/>
            <w:shd w:val="clear" w:color="auto" w:fill="auto"/>
            <w:noWrap/>
            <w:hideMark/>
          </w:tcPr>
          <w:p w14:paraId="7F42BD1E"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 Derived Fee </w:t>
            </w:r>
          </w:p>
        </w:tc>
        <w:tc>
          <w:tcPr>
            <w:tcW w:w="761" w:type="dxa"/>
            <w:shd w:val="clear" w:color="auto" w:fill="auto"/>
            <w:noWrap/>
            <w:hideMark/>
          </w:tcPr>
          <w:p w14:paraId="3E5E1764"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 </w:t>
            </w:r>
          </w:p>
        </w:tc>
        <w:tc>
          <w:tcPr>
            <w:tcW w:w="825" w:type="dxa"/>
            <w:shd w:val="clear" w:color="auto" w:fill="auto"/>
            <w:noWrap/>
            <w:hideMark/>
          </w:tcPr>
          <w:p w14:paraId="3AB43BF5"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 - </w:t>
            </w:r>
          </w:p>
        </w:tc>
        <w:tc>
          <w:tcPr>
            <w:tcW w:w="833" w:type="dxa"/>
            <w:shd w:val="clear" w:color="auto" w:fill="auto"/>
            <w:noWrap/>
            <w:hideMark/>
          </w:tcPr>
          <w:p w14:paraId="2F6CFDAC"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-100.0%</w:t>
            </w:r>
          </w:p>
        </w:tc>
        <w:tc>
          <w:tcPr>
            <w:tcW w:w="1136" w:type="dxa"/>
            <w:shd w:val="clear" w:color="auto" w:fill="auto"/>
          </w:tcPr>
          <w:p w14:paraId="034C76E5"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r>
      <w:tr w:rsidR="001E05F9" w:rsidRPr="00C33C0B" w14:paraId="40839CAC" w14:textId="77777777" w:rsidTr="00607BDA">
        <w:tc>
          <w:tcPr>
            <w:tcW w:w="424" w:type="dxa"/>
            <w:shd w:val="clear" w:color="auto" w:fill="auto"/>
            <w:noWrap/>
            <w:hideMark/>
          </w:tcPr>
          <w:p w14:paraId="0A91E4F2"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2799</w:t>
            </w:r>
          </w:p>
        </w:tc>
        <w:tc>
          <w:tcPr>
            <w:tcW w:w="2974" w:type="dxa"/>
            <w:shd w:val="clear" w:color="auto" w:fill="auto"/>
            <w:noWrap/>
            <w:hideMark/>
          </w:tcPr>
          <w:p w14:paraId="1A08C759"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specialist or consultant physician practising in his or her specialty of pain medicine if: (a) the attendance is by video conference; and (b) the patient is not an admitted patient; and (c) the patient: (i) is located both: (a) within a telehealth eligible area; and (b) at the time of the attendance--at least 15 kms by road from the specialist or physician;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740" w:type="dxa"/>
            <w:shd w:val="clear" w:color="auto" w:fill="auto"/>
            <w:noWrap/>
            <w:hideMark/>
          </w:tcPr>
          <w:p w14:paraId="5DD453FB"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$113.20 </w:t>
            </w:r>
          </w:p>
        </w:tc>
        <w:tc>
          <w:tcPr>
            <w:tcW w:w="761" w:type="dxa"/>
            <w:shd w:val="clear" w:color="auto" w:fill="auto"/>
            <w:noWrap/>
            <w:hideMark/>
          </w:tcPr>
          <w:p w14:paraId="35A6BC4B"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$96 </w:t>
            </w:r>
          </w:p>
        </w:tc>
        <w:tc>
          <w:tcPr>
            <w:tcW w:w="825" w:type="dxa"/>
            <w:shd w:val="clear" w:color="auto" w:fill="auto"/>
            <w:noWrap/>
            <w:hideMark/>
          </w:tcPr>
          <w:p w14:paraId="5892699A"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 1 </w:t>
            </w:r>
          </w:p>
        </w:tc>
        <w:tc>
          <w:tcPr>
            <w:tcW w:w="833" w:type="dxa"/>
            <w:shd w:val="clear" w:color="auto" w:fill="auto"/>
            <w:noWrap/>
            <w:hideMark/>
          </w:tcPr>
          <w:p w14:paraId="03EA296B"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136" w:type="dxa"/>
            <w:shd w:val="clear" w:color="auto" w:fill="auto"/>
          </w:tcPr>
          <w:p w14:paraId="494393A2"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 from MBS</w:t>
            </w:r>
          </w:p>
        </w:tc>
      </w:tr>
      <w:tr w:rsidR="001E05F9" w:rsidRPr="00C33C0B" w14:paraId="3C64CA22" w14:textId="77777777" w:rsidTr="00607BDA">
        <w:tc>
          <w:tcPr>
            <w:tcW w:w="424" w:type="dxa"/>
            <w:shd w:val="clear" w:color="auto" w:fill="auto"/>
            <w:noWrap/>
            <w:hideMark/>
          </w:tcPr>
          <w:p w14:paraId="141E3EC4"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2820</w:t>
            </w:r>
          </w:p>
        </w:tc>
        <w:tc>
          <w:tcPr>
            <w:tcW w:w="2974" w:type="dxa"/>
            <w:shd w:val="clear" w:color="auto" w:fill="auto"/>
            <w:noWrap/>
            <w:hideMark/>
          </w:tcPr>
          <w:p w14:paraId="675A953B"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specialist or consultant physician practising in his or her specialty of pain medicine if: (a) the attendance is by video conference; and (b) the attendance is for a service: (i) provided with item 2801 lasting more than 10 minutes; or (ii) provided with item 2806 or 2814; and (c) the patient is not an admitted patient; and (d) the patient: (i) is located both: (a) within a telehealth eligible area; and (b) at the time of the attendance--at least 15 kms by road from the specialist or physician; or (ii) is a care recipient in a residential care service; or (iii) is a patient of: (a) an aboriginal medical service; or (b) an aboriginal community controlled health service; for which a direction made under subsection 19(2) of the act applies</w:t>
            </w:r>
          </w:p>
        </w:tc>
        <w:tc>
          <w:tcPr>
            <w:tcW w:w="740" w:type="dxa"/>
            <w:shd w:val="clear" w:color="auto" w:fill="auto"/>
            <w:noWrap/>
            <w:hideMark/>
          </w:tcPr>
          <w:p w14:paraId="191BE2D6"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 Derived Fee </w:t>
            </w:r>
          </w:p>
        </w:tc>
        <w:tc>
          <w:tcPr>
            <w:tcW w:w="761" w:type="dxa"/>
            <w:shd w:val="clear" w:color="auto" w:fill="auto"/>
            <w:noWrap/>
            <w:hideMark/>
          </w:tcPr>
          <w:p w14:paraId="5DD9DC85"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$47,548 </w:t>
            </w:r>
          </w:p>
        </w:tc>
        <w:tc>
          <w:tcPr>
            <w:tcW w:w="825" w:type="dxa"/>
            <w:shd w:val="clear" w:color="auto" w:fill="auto"/>
            <w:noWrap/>
            <w:hideMark/>
          </w:tcPr>
          <w:p w14:paraId="09EDBDAD"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 374 </w:t>
            </w:r>
          </w:p>
        </w:tc>
        <w:tc>
          <w:tcPr>
            <w:tcW w:w="833" w:type="dxa"/>
            <w:shd w:val="clear" w:color="auto" w:fill="auto"/>
            <w:noWrap/>
            <w:hideMark/>
          </w:tcPr>
          <w:p w14:paraId="009243C8"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44.5%</w:t>
            </w:r>
          </w:p>
        </w:tc>
        <w:tc>
          <w:tcPr>
            <w:tcW w:w="1136" w:type="dxa"/>
            <w:shd w:val="clear" w:color="auto" w:fill="auto"/>
          </w:tcPr>
          <w:p w14:paraId="063F1066"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r>
      <w:tr w:rsidR="001E05F9" w:rsidRPr="00C33C0B" w14:paraId="3C3B63B8" w14:textId="77777777" w:rsidTr="00607BDA">
        <w:tc>
          <w:tcPr>
            <w:tcW w:w="424" w:type="dxa"/>
            <w:shd w:val="clear" w:color="auto" w:fill="auto"/>
            <w:noWrap/>
            <w:hideMark/>
          </w:tcPr>
          <w:p w14:paraId="01AB5EB8"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3003</w:t>
            </w:r>
          </w:p>
        </w:tc>
        <w:tc>
          <w:tcPr>
            <w:tcW w:w="2974" w:type="dxa"/>
            <w:shd w:val="clear" w:color="auto" w:fill="auto"/>
            <w:noWrap/>
            <w:hideMark/>
          </w:tcPr>
          <w:p w14:paraId="265D5D56"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specialist or consultant physician practising in his or her specialty of palliative medicine if: (a) the attendance is by video conference; and (b) the patient is not an admitted patient; and (c) the patient: (i) is located both: (a) within a telehealth eligible area; and (b) at the time of the attendance--at least 15 kms by road from the specialist or physician;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740" w:type="dxa"/>
            <w:shd w:val="clear" w:color="auto" w:fill="auto"/>
            <w:noWrap/>
            <w:hideMark/>
          </w:tcPr>
          <w:p w14:paraId="66D27154"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$113.20 </w:t>
            </w:r>
          </w:p>
        </w:tc>
        <w:tc>
          <w:tcPr>
            <w:tcW w:w="761" w:type="dxa"/>
            <w:shd w:val="clear" w:color="auto" w:fill="auto"/>
            <w:noWrap/>
            <w:hideMark/>
          </w:tcPr>
          <w:p w14:paraId="32528021"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$193 </w:t>
            </w:r>
          </w:p>
        </w:tc>
        <w:tc>
          <w:tcPr>
            <w:tcW w:w="825" w:type="dxa"/>
            <w:shd w:val="clear" w:color="auto" w:fill="auto"/>
            <w:noWrap/>
            <w:hideMark/>
          </w:tcPr>
          <w:p w14:paraId="220A38F3"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 2 </w:t>
            </w:r>
          </w:p>
        </w:tc>
        <w:tc>
          <w:tcPr>
            <w:tcW w:w="833" w:type="dxa"/>
            <w:shd w:val="clear" w:color="auto" w:fill="auto"/>
            <w:noWrap/>
            <w:hideMark/>
          </w:tcPr>
          <w:p w14:paraId="7D377646"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136" w:type="dxa"/>
            <w:shd w:val="clear" w:color="auto" w:fill="auto"/>
          </w:tcPr>
          <w:p w14:paraId="53C15DE1"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 from MBS</w:t>
            </w:r>
          </w:p>
        </w:tc>
      </w:tr>
      <w:tr w:rsidR="001E05F9" w:rsidRPr="00C33C0B" w14:paraId="76C6CD93" w14:textId="77777777" w:rsidTr="00607BDA">
        <w:tc>
          <w:tcPr>
            <w:tcW w:w="424" w:type="dxa"/>
            <w:shd w:val="clear" w:color="auto" w:fill="auto"/>
            <w:noWrap/>
            <w:hideMark/>
          </w:tcPr>
          <w:p w14:paraId="4D6D61A9"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3015</w:t>
            </w:r>
          </w:p>
        </w:tc>
        <w:tc>
          <w:tcPr>
            <w:tcW w:w="2974" w:type="dxa"/>
            <w:shd w:val="clear" w:color="auto" w:fill="auto"/>
            <w:noWrap/>
            <w:hideMark/>
          </w:tcPr>
          <w:p w14:paraId="784865BC"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specialist or consultant physician practising in his or her specialty of palliative medicine if: (a) the attendance is by video conference; and (b) the attendance is for a service: (i) provided with item 3005 lasting more than 10 minutes; or (ii) provided with item 3010 or 3014; and (c) the patient is not an admitted patient; and (d) the patient: (i) is located both: (a) within a telehealth eligible area; and (b) at the time of the attendance--at least 15 kms by road from the specialist or physician; or (ii) is a care recipient in a residential care service; or (iii) is a patient of: (a) an aboriginal medical service; or (b) an aboriginal community controlled health service; for which a direction made under subsection 19(2) of the act applies</w:t>
            </w:r>
          </w:p>
        </w:tc>
        <w:tc>
          <w:tcPr>
            <w:tcW w:w="740" w:type="dxa"/>
            <w:shd w:val="clear" w:color="auto" w:fill="auto"/>
            <w:noWrap/>
            <w:hideMark/>
          </w:tcPr>
          <w:p w14:paraId="0C73D93B"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 Derived Fee </w:t>
            </w:r>
          </w:p>
        </w:tc>
        <w:tc>
          <w:tcPr>
            <w:tcW w:w="761" w:type="dxa"/>
            <w:shd w:val="clear" w:color="auto" w:fill="auto"/>
            <w:noWrap/>
            <w:hideMark/>
          </w:tcPr>
          <w:p w14:paraId="536170B1"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$20,217 </w:t>
            </w:r>
          </w:p>
        </w:tc>
        <w:tc>
          <w:tcPr>
            <w:tcW w:w="825" w:type="dxa"/>
            <w:shd w:val="clear" w:color="auto" w:fill="auto"/>
            <w:noWrap/>
            <w:hideMark/>
          </w:tcPr>
          <w:p w14:paraId="5C2D2259"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 181 </w:t>
            </w:r>
          </w:p>
        </w:tc>
        <w:tc>
          <w:tcPr>
            <w:tcW w:w="833" w:type="dxa"/>
            <w:shd w:val="clear" w:color="auto" w:fill="auto"/>
            <w:noWrap/>
            <w:hideMark/>
          </w:tcPr>
          <w:p w14:paraId="4A8B8753"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121.9%</w:t>
            </w:r>
          </w:p>
        </w:tc>
        <w:tc>
          <w:tcPr>
            <w:tcW w:w="1136" w:type="dxa"/>
            <w:shd w:val="clear" w:color="auto" w:fill="auto"/>
          </w:tcPr>
          <w:p w14:paraId="65D35092"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r>
      <w:tr w:rsidR="001E05F9" w:rsidRPr="00C33C0B" w14:paraId="06B104F6" w14:textId="77777777" w:rsidTr="00607BDA">
        <w:tc>
          <w:tcPr>
            <w:tcW w:w="424" w:type="dxa"/>
            <w:shd w:val="clear" w:color="auto" w:fill="auto"/>
            <w:noWrap/>
            <w:hideMark/>
          </w:tcPr>
          <w:p w14:paraId="43C966C1"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6004</w:t>
            </w:r>
          </w:p>
        </w:tc>
        <w:tc>
          <w:tcPr>
            <w:tcW w:w="2974" w:type="dxa"/>
            <w:shd w:val="clear" w:color="auto" w:fill="auto"/>
            <w:noWrap/>
            <w:hideMark/>
          </w:tcPr>
          <w:p w14:paraId="2077D8C0"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specialist practising in his or her specialty of neurosurgery if: (a) the attendance is by video conference; and (b) the patient is not an admitted patient; and (c) the patient: (i) is located both: (a) within a telehealth eligible area; and (b) at the time of the attendance--at least 15 kms by road from the specialist;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740" w:type="dxa"/>
            <w:shd w:val="clear" w:color="auto" w:fill="auto"/>
            <w:noWrap/>
            <w:hideMark/>
          </w:tcPr>
          <w:p w14:paraId="30C30109"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$97.20 </w:t>
            </w:r>
          </w:p>
        </w:tc>
        <w:tc>
          <w:tcPr>
            <w:tcW w:w="761" w:type="dxa"/>
            <w:shd w:val="clear" w:color="auto" w:fill="auto"/>
            <w:noWrap/>
            <w:hideMark/>
          </w:tcPr>
          <w:p w14:paraId="440B9474"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$413 </w:t>
            </w:r>
          </w:p>
        </w:tc>
        <w:tc>
          <w:tcPr>
            <w:tcW w:w="825" w:type="dxa"/>
            <w:shd w:val="clear" w:color="auto" w:fill="auto"/>
            <w:noWrap/>
            <w:hideMark/>
          </w:tcPr>
          <w:p w14:paraId="0B4B0C59"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 5 </w:t>
            </w:r>
          </w:p>
        </w:tc>
        <w:tc>
          <w:tcPr>
            <w:tcW w:w="833" w:type="dxa"/>
            <w:shd w:val="clear" w:color="auto" w:fill="auto"/>
            <w:noWrap/>
            <w:hideMark/>
          </w:tcPr>
          <w:p w14:paraId="59255C84"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136" w:type="dxa"/>
            <w:shd w:val="clear" w:color="auto" w:fill="auto"/>
          </w:tcPr>
          <w:p w14:paraId="095B17E9"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 from MBS</w:t>
            </w:r>
          </w:p>
        </w:tc>
      </w:tr>
      <w:tr w:rsidR="001E05F9" w:rsidRPr="00C33C0B" w14:paraId="5BA66CFA" w14:textId="77777777" w:rsidTr="00607BDA">
        <w:tc>
          <w:tcPr>
            <w:tcW w:w="424" w:type="dxa"/>
            <w:shd w:val="clear" w:color="auto" w:fill="auto"/>
            <w:noWrap/>
            <w:hideMark/>
          </w:tcPr>
          <w:p w14:paraId="50181780"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6016</w:t>
            </w:r>
          </w:p>
        </w:tc>
        <w:tc>
          <w:tcPr>
            <w:tcW w:w="2974" w:type="dxa"/>
            <w:shd w:val="clear" w:color="auto" w:fill="auto"/>
            <w:noWrap/>
            <w:hideMark/>
          </w:tcPr>
          <w:p w14:paraId="474A63F0"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specialist practising in his or her specialty of neurosurgery if: (a) the attendance is by video conference; and (b) the attendance is for a service: (i) provided with item 6007 lasting more than 10 minutes; or (ii) provided with item 6009, 6011, 6013 or 6015; and (c) the patient is not an admitted patient; and (d) the patient: (i) is located both: (a) within a telehealth eligible area; and (b) at the time of the attendance--at least 15 kms by road from the specialist; or (ii) is a care recipient in a residential care service; or (iii) is a patient of: (a) an aboriginal medical service; or (b) an aboriginal community controlled health service; for which a direction made under subsection 19(2) of the act applies</w:t>
            </w:r>
          </w:p>
        </w:tc>
        <w:tc>
          <w:tcPr>
            <w:tcW w:w="740" w:type="dxa"/>
            <w:shd w:val="clear" w:color="auto" w:fill="auto"/>
            <w:noWrap/>
            <w:hideMark/>
          </w:tcPr>
          <w:p w14:paraId="0BE8D13F"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 Derived Fee </w:t>
            </w:r>
          </w:p>
        </w:tc>
        <w:tc>
          <w:tcPr>
            <w:tcW w:w="761" w:type="dxa"/>
            <w:shd w:val="clear" w:color="auto" w:fill="auto"/>
            <w:noWrap/>
            <w:hideMark/>
          </w:tcPr>
          <w:p w14:paraId="7DB0164E"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$79,387 </w:t>
            </w:r>
          </w:p>
        </w:tc>
        <w:tc>
          <w:tcPr>
            <w:tcW w:w="825" w:type="dxa"/>
            <w:shd w:val="clear" w:color="auto" w:fill="auto"/>
            <w:noWrap/>
            <w:hideMark/>
          </w:tcPr>
          <w:p w14:paraId="6754A5EB"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 xml:space="preserve"> 703 </w:t>
            </w:r>
          </w:p>
        </w:tc>
        <w:tc>
          <w:tcPr>
            <w:tcW w:w="833" w:type="dxa"/>
            <w:shd w:val="clear" w:color="auto" w:fill="auto"/>
            <w:noWrap/>
            <w:hideMark/>
          </w:tcPr>
          <w:p w14:paraId="356E24AE"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32.8%</w:t>
            </w:r>
          </w:p>
        </w:tc>
        <w:tc>
          <w:tcPr>
            <w:tcW w:w="1136" w:type="dxa"/>
            <w:shd w:val="clear" w:color="auto" w:fill="auto"/>
          </w:tcPr>
          <w:p w14:paraId="5D81E7CC"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r>
      <w:tr w:rsidR="001E05F9" w:rsidRPr="00C33C0B" w14:paraId="107BB417" w14:textId="77777777" w:rsidTr="00607BDA">
        <w:tc>
          <w:tcPr>
            <w:tcW w:w="424" w:type="dxa"/>
            <w:shd w:val="clear" w:color="auto" w:fill="auto"/>
            <w:noWrap/>
          </w:tcPr>
          <w:p w14:paraId="1AAF93EE"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6025</w:t>
            </w:r>
          </w:p>
        </w:tc>
        <w:tc>
          <w:tcPr>
            <w:tcW w:w="2974" w:type="dxa"/>
            <w:shd w:val="clear" w:color="auto" w:fill="auto"/>
            <w:noWrap/>
          </w:tcPr>
          <w:p w14:paraId="5CCAD485"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on a patient by an addiction medicine specialist in the practice of his or her specialty, if: (a) the attendance is by video conference; and (b) the patient is not an admitted patient; and (c) the patient: (i) is located both: (a) within a telehealth eligible area; and (b) at the time of the attendance--at least 15 km by road from the addiction medicine specialist;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740" w:type="dxa"/>
            <w:shd w:val="clear" w:color="auto" w:fill="auto"/>
            <w:noWrap/>
          </w:tcPr>
          <w:p w14:paraId="6C47E1F5"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$113.20</w:t>
            </w:r>
          </w:p>
        </w:tc>
        <w:tc>
          <w:tcPr>
            <w:tcW w:w="761" w:type="dxa"/>
            <w:shd w:val="clear" w:color="auto" w:fill="auto"/>
            <w:noWrap/>
          </w:tcPr>
          <w:p w14:paraId="1CB46692"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$3,080</w:t>
            </w:r>
          </w:p>
        </w:tc>
        <w:tc>
          <w:tcPr>
            <w:tcW w:w="825" w:type="dxa"/>
            <w:shd w:val="clear" w:color="auto" w:fill="auto"/>
            <w:noWrap/>
          </w:tcPr>
          <w:p w14:paraId="4FCFBE8A"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32</w:t>
            </w:r>
          </w:p>
        </w:tc>
        <w:tc>
          <w:tcPr>
            <w:tcW w:w="833" w:type="dxa"/>
            <w:shd w:val="clear" w:color="auto" w:fill="auto"/>
            <w:noWrap/>
          </w:tcPr>
          <w:p w14:paraId="6FCD8341"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136" w:type="dxa"/>
            <w:shd w:val="clear" w:color="auto" w:fill="auto"/>
          </w:tcPr>
          <w:p w14:paraId="3A314DA0"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 from MBS</w:t>
            </w:r>
          </w:p>
        </w:tc>
      </w:tr>
      <w:tr w:rsidR="001E05F9" w:rsidRPr="00C33C0B" w14:paraId="1BA251CB" w14:textId="77777777" w:rsidTr="00607BDA">
        <w:tc>
          <w:tcPr>
            <w:tcW w:w="424" w:type="dxa"/>
            <w:shd w:val="clear" w:color="auto" w:fill="auto"/>
            <w:noWrap/>
          </w:tcPr>
          <w:p w14:paraId="74B89C56"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6026</w:t>
            </w:r>
          </w:p>
        </w:tc>
        <w:tc>
          <w:tcPr>
            <w:tcW w:w="2974" w:type="dxa"/>
            <w:shd w:val="clear" w:color="auto" w:fill="auto"/>
            <w:noWrap/>
          </w:tcPr>
          <w:p w14:paraId="6952821B"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an addiction medicine specialist in the practice of his or her specialty, if: (a) the attendance is by video conference; and (b) the attendance is for a service: (i) provided with item 6018 or 6019 and lasting more than 10 minutes; or (ii) provided with item 6023 or 6024; and (c) the patient is not an admitted patient; and (d) the patient: (i) is located both: (a) within a telehealth eligible area; and (b) at the time of the attendance--at least 15 km by road from the addiction medicine specialist; or (ii) is a care recipient in a residential care service; or (iii) is a patient of: (a) an aboriginal medical service; or (b) an aboriginal community controlled health service; for which a direction made under subsection 19 (2) of the act applies</w:t>
            </w:r>
          </w:p>
        </w:tc>
        <w:tc>
          <w:tcPr>
            <w:tcW w:w="740" w:type="dxa"/>
            <w:shd w:val="clear" w:color="auto" w:fill="auto"/>
            <w:noWrap/>
          </w:tcPr>
          <w:p w14:paraId="1D56312F"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Derived Fee</w:t>
            </w:r>
          </w:p>
        </w:tc>
        <w:tc>
          <w:tcPr>
            <w:tcW w:w="761" w:type="dxa"/>
            <w:shd w:val="clear" w:color="auto" w:fill="auto"/>
            <w:noWrap/>
          </w:tcPr>
          <w:p w14:paraId="0EA996B8"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$481</w:t>
            </w:r>
          </w:p>
        </w:tc>
        <w:tc>
          <w:tcPr>
            <w:tcW w:w="825" w:type="dxa"/>
            <w:shd w:val="clear" w:color="auto" w:fill="auto"/>
            <w:noWrap/>
          </w:tcPr>
          <w:p w14:paraId="1B07BEA1"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3</w:t>
            </w:r>
          </w:p>
        </w:tc>
        <w:tc>
          <w:tcPr>
            <w:tcW w:w="833" w:type="dxa"/>
            <w:shd w:val="clear" w:color="auto" w:fill="auto"/>
            <w:noWrap/>
          </w:tcPr>
          <w:p w14:paraId="1328D94B"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136" w:type="dxa"/>
            <w:shd w:val="clear" w:color="auto" w:fill="auto"/>
          </w:tcPr>
          <w:p w14:paraId="2124CB92"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r>
      <w:tr w:rsidR="001E05F9" w:rsidRPr="00C33C0B" w14:paraId="086D4EDB" w14:textId="77777777" w:rsidTr="00607BDA">
        <w:tc>
          <w:tcPr>
            <w:tcW w:w="424" w:type="dxa"/>
            <w:shd w:val="clear" w:color="auto" w:fill="auto"/>
            <w:noWrap/>
          </w:tcPr>
          <w:p w14:paraId="3D28A39A"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6059</w:t>
            </w:r>
          </w:p>
        </w:tc>
        <w:tc>
          <w:tcPr>
            <w:tcW w:w="2974" w:type="dxa"/>
            <w:shd w:val="clear" w:color="auto" w:fill="auto"/>
            <w:noWrap/>
          </w:tcPr>
          <w:p w14:paraId="5B191007"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on a patient by a sexual health medicine specialist in the practice of his or her specialty, if: (a) the attendance is by video conference; and (b) the patient is not an admitted patient; and (c) the patient: (i) is located both: (a) within a telehealth eligible area; and (b) at the time of the attendance--at least 15 km by road from the sexual health medicine specialist;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740" w:type="dxa"/>
            <w:shd w:val="clear" w:color="auto" w:fill="auto"/>
            <w:noWrap/>
          </w:tcPr>
          <w:p w14:paraId="6B88C883"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$113.20</w:t>
            </w:r>
          </w:p>
        </w:tc>
        <w:tc>
          <w:tcPr>
            <w:tcW w:w="761" w:type="dxa"/>
            <w:shd w:val="clear" w:color="auto" w:fill="auto"/>
            <w:noWrap/>
          </w:tcPr>
          <w:p w14:paraId="79813FF9"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$1,251</w:t>
            </w:r>
          </w:p>
        </w:tc>
        <w:tc>
          <w:tcPr>
            <w:tcW w:w="825" w:type="dxa"/>
            <w:shd w:val="clear" w:color="auto" w:fill="auto"/>
            <w:noWrap/>
          </w:tcPr>
          <w:p w14:paraId="6E80335B"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13</w:t>
            </w:r>
          </w:p>
        </w:tc>
        <w:tc>
          <w:tcPr>
            <w:tcW w:w="833" w:type="dxa"/>
            <w:shd w:val="clear" w:color="auto" w:fill="auto"/>
            <w:noWrap/>
          </w:tcPr>
          <w:p w14:paraId="473F2CA9"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136" w:type="dxa"/>
            <w:shd w:val="clear" w:color="auto" w:fill="auto"/>
          </w:tcPr>
          <w:p w14:paraId="5DA119F2"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 from MBS</w:t>
            </w:r>
          </w:p>
        </w:tc>
      </w:tr>
      <w:tr w:rsidR="001E05F9" w:rsidRPr="00C33C0B" w14:paraId="7FFE8FE0" w14:textId="77777777" w:rsidTr="00607BDA">
        <w:tc>
          <w:tcPr>
            <w:tcW w:w="424" w:type="dxa"/>
            <w:shd w:val="clear" w:color="auto" w:fill="auto"/>
            <w:noWrap/>
          </w:tcPr>
          <w:p w14:paraId="6476D749"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6060</w:t>
            </w:r>
          </w:p>
        </w:tc>
        <w:tc>
          <w:tcPr>
            <w:tcW w:w="2974" w:type="dxa"/>
            <w:shd w:val="clear" w:color="auto" w:fill="auto"/>
            <w:noWrap/>
          </w:tcPr>
          <w:p w14:paraId="3E2E0068"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sexual health medicine specialist in the practice of his or her specialty if: (a) the attendance is by video conference; and (b) the attendance is for a service: (i) provided with item 6051 or 6052 and lasting more than 10 minutes; or (ii) provided with item 6057 or 6058; and (c) the patient is not an admitted patient; and (d) the patient: (i) is located both: (a) within a telehealth eligible area; and (b) at the time of the attendance--at least 15 km by road from the sexual health medicine specialist; or (ii) is a care recipient in a residential care service; or (iii) is a patient of: (a) an aboriginal medical service; or (b) an aboriginal community controlled health service; for which a direction made under subsection 19 (2) of the act applies</w:t>
            </w:r>
          </w:p>
        </w:tc>
        <w:tc>
          <w:tcPr>
            <w:tcW w:w="740" w:type="dxa"/>
            <w:shd w:val="clear" w:color="auto" w:fill="auto"/>
            <w:noWrap/>
          </w:tcPr>
          <w:p w14:paraId="05D27D69"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Derived Fee</w:t>
            </w:r>
          </w:p>
        </w:tc>
        <w:tc>
          <w:tcPr>
            <w:tcW w:w="761" w:type="dxa"/>
            <w:shd w:val="clear" w:color="auto" w:fill="auto"/>
            <w:noWrap/>
          </w:tcPr>
          <w:p w14:paraId="7721E0A2"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$96</w:t>
            </w:r>
          </w:p>
        </w:tc>
        <w:tc>
          <w:tcPr>
            <w:tcW w:w="825" w:type="dxa"/>
            <w:shd w:val="clear" w:color="auto" w:fill="auto"/>
            <w:noWrap/>
          </w:tcPr>
          <w:p w14:paraId="69B3AF98"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1</w:t>
            </w:r>
          </w:p>
        </w:tc>
        <w:tc>
          <w:tcPr>
            <w:tcW w:w="833" w:type="dxa"/>
            <w:shd w:val="clear" w:color="auto" w:fill="auto"/>
            <w:noWrap/>
          </w:tcPr>
          <w:p w14:paraId="2D644717"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N/A</w:t>
            </w:r>
          </w:p>
        </w:tc>
        <w:tc>
          <w:tcPr>
            <w:tcW w:w="1136" w:type="dxa"/>
            <w:shd w:val="clear" w:color="auto" w:fill="auto"/>
          </w:tcPr>
          <w:p w14:paraId="7B081445" w14:textId="77777777" w:rsidR="001E05F9" w:rsidRPr="00C33C0B" w:rsidRDefault="001E05F9" w:rsidP="001C7211">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r>
    </w:tbl>
    <w:p w14:paraId="63E28B78" w14:textId="77777777" w:rsidR="00E76A74" w:rsidRPr="00C33C0B" w:rsidRDefault="005E0DEC" w:rsidP="00E76A74">
      <w:pPr>
        <w:pStyle w:val="Heading2"/>
        <w:numPr>
          <w:ilvl w:val="0"/>
          <w:numId w:val="0"/>
        </w:numPr>
        <w:rPr>
          <w:lang w:val="en-GB"/>
        </w:rPr>
      </w:pPr>
      <w:bookmarkStart w:id="261" w:name="_Toc521442218"/>
      <w:bookmarkStart w:id="262" w:name="_Toc24544759"/>
      <w:r>
        <w:rPr>
          <w:lang w:val="en-GB"/>
        </w:rPr>
        <w:t>A.4</w:t>
      </w:r>
      <w:r w:rsidR="00E76A74" w:rsidRPr="00C33C0B">
        <w:rPr>
          <w:lang w:val="en-GB"/>
        </w:rPr>
        <w:t>. Case conference attendance items</w:t>
      </w:r>
      <w:bookmarkEnd w:id="261"/>
      <w:bookmarkEnd w:id="262"/>
    </w:p>
    <w:tbl>
      <w:tblPr>
        <w:tblStyle w:val="TableGrid"/>
        <w:tblW w:w="469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Caption w:val="Appendix - A.4 Case conference attendance items"/>
        <w:tblDescription w:val="A.4 is a 7 column table. Column 1 is the item number. Column 2 is the item descriptor. Column 3 is the schedule fee. Column 4 is the benefits paid in financial year 2016/17. Column 5 is services provided in financial year 2016/17. Column 6 is the 5 yearly growth expressed as a percentage. Column 6 is the recommended change to the item. "/>
      </w:tblPr>
      <w:tblGrid>
        <w:gridCol w:w="420"/>
        <w:gridCol w:w="3117"/>
        <w:gridCol w:w="710"/>
        <w:gridCol w:w="850"/>
        <w:gridCol w:w="710"/>
        <w:gridCol w:w="851"/>
        <w:gridCol w:w="1134"/>
      </w:tblGrid>
      <w:tr w:rsidR="001E05F9" w:rsidRPr="00C33C0B" w14:paraId="75E6FF10" w14:textId="77777777" w:rsidTr="00607BDA">
        <w:trPr>
          <w:tblHeader/>
        </w:trPr>
        <w:tc>
          <w:tcPr>
            <w:tcW w:w="423" w:type="dxa"/>
            <w:shd w:val="clear" w:color="auto" w:fill="01653F"/>
            <w:vAlign w:val="bottom"/>
            <w:hideMark/>
          </w:tcPr>
          <w:p w14:paraId="050D679E" w14:textId="77777777" w:rsidR="001E05F9" w:rsidRPr="00C33C0B" w:rsidRDefault="001E05F9" w:rsidP="00501544">
            <w:pPr>
              <w:spacing w:before="20" w:after="20" w:line="240" w:lineRule="auto"/>
              <w:rPr>
                <w:rFonts w:cstheme="minorHAnsi"/>
                <w:b/>
                <w:color w:val="FFFFFF" w:themeColor="background1"/>
                <w:sz w:val="17"/>
                <w:szCs w:val="17"/>
                <w:lang w:val="en-GB"/>
              </w:rPr>
            </w:pPr>
            <w:r w:rsidRPr="00C33C0B">
              <w:rPr>
                <w:rFonts w:cstheme="minorHAnsi"/>
                <w:b/>
                <w:color w:val="FFFFFF" w:themeColor="background1"/>
                <w:sz w:val="17"/>
                <w:szCs w:val="17"/>
                <w:lang w:val="en-GB"/>
              </w:rPr>
              <w:t xml:space="preserve">Item </w:t>
            </w:r>
            <w:r>
              <w:rPr>
                <w:rFonts w:cstheme="minorHAnsi"/>
                <w:b/>
                <w:color w:val="FFFFFF" w:themeColor="background1"/>
                <w:sz w:val="17"/>
                <w:szCs w:val="17"/>
                <w:lang w:val="en-GB"/>
              </w:rPr>
              <w:t>n</w:t>
            </w:r>
            <w:r w:rsidRPr="00C33C0B">
              <w:rPr>
                <w:rFonts w:cstheme="minorHAnsi"/>
                <w:b/>
                <w:color w:val="FFFFFF" w:themeColor="background1"/>
                <w:sz w:val="17"/>
                <w:szCs w:val="17"/>
                <w:lang w:val="en-GB"/>
              </w:rPr>
              <w:t>o.</w:t>
            </w:r>
          </w:p>
        </w:tc>
        <w:tc>
          <w:tcPr>
            <w:tcW w:w="3143" w:type="dxa"/>
            <w:shd w:val="clear" w:color="auto" w:fill="01653F"/>
            <w:vAlign w:val="bottom"/>
            <w:hideMark/>
          </w:tcPr>
          <w:p w14:paraId="6E4CD6E3" w14:textId="77777777" w:rsidR="001E05F9" w:rsidRPr="00C33C0B" w:rsidRDefault="001E05F9" w:rsidP="00501544">
            <w:pPr>
              <w:spacing w:before="20" w:after="20" w:line="240" w:lineRule="auto"/>
              <w:rPr>
                <w:rFonts w:cstheme="minorHAnsi"/>
                <w:b/>
                <w:color w:val="FFFFFF" w:themeColor="background1"/>
                <w:sz w:val="17"/>
                <w:szCs w:val="17"/>
                <w:lang w:val="en-GB"/>
              </w:rPr>
            </w:pPr>
            <w:r w:rsidRPr="00C33C0B">
              <w:rPr>
                <w:rFonts w:cstheme="minorHAnsi"/>
                <w:b/>
                <w:color w:val="FFFFFF" w:themeColor="background1"/>
                <w:sz w:val="17"/>
                <w:szCs w:val="17"/>
                <w:lang w:val="en-GB"/>
              </w:rPr>
              <w:t>Item descriptor</w:t>
            </w:r>
          </w:p>
        </w:tc>
        <w:tc>
          <w:tcPr>
            <w:tcW w:w="715" w:type="dxa"/>
            <w:shd w:val="clear" w:color="auto" w:fill="01653F"/>
            <w:vAlign w:val="bottom"/>
            <w:hideMark/>
          </w:tcPr>
          <w:p w14:paraId="14DCAF0A" w14:textId="77777777" w:rsidR="001E05F9" w:rsidRPr="00C33C0B" w:rsidRDefault="001E05F9" w:rsidP="00501544">
            <w:pPr>
              <w:spacing w:before="20" w:after="20" w:line="240" w:lineRule="auto"/>
              <w:rPr>
                <w:rFonts w:cstheme="minorHAnsi"/>
                <w:b/>
                <w:color w:val="FFFFFF" w:themeColor="background1"/>
                <w:sz w:val="17"/>
                <w:szCs w:val="17"/>
                <w:lang w:val="en-GB"/>
              </w:rPr>
            </w:pPr>
            <w:r w:rsidRPr="00C33C0B">
              <w:rPr>
                <w:rFonts w:cstheme="minorHAnsi"/>
                <w:b/>
                <w:color w:val="FFFFFF" w:themeColor="background1"/>
                <w:sz w:val="17"/>
                <w:szCs w:val="17"/>
                <w:lang w:val="en-GB"/>
              </w:rPr>
              <w:t xml:space="preserve">Schedule </w:t>
            </w:r>
            <w:r>
              <w:rPr>
                <w:rFonts w:cstheme="minorHAnsi"/>
                <w:b/>
                <w:color w:val="FFFFFF" w:themeColor="background1"/>
                <w:sz w:val="17"/>
                <w:szCs w:val="17"/>
                <w:lang w:val="en-GB"/>
              </w:rPr>
              <w:t>f</w:t>
            </w:r>
            <w:r w:rsidRPr="00C33C0B">
              <w:rPr>
                <w:rFonts w:cstheme="minorHAnsi"/>
                <w:b/>
                <w:color w:val="FFFFFF" w:themeColor="background1"/>
                <w:sz w:val="17"/>
                <w:szCs w:val="17"/>
                <w:lang w:val="en-GB"/>
              </w:rPr>
              <w:t xml:space="preserve">ee </w:t>
            </w:r>
          </w:p>
        </w:tc>
        <w:tc>
          <w:tcPr>
            <w:tcW w:w="857" w:type="dxa"/>
            <w:shd w:val="clear" w:color="auto" w:fill="01653F"/>
            <w:vAlign w:val="bottom"/>
            <w:hideMark/>
          </w:tcPr>
          <w:p w14:paraId="7133CDC0" w14:textId="77777777" w:rsidR="001E05F9" w:rsidRPr="00C33C0B" w:rsidRDefault="001E05F9" w:rsidP="00501544">
            <w:pPr>
              <w:spacing w:before="20" w:after="20" w:line="240" w:lineRule="auto"/>
              <w:rPr>
                <w:rFonts w:cstheme="minorHAnsi"/>
                <w:b/>
                <w:color w:val="FFFFFF" w:themeColor="background1"/>
                <w:sz w:val="17"/>
                <w:szCs w:val="17"/>
                <w:lang w:val="en-GB"/>
              </w:rPr>
            </w:pPr>
            <w:r w:rsidRPr="00C33C0B">
              <w:rPr>
                <w:rFonts w:cstheme="minorHAnsi"/>
                <w:b/>
                <w:color w:val="FFFFFF" w:themeColor="background1"/>
                <w:sz w:val="17"/>
                <w:szCs w:val="17"/>
                <w:lang w:val="en-GB"/>
              </w:rPr>
              <w:t>Benefits 2016</w:t>
            </w:r>
            <w:r>
              <w:rPr>
                <w:rFonts w:cstheme="minorHAnsi"/>
                <w:b/>
                <w:color w:val="FFFFFF" w:themeColor="background1"/>
                <w:sz w:val="17"/>
                <w:szCs w:val="17"/>
                <w:lang w:val="en-GB"/>
              </w:rPr>
              <w:t>/</w:t>
            </w:r>
            <w:r w:rsidRPr="00C33C0B">
              <w:rPr>
                <w:rFonts w:cstheme="minorHAnsi"/>
                <w:b/>
                <w:color w:val="FFFFFF" w:themeColor="background1"/>
                <w:sz w:val="17"/>
                <w:szCs w:val="17"/>
                <w:lang w:val="en-GB"/>
              </w:rPr>
              <w:t>17</w:t>
            </w:r>
          </w:p>
        </w:tc>
        <w:tc>
          <w:tcPr>
            <w:tcW w:w="715" w:type="dxa"/>
            <w:shd w:val="clear" w:color="auto" w:fill="01653F"/>
            <w:vAlign w:val="bottom"/>
            <w:hideMark/>
          </w:tcPr>
          <w:p w14:paraId="6B6924A6" w14:textId="77777777" w:rsidR="001E05F9" w:rsidRPr="00C33C0B" w:rsidRDefault="001E05F9" w:rsidP="00501544">
            <w:pPr>
              <w:spacing w:before="20" w:after="20" w:line="240" w:lineRule="auto"/>
              <w:rPr>
                <w:rFonts w:cstheme="minorHAnsi"/>
                <w:b/>
                <w:color w:val="FFFFFF" w:themeColor="background1"/>
                <w:sz w:val="17"/>
                <w:szCs w:val="17"/>
                <w:lang w:val="en-GB"/>
              </w:rPr>
            </w:pPr>
            <w:r w:rsidRPr="00C33C0B">
              <w:rPr>
                <w:rFonts w:cstheme="minorHAnsi"/>
                <w:b/>
                <w:color w:val="FFFFFF" w:themeColor="background1"/>
                <w:sz w:val="17"/>
                <w:szCs w:val="17"/>
                <w:lang w:val="en-GB"/>
              </w:rPr>
              <w:t>Services 2016</w:t>
            </w:r>
            <w:r>
              <w:rPr>
                <w:rFonts w:cstheme="minorHAnsi"/>
                <w:b/>
                <w:color w:val="FFFFFF" w:themeColor="background1"/>
                <w:sz w:val="17"/>
                <w:szCs w:val="17"/>
                <w:lang w:val="en-GB"/>
              </w:rPr>
              <w:t>/</w:t>
            </w:r>
            <w:r w:rsidRPr="00C33C0B">
              <w:rPr>
                <w:rFonts w:cstheme="minorHAnsi"/>
                <w:b/>
                <w:color w:val="FFFFFF" w:themeColor="background1"/>
                <w:sz w:val="17"/>
                <w:szCs w:val="17"/>
                <w:lang w:val="en-GB"/>
              </w:rPr>
              <w:t>17</w:t>
            </w:r>
          </w:p>
        </w:tc>
        <w:tc>
          <w:tcPr>
            <w:tcW w:w="858" w:type="dxa"/>
            <w:shd w:val="clear" w:color="auto" w:fill="01653F"/>
            <w:vAlign w:val="bottom"/>
            <w:hideMark/>
          </w:tcPr>
          <w:p w14:paraId="3BAFF5B5" w14:textId="77777777" w:rsidR="001E05F9" w:rsidRPr="00C33C0B" w:rsidRDefault="001E05F9" w:rsidP="00501544">
            <w:pPr>
              <w:spacing w:before="20" w:after="20" w:line="240" w:lineRule="auto"/>
              <w:rPr>
                <w:rFonts w:cstheme="minorHAnsi"/>
                <w:b/>
                <w:color w:val="FFFFFF" w:themeColor="background1"/>
                <w:sz w:val="17"/>
                <w:szCs w:val="17"/>
                <w:lang w:val="en-GB"/>
              </w:rPr>
            </w:pPr>
            <w:r w:rsidRPr="00C33C0B">
              <w:rPr>
                <w:rFonts w:cstheme="minorHAnsi"/>
                <w:b/>
                <w:color w:val="FFFFFF" w:themeColor="background1"/>
                <w:sz w:val="17"/>
                <w:szCs w:val="17"/>
                <w:lang w:val="en-GB"/>
              </w:rPr>
              <w:t>Services 5-year annual avg. growth</w:t>
            </w:r>
          </w:p>
        </w:tc>
        <w:tc>
          <w:tcPr>
            <w:tcW w:w="1143" w:type="dxa"/>
            <w:shd w:val="clear" w:color="auto" w:fill="01653F"/>
            <w:vAlign w:val="bottom"/>
          </w:tcPr>
          <w:p w14:paraId="6871EEE7" w14:textId="77777777" w:rsidR="001E05F9" w:rsidRPr="00C33C0B" w:rsidRDefault="001E05F9" w:rsidP="00501544">
            <w:pPr>
              <w:spacing w:before="20" w:after="20" w:line="240" w:lineRule="auto"/>
              <w:rPr>
                <w:rFonts w:cstheme="minorHAnsi"/>
                <w:b/>
                <w:color w:val="FFFFFF" w:themeColor="background1"/>
                <w:sz w:val="17"/>
                <w:szCs w:val="17"/>
                <w:lang w:val="en-GB"/>
              </w:rPr>
            </w:pPr>
            <w:r w:rsidRPr="00C33C0B">
              <w:rPr>
                <w:rFonts w:cstheme="minorHAnsi"/>
                <w:b/>
                <w:color w:val="FFFFFF" w:themeColor="background1"/>
                <w:sz w:val="17"/>
                <w:szCs w:val="17"/>
                <w:lang w:val="en-GB"/>
              </w:rPr>
              <w:t>Recommended change</w:t>
            </w:r>
          </w:p>
        </w:tc>
      </w:tr>
      <w:tr w:rsidR="001E05F9" w:rsidRPr="00C33C0B" w14:paraId="66C8EAAA" w14:textId="77777777" w:rsidTr="00607BDA">
        <w:tc>
          <w:tcPr>
            <w:tcW w:w="423" w:type="dxa"/>
            <w:shd w:val="clear" w:color="auto" w:fill="auto"/>
            <w:noWrap/>
            <w:hideMark/>
          </w:tcPr>
          <w:p w14:paraId="39D3FF46"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820</w:t>
            </w:r>
          </w:p>
        </w:tc>
        <w:tc>
          <w:tcPr>
            <w:tcW w:w="3143" w:type="dxa"/>
            <w:shd w:val="clear" w:color="auto" w:fill="auto"/>
            <w:noWrap/>
            <w:hideMark/>
          </w:tcPr>
          <w:p w14:paraId="14F5010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community case conference of at least 15 minutes but less than 30 minutes, with a multidisciplinary team of at least 3 other formal care providers of different disciplines</w:t>
            </w:r>
          </w:p>
        </w:tc>
        <w:tc>
          <w:tcPr>
            <w:tcW w:w="715" w:type="dxa"/>
            <w:shd w:val="clear" w:color="auto" w:fill="auto"/>
            <w:noWrap/>
            <w:hideMark/>
          </w:tcPr>
          <w:p w14:paraId="1634AF1A" w14:textId="77777777" w:rsidR="001E05F9" w:rsidRPr="00A84B03" w:rsidRDefault="001E05F9" w:rsidP="00501544">
            <w:pPr>
              <w:spacing w:before="20" w:after="20" w:line="240" w:lineRule="auto"/>
              <w:rPr>
                <w:rFonts w:cstheme="minorHAnsi"/>
                <w:bCs/>
                <w:color w:val="000000"/>
                <w:sz w:val="17"/>
                <w:szCs w:val="17"/>
                <w:lang w:val="en-GB"/>
              </w:rPr>
            </w:pPr>
            <w:r w:rsidRPr="00A84B03">
              <w:rPr>
                <w:rFonts w:cstheme="minorHAnsi"/>
                <w:bCs/>
                <w:color w:val="000000"/>
                <w:sz w:val="17"/>
                <w:szCs w:val="17"/>
                <w:lang w:val="en-GB"/>
              </w:rPr>
              <w:t xml:space="preserve">$139.10 </w:t>
            </w:r>
          </w:p>
        </w:tc>
        <w:tc>
          <w:tcPr>
            <w:tcW w:w="857" w:type="dxa"/>
            <w:shd w:val="clear" w:color="auto" w:fill="auto"/>
            <w:noWrap/>
            <w:hideMark/>
          </w:tcPr>
          <w:p w14:paraId="7E2E3835"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$2,411,730 </w:t>
            </w:r>
          </w:p>
        </w:tc>
        <w:tc>
          <w:tcPr>
            <w:tcW w:w="715" w:type="dxa"/>
            <w:shd w:val="clear" w:color="auto" w:fill="auto"/>
            <w:noWrap/>
            <w:hideMark/>
          </w:tcPr>
          <w:p w14:paraId="4E2F3932"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20,395 </w:t>
            </w:r>
          </w:p>
        </w:tc>
        <w:tc>
          <w:tcPr>
            <w:tcW w:w="858" w:type="dxa"/>
            <w:shd w:val="clear" w:color="auto" w:fill="auto"/>
            <w:noWrap/>
            <w:hideMark/>
          </w:tcPr>
          <w:p w14:paraId="04B21B65"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18.2%</w:t>
            </w:r>
          </w:p>
        </w:tc>
        <w:tc>
          <w:tcPr>
            <w:tcW w:w="1143" w:type="dxa"/>
            <w:shd w:val="clear" w:color="auto" w:fill="auto"/>
          </w:tcPr>
          <w:p w14:paraId="3FD19834"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1E05F9" w:rsidRPr="00C33C0B" w14:paraId="221D546E" w14:textId="77777777" w:rsidTr="00607BDA">
        <w:tc>
          <w:tcPr>
            <w:tcW w:w="423" w:type="dxa"/>
            <w:shd w:val="clear" w:color="auto" w:fill="auto"/>
            <w:noWrap/>
            <w:hideMark/>
          </w:tcPr>
          <w:p w14:paraId="44DF6B8D"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822</w:t>
            </w:r>
          </w:p>
        </w:tc>
        <w:tc>
          <w:tcPr>
            <w:tcW w:w="3143" w:type="dxa"/>
            <w:shd w:val="clear" w:color="auto" w:fill="auto"/>
            <w:noWrap/>
            <w:hideMark/>
          </w:tcPr>
          <w:p w14:paraId="4A2DDA5C"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community case conference of at least 30 minutes but less than 45 minutes, with a multidisciplinary team of at least 3 other formal care providers of different disciplines</w:t>
            </w:r>
          </w:p>
        </w:tc>
        <w:tc>
          <w:tcPr>
            <w:tcW w:w="715" w:type="dxa"/>
            <w:shd w:val="clear" w:color="auto" w:fill="auto"/>
            <w:noWrap/>
            <w:hideMark/>
          </w:tcPr>
          <w:p w14:paraId="5C1EE8F7"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$208.70 </w:t>
            </w:r>
          </w:p>
        </w:tc>
        <w:tc>
          <w:tcPr>
            <w:tcW w:w="857" w:type="dxa"/>
            <w:shd w:val="clear" w:color="auto" w:fill="auto"/>
            <w:noWrap/>
            <w:hideMark/>
          </w:tcPr>
          <w:p w14:paraId="28DC3B00"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$205,818 </w:t>
            </w:r>
          </w:p>
        </w:tc>
        <w:tc>
          <w:tcPr>
            <w:tcW w:w="715" w:type="dxa"/>
            <w:shd w:val="clear" w:color="auto" w:fill="auto"/>
            <w:noWrap/>
            <w:hideMark/>
          </w:tcPr>
          <w:p w14:paraId="23D03EBA"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1,158 </w:t>
            </w:r>
          </w:p>
        </w:tc>
        <w:tc>
          <w:tcPr>
            <w:tcW w:w="858" w:type="dxa"/>
            <w:shd w:val="clear" w:color="auto" w:fill="auto"/>
            <w:noWrap/>
            <w:hideMark/>
          </w:tcPr>
          <w:p w14:paraId="0703233D"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12.8%</w:t>
            </w:r>
          </w:p>
        </w:tc>
        <w:tc>
          <w:tcPr>
            <w:tcW w:w="1143" w:type="dxa"/>
            <w:shd w:val="clear" w:color="auto" w:fill="auto"/>
          </w:tcPr>
          <w:p w14:paraId="1E6BA172"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1E05F9" w:rsidRPr="00C33C0B" w14:paraId="74163D97" w14:textId="77777777" w:rsidTr="00607BDA">
        <w:tc>
          <w:tcPr>
            <w:tcW w:w="423" w:type="dxa"/>
            <w:shd w:val="clear" w:color="auto" w:fill="auto"/>
            <w:noWrap/>
            <w:hideMark/>
          </w:tcPr>
          <w:p w14:paraId="5A3CB469"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823</w:t>
            </w:r>
          </w:p>
        </w:tc>
        <w:tc>
          <w:tcPr>
            <w:tcW w:w="3143" w:type="dxa"/>
            <w:shd w:val="clear" w:color="auto" w:fill="auto"/>
            <w:noWrap/>
            <w:hideMark/>
          </w:tcPr>
          <w:p w14:paraId="65E1FFAD"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community case conference of at least 45 minutes, with a multidisciplinary team of at least 3 other formal care providers of different disciplines</w:t>
            </w:r>
          </w:p>
        </w:tc>
        <w:tc>
          <w:tcPr>
            <w:tcW w:w="715" w:type="dxa"/>
            <w:shd w:val="clear" w:color="auto" w:fill="auto"/>
            <w:noWrap/>
            <w:hideMark/>
          </w:tcPr>
          <w:p w14:paraId="2A1A806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$278.15 </w:t>
            </w:r>
          </w:p>
        </w:tc>
        <w:tc>
          <w:tcPr>
            <w:tcW w:w="857" w:type="dxa"/>
            <w:shd w:val="clear" w:color="auto" w:fill="auto"/>
            <w:noWrap/>
            <w:hideMark/>
          </w:tcPr>
          <w:p w14:paraId="55BC4F6C"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$1,039,317 </w:t>
            </w:r>
          </w:p>
        </w:tc>
        <w:tc>
          <w:tcPr>
            <w:tcW w:w="715" w:type="dxa"/>
            <w:shd w:val="clear" w:color="auto" w:fill="auto"/>
            <w:noWrap/>
            <w:hideMark/>
          </w:tcPr>
          <w:p w14:paraId="343FCCEF"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4,379 </w:t>
            </w:r>
          </w:p>
        </w:tc>
        <w:tc>
          <w:tcPr>
            <w:tcW w:w="858" w:type="dxa"/>
            <w:shd w:val="clear" w:color="auto" w:fill="auto"/>
            <w:noWrap/>
            <w:hideMark/>
          </w:tcPr>
          <w:p w14:paraId="0EA5B97B"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3.6%</w:t>
            </w:r>
          </w:p>
        </w:tc>
        <w:tc>
          <w:tcPr>
            <w:tcW w:w="1143" w:type="dxa"/>
            <w:shd w:val="clear" w:color="auto" w:fill="auto"/>
          </w:tcPr>
          <w:p w14:paraId="06C95032"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1E05F9" w:rsidRPr="00C33C0B" w14:paraId="41D7F3A2" w14:textId="77777777" w:rsidTr="00607BDA">
        <w:tc>
          <w:tcPr>
            <w:tcW w:w="423" w:type="dxa"/>
            <w:shd w:val="clear" w:color="auto" w:fill="auto"/>
            <w:noWrap/>
            <w:hideMark/>
          </w:tcPr>
          <w:p w14:paraId="1445C93D"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825</w:t>
            </w:r>
          </w:p>
        </w:tc>
        <w:tc>
          <w:tcPr>
            <w:tcW w:w="3143" w:type="dxa"/>
            <w:shd w:val="clear" w:color="auto" w:fill="auto"/>
            <w:noWrap/>
            <w:hideMark/>
          </w:tcPr>
          <w:p w14:paraId="5445D48B"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multidisciplinary case conference team of at least 2 other formal care providers of different disciplines, to participate in a community case conference (other than to organise and coordinate the conference) of at least 15 minutes but less than 30 minutes, with the multidisciplinary case conference team</w:t>
            </w:r>
          </w:p>
        </w:tc>
        <w:tc>
          <w:tcPr>
            <w:tcW w:w="715" w:type="dxa"/>
            <w:shd w:val="clear" w:color="auto" w:fill="auto"/>
            <w:noWrap/>
            <w:hideMark/>
          </w:tcPr>
          <w:p w14:paraId="15F7B8DB" w14:textId="77777777" w:rsidR="001E05F9" w:rsidRPr="00A84B03" w:rsidRDefault="001E05F9" w:rsidP="00501544">
            <w:pPr>
              <w:spacing w:before="20" w:after="20" w:line="240" w:lineRule="auto"/>
              <w:rPr>
                <w:rFonts w:cstheme="minorHAnsi"/>
                <w:bCs/>
                <w:color w:val="000000"/>
                <w:sz w:val="17"/>
                <w:szCs w:val="17"/>
                <w:lang w:val="en-GB"/>
              </w:rPr>
            </w:pPr>
            <w:r w:rsidRPr="00A84B03">
              <w:rPr>
                <w:rFonts w:cstheme="minorHAnsi"/>
                <w:bCs/>
                <w:color w:val="000000"/>
                <w:sz w:val="17"/>
                <w:szCs w:val="17"/>
                <w:lang w:val="en-GB"/>
              </w:rPr>
              <w:t xml:space="preserve">$99.90 </w:t>
            </w:r>
          </w:p>
        </w:tc>
        <w:tc>
          <w:tcPr>
            <w:tcW w:w="857" w:type="dxa"/>
            <w:shd w:val="clear" w:color="auto" w:fill="auto"/>
            <w:noWrap/>
            <w:hideMark/>
          </w:tcPr>
          <w:p w14:paraId="5B7B73A9"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$1,370,265 </w:t>
            </w:r>
          </w:p>
        </w:tc>
        <w:tc>
          <w:tcPr>
            <w:tcW w:w="715" w:type="dxa"/>
            <w:shd w:val="clear" w:color="auto" w:fill="auto"/>
            <w:noWrap/>
            <w:hideMark/>
          </w:tcPr>
          <w:p w14:paraId="2A110CE3"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16,129 </w:t>
            </w:r>
          </w:p>
        </w:tc>
        <w:tc>
          <w:tcPr>
            <w:tcW w:w="858" w:type="dxa"/>
            <w:shd w:val="clear" w:color="auto" w:fill="auto"/>
            <w:noWrap/>
            <w:hideMark/>
          </w:tcPr>
          <w:p w14:paraId="6B2828EB"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27.6%</w:t>
            </w:r>
          </w:p>
        </w:tc>
        <w:tc>
          <w:tcPr>
            <w:tcW w:w="1143" w:type="dxa"/>
            <w:shd w:val="clear" w:color="auto" w:fill="auto"/>
          </w:tcPr>
          <w:p w14:paraId="7EB6B202"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1E05F9" w:rsidRPr="00C33C0B" w14:paraId="550C0DEC" w14:textId="77777777" w:rsidTr="00607BDA">
        <w:tc>
          <w:tcPr>
            <w:tcW w:w="423" w:type="dxa"/>
            <w:shd w:val="clear" w:color="auto" w:fill="auto"/>
            <w:noWrap/>
            <w:hideMark/>
          </w:tcPr>
          <w:p w14:paraId="14AA5FE7"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826</w:t>
            </w:r>
          </w:p>
        </w:tc>
        <w:tc>
          <w:tcPr>
            <w:tcW w:w="3143" w:type="dxa"/>
            <w:shd w:val="clear" w:color="auto" w:fill="auto"/>
            <w:noWrap/>
            <w:hideMark/>
          </w:tcPr>
          <w:p w14:paraId="672DD06C"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multidisciplinary case conference team of at least 2 other formal care providers of different disciplines, to participate in a community case conference (other than to organise and coordinate the conference) of at least 30 minutes but less than 45 minutes, with the multidisciplinary case conference team</w:t>
            </w:r>
          </w:p>
        </w:tc>
        <w:tc>
          <w:tcPr>
            <w:tcW w:w="715" w:type="dxa"/>
            <w:shd w:val="clear" w:color="auto" w:fill="auto"/>
            <w:noWrap/>
            <w:hideMark/>
          </w:tcPr>
          <w:p w14:paraId="63A19F37"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$159.30 </w:t>
            </w:r>
          </w:p>
        </w:tc>
        <w:tc>
          <w:tcPr>
            <w:tcW w:w="857" w:type="dxa"/>
            <w:shd w:val="clear" w:color="auto" w:fill="auto"/>
            <w:noWrap/>
            <w:hideMark/>
          </w:tcPr>
          <w:p w14:paraId="4A65F4F8"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$568,784 </w:t>
            </w:r>
          </w:p>
        </w:tc>
        <w:tc>
          <w:tcPr>
            <w:tcW w:w="715" w:type="dxa"/>
            <w:shd w:val="clear" w:color="auto" w:fill="auto"/>
            <w:noWrap/>
            <w:hideMark/>
          </w:tcPr>
          <w:p w14:paraId="4473AED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4,200 </w:t>
            </w:r>
          </w:p>
        </w:tc>
        <w:tc>
          <w:tcPr>
            <w:tcW w:w="858" w:type="dxa"/>
            <w:shd w:val="clear" w:color="auto" w:fill="auto"/>
            <w:noWrap/>
            <w:hideMark/>
          </w:tcPr>
          <w:p w14:paraId="2506C19A"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10.6%</w:t>
            </w:r>
          </w:p>
        </w:tc>
        <w:tc>
          <w:tcPr>
            <w:tcW w:w="1143" w:type="dxa"/>
            <w:shd w:val="clear" w:color="auto" w:fill="auto"/>
          </w:tcPr>
          <w:p w14:paraId="0F3DE878"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1E05F9" w:rsidRPr="00C33C0B" w14:paraId="1CF81F16" w14:textId="77777777" w:rsidTr="00607BDA">
        <w:tc>
          <w:tcPr>
            <w:tcW w:w="423" w:type="dxa"/>
            <w:shd w:val="clear" w:color="auto" w:fill="auto"/>
            <w:noWrap/>
            <w:hideMark/>
          </w:tcPr>
          <w:p w14:paraId="4A7EF7C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828</w:t>
            </w:r>
          </w:p>
        </w:tc>
        <w:tc>
          <w:tcPr>
            <w:tcW w:w="3143" w:type="dxa"/>
            <w:shd w:val="clear" w:color="auto" w:fill="auto"/>
            <w:noWrap/>
            <w:hideMark/>
          </w:tcPr>
          <w:p w14:paraId="03F3FCAA"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multidisciplinary case conference team of at least 2 other formal care providers of different disciplines, to participate in a community case conference (other than to organise and coordinate the conference) of at least 45 minutes, with the multidisciplinary case conference team</w:t>
            </w:r>
          </w:p>
        </w:tc>
        <w:tc>
          <w:tcPr>
            <w:tcW w:w="715" w:type="dxa"/>
            <w:shd w:val="clear" w:color="auto" w:fill="auto"/>
            <w:noWrap/>
            <w:hideMark/>
          </w:tcPr>
          <w:p w14:paraId="4230ACCC"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$218.75 </w:t>
            </w:r>
          </w:p>
        </w:tc>
        <w:tc>
          <w:tcPr>
            <w:tcW w:w="857" w:type="dxa"/>
            <w:shd w:val="clear" w:color="auto" w:fill="auto"/>
            <w:noWrap/>
            <w:hideMark/>
          </w:tcPr>
          <w:p w14:paraId="6061D9EF"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$387,502 </w:t>
            </w:r>
          </w:p>
        </w:tc>
        <w:tc>
          <w:tcPr>
            <w:tcW w:w="715" w:type="dxa"/>
            <w:shd w:val="clear" w:color="auto" w:fill="auto"/>
            <w:noWrap/>
            <w:hideMark/>
          </w:tcPr>
          <w:p w14:paraId="24F29F23"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2,076 </w:t>
            </w:r>
          </w:p>
        </w:tc>
        <w:tc>
          <w:tcPr>
            <w:tcW w:w="858" w:type="dxa"/>
            <w:shd w:val="clear" w:color="auto" w:fill="auto"/>
            <w:noWrap/>
            <w:hideMark/>
          </w:tcPr>
          <w:p w14:paraId="0ACFB81E"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-3.7%</w:t>
            </w:r>
          </w:p>
        </w:tc>
        <w:tc>
          <w:tcPr>
            <w:tcW w:w="1143" w:type="dxa"/>
            <w:shd w:val="clear" w:color="auto" w:fill="auto"/>
          </w:tcPr>
          <w:p w14:paraId="5DD7056D"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1E05F9" w:rsidRPr="00C33C0B" w14:paraId="08CF9DE2" w14:textId="77777777" w:rsidTr="00607BDA">
        <w:tc>
          <w:tcPr>
            <w:tcW w:w="423" w:type="dxa"/>
            <w:shd w:val="clear" w:color="auto" w:fill="auto"/>
            <w:noWrap/>
            <w:hideMark/>
          </w:tcPr>
          <w:p w14:paraId="75CD4576"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830</w:t>
            </w:r>
          </w:p>
        </w:tc>
        <w:tc>
          <w:tcPr>
            <w:tcW w:w="3143" w:type="dxa"/>
            <w:shd w:val="clear" w:color="auto" w:fill="auto"/>
            <w:noWrap/>
            <w:hideMark/>
          </w:tcPr>
          <w:p w14:paraId="5EEEC217"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discharge case conference of at least 15 minutes but less than 30 minutes, with a multidisciplinary team of at least 3 other formal care providers of different disciplines</w:t>
            </w:r>
          </w:p>
        </w:tc>
        <w:tc>
          <w:tcPr>
            <w:tcW w:w="715" w:type="dxa"/>
            <w:shd w:val="clear" w:color="auto" w:fill="auto"/>
            <w:noWrap/>
            <w:hideMark/>
          </w:tcPr>
          <w:p w14:paraId="0898E0DF"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$139.10 </w:t>
            </w:r>
          </w:p>
        </w:tc>
        <w:tc>
          <w:tcPr>
            <w:tcW w:w="857" w:type="dxa"/>
            <w:shd w:val="clear" w:color="auto" w:fill="auto"/>
            <w:noWrap/>
            <w:hideMark/>
          </w:tcPr>
          <w:p w14:paraId="6BF78FCB"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$2,677,611 </w:t>
            </w:r>
          </w:p>
        </w:tc>
        <w:tc>
          <w:tcPr>
            <w:tcW w:w="715" w:type="dxa"/>
            <w:shd w:val="clear" w:color="auto" w:fill="auto"/>
            <w:noWrap/>
            <w:hideMark/>
          </w:tcPr>
          <w:p w14:paraId="13545536"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25,650 </w:t>
            </w:r>
          </w:p>
        </w:tc>
        <w:tc>
          <w:tcPr>
            <w:tcW w:w="858" w:type="dxa"/>
            <w:shd w:val="clear" w:color="auto" w:fill="auto"/>
            <w:noWrap/>
            <w:hideMark/>
          </w:tcPr>
          <w:p w14:paraId="2555B2D7"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7.6%</w:t>
            </w:r>
          </w:p>
        </w:tc>
        <w:tc>
          <w:tcPr>
            <w:tcW w:w="1143" w:type="dxa"/>
            <w:shd w:val="clear" w:color="auto" w:fill="auto"/>
          </w:tcPr>
          <w:p w14:paraId="63BA9AC0"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1E05F9" w:rsidRPr="00C33C0B" w14:paraId="1D6EF33C" w14:textId="77777777" w:rsidTr="00607BDA">
        <w:tc>
          <w:tcPr>
            <w:tcW w:w="423" w:type="dxa"/>
            <w:shd w:val="clear" w:color="auto" w:fill="auto"/>
            <w:noWrap/>
            <w:hideMark/>
          </w:tcPr>
          <w:p w14:paraId="1FE88A52"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832</w:t>
            </w:r>
          </w:p>
        </w:tc>
        <w:tc>
          <w:tcPr>
            <w:tcW w:w="3143" w:type="dxa"/>
            <w:shd w:val="clear" w:color="auto" w:fill="auto"/>
            <w:noWrap/>
            <w:hideMark/>
          </w:tcPr>
          <w:p w14:paraId="370F2D81"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discharge case conference of at least 30 minutes but less than 45 minutes, with a multidisciplinary team of at least 3 other formal care providers of different disciplines</w:t>
            </w:r>
          </w:p>
        </w:tc>
        <w:tc>
          <w:tcPr>
            <w:tcW w:w="715" w:type="dxa"/>
            <w:shd w:val="clear" w:color="auto" w:fill="auto"/>
            <w:noWrap/>
            <w:hideMark/>
          </w:tcPr>
          <w:p w14:paraId="5C516CCD"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$208.70 </w:t>
            </w:r>
          </w:p>
        </w:tc>
        <w:tc>
          <w:tcPr>
            <w:tcW w:w="857" w:type="dxa"/>
            <w:shd w:val="clear" w:color="auto" w:fill="auto"/>
            <w:noWrap/>
            <w:hideMark/>
          </w:tcPr>
          <w:p w14:paraId="3AC7E47E"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$352,998 </w:t>
            </w:r>
          </w:p>
        </w:tc>
        <w:tc>
          <w:tcPr>
            <w:tcW w:w="715" w:type="dxa"/>
            <w:shd w:val="clear" w:color="auto" w:fill="auto"/>
            <w:noWrap/>
            <w:hideMark/>
          </w:tcPr>
          <w:p w14:paraId="21957E75"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2,249 </w:t>
            </w:r>
          </w:p>
        </w:tc>
        <w:tc>
          <w:tcPr>
            <w:tcW w:w="858" w:type="dxa"/>
            <w:shd w:val="clear" w:color="auto" w:fill="auto"/>
            <w:noWrap/>
            <w:hideMark/>
          </w:tcPr>
          <w:p w14:paraId="7F210952"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4.9%</w:t>
            </w:r>
          </w:p>
        </w:tc>
        <w:tc>
          <w:tcPr>
            <w:tcW w:w="1143" w:type="dxa"/>
            <w:shd w:val="clear" w:color="auto" w:fill="auto"/>
          </w:tcPr>
          <w:p w14:paraId="316F7F2F"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1E05F9" w:rsidRPr="00C33C0B" w14:paraId="2C01F573" w14:textId="77777777" w:rsidTr="00607BDA">
        <w:tc>
          <w:tcPr>
            <w:tcW w:w="423" w:type="dxa"/>
            <w:shd w:val="clear" w:color="auto" w:fill="auto"/>
            <w:noWrap/>
            <w:hideMark/>
          </w:tcPr>
          <w:p w14:paraId="44761160"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834</w:t>
            </w:r>
          </w:p>
        </w:tc>
        <w:tc>
          <w:tcPr>
            <w:tcW w:w="3143" w:type="dxa"/>
            <w:shd w:val="clear" w:color="auto" w:fill="auto"/>
            <w:noWrap/>
            <w:hideMark/>
          </w:tcPr>
          <w:p w14:paraId="00855BC8"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discharge case conference of at least 45 minutes, with a multidisciplinary team of at least 3 other formal care providers of different disciplines</w:t>
            </w:r>
          </w:p>
        </w:tc>
        <w:tc>
          <w:tcPr>
            <w:tcW w:w="715" w:type="dxa"/>
            <w:shd w:val="clear" w:color="auto" w:fill="auto"/>
            <w:noWrap/>
            <w:hideMark/>
          </w:tcPr>
          <w:p w14:paraId="171EBB36"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$278.15 </w:t>
            </w:r>
          </w:p>
        </w:tc>
        <w:tc>
          <w:tcPr>
            <w:tcW w:w="857" w:type="dxa"/>
            <w:shd w:val="clear" w:color="auto" w:fill="auto"/>
            <w:noWrap/>
            <w:hideMark/>
          </w:tcPr>
          <w:p w14:paraId="1100B8E6"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$827,074 </w:t>
            </w:r>
          </w:p>
        </w:tc>
        <w:tc>
          <w:tcPr>
            <w:tcW w:w="715" w:type="dxa"/>
            <w:shd w:val="clear" w:color="auto" w:fill="auto"/>
            <w:noWrap/>
            <w:hideMark/>
          </w:tcPr>
          <w:p w14:paraId="63C209F6"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3,959 </w:t>
            </w:r>
          </w:p>
        </w:tc>
        <w:tc>
          <w:tcPr>
            <w:tcW w:w="858" w:type="dxa"/>
            <w:shd w:val="clear" w:color="auto" w:fill="auto"/>
            <w:noWrap/>
            <w:hideMark/>
          </w:tcPr>
          <w:p w14:paraId="2604FF9E"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13.4%</w:t>
            </w:r>
          </w:p>
        </w:tc>
        <w:tc>
          <w:tcPr>
            <w:tcW w:w="1143" w:type="dxa"/>
            <w:shd w:val="clear" w:color="auto" w:fill="auto"/>
          </w:tcPr>
          <w:p w14:paraId="28CF1915"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1E05F9" w:rsidRPr="00C33C0B" w14:paraId="1F6793CC" w14:textId="77777777" w:rsidTr="00607BDA">
        <w:tc>
          <w:tcPr>
            <w:tcW w:w="423" w:type="dxa"/>
            <w:shd w:val="clear" w:color="auto" w:fill="auto"/>
            <w:noWrap/>
            <w:hideMark/>
          </w:tcPr>
          <w:p w14:paraId="623206CE"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835</w:t>
            </w:r>
          </w:p>
        </w:tc>
        <w:tc>
          <w:tcPr>
            <w:tcW w:w="3143" w:type="dxa"/>
            <w:shd w:val="clear" w:color="auto" w:fill="auto"/>
            <w:noWrap/>
            <w:hideMark/>
          </w:tcPr>
          <w:p w14:paraId="343BF85C"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participate in a discharge case conference (other than to organise and coordinate the conference) of at least 15 minutes but less than 30 minutes, with a multidisciplinary team of at least 2 other formal care providers of different disciplines</w:t>
            </w:r>
          </w:p>
        </w:tc>
        <w:tc>
          <w:tcPr>
            <w:tcW w:w="715" w:type="dxa"/>
            <w:shd w:val="clear" w:color="auto" w:fill="auto"/>
            <w:noWrap/>
            <w:hideMark/>
          </w:tcPr>
          <w:p w14:paraId="7BB3ADFF"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$99.90 </w:t>
            </w:r>
          </w:p>
        </w:tc>
        <w:tc>
          <w:tcPr>
            <w:tcW w:w="857" w:type="dxa"/>
            <w:shd w:val="clear" w:color="auto" w:fill="auto"/>
            <w:noWrap/>
            <w:hideMark/>
          </w:tcPr>
          <w:p w14:paraId="372701E7"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$74,442 </w:t>
            </w:r>
          </w:p>
        </w:tc>
        <w:tc>
          <w:tcPr>
            <w:tcW w:w="715" w:type="dxa"/>
            <w:shd w:val="clear" w:color="auto" w:fill="auto"/>
            <w:noWrap/>
            <w:hideMark/>
          </w:tcPr>
          <w:p w14:paraId="6E80D4E8"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968 </w:t>
            </w:r>
          </w:p>
        </w:tc>
        <w:tc>
          <w:tcPr>
            <w:tcW w:w="858" w:type="dxa"/>
            <w:shd w:val="clear" w:color="auto" w:fill="auto"/>
            <w:noWrap/>
            <w:hideMark/>
          </w:tcPr>
          <w:p w14:paraId="5F74A7E3"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10.7%</w:t>
            </w:r>
          </w:p>
        </w:tc>
        <w:tc>
          <w:tcPr>
            <w:tcW w:w="1143" w:type="dxa"/>
            <w:shd w:val="clear" w:color="auto" w:fill="auto"/>
          </w:tcPr>
          <w:p w14:paraId="1959A6FA"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1E05F9" w:rsidRPr="00C33C0B" w14:paraId="6F36FC06" w14:textId="77777777" w:rsidTr="00607BDA">
        <w:tc>
          <w:tcPr>
            <w:tcW w:w="423" w:type="dxa"/>
            <w:shd w:val="clear" w:color="auto" w:fill="auto"/>
            <w:noWrap/>
            <w:hideMark/>
          </w:tcPr>
          <w:p w14:paraId="639DBDD1"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837</w:t>
            </w:r>
          </w:p>
        </w:tc>
        <w:tc>
          <w:tcPr>
            <w:tcW w:w="3143" w:type="dxa"/>
            <w:shd w:val="clear" w:color="auto" w:fill="auto"/>
            <w:noWrap/>
            <w:hideMark/>
          </w:tcPr>
          <w:p w14:paraId="3587EA6C"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participate in a discharge case conference (other than to organise and coordinate the conference) of at least 30 minutes but less than 45 minutes, with a multidisciplinary team of at least 2 other formal care providers of different disciplines</w:t>
            </w:r>
          </w:p>
        </w:tc>
        <w:tc>
          <w:tcPr>
            <w:tcW w:w="715" w:type="dxa"/>
            <w:shd w:val="clear" w:color="auto" w:fill="auto"/>
            <w:noWrap/>
            <w:hideMark/>
          </w:tcPr>
          <w:p w14:paraId="3A38EF80"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$159.30 </w:t>
            </w:r>
          </w:p>
        </w:tc>
        <w:tc>
          <w:tcPr>
            <w:tcW w:w="857" w:type="dxa"/>
            <w:shd w:val="clear" w:color="auto" w:fill="auto"/>
            <w:noWrap/>
            <w:hideMark/>
          </w:tcPr>
          <w:p w14:paraId="3548D92B"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$10,803 </w:t>
            </w:r>
          </w:p>
        </w:tc>
        <w:tc>
          <w:tcPr>
            <w:tcW w:w="715" w:type="dxa"/>
            <w:shd w:val="clear" w:color="auto" w:fill="auto"/>
            <w:noWrap/>
            <w:hideMark/>
          </w:tcPr>
          <w:p w14:paraId="46C00E07"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88 </w:t>
            </w:r>
          </w:p>
        </w:tc>
        <w:tc>
          <w:tcPr>
            <w:tcW w:w="858" w:type="dxa"/>
            <w:shd w:val="clear" w:color="auto" w:fill="auto"/>
            <w:noWrap/>
            <w:hideMark/>
          </w:tcPr>
          <w:p w14:paraId="50E7005A"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15.4%</w:t>
            </w:r>
          </w:p>
        </w:tc>
        <w:tc>
          <w:tcPr>
            <w:tcW w:w="1143" w:type="dxa"/>
            <w:shd w:val="clear" w:color="auto" w:fill="auto"/>
          </w:tcPr>
          <w:p w14:paraId="4905666B"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1E05F9" w:rsidRPr="00C33C0B" w14:paraId="4DD80283" w14:textId="77777777" w:rsidTr="00607BDA">
        <w:tc>
          <w:tcPr>
            <w:tcW w:w="423" w:type="dxa"/>
            <w:shd w:val="clear" w:color="auto" w:fill="auto"/>
            <w:noWrap/>
            <w:hideMark/>
          </w:tcPr>
          <w:p w14:paraId="2B6F5443"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838</w:t>
            </w:r>
          </w:p>
        </w:tc>
        <w:tc>
          <w:tcPr>
            <w:tcW w:w="3143" w:type="dxa"/>
            <w:shd w:val="clear" w:color="auto" w:fill="auto"/>
            <w:noWrap/>
            <w:hideMark/>
          </w:tcPr>
          <w:p w14:paraId="69005F56"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participate in a discharge case conference (other than to organise and coordinate the conference) of at least 45 minutes, with a multidisciplinary team of at least 2 other formal care providers of different disciplines</w:t>
            </w:r>
          </w:p>
        </w:tc>
        <w:tc>
          <w:tcPr>
            <w:tcW w:w="715" w:type="dxa"/>
            <w:shd w:val="clear" w:color="auto" w:fill="auto"/>
            <w:noWrap/>
            <w:hideMark/>
          </w:tcPr>
          <w:p w14:paraId="4E564DA5"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$218.75 </w:t>
            </w:r>
          </w:p>
        </w:tc>
        <w:tc>
          <w:tcPr>
            <w:tcW w:w="857" w:type="dxa"/>
            <w:shd w:val="clear" w:color="auto" w:fill="auto"/>
            <w:noWrap/>
            <w:hideMark/>
          </w:tcPr>
          <w:p w14:paraId="5FED7FE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$20,468 </w:t>
            </w:r>
          </w:p>
        </w:tc>
        <w:tc>
          <w:tcPr>
            <w:tcW w:w="715" w:type="dxa"/>
            <w:shd w:val="clear" w:color="auto" w:fill="auto"/>
            <w:noWrap/>
            <w:hideMark/>
          </w:tcPr>
          <w:p w14:paraId="35503C93"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123 </w:t>
            </w:r>
          </w:p>
        </w:tc>
        <w:tc>
          <w:tcPr>
            <w:tcW w:w="858" w:type="dxa"/>
            <w:shd w:val="clear" w:color="auto" w:fill="auto"/>
            <w:noWrap/>
            <w:hideMark/>
          </w:tcPr>
          <w:p w14:paraId="623098B6"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59.3%</w:t>
            </w:r>
          </w:p>
        </w:tc>
        <w:tc>
          <w:tcPr>
            <w:tcW w:w="1143" w:type="dxa"/>
            <w:shd w:val="clear" w:color="auto" w:fill="auto"/>
          </w:tcPr>
          <w:p w14:paraId="7D5F58A1"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Change descriptor; Open access to all specialists and consultant physicians</w:t>
            </w:r>
          </w:p>
        </w:tc>
      </w:tr>
      <w:tr w:rsidR="001E05F9" w:rsidRPr="00C33C0B" w14:paraId="61A22C9D" w14:textId="77777777" w:rsidTr="00607BDA">
        <w:tc>
          <w:tcPr>
            <w:tcW w:w="423" w:type="dxa"/>
            <w:shd w:val="clear" w:color="auto" w:fill="auto"/>
            <w:noWrap/>
            <w:hideMark/>
          </w:tcPr>
          <w:p w14:paraId="72E53653"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871</w:t>
            </w:r>
          </w:p>
        </w:tc>
        <w:tc>
          <w:tcPr>
            <w:tcW w:w="3143" w:type="dxa"/>
            <w:shd w:val="clear" w:color="auto" w:fill="auto"/>
            <w:noWrap/>
            <w:hideMark/>
          </w:tcPr>
          <w:p w14:paraId="5E620D1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medical practitioner (including a specialist or consultant physician in the practice of his or her specialty or a general practitioner), as a member of a case conference team, to lead and coordinate a multidisciplinary case conference on a patient with cancer to develop a multidisciplinary treatment plan, if the case conference is of at least 10 minutes, with a multidisciplinary team of at least 3 other medical practitioners from different areas of medical practice (which may include general practice), and, in addition, allied health providers</w:t>
            </w:r>
          </w:p>
        </w:tc>
        <w:tc>
          <w:tcPr>
            <w:tcW w:w="715" w:type="dxa"/>
            <w:shd w:val="clear" w:color="auto" w:fill="auto"/>
            <w:noWrap/>
            <w:hideMark/>
          </w:tcPr>
          <w:p w14:paraId="729CAD13"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$80.30 </w:t>
            </w:r>
          </w:p>
        </w:tc>
        <w:tc>
          <w:tcPr>
            <w:tcW w:w="857" w:type="dxa"/>
            <w:shd w:val="clear" w:color="auto" w:fill="auto"/>
            <w:noWrap/>
            <w:hideMark/>
          </w:tcPr>
          <w:p w14:paraId="7FA8B8EB"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$2,853,474 </w:t>
            </w:r>
          </w:p>
        </w:tc>
        <w:tc>
          <w:tcPr>
            <w:tcW w:w="715" w:type="dxa"/>
            <w:shd w:val="clear" w:color="auto" w:fill="auto"/>
            <w:noWrap/>
            <w:hideMark/>
          </w:tcPr>
          <w:p w14:paraId="06CB1BDE"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41,923 </w:t>
            </w:r>
          </w:p>
        </w:tc>
        <w:tc>
          <w:tcPr>
            <w:tcW w:w="858" w:type="dxa"/>
            <w:shd w:val="clear" w:color="auto" w:fill="auto"/>
            <w:noWrap/>
            <w:hideMark/>
          </w:tcPr>
          <w:p w14:paraId="38F8B6F1"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21.1%</w:t>
            </w:r>
          </w:p>
        </w:tc>
        <w:tc>
          <w:tcPr>
            <w:tcW w:w="1143" w:type="dxa"/>
            <w:shd w:val="clear" w:color="auto" w:fill="auto"/>
          </w:tcPr>
          <w:p w14:paraId="388F043B"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 Replace with new treatment planning case conferences</w:t>
            </w:r>
          </w:p>
        </w:tc>
      </w:tr>
      <w:tr w:rsidR="001E05F9" w:rsidRPr="00C33C0B" w14:paraId="675D3DA2" w14:textId="77777777" w:rsidTr="00607BDA">
        <w:tc>
          <w:tcPr>
            <w:tcW w:w="423" w:type="dxa"/>
            <w:shd w:val="clear" w:color="auto" w:fill="auto"/>
            <w:noWrap/>
            <w:hideMark/>
          </w:tcPr>
          <w:p w14:paraId="2596736E"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872</w:t>
            </w:r>
          </w:p>
        </w:tc>
        <w:tc>
          <w:tcPr>
            <w:tcW w:w="3143" w:type="dxa"/>
            <w:shd w:val="clear" w:color="auto" w:fill="auto"/>
            <w:noWrap/>
            <w:hideMark/>
          </w:tcPr>
          <w:p w14:paraId="17D7081F"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medical practitioner (including a specialist or consultant physician in the practice of his or her specialty or a general practitioner), as a member of a case conference team, to participate in a multidisciplinary case conference on a patient with cancer to develop a multidisciplinary treatment plan, if the case conference is of at least 10 minutes, with a multidisciplinary team of at least 4 medical practitioners from different areas of medical practice (which may include general practice), and, in addition, allied health providers</w:t>
            </w:r>
          </w:p>
        </w:tc>
        <w:tc>
          <w:tcPr>
            <w:tcW w:w="715" w:type="dxa"/>
            <w:shd w:val="clear" w:color="auto" w:fill="auto"/>
            <w:noWrap/>
            <w:hideMark/>
          </w:tcPr>
          <w:p w14:paraId="2F5F59D7"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$37.40 </w:t>
            </w:r>
          </w:p>
        </w:tc>
        <w:tc>
          <w:tcPr>
            <w:tcW w:w="857" w:type="dxa"/>
            <w:shd w:val="clear" w:color="auto" w:fill="auto"/>
            <w:noWrap/>
            <w:hideMark/>
          </w:tcPr>
          <w:p w14:paraId="78065901"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$3,281,342 </w:t>
            </w:r>
          </w:p>
        </w:tc>
        <w:tc>
          <w:tcPr>
            <w:tcW w:w="715" w:type="dxa"/>
            <w:shd w:val="clear" w:color="auto" w:fill="auto"/>
            <w:noWrap/>
            <w:hideMark/>
          </w:tcPr>
          <w:p w14:paraId="26917BA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103,423 </w:t>
            </w:r>
          </w:p>
        </w:tc>
        <w:tc>
          <w:tcPr>
            <w:tcW w:w="858" w:type="dxa"/>
            <w:shd w:val="clear" w:color="auto" w:fill="auto"/>
            <w:noWrap/>
            <w:hideMark/>
          </w:tcPr>
          <w:p w14:paraId="36411B38"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36.7%</w:t>
            </w:r>
          </w:p>
        </w:tc>
        <w:tc>
          <w:tcPr>
            <w:tcW w:w="1143" w:type="dxa"/>
            <w:shd w:val="clear" w:color="auto" w:fill="auto"/>
          </w:tcPr>
          <w:p w14:paraId="7ABE089C"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 Replace with new treatment planning case conferences</w:t>
            </w:r>
          </w:p>
        </w:tc>
      </w:tr>
      <w:tr w:rsidR="001E05F9" w:rsidRPr="00C33C0B" w14:paraId="265477EB" w14:textId="77777777" w:rsidTr="00607BDA">
        <w:tc>
          <w:tcPr>
            <w:tcW w:w="423" w:type="dxa"/>
            <w:shd w:val="clear" w:color="auto" w:fill="auto"/>
            <w:noWrap/>
            <w:hideMark/>
          </w:tcPr>
          <w:p w14:paraId="7F125E8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880</w:t>
            </w:r>
          </w:p>
        </w:tc>
        <w:tc>
          <w:tcPr>
            <w:tcW w:w="3143" w:type="dxa"/>
            <w:shd w:val="clear" w:color="auto" w:fill="auto"/>
            <w:noWrap/>
            <w:hideMark/>
          </w:tcPr>
          <w:p w14:paraId="7EC0F90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geriatric or rehabilitation medicine, as a member of a case conference team, to coordinate a case conference of at least 10 minutes but less than 30 minutes--for any particular patient, one attendance only in a 7 day period (other than attendance on the same day as an attendance for which item 832, 834, 835, 837 or 838 was applicable in relation to the patient) (H)</w:t>
            </w:r>
          </w:p>
        </w:tc>
        <w:tc>
          <w:tcPr>
            <w:tcW w:w="715" w:type="dxa"/>
            <w:shd w:val="clear" w:color="auto" w:fill="auto"/>
            <w:noWrap/>
            <w:hideMark/>
          </w:tcPr>
          <w:p w14:paraId="4C1E1373"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$48.65 </w:t>
            </w:r>
          </w:p>
        </w:tc>
        <w:tc>
          <w:tcPr>
            <w:tcW w:w="857" w:type="dxa"/>
            <w:shd w:val="clear" w:color="auto" w:fill="auto"/>
            <w:noWrap/>
            <w:hideMark/>
          </w:tcPr>
          <w:p w14:paraId="38DD0C80"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$4,249,249 </w:t>
            </w:r>
          </w:p>
        </w:tc>
        <w:tc>
          <w:tcPr>
            <w:tcW w:w="715" w:type="dxa"/>
            <w:shd w:val="clear" w:color="auto" w:fill="auto"/>
            <w:noWrap/>
            <w:hideMark/>
          </w:tcPr>
          <w:p w14:paraId="13356FA8"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116,440 </w:t>
            </w:r>
          </w:p>
        </w:tc>
        <w:tc>
          <w:tcPr>
            <w:tcW w:w="858" w:type="dxa"/>
            <w:shd w:val="clear" w:color="auto" w:fill="auto"/>
            <w:noWrap/>
            <w:hideMark/>
          </w:tcPr>
          <w:p w14:paraId="04093BC1"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11.8%</w:t>
            </w:r>
          </w:p>
        </w:tc>
        <w:tc>
          <w:tcPr>
            <w:tcW w:w="1143" w:type="dxa"/>
            <w:shd w:val="clear" w:color="auto" w:fill="auto"/>
          </w:tcPr>
          <w:p w14:paraId="714605AB"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No change</w:t>
            </w:r>
          </w:p>
        </w:tc>
      </w:tr>
      <w:tr w:rsidR="001E05F9" w:rsidRPr="00C33C0B" w14:paraId="669DBCC1" w14:textId="77777777" w:rsidTr="00607BDA">
        <w:tc>
          <w:tcPr>
            <w:tcW w:w="423" w:type="dxa"/>
            <w:shd w:val="clear" w:color="auto" w:fill="auto"/>
            <w:noWrap/>
            <w:hideMark/>
          </w:tcPr>
          <w:p w14:paraId="11894386"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2946</w:t>
            </w:r>
          </w:p>
        </w:tc>
        <w:tc>
          <w:tcPr>
            <w:tcW w:w="3143" w:type="dxa"/>
            <w:shd w:val="clear" w:color="auto" w:fill="auto"/>
            <w:noWrap/>
            <w:hideMark/>
          </w:tcPr>
          <w:p w14:paraId="59F0144A"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community case conference of at least 15 minutes but less than 30 minutes</w:t>
            </w:r>
          </w:p>
        </w:tc>
        <w:tc>
          <w:tcPr>
            <w:tcW w:w="715" w:type="dxa"/>
            <w:shd w:val="clear" w:color="auto" w:fill="auto"/>
            <w:noWrap/>
            <w:hideMark/>
          </w:tcPr>
          <w:p w14:paraId="6A4745F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$139.10 </w:t>
            </w:r>
          </w:p>
        </w:tc>
        <w:tc>
          <w:tcPr>
            <w:tcW w:w="857" w:type="dxa"/>
            <w:shd w:val="clear" w:color="auto" w:fill="auto"/>
            <w:noWrap/>
            <w:hideMark/>
          </w:tcPr>
          <w:p w14:paraId="4B539122"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$119,742 </w:t>
            </w:r>
          </w:p>
        </w:tc>
        <w:tc>
          <w:tcPr>
            <w:tcW w:w="715" w:type="dxa"/>
            <w:shd w:val="clear" w:color="auto" w:fill="auto"/>
            <w:noWrap/>
            <w:hideMark/>
          </w:tcPr>
          <w:p w14:paraId="5FF3A9FB"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1,046 </w:t>
            </w:r>
          </w:p>
        </w:tc>
        <w:tc>
          <w:tcPr>
            <w:tcW w:w="858" w:type="dxa"/>
            <w:shd w:val="clear" w:color="auto" w:fill="auto"/>
            <w:noWrap/>
            <w:hideMark/>
          </w:tcPr>
          <w:p w14:paraId="21CCD9DA"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1.4%</w:t>
            </w:r>
          </w:p>
        </w:tc>
        <w:tc>
          <w:tcPr>
            <w:tcW w:w="1143" w:type="dxa"/>
            <w:shd w:val="clear" w:color="auto" w:fill="auto"/>
          </w:tcPr>
          <w:p w14:paraId="4ACE479A"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352F4DC4" w14:textId="77777777" w:rsidTr="00607BDA">
        <w:tc>
          <w:tcPr>
            <w:tcW w:w="423" w:type="dxa"/>
            <w:shd w:val="clear" w:color="auto" w:fill="auto"/>
            <w:noWrap/>
            <w:hideMark/>
          </w:tcPr>
          <w:p w14:paraId="4C5F21D6"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2949</w:t>
            </w:r>
          </w:p>
        </w:tc>
        <w:tc>
          <w:tcPr>
            <w:tcW w:w="3143" w:type="dxa"/>
            <w:shd w:val="clear" w:color="auto" w:fill="auto"/>
            <w:noWrap/>
            <w:hideMark/>
          </w:tcPr>
          <w:p w14:paraId="78A1F3E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community case conference of at least 30 minutes but less than 45 minutes</w:t>
            </w:r>
          </w:p>
        </w:tc>
        <w:tc>
          <w:tcPr>
            <w:tcW w:w="715" w:type="dxa"/>
            <w:shd w:val="clear" w:color="auto" w:fill="auto"/>
            <w:noWrap/>
            <w:hideMark/>
          </w:tcPr>
          <w:p w14:paraId="78167A45"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$208.70 </w:t>
            </w:r>
          </w:p>
        </w:tc>
        <w:tc>
          <w:tcPr>
            <w:tcW w:w="857" w:type="dxa"/>
            <w:shd w:val="clear" w:color="auto" w:fill="auto"/>
            <w:noWrap/>
            <w:hideMark/>
          </w:tcPr>
          <w:p w14:paraId="115DA06E"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$22,686 </w:t>
            </w:r>
          </w:p>
        </w:tc>
        <w:tc>
          <w:tcPr>
            <w:tcW w:w="715" w:type="dxa"/>
            <w:shd w:val="clear" w:color="auto" w:fill="auto"/>
            <w:noWrap/>
            <w:hideMark/>
          </w:tcPr>
          <w:p w14:paraId="4FE05D13"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128 </w:t>
            </w:r>
          </w:p>
        </w:tc>
        <w:tc>
          <w:tcPr>
            <w:tcW w:w="858" w:type="dxa"/>
            <w:shd w:val="clear" w:color="auto" w:fill="auto"/>
            <w:noWrap/>
            <w:hideMark/>
          </w:tcPr>
          <w:p w14:paraId="6D5F75D2"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18.8%</w:t>
            </w:r>
          </w:p>
        </w:tc>
        <w:tc>
          <w:tcPr>
            <w:tcW w:w="1143" w:type="dxa"/>
            <w:shd w:val="clear" w:color="auto" w:fill="auto"/>
          </w:tcPr>
          <w:p w14:paraId="0237E3EB"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3F79437F" w14:textId="77777777" w:rsidTr="00607BDA">
        <w:tc>
          <w:tcPr>
            <w:tcW w:w="423" w:type="dxa"/>
            <w:shd w:val="clear" w:color="auto" w:fill="auto"/>
            <w:noWrap/>
            <w:hideMark/>
          </w:tcPr>
          <w:p w14:paraId="72C7362A"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2954</w:t>
            </w:r>
          </w:p>
        </w:tc>
        <w:tc>
          <w:tcPr>
            <w:tcW w:w="3143" w:type="dxa"/>
            <w:shd w:val="clear" w:color="auto" w:fill="auto"/>
            <w:noWrap/>
            <w:hideMark/>
          </w:tcPr>
          <w:p w14:paraId="5F75D18E"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community case conference of at least 45 minutes</w:t>
            </w:r>
          </w:p>
        </w:tc>
        <w:tc>
          <w:tcPr>
            <w:tcW w:w="715" w:type="dxa"/>
            <w:shd w:val="clear" w:color="auto" w:fill="auto"/>
            <w:noWrap/>
            <w:hideMark/>
          </w:tcPr>
          <w:p w14:paraId="45F52ECB"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$278.15 </w:t>
            </w:r>
          </w:p>
        </w:tc>
        <w:tc>
          <w:tcPr>
            <w:tcW w:w="857" w:type="dxa"/>
            <w:shd w:val="clear" w:color="auto" w:fill="auto"/>
            <w:noWrap/>
            <w:hideMark/>
          </w:tcPr>
          <w:p w14:paraId="6A110566"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$18,986 </w:t>
            </w:r>
          </w:p>
        </w:tc>
        <w:tc>
          <w:tcPr>
            <w:tcW w:w="715" w:type="dxa"/>
            <w:shd w:val="clear" w:color="auto" w:fill="auto"/>
            <w:noWrap/>
            <w:hideMark/>
          </w:tcPr>
          <w:p w14:paraId="2A090A39"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81 </w:t>
            </w:r>
          </w:p>
        </w:tc>
        <w:tc>
          <w:tcPr>
            <w:tcW w:w="858" w:type="dxa"/>
            <w:shd w:val="clear" w:color="auto" w:fill="auto"/>
            <w:noWrap/>
            <w:hideMark/>
          </w:tcPr>
          <w:p w14:paraId="37DA0353"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140.8%</w:t>
            </w:r>
          </w:p>
        </w:tc>
        <w:tc>
          <w:tcPr>
            <w:tcW w:w="1143" w:type="dxa"/>
            <w:shd w:val="clear" w:color="auto" w:fill="auto"/>
          </w:tcPr>
          <w:p w14:paraId="41BE6018"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1AC6EAFF" w14:textId="77777777" w:rsidTr="00607BDA">
        <w:tc>
          <w:tcPr>
            <w:tcW w:w="423" w:type="dxa"/>
            <w:shd w:val="clear" w:color="auto" w:fill="auto"/>
            <w:noWrap/>
            <w:hideMark/>
          </w:tcPr>
          <w:p w14:paraId="2A1F439E"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2958</w:t>
            </w:r>
          </w:p>
        </w:tc>
        <w:tc>
          <w:tcPr>
            <w:tcW w:w="3143" w:type="dxa"/>
            <w:shd w:val="clear" w:color="auto" w:fill="auto"/>
            <w:noWrap/>
            <w:hideMark/>
          </w:tcPr>
          <w:p w14:paraId="0C71CE22"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community case conference (other than to organise and coordinate the conference) of at least 15 minutes but less than 30 minutes</w:t>
            </w:r>
          </w:p>
        </w:tc>
        <w:tc>
          <w:tcPr>
            <w:tcW w:w="715" w:type="dxa"/>
            <w:shd w:val="clear" w:color="auto" w:fill="auto"/>
            <w:noWrap/>
            <w:hideMark/>
          </w:tcPr>
          <w:p w14:paraId="04FD97A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$99.90 </w:t>
            </w:r>
          </w:p>
        </w:tc>
        <w:tc>
          <w:tcPr>
            <w:tcW w:w="857" w:type="dxa"/>
            <w:shd w:val="clear" w:color="auto" w:fill="auto"/>
            <w:noWrap/>
            <w:hideMark/>
          </w:tcPr>
          <w:p w14:paraId="0FAF2547"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$77,858 </w:t>
            </w:r>
          </w:p>
        </w:tc>
        <w:tc>
          <w:tcPr>
            <w:tcW w:w="715" w:type="dxa"/>
            <w:shd w:val="clear" w:color="auto" w:fill="auto"/>
            <w:noWrap/>
            <w:hideMark/>
          </w:tcPr>
          <w:p w14:paraId="4D35DF32"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920 </w:t>
            </w:r>
          </w:p>
        </w:tc>
        <w:tc>
          <w:tcPr>
            <w:tcW w:w="858" w:type="dxa"/>
            <w:shd w:val="clear" w:color="auto" w:fill="auto"/>
            <w:noWrap/>
            <w:hideMark/>
          </w:tcPr>
          <w:p w14:paraId="26C0692B"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59.9%</w:t>
            </w:r>
          </w:p>
        </w:tc>
        <w:tc>
          <w:tcPr>
            <w:tcW w:w="1143" w:type="dxa"/>
            <w:shd w:val="clear" w:color="auto" w:fill="auto"/>
          </w:tcPr>
          <w:p w14:paraId="3E8F4E98"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086B4769" w14:textId="77777777" w:rsidTr="00607BDA">
        <w:tc>
          <w:tcPr>
            <w:tcW w:w="423" w:type="dxa"/>
            <w:shd w:val="clear" w:color="auto" w:fill="auto"/>
            <w:noWrap/>
            <w:hideMark/>
          </w:tcPr>
          <w:p w14:paraId="5C3200F1"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2972</w:t>
            </w:r>
          </w:p>
        </w:tc>
        <w:tc>
          <w:tcPr>
            <w:tcW w:w="3143" w:type="dxa"/>
            <w:shd w:val="clear" w:color="auto" w:fill="auto"/>
            <w:noWrap/>
            <w:hideMark/>
          </w:tcPr>
          <w:p w14:paraId="055B0242"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community case conference (other than to organise and coordinate the conference) of at least 30 minutes but less than 45 minutes</w:t>
            </w:r>
          </w:p>
        </w:tc>
        <w:tc>
          <w:tcPr>
            <w:tcW w:w="715" w:type="dxa"/>
            <w:shd w:val="clear" w:color="auto" w:fill="auto"/>
            <w:noWrap/>
            <w:hideMark/>
          </w:tcPr>
          <w:p w14:paraId="0F725640"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$159.30 </w:t>
            </w:r>
          </w:p>
        </w:tc>
        <w:tc>
          <w:tcPr>
            <w:tcW w:w="857" w:type="dxa"/>
            <w:shd w:val="clear" w:color="auto" w:fill="auto"/>
            <w:noWrap/>
            <w:hideMark/>
          </w:tcPr>
          <w:p w14:paraId="30639889"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$14,493 </w:t>
            </w:r>
          </w:p>
        </w:tc>
        <w:tc>
          <w:tcPr>
            <w:tcW w:w="715" w:type="dxa"/>
            <w:shd w:val="clear" w:color="auto" w:fill="auto"/>
            <w:noWrap/>
            <w:hideMark/>
          </w:tcPr>
          <w:p w14:paraId="77DF9DF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107 </w:t>
            </w:r>
          </w:p>
        </w:tc>
        <w:tc>
          <w:tcPr>
            <w:tcW w:w="858" w:type="dxa"/>
            <w:shd w:val="clear" w:color="auto" w:fill="auto"/>
            <w:noWrap/>
            <w:hideMark/>
          </w:tcPr>
          <w:p w14:paraId="58BB7FD7"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-6.8%</w:t>
            </w:r>
          </w:p>
        </w:tc>
        <w:tc>
          <w:tcPr>
            <w:tcW w:w="1143" w:type="dxa"/>
            <w:shd w:val="clear" w:color="auto" w:fill="auto"/>
          </w:tcPr>
          <w:p w14:paraId="2C245205"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55717273" w14:textId="77777777" w:rsidTr="00607BDA">
        <w:tc>
          <w:tcPr>
            <w:tcW w:w="423" w:type="dxa"/>
            <w:shd w:val="clear" w:color="auto" w:fill="auto"/>
            <w:noWrap/>
            <w:hideMark/>
          </w:tcPr>
          <w:p w14:paraId="169F4676"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2974</w:t>
            </w:r>
          </w:p>
        </w:tc>
        <w:tc>
          <w:tcPr>
            <w:tcW w:w="3143" w:type="dxa"/>
            <w:shd w:val="clear" w:color="auto" w:fill="auto"/>
            <w:noWrap/>
            <w:hideMark/>
          </w:tcPr>
          <w:p w14:paraId="775EE2FF"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community case conference (other than to organise and coordinate the conference) of at least 45 minutes</w:t>
            </w:r>
          </w:p>
        </w:tc>
        <w:tc>
          <w:tcPr>
            <w:tcW w:w="715" w:type="dxa"/>
            <w:shd w:val="clear" w:color="auto" w:fill="auto"/>
            <w:noWrap/>
            <w:hideMark/>
          </w:tcPr>
          <w:p w14:paraId="0E375171"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$218.75 </w:t>
            </w:r>
          </w:p>
        </w:tc>
        <w:tc>
          <w:tcPr>
            <w:tcW w:w="857" w:type="dxa"/>
            <w:shd w:val="clear" w:color="auto" w:fill="auto"/>
            <w:noWrap/>
            <w:hideMark/>
          </w:tcPr>
          <w:p w14:paraId="7B3C18D0"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$20,619 </w:t>
            </w:r>
          </w:p>
        </w:tc>
        <w:tc>
          <w:tcPr>
            <w:tcW w:w="715" w:type="dxa"/>
            <w:shd w:val="clear" w:color="auto" w:fill="auto"/>
            <w:noWrap/>
            <w:hideMark/>
          </w:tcPr>
          <w:p w14:paraId="4B90EFAE"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111 </w:t>
            </w:r>
          </w:p>
        </w:tc>
        <w:tc>
          <w:tcPr>
            <w:tcW w:w="858" w:type="dxa"/>
            <w:shd w:val="clear" w:color="auto" w:fill="auto"/>
            <w:noWrap/>
            <w:hideMark/>
          </w:tcPr>
          <w:p w14:paraId="1247B377"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45.5%</w:t>
            </w:r>
          </w:p>
        </w:tc>
        <w:tc>
          <w:tcPr>
            <w:tcW w:w="1143" w:type="dxa"/>
            <w:shd w:val="clear" w:color="auto" w:fill="auto"/>
          </w:tcPr>
          <w:p w14:paraId="63BC9A1F"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58C9410B" w14:textId="77777777" w:rsidTr="00607BDA">
        <w:tc>
          <w:tcPr>
            <w:tcW w:w="423" w:type="dxa"/>
            <w:shd w:val="clear" w:color="auto" w:fill="auto"/>
            <w:noWrap/>
            <w:hideMark/>
          </w:tcPr>
          <w:p w14:paraId="7C4081C9"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2978</w:t>
            </w:r>
          </w:p>
        </w:tc>
        <w:tc>
          <w:tcPr>
            <w:tcW w:w="3143" w:type="dxa"/>
            <w:shd w:val="clear" w:color="auto" w:fill="auto"/>
            <w:noWrap/>
            <w:hideMark/>
          </w:tcPr>
          <w:p w14:paraId="51BFFE52"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discharge case conference of at least 15 minutes but less than 30 minutes, before the patient is discharged from a hospital (H)</w:t>
            </w:r>
          </w:p>
        </w:tc>
        <w:tc>
          <w:tcPr>
            <w:tcW w:w="715" w:type="dxa"/>
            <w:shd w:val="clear" w:color="auto" w:fill="auto"/>
            <w:noWrap/>
            <w:hideMark/>
          </w:tcPr>
          <w:p w14:paraId="4D8C64D5"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$139.10 </w:t>
            </w:r>
          </w:p>
        </w:tc>
        <w:tc>
          <w:tcPr>
            <w:tcW w:w="857" w:type="dxa"/>
            <w:shd w:val="clear" w:color="auto" w:fill="auto"/>
            <w:noWrap/>
            <w:hideMark/>
          </w:tcPr>
          <w:p w14:paraId="1E051F70"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$3,548 </w:t>
            </w:r>
          </w:p>
        </w:tc>
        <w:tc>
          <w:tcPr>
            <w:tcW w:w="715" w:type="dxa"/>
            <w:shd w:val="clear" w:color="auto" w:fill="auto"/>
            <w:noWrap/>
            <w:hideMark/>
          </w:tcPr>
          <w:p w14:paraId="4593E048"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34 </w:t>
            </w:r>
          </w:p>
        </w:tc>
        <w:tc>
          <w:tcPr>
            <w:tcW w:w="858" w:type="dxa"/>
            <w:shd w:val="clear" w:color="auto" w:fill="auto"/>
            <w:noWrap/>
            <w:hideMark/>
          </w:tcPr>
          <w:p w14:paraId="551006C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-15.1%</w:t>
            </w:r>
          </w:p>
        </w:tc>
        <w:tc>
          <w:tcPr>
            <w:tcW w:w="1143" w:type="dxa"/>
            <w:shd w:val="clear" w:color="auto" w:fill="auto"/>
          </w:tcPr>
          <w:p w14:paraId="62E07A86"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46D3D8A7" w14:textId="77777777" w:rsidTr="00607BDA">
        <w:tc>
          <w:tcPr>
            <w:tcW w:w="423" w:type="dxa"/>
            <w:shd w:val="clear" w:color="auto" w:fill="auto"/>
            <w:noWrap/>
            <w:hideMark/>
          </w:tcPr>
          <w:p w14:paraId="3BD11F15"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2984</w:t>
            </w:r>
          </w:p>
        </w:tc>
        <w:tc>
          <w:tcPr>
            <w:tcW w:w="3143" w:type="dxa"/>
            <w:shd w:val="clear" w:color="auto" w:fill="auto"/>
            <w:noWrap/>
            <w:hideMark/>
          </w:tcPr>
          <w:p w14:paraId="60A24B88"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discharge case conference of at least 30 minutes but less than 45 minutes, before the patient is discharged from a hospital (H)</w:t>
            </w:r>
          </w:p>
        </w:tc>
        <w:tc>
          <w:tcPr>
            <w:tcW w:w="715" w:type="dxa"/>
            <w:shd w:val="clear" w:color="auto" w:fill="auto"/>
            <w:noWrap/>
            <w:hideMark/>
          </w:tcPr>
          <w:p w14:paraId="4D38979E"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$208.70 </w:t>
            </w:r>
          </w:p>
        </w:tc>
        <w:tc>
          <w:tcPr>
            <w:tcW w:w="857" w:type="dxa"/>
            <w:shd w:val="clear" w:color="auto" w:fill="auto"/>
            <w:noWrap/>
            <w:hideMark/>
          </w:tcPr>
          <w:p w14:paraId="0F1D61DE"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w:t>
            </w:r>
          </w:p>
        </w:tc>
        <w:tc>
          <w:tcPr>
            <w:tcW w:w="715" w:type="dxa"/>
            <w:shd w:val="clear" w:color="auto" w:fill="auto"/>
            <w:noWrap/>
            <w:hideMark/>
          </w:tcPr>
          <w:p w14:paraId="7540307A"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 </w:t>
            </w:r>
          </w:p>
        </w:tc>
        <w:tc>
          <w:tcPr>
            <w:tcW w:w="858" w:type="dxa"/>
            <w:shd w:val="clear" w:color="auto" w:fill="auto"/>
            <w:noWrap/>
            <w:hideMark/>
          </w:tcPr>
          <w:p w14:paraId="3A90A651" w14:textId="77777777" w:rsidR="001E05F9" w:rsidRPr="00C33C0B" w:rsidRDefault="001E05F9" w:rsidP="00501544">
            <w:pPr>
              <w:spacing w:before="20" w:after="20" w:line="240" w:lineRule="auto"/>
              <w:rPr>
                <w:rFonts w:cstheme="minorHAnsi"/>
                <w:color w:val="000000"/>
                <w:sz w:val="17"/>
                <w:szCs w:val="17"/>
                <w:lang w:val="en-GB"/>
              </w:rPr>
            </w:pPr>
          </w:p>
        </w:tc>
        <w:tc>
          <w:tcPr>
            <w:tcW w:w="1143" w:type="dxa"/>
            <w:shd w:val="clear" w:color="auto" w:fill="auto"/>
          </w:tcPr>
          <w:p w14:paraId="5A493DC7"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64F8AF4E" w14:textId="77777777" w:rsidTr="00607BDA">
        <w:tc>
          <w:tcPr>
            <w:tcW w:w="423" w:type="dxa"/>
            <w:shd w:val="clear" w:color="auto" w:fill="auto"/>
            <w:noWrap/>
            <w:hideMark/>
          </w:tcPr>
          <w:p w14:paraId="482B64F2"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2988</w:t>
            </w:r>
          </w:p>
        </w:tc>
        <w:tc>
          <w:tcPr>
            <w:tcW w:w="3143" w:type="dxa"/>
            <w:shd w:val="clear" w:color="auto" w:fill="auto"/>
            <w:noWrap/>
            <w:hideMark/>
          </w:tcPr>
          <w:p w14:paraId="43CC6F6E"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discharge case conference of at least 45 minutes, before the patient is discharged from a hospital (H)</w:t>
            </w:r>
          </w:p>
        </w:tc>
        <w:tc>
          <w:tcPr>
            <w:tcW w:w="715" w:type="dxa"/>
            <w:shd w:val="clear" w:color="auto" w:fill="auto"/>
            <w:noWrap/>
            <w:hideMark/>
          </w:tcPr>
          <w:p w14:paraId="14DBAECC"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$278.15 </w:t>
            </w:r>
          </w:p>
        </w:tc>
        <w:tc>
          <w:tcPr>
            <w:tcW w:w="857" w:type="dxa"/>
            <w:shd w:val="clear" w:color="auto" w:fill="auto"/>
            <w:noWrap/>
            <w:hideMark/>
          </w:tcPr>
          <w:p w14:paraId="4ACD87CC"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$209 </w:t>
            </w:r>
          </w:p>
        </w:tc>
        <w:tc>
          <w:tcPr>
            <w:tcW w:w="715" w:type="dxa"/>
            <w:shd w:val="clear" w:color="auto" w:fill="auto"/>
            <w:noWrap/>
            <w:hideMark/>
          </w:tcPr>
          <w:p w14:paraId="49DF8615"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1 </w:t>
            </w:r>
          </w:p>
        </w:tc>
        <w:tc>
          <w:tcPr>
            <w:tcW w:w="858" w:type="dxa"/>
            <w:shd w:val="clear" w:color="auto" w:fill="auto"/>
            <w:noWrap/>
            <w:hideMark/>
          </w:tcPr>
          <w:p w14:paraId="1F27BFD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0.0%</w:t>
            </w:r>
          </w:p>
        </w:tc>
        <w:tc>
          <w:tcPr>
            <w:tcW w:w="1143" w:type="dxa"/>
            <w:shd w:val="clear" w:color="auto" w:fill="auto"/>
          </w:tcPr>
          <w:p w14:paraId="52F6E694"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576A63DD" w14:textId="77777777" w:rsidTr="00607BDA">
        <w:tc>
          <w:tcPr>
            <w:tcW w:w="423" w:type="dxa"/>
            <w:shd w:val="clear" w:color="auto" w:fill="auto"/>
            <w:noWrap/>
            <w:hideMark/>
          </w:tcPr>
          <w:p w14:paraId="336A209F"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2992</w:t>
            </w:r>
          </w:p>
        </w:tc>
        <w:tc>
          <w:tcPr>
            <w:tcW w:w="3143" w:type="dxa"/>
            <w:shd w:val="clear" w:color="auto" w:fill="auto"/>
            <w:noWrap/>
            <w:hideMark/>
          </w:tcPr>
          <w:p w14:paraId="09725313"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discharge case conference (other than to organise and coordinate the conference) of at least 15 minutes but less than 30 minutes, before the patient is discharged from a hospital (H)</w:t>
            </w:r>
          </w:p>
        </w:tc>
        <w:tc>
          <w:tcPr>
            <w:tcW w:w="715" w:type="dxa"/>
            <w:shd w:val="clear" w:color="auto" w:fill="auto"/>
            <w:noWrap/>
            <w:hideMark/>
          </w:tcPr>
          <w:p w14:paraId="01E9B52E"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$99.90 </w:t>
            </w:r>
          </w:p>
        </w:tc>
        <w:tc>
          <w:tcPr>
            <w:tcW w:w="857" w:type="dxa"/>
            <w:shd w:val="clear" w:color="auto" w:fill="auto"/>
            <w:noWrap/>
            <w:hideMark/>
          </w:tcPr>
          <w:p w14:paraId="7DD85ECE"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$2,024 </w:t>
            </w:r>
          </w:p>
        </w:tc>
        <w:tc>
          <w:tcPr>
            <w:tcW w:w="715" w:type="dxa"/>
            <w:shd w:val="clear" w:color="auto" w:fill="auto"/>
            <w:noWrap/>
            <w:hideMark/>
          </w:tcPr>
          <w:p w14:paraId="70B9EE69"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27 </w:t>
            </w:r>
          </w:p>
        </w:tc>
        <w:tc>
          <w:tcPr>
            <w:tcW w:w="858" w:type="dxa"/>
            <w:shd w:val="clear" w:color="auto" w:fill="auto"/>
            <w:noWrap/>
            <w:hideMark/>
          </w:tcPr>
          <w:p w14:paraId="27FC205E" w14:textId="77777777" w:rsidR="001E05F9" w:rsidRPr="00C33C0B" w:rsidRDefault="001E05F9" w:rsidP="00501544">
            <w:pPr>
              <w:spacing w:before="20" w:after="20" w:line="240" w:lineRule="auto"/>
              <w:rPr>
                <w:rFonts w:cstheme="minorHAnsi"/>
                <w:color w:val="000000"/>
                <w:sz w:val="17"/>
                <w:szCs w:val="17"/>
                <w:lang w:val="en-GB"/>
              </w:rPr>
            </w:pPr>
          </w:p>
        </w:tc>
        <w:tc>
          <w:tcPr>
            <w:tcW w:w="1143" w:type="dxa"/>
            <w:shd w:val="clear" w:color="auto" w:fill="auto"/>
          </w:tcPr>
          <w:p w14:paraId="0E72711F"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7CB8111A" w14:textId="77777777" w:rsidTr="00607BDA">
        <w:tc>
          <w:tcPr>
            <w:tcW w:w="423" w:type="dxa"/>
            <w:shd w:val="clear" w:color="auto" w:fill="auto"/>
            <w:noWrap/>
            <w:hideMark/>
          </w:tcPr>
          <w:p w14:paraId="2785F891"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2996</w:t>
            </w:r>
          </w:p>
        </w:tc>
        <w:tc>
          <w:tcPr>
            <w:tcW w:w="3143" w:type="dxa"/>
            <w:shd w:val="clear" w:color="auto" w:fill="auto"/>
            <w:noWrap/>
            <w:hideMark/>
          </w:tcPr>
          <w:p w14:paraId="599DA000"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discharge case conference (other than to organise and coordinate the conference) of at least 30 minutes but less than 45 minutes, before the patient is discharged from a hospital (H)</w:t>
            </w:r>
          </w:p>
        </w:tc>
        <w:tc>
          <w:tcPr>
            <w:tcW w:w="715" w:type="dxa"/>
            <w:shd w:val="clear" w:color="auto" w:fill="auto"/>
            <w:noWrap/>
            <w:hideMark/>
          </w:tcPr>
          <w:p w14:paraId="0F100B3A"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$159.30 </w:t>
            </w:r>
          </w:p>
        </w:tc>
        <w:tc>
          <w:tcPr>
            <w:tcW w:w="857" w:type="dxa"/>
            <w:shd w:val="clear" w:color="auto" w:fill="auto"/>
            <w:noWrap/>
            <w:hideMark/>
          </w:tcPr>
          <w:p w14:paraId="758B60C5"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$120 </w:t>
            </w:r>
          </w:p>
        </w:tc>
        <w:tc>
          <w:tcPr>
            <w:tcW w:w="715" w:type="dxa"/>
            <w:shd w:val="clear" w:color="auto" w:fill="auto"/>
            <w:noWrap/>
            <w:hideMark/>
          </w:tcPr>
          <w:p w14:paraId="7F0C6850"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1 </w:t>
            </w:r>
          </w:p>
        </w:tc>
        <w:tc>
          <w:tcPr>
            <w:tcW w:w="858" w:type="dxa"/>
            <w:shd w:val="clear" w:color="auto" w:fill="auto"/>
            <w:noWrap/>
            <w:hideMark/>
          </w:tcPr>
          <w:p w14:paraId="1A0AC3EB" w14:textId="77777777" w:rsidR="001E05F9" w:rsidRPr="00C33C0B" w:rsidRDefault="001E05F9" w:rsidP="00501544">
            <w:pPr>
              <w:spacing w:before="20" w:after="20" w:line="240" w:lineRule="auto"/>
              <w:rPr>
                <w:rFonts w:cstheme="minorHAnsi"/>
                <w:color w:val="000000"/>
                <w:sz w:val="17"/>
                <w:szCs w:val="17"/>
                <w:lang w:val="en-GB"/>
              </w:rPr>
            </w:pPr>
          </w:p>
        </w:tc>
        <w:tc>
          <w:tcPr>
            <w:tcW w:w="1143" w:type="dxa"/>
            <w:shd w:val="clear" w:color="auto" w:fill="auto"/>
          </w:tcPr>
          <w:p w14:paraId="2A0AD5C8"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6B43B8FB" w14:textId="77777777" w:rsidTr="00607BDA">
        <w:tc>
          <w:tcPr>
            <w:tcW w:w="423" w:type="dxa"/>
            <w:shd w:val="clear" w:color="auto" w:fill="auto"/>
            <w:noWrap/>
            <w:hideMark/>
          </w:tcPr>
          <w:p w14:paraId="3C74FC2B"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3000</w:t>
            </w:r>
          </w:p>
        </w:tc>
        <w:tc>
          <w:tcPr>
            <w:tcW w:w="3143" w:type="dxa"/>
            <w:shd w:val="clear" w:color="auto" w:fill="auto"/>
            <w:noWrap/>
            <w:hideMark/>
          </w:tcPr>
          <w:p w14:paraId="6EFAE2D9"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discharge case conference (other than to organise and coordinate the conference) of at least 45 minutes, before the patient is discharged from a hospital (H)</w:t>
            </w:r>
          </w:p>
        </w:tc>
        <w:tc>
          <w:tcPr>
            <w:tcW w:w="715" w:type="dxa"/>
            <w:shd w:val="clear" w:color="auto" w:fill="auto"/>
            <w:noWrap/>
            <w:hideMark/>
          </w:tcPr>
          <w:p w14:paraId="29DD87E2"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$218.75 </w:t>
            </w:r>
          </w:p>
        </w:tc>
        <w:tc>
          <w:tcPr>
            <w:tcW w:w="857" w:type="dxa"/>
            <w:shd w:val="clear" w:color="auto" w:fill="auto"/>
            <w:noWrap/>
            <w:hideMark/>
          </w:tcPr>
          <w:p w14:paraId="32B2B60E"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w:t>
            </w:r>
          </w:p>
        </w:tc>
        <w:tc>
          <w:tcPr>
            <w:tcW w:w="715" w:type="dxa"/>
            <w:shd w:val="clear" w:color="auto" w:fill="auto"/>
            <w:noWrap/>
            <w:hideMark/>
          </w:tcPr>
          <w:p w14:paraId="0CFEFF78"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 </w:t>
            </w:r>
          </w:p>
        </w:tc>
        <w:tc>
          <w:tcPr>
            <w:tcW w:w="858" w:type="dxa"/>
            <w:shd w:val="clear" w:color="auto" w:fill="auto"/>
            <w:noWrap/>
            <w:hideMark/>
          </w:tcPr>
          <w:p w14:paraId="2D9B63E7" w14:textId="77777777" w:rsidR="001E05F9" w:rsidRPr="00C33C0B" w:rsidRDefault="001E05F9" w:rsidP="00501544">
            <w:pPr>
              <w:spacing w:before="20" w:after="20" w:line="240" w:lineRule="auto"/>
              <w:rPr>
                <w:rFonts w:cstheme="minorHAnsi"/>
                <w:color w:val="000000"/>
                <w:sz w:val="17"/>
                <w:szCs w:val="17"/>
                <w:lang w:val="en-GB"/>
              </w:rPr>
            </w:pPr>
          </w:p>
        </w:tc>
        <w:tc>
          <w:tcPr>
            <w:tcW w:w="1143" w:type="dxa"/>
            <w:shd w:val="clear" w:color="auto" w:fill="auto"/>
          </w:tcPr>
          <w:p w14:paraId="3D546F6F"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0E16F8BB" w14:textId="77777777" w:rsidTr="00607BDA">
        <w:tc>
          <w:tcPr>
            <w:tcW w:w="423" w:type="dxa"/>
            <w:shd w:val="clear" w:color="auto" w:fill="auto"/>
            <w:noWrap/>
            <w:hideMark/>
          </w:tcPr>
          <w:p w14:paraId="201C7636"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3032</w:t>
            </w:r>
          </w:p>
        </w:tc>
        <w:tc>
          <w:tcPr>
            <w:tcW w:w="3143" w:type="dxa"/>
            <w:shd w:val="clear" w:color="auto" w:fill="auto"/>
            <w:noWrap/>
            <w:hideMark/>
          </w:tcPr>
          <w:p w14:paraId="7EEFC75C"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organise and coordinate a community case conference of at least 15 minutes but less than 30 minutes</w:t>
            </w:r>
          </w:p>
        </w:tc>
        <w:tc>
          <w:tcPr>
            <w:tcW w:w="715" w:type="dxa"/>
            <w:shd w:val="clear" w:color="auto" w:fill="auto"/>
            <w:noWrap/>
            <w:hideMark/>
          </w:tcPr>
          <w:p w14:paraId="4FC01B2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$139.10 </w:t>
            </w:r>
          </w:p>
        </w:tc>
        <w:tc>
          <w:tcPr>
            <w:tcW w:w="857" w:type="dxa"/>
            <w:shd w:val="clear" w:color="auto" w:fill="auto"/>
            <w:noWrap/>
            <w:hideMark/>
          </w:tcPr>
          <w:p w14:paraId="17DE24B3"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$314,851 </w:t>
            </w:r>
          </w:p>
        </w:tc>
        <w:tc>
          <w:tcPr>
            <w:tcW w:w="715" w:type="dxa"/>
            <w:shd w:val="clear" w:color="auto" w:fill="auto"/>
            <w:noWrap/>
            <w:hideMark/>
          </w:tcPr>
          <w:p w14:paraId="40329ABA"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2,771 </w:t>
            </w:r>
          </w:p>
        </w:tc>
        <w:tc>
          <w:tcPr>
            <w:tcW w:w="858" w:type="dxa"/>
            <w:shd w:val="clear" w:color="auto" w:fill="auto"/>
            <w:noWrap/>
            <w:hideMark/>
          </w:tcPr>
          <w:p w14:paraId="7066B825"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10.2%</w:t>
            </w:r>
          </w:p>
        </w:tc>
        <w:tc>
          <w:tcPr>
            <w:tcW w:w="1143" w:type="dxa"/>
            <w:shd w:val="clear" w:color="auto" w:fill="auto"/>
          </w:tcPr>
          <w:p w14:paraId="2FB356D5"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48E55EF2" w14:textId="77777777" w:rsidTr="00607BDA">
        <w:tc>
          <w:tcPr>
            <w:tcW w:w="423" w:type="dxa"/>
            <w:shd w:val="clear" w:color="auto" w:fill="auto"/>
            <w:noWrap/>
            <w:hideMark/>
          </w:tcPr>
          <w:p w14:paraId="2250DF20"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3040</w:t>
            </w:r>
          </w:p>
        </w:tc>
        <w:tc>
          <w:tcPr>
            <w:tcW w:w="3143" w:type="dxa"/>
            <w:shd w:val="clear" w:color="auto" w:fill="auto"/>
            <w:noWrap/>
            <w:hideMark/>
          </w:tcPr>
          <w:p w14:paraId="138C8327"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organise and coordinate a community case conference of at least 30 minutes but less than 45 minutes</w:t>
            </w:r>
          </w:p>
        </w:tc>
        <w:tc>
          <w:tcPr>
            <w:tcW w:w="715" w:type="dxa"/>
            <w:shd w:val="clear" w:color="auto" w:fill="auto"/>
            <w:noWrap/>
            <w:hideMark/>
          </w:tcPr>
          <w:p w14:paraId="10902F4F"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$208.70 </w:t>
            </w:r>
          </w:p>
        </w:tc>
        <w:tc>
          <w:tcPr>
            <w:tcW w:w="857" w:type="dxa"/>
            <w:shd w:val="clear" w:color="auto" w:fill="auto"/>
            <w:noWrap/>
            <w:hideMark/>
          </w:tcPr>
          <w:p w14:paraId="0673AFC3"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$33,845 </w:t>
            </w:r>
          </w:p>
        </w:tc>
        <w:tc>
          <w:tcPr>
            <w:tcW w:w="715" w:type="dxa"/>
            <w:shd w:val="clear" w:color="auto" w:fill="auto"/>
            <w:noWrap/>
            <w:hideMark/>
          </w:tcPr>
          <w:p w14:paraId="1F2A78F3"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192 </w:t>
            </w:r>
          </w:p>
        </w:tc>
        <w:tc>
          <w:tcPr>
            <w:tcW w:w="858" w:type="dxa"/>
            <w:shd w:val="clear" w:color="auto" w:fill="auto"/>
            <w:noWrap/>
            <w:hideMark/>
          </w:tcPr>
          <w:p w14:paraId="3B6EC317"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93.9%</w:t>
            </w:r>
          </w:p>
        </w:tc>
        <w:tc>
          <w:tcPr>
            <w:tcW w:w="1143" w:type="dxa"/>
            <w:shd w:val="clear" w:color="auto" w:fill="auto"/>
          </w:tcPr>
          <w:p w14:paraId="233F27C4"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76DDED16" w14:textId="77777777" w:rsidTr="00607BDA">
        <w:tc>
          <w:tcPr>
            <w:tcW w:w="423" w:type="dxa"/>
            <w:shd w:val="clear" w:color="auto" w:fill="auto"/>
            <w:noWrap/>
            <w:hideMark/>
          </w:tcPr>
          <w:p w14:paraId="22785477"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3044</w:t>
            </w:r>
          </w:p>
        </w:tc>
        <w:tc>
          <w:tcPr>
            <w:tcW w:w="3143" w:type="dxa"/>
            <w:shd w:val="clear" w:color="auto" w:fill="auto"/>
            <w:noWrap/>
            <w:hideMark/>
          </w:tcPr>
          <w:p w14:paraId="7D4D17F1"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organise and coordinate a community case conference of at least 45 minutes</w:t>
            </w:r>
          </w:p>
        </w:tc>
        <w:tc>
          <w:tcPr>
            <w:tcW w:w="715" w:type="dxa"/>
            <w:shd w:val="clear" w:color="auto" w:fill="auto"/>
            <w:noWrap/>
            <w:hideMark/>
          </w:tcPr>
          <w:p w14:paraId="119C7A08"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$278.15 </w:t>
            </w:r>
          </w:p>
        </w:tc>
        <w:tc>
          <w:tcPr>
            <w:tcW w:w="857" w:type="dxa"/>
            <w:shd w:val="clear" w:color="auto" w:fill="auto"/>
            <w:noWrap/>
            <w:hideMark/>
          </w:tcPr>
          <w:p w14:paraId="3B023396"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$19,570 </w:t>
            </w:r>
          </w:p>
        </w:tc>
        <w:tc>
          <w:tcPr>
            <w:tcW w:w="715" w:type="dxa"/>
            <w:shd w:val="clear" w:color="auto" w:fill="auto"/>
            <w:noWrap/>
            <w:hideMark/>
          </w:tcPr>
          <w:p w14:paraId="5E81E18C"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83 </w:t>
            </w:r>
          </w:p>
        </w:tc>
        <w:tc>
          <w:tcPr>
            <w:tcW w:w="858" w:type="dxa"/>
            <w:shd w:val="clear" w:color="auto" w:fill="auto"/>
            <w:noWrap/>
            <w:hideMark/>
          </w:tcPr>
          <w:p w14:paraId="37B6B2D1"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69.1%</w:t>
            </w:r>
          </w:p>
        </w:tc>
        <w:tc>
          <w:tcPr>
            <w:tcW w:w="1143" w:type="dxa"/>
            <w:shd w:val="clear" w:color="auto" w:fill="auto"/>
          </w:tcPr>
          <w:p w14:paraId="76F6D889"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7232603F" w14:textId="77777777" w:rsidTr="00607BDA">
        <w:tc>
          <w:tcPr>
            <w:tcW w:w="423" w:type="dxa"/>
            <w:shd w:val="clear" w:color="auto" w:fill="auto"/>
            <w:noWrap/>
            <w:hideMark/>
          </w:tcPr>
          <w:p w14:paraId="3ADD65CB"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3051</w:t>
            </w:r>
          </w:p>
        </w:tc>
        <w:tc>
          <w:tcPr>
            <w:tcW w:w="3143" w:type="dxa"/>
            <w:shd w:val="clear" w:color="auto" w:fill="auto"/>
            <w:noWrap/>
            <w:hideMark/>
          </w:tcPr>
          <w:p w14:paraId="5A96FFE0"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participate in a community case conference (other than to organise and coordinate the conference) of at least 15 minutes but less than 30 minutes</w:t>
            </w:r>
          </w:p>
        </w:tc>
        <w:tc>
          <w:tcPr>
            <w:tcW w:w="715" w:type="dxa"/>
            <w:shd w:val="clear" w:color="auto" w:fill="auto"/>
            <w:noWrap/>
            <w:hideMark/>
          </w:tcPr>
          <w:p w14:paraId="6DE31A20"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$99.90 </w:t>
            </w:r>
          </w:p>
        </w:tc>
        <w:tc>
          <w:tcPr>
            <w:tcW w:w="857" w:type="dxa"/>
            <w:shd w:val="clear" w:color="auto" w:fill="auto"/>
            <w:noWrap/>
            <w:hideMark/>
          </w:tcPr>
          <w:p w14:paraId="3C6E3117"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$183,835 </w:t>
            </w:r>
          </w:p>
        </w:tc>
        <w:tc>
          <w:tcPr>
            <w:tcW w:w="715" w:type="dxa"/>
            <w:shd w:val="clear" w:color="auto" w:fill="auto"/>
            <w:noWrap/>
            <w:hideMark/>
          </w:tcPr>
          <w:p w14:paraId="6A5E15BF"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2,298 </w:t>
            </w:r>
          </w:p>
        </w:tc>
        <w:tc>
          <w:tcPr>
            <w:tcW w:w="858" w:type="dxa"/>
            <w:shd w:val="clear" w:color="auto" w:fill="auto"/>
            <w:noWrap/>
            <w:hideMark/>
          </w:tcPr>
          <w:p w14:paraId="36752AC9"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15.3%</w:t>
            </w:r>
          </w:p>
        </w:tc>
        <w:tc>
          <w:tcPr>
            <w:tcW w:w="1143" w:type="dxa"/>
            <w:shd w:val="clear" w:color="auto" w:fill="auto"/>
          </w:tcPr>
          <w:p w14:paraId="47F73829"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3568B123" w14:textId="77777777" w:rsidTr="00607BDA">
        <w:tc>
          <w:tcPr>
            <w:tcW w:w="423" w:type="dxa"/>
            <w:shd w:val="clear" w:color="auto" w:fill="auto"/>
            <w:noWrap/>
            <w:hideMark/>
          </w:tcPr>
          <w:p w14:paraId="11A34B8C"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3055</w:t>
            </w:r>
          </w:p>
        </w:tc>
        <w:tc>
          <w:tcPr>
            <w:tcW w:w="3143" w:type="dxa"/>
            <w:shd w:val="clear" w:color="auto" w:fill="auto"/>
            <w:noWrap/>
            <w:hideMark/>
          </w:tcPr>
          <w:p w14:paraId="4095FAAC"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participate in a community case conference (other than to organise and coordinate the conference) of at least 30 minutes but less than 45 minutes, with a multidisciplinary team of at least 2 other formal care providers of different disciplines</w:t>
            </w:r>
          </w:p>
        </w:tc>
        <w:tc>
          <w:tcPr>
            <w:tcW w:w="715" w:type="dxa"/>
            <w:shd w:val="clear" w:color="auto" w:fill="auto"/>
            <w:noWrap/>
            <w:hideMark/>
          </w:tcPr>
          <w:p w14:paraId="54BE76E5"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$159.30 </w:t>
            </w:r>
          </w:p>
        </w:tc>
        <w:tc>
          <w:tcPr>
            <w:tcW w:w="857" w:type="dxa"/>
            <w:shd w:val="clear" w:color="auto" w:fill="auto"/>
            <w:noWrap/>
            <w:hideMark/>
          </w:tcPr>
          <w:p w14:paraId="29E403F0"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$3,362 </w:t>
            </w:r>
          </w:p>
        </w:tc>
        <w:tc>
          <w:tcPr>
            <w:tcW w:w="715" w:type="dxa"/>
            <w:shd w:val="clear" w:color="auto" w:fill="auto"/>
            <w:noWrap/>
            <w:hideMark/>
          </w:tcPr>
          <w:p w14:paraId="2B77D260"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28 </w:t>
            </w:r>
          </w:p>
        </w:tc>
        <w:tc>
          <w:tcPr>
            <w:tcW w:w="858" w:type="dxa"/>
            <w:shd w:val="clear" w:color="auto" w:fill="auto"/>
            <w:noWrap/>
            <w:hideMark/>
          </w:tcPr>
          <w:p w14:paraId="2ECE6B97"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22.9%</w:t>
            </w:r>
          </w:p>
        </w:tc>
        <w:tc>
          <w:tcPr>
            <w:tcW w:w="1143" w:type="dxa"/>
            <w:shd w:val="clear" w:color="auto" w:fill="auto"/>
          </w:tcPr>
          <w:p w14:paraId="40025AF8"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7847448A" w14:textId="77777777" w:rsidTr="00607BDA">
        <w:tc>
          <w:tcPr>
            <w:tcW w:w="423" w:type="dxa"/>
            <w:shd w:val="clear" w:color="auto" w:fill="auto"/>
            <w:noWrap/>
            <w:hideMark/>
          </w:tcPr>
          <w:p w14:paraId="0C606BC7" w14:textId="77777777" w:rsidR="001E05F9" w:rsidRPr="00C33C0B" w:rsidRDefault="001E05F9" w:rsidP="00501544">
            <w:pPr>
              <w:spacing w:before="20" w:after="20" w:line="240" w:lineRule="auto"/>
              <w:rPr>
                <w:rFonts w:cstheme="minorHAnsi"/>
                <w:bCs/>
                <w:color w:val="000000"/>
                <w:sz w:val="17"/>
                <w:szCs w:val="17"/>
                <w:lang w:val="en-GB"/>
              </w:rPr>
            </w:pPr>
            <w:r w:rsidRPr="00C33C0B">
              <w:rPr>
                <w:rFonts w:cstheme="minorHAnsi"/>
                <w:bCs/>
                <w:color w:val="000000"/>
                <w:sz w:val="17"/>
                <w:szCs w:val="17"/>
                <w:lang w:val="en-GB"/>
              </w:rPr>
              <w:t>3062</w:t>
            </w:r>
          </w:p>
        </w:tc>
        <w:tc>
          <w:tcPr>
            <w:tcW w:w="3143" w:type="dxa"/>
            <w:shd w:val="clear" w:color="auto" w:fill="auto"/>
            <w:noWrap/>
            <w:hideMark/>
          </w:tcPr>
          <w:p w14:paraId="6A135F86"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participate in a community case conference (other than to organise and coordinate the conference) of at least 45 minutes</w:t>
            </w:r>
          </w:p>
        </w:tc>
        <w:tc>
          <w:tcPr>
            <w:tcW w:w="715" w:type="dxa"/>
            <w:shd w:val="clear" w:color="auto" w:fill="auto"/>
            <w:noWrap/>
            <w:hideMark/>
          </w:tcPr>
          <w:p w14:paraId="0444744C"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$218.75 </w:t>
            </w:r>
          </w:p>
        </w:tc>
        <w:tc>
          <w:tcPr>
            <w:tcW w:w="857" w:type="dxa"/>
            <w:shd w:val="clear" w:color="auto" w:fill="auto"/>
            <w:noWrap/>
            <w:hideMark/>
          </w:tcPr>
          <w:p w14:paraId="512E283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$700 </w:t>
            </w:r>
          </w:p>
        </w:tc>
        <w:tc>
          <w:tcPr>
            <w:tcW w:w="715" w:type="dxa"/>
            <w:shd w:val="clear" w:color="auto" w:fill="auto"/>
            <w:noWrap/>
            <w:hideMark/>
          </w:tcPr>
          <w:p w14:paraId="72C92D40"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4 </w:t>
            </w:r>
          </w:p>
        </w:tc>
        <w:tc>
          <w:tcPr>
            <w:tcW w:w="858" w:type="dxa"/>
            <w:shd w:val="clear" w:color="auto" w:fill="auto"/>
            <w:noWrap/>
            <w:hideMark/>
          </w:tcPr>
          <w:p w14:paraId="2AD9F2B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-4.4%</w:t>
            </w:r>
          </w:p>
        </w:tc>
        <w:tc>
          <w:tcPr>
            <w:tcW w:w="1143" w:type="dxa"/>
            <w:shd w:val="clear" w:color="auto" w:fill="auto"/>
          </w:tcPr>
          <w:p w14:paraId="0640A003"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28ACBB53" w14:textId="77777777" w:rsidTr="00607BDA">
        <w:tc>
          <w:tcPr>
            <w:tcW w:w="423" w:type="dxa"/>
            <w:shd w:val="clear" w:color="auto" w:fill="auto"/>
            <w:noWrap/>
            <w:hideMark/>
          </w:tcPr>
          <w:p w14:paraId="611D5DD6"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3069</w:t>
            </w:r>
          </w:p>
        </w:tc>
        <w:tc>
          <w:tcPr>
            <w:tcW w:w="3143" w:type="dxa"/>
            <w:shd w:val="clear" w:color="auto" w:fill="auto"/>
            <w:noWrap/>
            <w:hideMark/>
          </w:tcPr>
          <w:p w14:paraId="3EA5D6C0"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organise and coordinate a discharge case conference of at least 15 minutes but less than 30 minutes, before the patient is discharged from a hospital (H)</w:t>
            </w:r>
          </w:p>
        </w:tc>
        <w:tc>
          <w:tcPr>
            <w:tcW w:w="715" w:type="dxa"/>
            <w:shd w:val="clear" w:color="auto" w:fill="auto"/>
            <w:noWrap/>
            <w:hideMark/>
          </w:tcPr>
          <w:p w14:paraId="7B2C4ED3"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$139.10 </w:t>
            </w:r>
          </w:p>
        </w:tc>
        <w:tc>
          <w:tcPr>
            <w:tcW w:w="857" w:type="dxa"/>
            <w:shd w:val="clear" w:color="auto" w:fill="auto"/>
            <w:noWrap/>
            <w:hideMark/>
          </w:tcPr>
          <w:p w14:paraId="6DD8F501"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$257,640 </w:t>
            </w:r>
          </w:p>
        </w:tc>
        <w:tc>
          <w:tcPr>
            <w:tcW w:w="715" w:type="dxa"/>
            <w:shd w:val="clear" w:color="auto" w:fill="auto"/>
            <w:noWrap/>
            <w:hideMark/>
          </w:tcPr>
          <w:p w14:paraId="373C070C"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2,469 </w:t>
            </w:r>
          </w:p>
        </w:tc>
        <w:tc>
          <w:tcPr>
            <w:tcW w:w="858" w:type="dxa"/>
            <w:shd w:val="clear" w:color="auto" w:fill="auto"/>
            <w:noWrap/>
            <w:hideMark/>
          </w:tcPr>
          <w:p w14:paraId="14E72F8E"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36.7%</w:t>
            </w:r>
          </w:p>
        </w:tc>
        <w:tc>
          <w:tcPr>
            <w:tcW w:w="1143" w:type="dxa"/>
            <w:shd w:val="clear" w:color="auto" w:fill="auto"/>
          </w:tcPr>
          <w:p w14:paraId="0418060C"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30083B9F" w14:textId="77777777" w:rsidTr="00607BDA">
        <w:tc>
          <w:tcPr>
            <w:tcW w:w="423" w:type="dxa"/>
            <w:shd w:val="clear" w:color="auto" w:fill="auto"/>
            <w:noWrap/>
            <w:hideMark/>
          </w:tcPr>
          <w:p w14:paraId="059B252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3074</w:t>
            </w:r>
          </w:p>
        </w:tc>
        <w:tc>
          <w:tcPr>
            <w:tcW w:w="3143" w:type="dxa"/>
            <w:shd w:val="clear" w:color="auto" w:fill="auto"/>
            <w:noWrap/>
            <w:hideMark/>
          </w:tcPr>
          <w:p w14:paraId="2BEC7C38"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case conference team, to organise and coordinate a discharge case conference of at least 30 minutes but less than 45 minutes, before the patient is discharged from a hospital (H)</w:t>
            </w:r>
          </w:p>
        </w:tc>
        <w:tc>
          <w:tcPr>
            <w:tcW w:w="715" w:type="dxa"/>
            <w:shd w:val="clear" w:color="auto" w:fill="auto"/>
            <w:noWrap/>
            <w:hideMark/>
          </w:tcPr>
          <w:p w14:paraId="2A663548"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$208.70 </w:t>
            </w:r>
          </w:p>
        </w:tc>
        <w:tc>
          <w:tcPr>
            <w:tcW w:w="857" w:type="dxa"/>
            <w:shd w:val="clear" w:color="auto" w:fill="auto"/>
            <w:noWrap/>
            <w:hideMark/>
          </w:tcPr>
          <w:p w14:paraId="2E16C2D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$16,438 </w:t>
            </w:r>
          </w:p>
        </w:tc>
        <w:tc>
          <w:tcPr>
            <w:tcW w:w="715" w:type="dxa"/>
            <w:shd w:val="clear" w:color="auto" w:fill="auto"/>
            <w:noWrap/>
            <w:hideMark/>
          </w:tcPr>
          <w:p w14:paraId="3A3D1748"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105 </w:t>
            </w:r>
          </w:p>
        </w:tc>
        <w:tc>
          <w:tcPr>
            <w:tcW w:w="858" w:type="dxa"/>
            <w:shd w:val="clear" w:color="auto" w:fill="auto"/>
            <w:noWrap/>
            <w:hideMark/>
          </w:tcPr>
          <w:p w14:paraId="54B2FDF2"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29.3%</w:t>
            </w:r>
          </w:p>
        </w:tc>
        <w:tc>
          <w:tcPr>
            <w:tcW w:w="1143" w:type="dxa"/>
            <w:shd w:val="clear" w:color="auto" w:fill="auto"/>
          </w:tcPr>
          <w:p w14:paraId="71C5101E"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58C2BD43" w14:textId="77777777" w:rsidTr="00607BDA">
        <w:tc>
          <w:tcPr>
            <w:tcW w:w="423" w:type="dxa"/>
            <w:shd w:val="clear" w:color="auto" w:fill="auto"/>
            <w:noWrap/>
            <w:hideMark/>
          </w:tcPr>
          <w:p w14:paraId="46E40BD1"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3078</w:t>
            </w:r>
          </w:p>
        </w:tc>
        <w:tc>
          <w:tcPr>
            <w:tcW w:w="3143" w:type="dxa"/>
            <w:shd w:val="clear" w:color="auto" w:fill="auto"/>
            <w:noWrap/>
            <w:hideMark/>
          </w:tcPr>
          <w:p w14:paraId="35A62E96"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organise and coordinate a discharge case conference of at least 45 minutes, before the patient is discharged from a hospital (H)</w:t>
            </w:r>
          </w:p>
        </w:tc>
        <w:tc>
          <w:tcPr>
            <w:tcW w:w="715" w:type="dxa"/>
            <w:shd w:val="clear" w:color="auto" w:fill="auto"/>
            <w:noWrap/>
            <w:hideMark/>
          </w:tcPr>
          <w:p w14:paraId="43560C48"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$278.15 </w:t>
            </w:r>
          </w:p>
        </w:tc>
        <w:tc>
          <w:tcPr>
            <w:tcW w:w="857" w:type="dxa"/>
            <w:shd w:val="clear" w:color="auto" w:fill="auto"/>
            <w:noWrap/>
            <w:hideMark/>
          </w:tcPr>
          <w:p w14:paraId="5721ED30"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$51,537 </w:t>
            </w:r>
          </w:p>
        </w:tc>
        <w:tc>
          <w:tcPr>
            <w:tcW w:w="715" w:type="dxa"/>
            <w:shd w:val="clear" w:color="auto" w:fill="auto"/>
            <w:noWrap/>
            <w:hideMark/>
          </w:tcPr>
          <w:p w14:paraId="4B952BC5"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247 </w:t>
            </w:r>
          </w:p>
        </w:tc>
        <w:tc>
          <w:tcPr>
            <w:tcW w:w="858" w:type="dxa"/>
            <w:shd w:val="clear" w:color="auto" w:fill="auto"/>
            <w:noWrap/>
            <w:hideMark/>
          </w:tcPr>
          <w:p w14:paraId="34BCFC89"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7.6%</w:t>
            </w:r>
          </w:p>
        </w:tc>
        <w:tc>
          <w:tcPr>
            <w:tcW w:w="1143" w:type="dxa"/>
            <w:shd w:val="clear" w:color="auto" w:fill="auto"/>
          </w:tcPr>
          <w:p w14:paraId="5130D0AF"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7560AA56" w14:textId="77777777" w:rsidTr="00607BDA">
        <w:tc>
          <w:tcPr>
            <w:tcW w:w="423" w:type="dxa"/>
            <w:shd w:val="clear" w:color="auto" w:fill="auto"/>
            <w:noWrap/>
            <w:hideMark/>
          </w:tcPr>
          <w:p w14:paraId="41E39E90"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3083</w:t>
            </w:r>
          </w:p>
        </w:tc>
        <w:tc>
          <w:tcPr>
            <w:tcW w:w="3143" w:type="dxa"/>
            <w:shd w:val="clear" w:color="auto" w:fill="auto"/>
            <w:noWrap/>
            <w:hideMark/>
          </w:tcPr>
          <w:p w14:paraId="5446D161"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case conference team, to participate in a discharge case conference (other than to organise and coordinate the conference) of at least 15 minutes but less than 30 minutes, before the patient is discharged from a hospital (H)</w:t>
            </w:r>
          </w:p>
        </w:tc>
        <w:tc>
          <w:tcPr>
            <w:tcW w:w="715" w:type="dxa"/>
            <w:shd w:val="clear" w:color="auto" w:fill="auto"/>
            <w:noWrap/>
            <w:hideMark/>
          </w:tcPr>
          <w:p w14:paraId="3BDB52A0"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$99.90 </w:t>
            </w:r>
          </w:p>
        </w:tc>
        <w:tc>
          <w:tcPr>
            <w:tcW w:w="857" w:type="dxa"/>
            <w:shd w:val="clear" w:color="auto" w:fill="auto"/>
            <w:noWrap/>
            <w:hideMark/>
          </w:tcPr>
          <w:p w14:paraId="67FD9C8A"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$53,749 </w:t>
            </w:r>
          </w:p>
        </w:tc>
        <w:tc>
          <w:tcPr>
            <w:tcW w:w="715" w:type="dxa"/>
            <w:shd w:val="clear" w:color="auto" w:fill="auto"/>
            <w:noWrap/>
            <w:hideMark/>
          </w:tcPr>
          <w:p w14:paraId="076B40DD"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717 </w:t>
            </w:r>
          </w:p>
        </w:tc>
        <w:tc>
          <w:tcPr>
            <w:tcW w:w="858" w:type="dxa"/>
            <w:shd w:val="clear" w:color="auto" w:fill="auto"/>
            <w:noWrap/>
            <w:hideMark/>
          </w:tcPr>
          <w:p w14:paraId="38A412E3"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111.4%</w:t>
            </w:r>
          </w:p>
        </w:tc>
        <w:tc>
          <w:tcPr>
            <w:tcW w:w="1143" w:type="dxa"/>
            <w:shd w:val="clear" w:color="auto" w:fill="auto"/>
          </w:tcPr>
          <w:p w14:paraId="09755593"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0CA9A411" w14:textId="77777777" w:rsidTr="00607BDA">
        <w:tc>
          <w:tcPr>
            <w:tcW w:w="423" w:type="dxa"/>
            <w:shd w:val="clear" w:color="auto" w:fill="auto"/>
            <w:noWrap/>
            <w:hideMark/>
          </w:tcPr>
          <w:p w14:paraId="18739F7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3088</w:t>
            </w:r>
          </w:p>
        </w:tc>
        <w:tc>
          <w:tcPr>
            <w:tcW w:w="3143" w:type="dxa"/>
            <w:shd w:val="clear" w:color="auto" w:fill="auto"/>
            <w:noWrap/>
            <w:hideMark/>
          </w:tcPr>
          <w:p w14:paraId="26B8E282"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participate in a discharge case conference (other than to organise and coordinate the conference) of at least 30 minutes but less than 45 minutes, before the patient is discharged from a hospital (H)</w:t>
            </w:r>
          </w:p>
        </w:tc>
        <w:tc>
          <w:tcPr>
            <w:tcW w:w="715" w:type="dxa"/>
            <w:shd w:val="clear" w:color="auto" w:fill="auto"/>
            <w:noWrap/>
            <w:hideMark/>
          </w:tcPr>
          <w:p w14:paraId="1DD66600"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$159.30 </w:t>
            </w:r>
          </w:p>
        </w:tc>
        <w:tc>
          <w:tcPr>
            <w:tcW w:w="857" w:type="dxa"/>
            <w:shd w:val="clear" w:color="auto" w:fill="auto"/>
            <w:noWrap/>
            <w:hideMark/>
          </w:tcPr>
          <w:p w14:paraId="4513E07F"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$478 </w:t>
            </w:r>
          </w:p>
        </w:tc>
        <w:tc>
          <w:tcPr>
            <w:tcW w:w="715" w:type="dxa"/>
            <w:shd w:val="clear" w:color="auto" w:fill="auto"/>
            <w:noWrap/>
            <w:hideMark/>
          </w:tcPr>
          <w:p w14:paraId="2698417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4 </w:t>
            </w:r>
          </w:p>
        </w:tc>
        <w:tc>
          <w:tcPr>
            <w:tcW w:w="858" w:type="dxa"/>
            <w:shd w:val="clear" w:color="auto" w:fill="auto"/>
            <w:noWrap/>
            <w:hideMark/>
          </w:tcPr>
          <w:p w14:paraId="3A13C666"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-23.2%</w:t>
            </w:r>
          </w:p>
        </w:tc>
        <w:tc>
          <w:tcPr>
            <w:tcW w:w="1143" w:type="dxa"/>
            <w:shd w:val="clear" w:color="auto" w:fill="auto"/>
          </w:tcPr>
          <w:p w14:paraId="23AF06EE"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4E075169" w14:textId="77777777" w:rsidTr="00607BDA">
        <w:tc>
          <w:tcPr>
            <w:tcW w:w="423" w:type="dxa"/>
            <w:shd w:val="clear" w:color="auto" w:fill="auto"/>
            <w:noWrap/>
            <w:hideMark/>
          </w:tcPr>
          <w:p w14:paraId="6307DE37"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3093</w:t>
            </w:r>
          </w:p>
        </w:tc>
        <w:tc>
          <w:tcPr>
            <w:tcW w:w="3143" w:type="dxa"/>
            <w:shd w:val="clear" w:color="auto" w:fill="auto"/>
            <w:noWrap/>
            <w:hideMark/>
          </w:tcPr>
          <w:p w14:paraId="3FE4CD1B"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participate in a discharge case conference (other than to organise and coordinate the conference) of at least 45 minutes, before the patient is discharged from a hospital (H)</w:t>
            </w:r>
          </w:p>
        </w:tc>
        <w:tc>
          <w:tcPr>
            <w:tcW w:w="715" w:type="dxa"/>
            <w:shd w:val="clear" w:color="auto" w:fill="auto"/>
            <w:noWrap/>
            <w:hideMark/>
          </w:tcPr>
          <w:p w14:paraId="479D589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$218.75 </w:t>
            </w:r>
          </w:p>
        </w:tc>
        <w:tc>
          <w:tcPr>
            <w:tcW w:w="857" w:type="dxa"/>
            <w:shd w:val="clear" w:color="auto" w:fill="auto"/>
            <w:noWrap/>
            <w:hideMark/>
          </w:tcPr>
          <w:p w14:paraId="7A5C0273"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$1,827 </w:t>
            </w:r>
          </w:p>
        </w:tc>
        <w:tc>
          <w:tcPr>
            <w:tcW w:w="715" w:type="dxa"/>
            <w:shd w:val="clear" w:color="auto" w:fill="auto"/>
            <w:noWrap/>
            <w:hideMark/>
          </w:tcPr>
          <w:p w14:paraId="36D6EA11"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 xml:space="preserve"> 11 </w:t>
            </w:r>
          </w:p>
        </w:tc>
        <w:tc>
          <w:tcPr>
            <w:tcW w:w="858" w:type="dxa"/>
            <w:shd w:val="clear" w:color="auto" w:fill="auto"/>
            <w:noWrap/>
            <w:hideMark/>
          </w:tcPr>
          <w:p w14:paraId="6DDE646A"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-3.3%</w:t>
            </w:r>
          </w:p>
        </w:tc>
        <w:tc>
          <w:tcPr>
            <w:tcW w:w="1143" w:type="dxa"/>
            <w:shd w:val="clear" w:color="auto" w:fill="auto"/>
          </w:tcPr>
          <w:p w14:paraId="07BF3956"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7F10DBC6" w14:textId="77777777" w:rsidTr="00607BDA">
        <w:tc>
          <w:tcPr>
            <w:tcW w:w="423" w:type="dxa"/>
            <w:shd w:val="clear" w:color="auto" w:fill="auto"/>
            <w:noWrap/>
          </w:tcPr>
          <w:p w14:paraId="09CB19B1"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6029</w:t>
            </w:r>
          </w:p>
        </w:tc>
        <w:tc>
          <w:tcPr>
            <w:tcW w:w="3143" w:type="dxa"/>
            <w:shd w:val="clear" w:color="auto" w:fill="auto"/>
            <w:noWrap/>
          </w:tcPr>
          <w:p w14:paraId="4FA54808"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organise and coordinate a community case conference of less than 15 minutes, with the multidisciplinary case conference team</w:t>
            </w:r>
          </w:p>
        </w:tc>
        <w:tc>
          <w:tcPr>
            <w:tcW w:w="715" w:type="dxa"/>
            <w:shd w:val="clear" w:color="auto" w:fill="auto"/>
            <w:noWrap/>
          </w:tcPr>
          <w:p w14:paraId="12C9459B"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$42.70</w:t>
            </w:r>
          </w:p>
        </w:tc>
        <w:tc>
          <w:tcPr>
            <w:tcW w:w="857" w:type="dxa"/>
            <w:shd w:val="clear" w:color="auto" w:fill="auto"/>
            <w:noWrap/>
          </w:tcPr>
          <w:p w14:paraId="4E8017F6"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$2,088</w:t>
            </w:r>
          </w:p>
        </w:tc>
        <w:tc>
          <w:tcPr>
            <w:tcW w:w="715" w:type="dxa"/>
            <w:shd w:val="clear" w:color="auto" w:fill="auto"/>
            <w:noWrap/>
          </w:tcPr>
          <w:p w14:paraId="23240B3D"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65</w:t>
            </w:r>
          </w:p>
        </w:tc>
        <w:tc>
          <w:tcPr>
            <w:tcW w:w="858" w:type="dxa"/>
            <w:shd w:val="clear" w:color="auto" w:fill="auto"/>
            <w:noWrap/>
          </w:tcPr>
          <w:p w14:paraId="38CFF8F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N/A</w:t>
            </w:r>
          </w:p>
        </w:tc>
        <w:tc>
          <w:tcPr>
            <w:tcW w:w="1143" w:type="dxa"/>
            <w:shd w:val="clear" w:color="auto" w:fill="auto"/>
          </w:tcPr>
          <w:p w14:paraId="1D8E81A8"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0DAF788E" w14:textId="77777777" w:rsidTr="00607BDA">
        <w:tc>
          <w:tcPr>
            <w:tcW w:w="423" w:type="dxa"/>
            <w:shd w:val="clear" w:color="auto" w:fill="auto"/>
            <w:noWrap/>
          </w:tcPr>
          <w:p w14:paraId="44CC41A7"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6031</w:t>
            </w:r>
          </w:p>
        </w:tc>
        <w:tc>
          <w:tcPr>
            <w:tcW w:w="3143" w:type="dxa"/>
            <w:shd w:val="clear" w:color="auto" w:fill="auto"/>
            <w:noWrap/>
          </w:tcPr>
          <w:p w14:paraId="6AFF6DEB"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organise and coordinate a community case conference of at least 15 minutes but less than 30 minutes, with the multidisciplinary case conference team</w:t>
            </w:r>
          </w:p>
        </w:tc>
        <w:tc>
          <w:tcPr>
            <w:tcW w:w="715" w:type="dxa"/>
            <w:shd w:val="clear" w:color="auto" w:fill="auto"/>
            <w:noWrap/>
          </w:tcPr>
          <w:p w14:paraId="6428D0CC"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$75.50</w:t>
            </w:r>
          </w:p>
        </w:tc>
        <w:tc>
          <w:tcPr>
            <w:tcW w:w="857" w:type="dxa"/>
            <w:shd w:val="clear" w:color="auto" w:fill="auto"/>
            <w:noWrap/>
          </w:tcPr>
          <w:p w14:paraId="0CDF08D7"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0</w:t>
            </w:r>
          </w:p>
        </w:tc>
        <w:tc>
          <w:tcPr>
            <w:tcW w:w="715" w:type="dxa"/>
            <w:shd w:val="clear" w:color="auto" w:fill="auto"/>
            <w:noWrap/>
          </w:tcPr>
          <w:p w14:paraId="6362D4B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0</w:t>
            </w:r>
          </w:p>
        </w:tc>
        <w:tc>
          <w:tcPr>
            <w:tcW w:w="858" w:type="dxa"/>
            <w:shd w:val="clear" w:color="auto" w:fill="auto"/>
            <w:noWrap/>
          </w:tcPr>
          <w:p w14:paraId="6186EADC"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N/A</w:t>
            </w:r>
          </w:p>
        </w:tc>
        <w:tc>
          <w:tcPr>
            <w:tcW w:w="1143" w:type="dxa"/>
            <w:shd w:val="clear" w:color="auto" w:fill="auto"/>
          </w:tcPr>
          <w:p w14:paraId="0FECE23A"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71D3AAA4" w14:textId="77777777" w:rsidTr="00607BDA">
        <w:tc>
          <w:tcPr>
            <w:tcW w:w="423" w:type="dxa"/>
            <w:shd w:val="clear" w:color="auto" w:fill="auto"/>
            <w:noWrap/>
          </w:tcPr>
          <w:p w14:paraId="1FB09CE1"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6032</w:t>
            </w:r>
          </w:p>
        </w:tc>
        <w:tc>
          <w:tcPr>
            <w:tcW w:w="3143" w:type="dxa"/>
            <w:shd w:val="clear" w:color="auto" w:fill="auto"/>
            <w:noWrap/>
          </w:tcPr>
          <w:p w14:paraId="557F2D8B"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organise and coordinate a community case conference of at least 30 minutes but less than 45 minutes, with the multidisciplinary case conference team</w:t>
            </w:r>
          </w:p>
        </w:tc>
        <w:tc>
          <w:tcPr>
            <w:tcW w:w="715" w:type="dxa"/>
            <w:shd w:val="clear" w:color="auto" w:fill="auto"/>
            <w:noWrap/>
          </w:tcPr>
          <w:p w14:paraId="0B03041E"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$113.30</w:t>
            </w:r>
          </w:p>
        </w:tc>
        <w:tc>
          <w:tcPr>
            <w:tcW w:w="857" w:type="dxa"/>
            <w:shd w:val="clear" w:color="auto" w:fill="auto"/>
            <w:noWrap/>
          </w:tcPr>
          <w:p w14:paraId="0DC1A57A"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0</w:t>
            </w:r>
          </w:p>
        </w:tc>
        <w:tc>
          <w:tcPr>
            <w:tcW w:w="715" w:type="dxa"/>
            <w:shd w:val="clear" w:color="auto" w:fill="auto"/>
            <w:noWrap/>
          </w:tcPr>
          <w:p w14:paraId="58F60419"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0</w:t>
            </w:r>
          </w:p>
        </w:tc>
        <w:tc>
          <w:tcPr>
            <w:tcW w:w="858" w:type="dxa"/>
            <w:shd w:val="clear" w:color="auto" w:fill="auto"/>
            <w:noWrap/>
          </w:tcPr>
          <w:p w14:paraId="7108178F"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N/A</w:t>
            </w:r>
          </w:p>
        </w:tc>
        <w:tc>
          <w:tcPr>
            <w:tcW w:w="1143" w:type="dxa"/>
            <w:shd w:val="clear" w:color="auto" w:fill="auto"/>
          </w:tcPr>
          <w:p w14:paraId="5E7CB90A"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71F97AF6" w14:textId="77777777" w:rsidTr="00607BDA">
        <w:tc>
          <w:tcPr>
            <w:tcW w:w="423" w:type="dxa"/>
            <w:shd w:val="clear" w:color="auto" w:fill="auto"/>
            <w:noWrap/>
          </w:tcPr>
          <w:p w14:paraId="60465900"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6034</w:t>
            </w:r>
          </w:p>
        </w:tc>
        <w:tc>
          <w:tcPr>
            <w:tcW w:w="3143" w:type="dxa"/>
            <w:shd w:val="clear" w:color="auto" w:fill="auto"/>
            <w:noWrap/>
          </w:tcPr>
          <w:p w14:paraId="05D145EC"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organise and coordinate the multidisciplinary case conference of at least 45 minutes, with the multidisciplinary case conference team</w:t>
            </w:r>
          </w:p>
        </w:tc>
        <w:tc>
          <w:tcPr>
            <w:tcW w:w="715" w:type="dxa"/>
            <w:shd w:val="clear" w:color="auto" w:fill="auto"/>
            <w:noWrap/>
          </w:tcPr>
          <w:p w14:paraId="487417F2"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$150.90</w:t>
            </w:r>
          </w:p>
        </w:tc>
        <w:tc>
          <w:tcPr>
            <w:tcW w:w="857" w:type="dxa"/>
            <w:shd w:val="clear" w:color="auto" w:fill="auto"/>
            <w:noWrap/>
          </w:tcPr>
          <w:p w14:paraId="28C77502"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0</w:t>
            </w:r>
          </w:p>
        </w:tc>
        <w:tc>
          <w:tcPr>
            <w:tcW w:w="715" w:type="dxa"/>
            <w:shd w:val="clear" w:color="auto" w:fill="auto"/>
            <w:noWrap/>
          </w:tcPr>
          <w:p w14:paraId="06E09C41"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0</w:t>
            </w:r>
          </w:p>
        </w:tc>
        <w:tc>
          <w:tcPr>
            <w:tcW w:w="858" w:type="dxa"/>
            <w:shd w:val="clear" w:color="auto" w:fill="auto"/>
            <w:noWrap/>
          </w:tcPr>
          <w:p w14:paraId="71D72AE0"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N/A</w:t>
            </w:r>
          </w:p>
        </w:tc>
        <w:tc>
          <w:tcPr>
            <w:tcW w:w="1143" w:type="dxa"/>
            <w:shd w:val="clear" w:color="auto" w:fill="auto"/>
          </w:tcPr>
          <w:p w14:paraId="6694B53B"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48EE5374" w14:textId="77777777" w:rsidTr="00607BDA">
        <w:tc>
          <w:tcPr>
            <w:tcW w:w="423" w:type="dxa"/>
            <w:shd w:val="clear" w:color="auto" w:fill="auto"/>
            <w:noWrap/>
          </w:tcPr>
          <w:p w14:paraId="0AEF2A1A"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6035</w:t>
            </w:r>
          </w:p>
        </w:tc>
        <w:tc>
          <w:tcPr>
            <w:tcW w:w="3143" w:type="dxa"/>
            <w:shd w:val="clear" w:color="auto" w:fill="auto"/>
            <w:noWrap/>
          </w:tcPr>
          <w:p w14:paraId="142EEF4E"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less than 15 minutes, with the multidisciplinary case conference team</w:t>
            </w:r>
          </w:p>
        </w:tc>
        <w:tc>
          <w:tcPr>
            <w:tcW w:w="715" w:type="dxa"/>
            <w:shd w:val="clear" w:color="auto" w:fill="auto"/>
            <w:noWrap/>
          </w:tcPr>
          <w:p w14:paraId="679F3E3A"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$34.15</w:t>
            </w:r>
          </w:p>
        </w:tc>
        <w:tc>
          <w:tcPr>
            <w:tcW w:w="857" w:type="dxa"/>
            <w:shd w:val="clear" w:color="auto" w:fill="auto"/>
            <w:noWrap/>
          </w:tcPr>
          <w:p w14:paraId="63232E6E"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$8,753</w:t>
            </w:r>
          </w:p>
        </w:tc>
        <w:tc>
          <w:tcPr>
            <w:tcW w:w="715" w:type="dxa"/>
            <w:shd w:val="clear" w:color="auto" w:fill="auto"/>
            <w:noWrap/>
          </w:tcPr>
          <w:p w14:paraId="57B9195C"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339</w:t>
            </w:r>
          </w:p>
        </w:tc>
        <w:tc>
          <w:tcPr>
            <w:tcW w:w="858" w:type="dxa"/>
            <w:shd w:val="clear" w:color="auto" w:fill="auto"/>
            <w:noWrap/>
          </w:tcPr>
          <w:p w14:paraId="730ED1BC"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N/A</w:t>
            </w:r>
          </w:p>
        </w:tc>
        <w:tc>
          <w:tcPr>
            <w:tcW w:w="1143" w:type="dxa"/>
            <w:shd w:val="clear" w:color="auto" w:fill="auto"/>
          </w:tcPr>
          <w:p w14:paraId="1A91080B"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5E66881E" w14:textId="77777777" w:rsidTr="00607BDA">
        <w:tc>
          <w:tcPr>
            <w:tcW w:w="423" w:type="dxa"/>
            <w:shd w:val="clear" w:color="auto" w:fill="auto"/>
            <w:noWrap/>
          </w:tcPr>
          <w:p w14:paraId="7A047196"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6037</w:t>
            </w:r>
          </w:p>
        </w:tc>
        <w:tc>
          <w:tcPr>
            <w:tcW w:w="3143" w:type="dxa"/>
            <w:shd w:val="clear" w:color="auto" w:fill="auto"/>
            <w:noWrap/>
          </w:tcPr>
          <w:p w14:paraId="17868FA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15 minutes but less than 30 minutes, with the multidisciplinary case conference team</w:t>
            </w:r>
          </w:p>
        </w:tc>
        <w:tc>
          <w:tcPr>
            <w:tcW w:w="715" w:type="dxa"/>
            <w:shd w:val="clear" w:color="auto" w:fill="auto"/>
            <w:noWrap/>
          </w:tcPr>
          <w:p w14:paraId="20413BB4"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$60.40</w:t>
            </w:r>
          </w:p>
        </w:tc>
        <w:tc>
          <w:tcPr>
            <w:tcW w:w="857" w:type="dxa"/>
            <w:shd w:val="clear" w:color="auto" w:fill="auto"/>
            <w:noWrap/>
          </w:tcPr>
          <w:p w14:paraId="019C39EB"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0</w:t>
            </w:r>
          </w:p>
        </w:tc>
        <w:tc>
          <w:tcPr>
            <w:tcW w:w="715" w:type="dxa"/>
            <w:shd w:val="clear" w:color="auto" w:fill="auto"/>
            <w:noWrap/>
          </w:tcPr>
          <w:p w14:paraId="61669175"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0</w:t>
            </w:r>
          </w:p>
        </w:tc>
        <w:tc>
          <w:tcPr>
            <w:tcW w:w="858" w:type="dxa"/>
            <w:shd w:val="clear" w:color="auto" w:fill="auto"/>
            <w:noWrap/>
          </w:tcPr>
          <w:p w14:paraId="36E73256"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N/A</w:t>
            </w:r>
          </w:p>
        </w:tc>
        <w:tc>
          <w:tcPr>
            <w:tcW w:w="1143" w:type="dxa"/>
            <w:shd w:val="clear" w:color="auto" w:fill="auto"/>
          </w:tcPr>
          <w:p w14:paraId="5E82E3B5"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2A41B08A" w14:textId="77777777" w:rsidTr="00607BDA">
        <w:tc>
          <w:tcPr>
            <w:tcW w:w="423" w:type="dxa"/>
            <w:shd w:val="clear" w:color="auto" w:fill="auto"/>
            <w:noWrap/>
          </w:tcPr>
          <w:p w14:paraId="1E80E049"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6038</w:t>
            </w:r>
          </w:p>
        </w:tc>
        <w:tc>
          <w:tcPr>
            <w:tcW w:w="3143" w:type="dxa"/>
            <w:shd w:val="clear" w:color="auto" w:fill="auto"/>
            <w:noWrap/>
          </w:tcPr>
          <w:p w14:paraId="51290DE3"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30 minutes but less than 45 minutes, with the multidisciplinary case conference team</w:t>
            </w:r>
          </w:p>
        </w:tc>
        <w:tc>
          <w:tcPr>
            <w:tcW w:w="715" w:type="dxa"/>
            <w:shd w:val="clear" w:color="auto" w:fill="auto"/>
            <w:noWrap/>
          </w:tcPr>
          <w:p w14:paraId="2F068E3D"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$90.65</w:t>
            </w:r>
          </w:p>
        </w:tc>
        <w:tc>
          <w:tcPr>
            <w:tcW w:w="857" w:type="dxa"/>
            <w:shd w:val="clear" w:color="auto" w:fill="auto"/>
            <w:noWrap/>
          </w:tcPr>
          <w:p w14:paraId="298B8CA8"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$154</w:t>
            </w:r>
          </w:p>
        </w:tc>
        <w:tc>
          <w:tcPr>
            <w:tcW w:w="715" w:type="dxa"/>
            <w:shd w:val="clear" w:color="auto" w:fill="auto"/>
            <w:noWrap/>
          </w:tcPr>
          <w:p w14:paraId="699FE258"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2</w:t>
            </w:r>
          </w:p>
        </w:tc>
        <w:tc>
          <w:tcPr>
            <w:tcW w:w="858" w:type="dxa"/>
            <w:shd w:val="clear" w:color="auto" w:fill="auto"/>
            <w:noWrap/>
          </w:tcPr>
          <w:p w14:paraId="35BB3797"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N/A</w:t>
            </w:r>
          </w:p>
        </w:tc>
        <w:tc>
          <w:tcPr>
            <w:tcW w:w="1143" w:type="dxa"/>
            <w:shd w:val="clear" w:color="auto" w:fill="auto"/>
          </w:tcPr>
          <w:p w14:paraId="6A506BBA"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3241213B" w14:textId="77777777" w:rsidTr="00607BDA">
        <w:tc>
          <w:tcPr>
            <w:tcW w:w="423" w:type="dxa"/>
            <w:shd w:val="clear" w:color="auto" w:fill="auto"/>
            <w:noWrap/>
          </w:tcPr>
          <w:p w14:paraId="351E5C2D"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6042</w:t>
            </w:r>
          </w:p>
        </w:tc>
        <w:tc>
          <w:tcPr>
            <w:tcW w:w="3143" w:type="dxa"/>
            <w:shd w:val="clear" w:color="auto" w:fill="auto"/>
            <w:noWrap/>
          </w:tcPr>
          <w:p w14:paraId="68C2ED1B"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45 minutes, with the multidisciplinary case conference team</w:t>
            </w:r>
          </w:p>
        </w:tc>
        <w:tc>
          <w:tcPr>
            <w:tcW w:w="715" w:type="dxa"/>
            <w:shd w:val="clear" w:color="auto" w:fill="auto"/>
            <w:noWrap/>
          </w:tcPr>
          <w:p w14:paraId="190F1EF2"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$120.75</w:t>
            </w:r>
          </w:p>
        </w:tc>
        <w:tc>
          <w:tcPr>
            <w:tcW w:w="857" w:type="dxa"/>
            <w:shd w:val="clear" w:color="auto" w:fill="auto"/>
            <w:noWrap/>
          </w:tcPr>
          <w:p w14:paraId="7422E03C"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$205</w:t>
            </w:r>
          </w:p>
        </w:tc>
        <w:tc>
          <w:tcPr>
            <w:tcW w:w="715" w:type="dxa"/>
            <w:shd w:val="clear" w:color="auto" w:fill="auto"/>
            <w:noWrap/>
          </w:tcPr>
          <w:p w14:paraId="79015215"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2</w:t>
            </w:r>
          </w:p>
        </w:tc>
        <w:tc>
          <w:tcPr>
            <w:tcW w:w="858" w:type="dxa"/>
            <w:shd w:val="clear" w:color="auto" w:fill="auto"/>
            <w:noWrap/>
          </w:tcPr>
          <w:p w14:paraId="42B6EC3C" w14:textId="77777777" w:rsidR="001E05F9" w:rsidRPr="00C33C0B" w:rsidRDefault="001E05F9" w:rsidP="00501544">
            <w:pPr>
              <w:spacing w:before="20" w:after="20" w:line="240" w:lineRule="auto"/>
              <w:rPr>
                <w:rFonts w:cstheme="minorHAnsi"/>
                <w:color w:val="000000"/>
                <w:sz w:val="17"/>
                <w:szCs w:val="17"/>
                <w:lang w:val="en-GB"/>
              </w:rPr>
            </w:pPr>
            <w:r w:rsidRPr="00C33C0B">
              <w:rPr>
                <w:rFonts w:cstheme="minorHAnsi"/>
                <w:color w:val="000000"/>
                <w:sz w:val="17"/>
                <w:szCs w:val="17"/>
                <w:lang w:val="en-GB"/>
              </w:rPr>
              <w:t>N/A</w:t>
            </w:r>
          </w:p>
        </w:tc>
        <w:tc>
          <w:tcPr>
            <w:tcW w:w="1143" w:type="dxa"/>
            <w:shd w:val="clear" w:color="auto" w:fill="auto"/>
          </w:tcPr>
          <w:p w14:paraId="7E919654" w14:textId="77777777" w:rsidR="001E05F9" w:rsidRPr="00C33C0B" w:rsidRDefault="001E05F9" w:rsidP="00501544">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69254E39" w14:textId="77777777" w:rsidTr="00607BDA">
        <w:tc>
          <w:tcPr>
            <w:tcW w:w="423" w:type="dxa"/>
            <w:shd w:val="clear" w:color="auto" w:fill="auto"/>
            <w:noWrap/>
          </w:tcPr>
          <w:p w14:paraId="07A4B312"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6064</w:t>
            </w:r>
          </w:p>
        </w:tc>
        <w:tc>
          <w:tcPr>
            <w:tcW w:w="3143" w:type="dxa"/>
            <w:shd w:val="clear" w:color="auto" w:fill="auto"/>
            <w:noWrap/>
          </w:tcPr>
          <w:p w14:paraId="54767CD3"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organise and coordinate a community case conference of less than 15 minutes, with the multidisciplinary case conference team</w:t>
            </w:r>
          </w:p>
        </w:tc>
        <w:tc>
          <w:tcPr>
            <w:tcW w:w="715" w:type="dxa"/>
            <w:shd w:val="clear" w:color="auto" w:fill="auto"/>
            <w:noWrap/>
          </w:tcPr>
          <w:p w14:paraId="609F88D6"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$42.70</w:t>
            </w:r>
          </w:p>
        </w:tc>
        <w:tc>
          <w:tcPr>
            <w:tcW w:w="857" w:type="dxa"/>
            <w:shd w:val="clear" w:color="auto" w:fill="auto"/>
            <w:noWrap/>
          </w:tcPr>
          <w:p w14:paraId="63515FF1"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0</w:t>
            </w:r>
          </w:p>
        </w:tc>
        <w:tc>
          <w:tcPr>
            <w:tcW w:w="715" w:type="dxa"/>
            <w:shd w:val="clear" w:color="auto" w:fill="auto"/>
            <w:noWrap/>
          </w:tcPr>
          <w:p w14:paraId="43DA9776"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0</w:t>
            </w:r>
          </w:p>
        </w:tc>
        <w:tc>
          <w:tcPr>
            <w:tcW w:w="858" w:type="dxa"/>
            <w:shd w:val="clear" w:color="auto" w:fill="auto"/>
            <w:noWrap/>
          </w:tcPr>
          <w:p w14:paraId="33F16DD3"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N/A</w:t>
            </w:r>
          </w:p>
        </w:tc>
        <w:tc>
          <w:tcPr>
            <w:tcW w:w="1143" w:type="dxa"/>
            <w:shd w:val="clear" w:color="auto" w:fill="auto"/>
          </w:tcPr>
          <w:p w14:paraId="500EF6F7" w14:textId="77777777" w:rsidR="001E05F9" w:rsidRPr="00C33C0B" w:rsidRDefault="001E05F9" w:rsidP="00277050">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1576C647" w14:textId="77777777" w:rsidTr="00607BDA">
        <w:tc>
          <w:tcPr>
            <w:tcW w:w="423" w:type="dxa"/>
            <w:shd w:val="clear" w:color="auto" w:fill="auto"/>
            <w:noWrap/>
          </w:tcPr>
          <w:p w14:paraId="5736E182"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6065</w:t>
            </w:r>
          </w:p>
        </w:tc>
        <w:tc>
          <w:tcPr>
            <w:tcW w:w="3143" w:type="dxa"/>
            <w:shd w:val="clear" w:color="auto" w:fill="auto"/>
            <w:noWrap/>
          </w:tcPr>
          <w:p w14:paraId="6F761B47"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organise and coordinate a community case conference of at least 15 minutes but less than 30 minutes, with the multidisciplinary case conference team</w:t>
            </w:r>
          </w:p>
        </w:tc>
        <w:tc>
          <w:tcPr>
            <w:tcW w:w="715" w:type="dxa"/>
            <w:shd w:val="clear" w:color="auto" w:fill="auto"/>
            <w:noWrap/>
          </w:tcPr>
          <w:p w14:paraId="210177F1"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$75.50</w:t>
            </w:r>
          </w:p>
        </w:tc>
        <w:tc>
          <w:tcPr>
            <w:tcW w:w="857" w:type="dxa"/>
            <w:shd w:val="clear" w:color="auto" w:fill="auto"/>
            <w:noWrap/>
          </w:tcPr>
          <w:p w14:paraId="506329D9"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0</w:t>
            </w:r>
          </w:p>
        </w:tc>
        <w:tc>
          <w:tcPr>
            <w:tcW w:w="715" w:type="dxa"/>
            <w:shd w:val="clear" w:color="auto" w:fill="auto"/>
            <w:noWrap/>
          </w:tcPr>
          <w:p w14:paraId="074946BF"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0</w:t>
            </w:r>
          </w:p>
        </w:tc>
        <w:tc>
          <w:tcPr>
            <w:tcW w:w="858" w:type="dxa"/>
            <w:shd w:val="clear" w:color="auto" w:fill="auto"/>
            <w:noWrap/>
          </w:tcPr>
          <w:p w14:paraId="212BC9DB"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N/A</w:t>
            </w:r>
          </w:p>
        </w:tc>
        <w:tc>
          <w:tcPr>
            <w:tcW w:w="1143" w:type="dxa"/>
            <w:shd w:val="clear" w:color="auto" w:fill="auto"/>
          </w:tcPr>
          <w:p w14:paraId="27EBA071" w14:textId="77777777" w:rsidR="001E05F9" w:rsidRPr="00C33C0B" w:rsidRDefault="001E05F9" w:rsidP="00277050">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5DF0E55E" w14:textId="77777777" w:rsidTr="00607BDA">
        <w:tc>
          <w:tcPr>
            <w:tcW w:w="423" w:type="dxa"/>
            <w:shd w:val="clear" w:color="auto" w:fill="auto"/>
            <w:noWrap/>
          </w:tcPr>
          <w:p w14:paraId="08A14041"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6067</w:t>
            </w:r>
          </w:p>
        </w:tc>
        <w:tc>
          <w:tcPr>
            <w:tcW w:w="3143" w:type="dxa"/>
            <w:shd w:val="clear" w:color="auto" w:fill="auto"/>
            <w:noWrap/>
          </w:tcPr>
          <w:p w14:paraId="2D2AA268"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organise and coordinate a community case conference of at least 30 minutes but less than 45 minutes, with the multidisciplinary case conference team</w:t>
            </w:r>
          </w:p>
        </w:tc>
        <w:tc>
          <w:tcPr>
            <w:tcW w:w="715" w:type="dxa"/>
            <w:shd w:val="clear" w:color="auto" w:fill="auto"/>
            <w:noWrap/>
          </w:tcPr>
          <w:p w14:paraId="57A52A60"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$113.30</w:t>
            </w:r>
          </w:p>
        </w:tc>
        <w:tc>
          <w:tcPr>
            <w:tcW w:w="857" w:type="dxa"/>
            <w:shd w:val="clear" w:color="auto" w:fill="auto"/>
            <w:noWrap/>
          </w:tcPr>
          <w:p w14:paraId="7657805C"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$96</w:t>
            </w:r>
          </w:p>
        </w:tc>
        <w:tc>
          <w:tcPr>
            <w:tcW w:w="715" w:type="dxa"/>
            <w:shd w:val="clear" w:color="auto" w:fill="auto"/>
            <w:noWrap/>
          </w:tcPr>
          <w:p w14:paraId="15E4414F"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1</w:t>
            </w:r>
          </w:p>
        </w:tc>
        <w:tc>
          <w:tcPr>
            <w:tcW w:w="858" w:type="dxa"/>
            <w:shd w:val="clear" w:color="auto" w:fill="auto"/>
            <w:noWrap/>
          </w:tcPr>
          <w:p w14:paraId="70AA3F26"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N/A</w:t>
            </w:r>
          </w:p>
        </w:tc>
        <w:tc>
          <w:tcPr>
            <w:tcW w:w="1143" w:type="dxa"/>
            <w:shd w:val="clear" w:color="auto" w:fill="auto"/>
          </w:tcPr>
          <w:p w14:paraId="4E4591A2" w14:textId="77777777" w:rsidR="001E05F9" w:rsidRPr="00C33C0B" w:rsidRDefault="001E05F9" w:rsidP="00277050">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7CA463C2" w14:textId="77777777" w:rsidTr="00607BDA">
        <w:tc>
          <w:tcPr>
            <w:tcW w:w="423" w:type="dxa"/>
            <w:shd w:val="clear" w:color="auto" w:fill="auto"/>
            <w:noWrap/>
          </w:tcPr>
          <w:p w14:paraId="7D9C281A"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6068</w:t>
            </w:r>
          </w:p>
        </w:tc>
        <w:tc>
          <w:tcPr>
            <w:tcW w:w="3143" w:type="dxa"/>
            <w:shd w:val="clear" w:color="auto" w:fill="auto"/>
            <w:noWrap/>
          </w:tcPr>
          <w:p w14:paraId="6ABB6F4B"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organise and coordinate a community case conference of at least 45 minutes, with the multidisciplinary case conference team</w:t>
            </w:r>
          </w:p>
        </w:tc>
        <w:tc>
          <w:tcPr>
            <w:tcW w:w="715" w:type="dxa"/>
            <w:shd w:val="clear" w:color="auto" w:fill="auto"/>
            <w:noWrap/>
          </w:tcPr>
          <w:p w14:paraId="33A98835"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$150.90</w:t>
            </w:r>
          </w:p>
        </w:tc>
        <w:tc>
          <w:tcPr>
            <w:tcW w:w="857" w:type="dxa"/>
            <w:shd w:val="clear" w:color="auto" w:fill="auto"/>
            <w:noWrap/>
          </w:tcPr>
          <w:p w14:paraId="09DB2BAE"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0</w:t>
            </w:r>
          </w:p>
        </w:tc>
        <w:tc>
          <w:tcPr>
            <w:tcW w:w="715" w:type="dxa"/>
            <w:shd w:val="clear" w:color="auto" w:fill="auto"/>
            <w:noWrap/>
          </w:tcPr>
          <w:p w14:paraId="38275E32"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0</w:t>
            </w:r>
          </w:p>
        </w:tc>
        <w:tc>
          <w:tcPr>
            <w:tcW w:w="858" w:type="dxa"/>
            <w:shd w:val="clear" w:color="auto" w:fill="auto"/>
            <w:noWrap/>
          </w:tcPr>
          <w:p w14:paraId="59556F8A"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N/A</w:t>
            </w:r>
          </w:p>
        </w:tc>
        <w:tc>
          <w:tcPr>
            <w:tcW w:w="1143" w:type="dxa"/>
            <w:shd w:val="clear" w:color="auto" w:fill="auto"/>
          </w:tcPr>
          <w:p w14:paraId="3DA4F6FF" w14:textId="77777777" w:rsidR="001E05F9" w:rsidRPr="00C33C0B" w:rsidRDefault="001E05F9" w:rsidP="00277050">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1C459238" w14:textId="77777777" w:rsidTr="00607BDA">
        <w:tc>
          <w:tcPr>
            <w:tcW w:w="423" w:type="dxa"/>
            <w:shd w:val="clear" w:color="auto" w:fill="auto"/>
            <w:noWrap/>
          </w:tcPr>
          <w:p w14:paraId="4994027C"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6071</w:t>
            </w:r>
          </w:p>
        </w:tc>
        <w:tc>
          <w:tcPr>
            <w:tcW w:w="3143" w:type="dxa"/>
            <w:shd w:val="clear" w:color="auto" w:fill="auto"/>
            <w:noWrap/>
          </w:tcPr>
          <w:p w14:paraId="4E30365F"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less than 15 minutes, with the multidisciplinary case conference team</w:t>
            </w:r>
          </w:p>
        </w:tc>
        <w:tc>
          <w:tcPr>
            <w:tcW w:w="715" w:type="dxa"/>
            <w:shd w:val="clear" w:color="auto" w:fill="auto"/>
            <w:noWrap/>
          </w:tcPr>
          <w:p w14:paraId="2AA2C6DC"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$34.15</w:t>
            </w:r>
          </w:p>
        </w:tc>
        <w:tc>
          <w:tcPr>
            <w:tcW w:w="857" w:type="dxa"/>
            <w:shd w:val="clear" w:color="auto" w:fill="auto"/>
            <w:noWrap/>
          </w:tcPr>
          <w:p w14:paraId="41B3B26D"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$58</w:t>
            </w:r>
          </w:p>
        </w:tc>
        <w:tc>
          <w:tcPr>
            <w:tcW w:w="715" w:type="dxa"/>
            <w:shd w:val="clear" w:color="auto" w:fill="auto"/>
            <w:noWrap/>
          </w:tcPr>
          <w:p w14:paraId="25D0C489"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2</w:t>
            </w:r>
          </w:p>
        </w:tc>
        <w:tc>
          <w:tcPr>
            <w:tcW w:w="858" w:type="dxa"/>
            <w:shd w:val="clear" w:color="auto" w:fill="auto"/>
            <w:noWrap/>
          </w:tcPr>
          <w:p w14:paraId="55107371"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N/A</w:t>
            </w:r>
          </w:p>
        </w:tc>
        <w:tc>
          <w:tcPr>
            <w:tcW w:w="1143" w:type="dxa"/>
            <w:shd w:val="clear" w:color="auto" w:fill="auto"/>
          </w:tcPr>
          <w:p w14:paraId="73298E50" w14:textId="77777777" w:rsidR="001E05F9" w:rsidRPr="00C33C0B" w:rsidRDefault="001E05F9" w:rsidP="00277050">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4EACDDF1" w14:textId="77777777" w:rsidTr="00607BDA">
        <w:tc>
          <w:tcPr>
            <w:tcW w:w="423" w:type="dxa"/>
            <w:shd w:val="clear" w:color="auto" w:fill="auto"/>
            <w:noWrap/>
          </w:tcPr>
          <w:p w14:paraId="34072B43"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6072</w:t>
            </w:r>
          </w:p>
        </w:tc>
        <w:tc>
          <w:tcPr>
            <w:tcW w:w="3143" w:type="dxa"/>
            <w:shd w:val="clear" w:color="auto" w:fill="auto"/>
            <w:noWrap/>
          </w:tcPr>
          <w:p w14:paraId="121376AB"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15 minutes but less than 30 minutes, with the multidisciplinary case conference team</w:t>
            </w:r>
          </w:p>
        </w:tc>
        <w:tc>
          <w:tcPr>
            <w:tcW w:w="715" w:type="dxa"/>
            <w:shd w:val="clear" w:color="auto" w:fill="auto"/>
            <w:noWrap/>
          </w:tcPr>
          <w:p w14:paraId="0FBC42FC"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$60.40</w:t>
            </w:r>
          </w:p>
        </w:tc>
        <w:tc>
          <w:tcPr>
            <w:tcW w:w="857" w:type="dxa"/>
            <w:shd w:val="clear" w:color="auto" w:fill="auto"/>
            <w:noWrap/>
          </w:tcPr>
          <w:p w14:paraId="44626E40"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$154</w:t>
            </w:r>
          </w:p>
        </w:tc>
        <w:tc>
          <w:tcPr>
            <w:tcW w:w="715" w:type="dxa"/>
            <w:shd w:val="clear" w:color="auto" w:fill="auto"/>
            <w:noWrap/>
          </w:tcPr>
          <w:p w14:paraId="0F2C69A4"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3</w:t>
            </w:r>
          </w:p>
        </w:tc>
        <w:tc>
          <w:tcPr>
            <w:tcW w:w="858" w:type="dxa"/>
            <w:shd w:val="clear" w:color="auto" w:fill="auto"/>
            <w:noWrap/>
          </w:tcPr>
          <w:p w14:paraId="35DD6AA2"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N/A</w:t>
            </w:r>
          </w:p>
        </w:tc>
        <w:tc>
          <w:tcPr>
            <w:tcW w:w="1143" w:type="dxa"/>
            <w:shd w:val="clear" w:color="auto" w:fill="auto"/>
          </w:tcPr>
          <w:p w14:paraId="0A508938" w14:textId="77777777" w:rsidR="001E05F9" w:rsidRPr="00C33C0B" w:rsidRDefault="001E05F9" w:rsidP="00277050">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586555C2" w14:textId="77777777" w:rsidTr="00607BDA">
        <w:tc>
          <w:tcPr>
            <w:tcW w:w="423" w:type="dxa"/>
            <w:shd w:val="clear" w:color="auto" w:fill="auto"/>
            <w:noWrap/>
          </w:tcPr>
          <w:p w14:paraId="58CB5405"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6074</w:t>
            </w:r>
          </w:p>
        </w:tc>
        <w:tc>
          <w:tcPr>
            <w:tcW w:w="3143" w:type="dxa"/>
            <w:shd w:val="clear" w:color="auto" w:fill="auto"/>
            <w:noWrap/>
          </w:tcPr>
          <w:p w14:paraId="0B632C1F"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30 minutes but less than 45 minutes, with the multidisciplinary case conference team</w:t>
            </w:r>
          </w:p>
        </w:tc>
        <w:tc>
          <w:tcPr>
            <w:tcW w:w="715" w:type="dxa"/>
            <w:shd w:val="clear" w:color="auto" w:fill="auto"/>
            <w:noWrap/>
          </w:tcPr>
          <w:p w14:paraId="76A04EBD"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$90.65</w:t>
            </w:r>
          </w:p>
        </w:tc>
        <w:tc>
          <w:tcPr>
            <w:tcW w:w="857" w:type="dxa"/>
            <w:shd w:val="clear" w:color="auto" w:fill="auto"/>
            <w:noWrap/>
          </w:tcPr>
          <w:p w14:paraId="7EF9B2AD"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$308</w:t>
            </w:r>
          </w:p>
        </w:tc>
        <w:tc>
          <w:tcPr>
            <w:tcW w:w="715" w:type="dxa"/>
            <w:shd w:val="clear" w:color="auto" w:fill="auto"/>
            <w:noWrap/>
          </w:tcPr>
          <w:p w14:paraId="4C48872A"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4</w:t>
            </w:r>
          </w:p>
        </w:tc>
        <w:tc>
          <w:tcPr>
            <w:tcW w:w="858" w:type="dxa"/>
            <w:shd w:val="clear" w:color="auto" w:fill="auto"/>
            <w:noWrap/>
          </w:tcPr>
          <w:p w14:paraId="15763AE4"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N/A</w:t>
            </w:r>
          </w:p>
        </w:tc>
        <w:tc>
          <w:tcPr>
            <w:tcW w:w="1143" w:type="dxa"/>
            <w:shd w:val="clear" w:color="auto" w:fill="auto"/>
          </w:tcPr>
          <w:p w14:paraId="73BDEE21" w14:textId="77777777" w:rsidR="001E05F9" w:rsidRPr="00C33C0B" w:rsidRDefault="001E05F9" w:rsidP="00277050">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r w:rsidR="001E05F9" w:rsidRPr="00C33C0B" w14:paraId="0DD4E7CB" w14:textId="77777777" w:rsidTr="00607BDA">
        <w:tc>
          <w:tcPr>
            <w:tcW w:w="423" w:type="dxa"/>
            <w:shd w:val="clear" w:color="auto" w:fill="auto"/>
            <w:noWrap/>
          </w:tcPr>
          <w:p w14:paraId="4297D15D"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6075</w:t>
            </w:r>
          </w:p>
        </w:tc>
        <w:tc>
          <w:tcPr>
            <w:tcW w:w="3143" w:type="dxa"/>
            <w:shd w:val="clear" w:color="auto" w:fill="auto"/>
            <w:noWrap/>
          </w:tcPr>
          <w:p w14:paraId="5547A71D"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45 minutes, with the multidisciplinary case conference team</w:t>
            </w:r>
          </w:p>
        </w:tc>
        <w:tc>
          <w:tcPr>
            <w:tcW w:w="715" w:type="dxa"/>
            <w:shd w:val="clear" w:color="auto" w:fill="auto"/>
            <w:noWrap/>
          </w:tcPr>
          <w:p w14:paraId="38E2E491"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$120.75</w:t>
            </w:r>
          </w:p>
        </w:tc>
        <w:tc>
          <w:tcPr>
            <w:tcW w:w="857" w:type="dxa"/>
            <w:shd w:val="clear" w:color="auto" w:fill="auto"/>
            <w:noWrap/>
          </w:tcPr>
          <w:p w14:paraId="73677121"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$411</w:t>
            </w:r>
          </w:p>
        </w:tc>
        <w:tc>
          <w:tcPr>
            <w:tcW w:w="715" w:type="dxa"/>
            <w:shd w:val="clear" w:color="auto" w:fill="auto"/>
            <w:noWrap/>
          </w:tcPr>
          <w:p w14:paraId="626BF2C0"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4</w:t>
            </w:r>
          </w:p>
        </w:tc>
        <w:tc>
          <w:tcPr>
            <w:tcW w:w="858" w:type="dxa"/>
            <w:shd w:val="clear" w:color="auto" w:fill="auto"/>
            <w:noWrap/>
          </w:tcPr>
          <w:p w14:paraId="624CA204" w14:textId="77777777" w:rsidR="001E05F9" w:rsidRPr="00C33C0B" w:rsidRDefault="001E05F9" w:rsidP="00277050">
            <w:pPr>
              <w:spacing w:before="20" w:after="20" w:line="240" w:lineRule="auto"/>
              <w:rPr>
                <w:rFonts w:cstheme="minorHAnsi"/>
                <w:color w:val="000000"/>
                <w:sz w:val="17"/>
                <w:szCs w:val="17"/>
                <w:lang w:val="en-GB"/>
              </w:rPr>
            </w:pPr>
            <w:r w:rsidRPr="00C33C0B">
              <w:rPr>
                <w:rFonts w:cstheme="minorHAnsi"/>
                <w:color w:val="000000"/>
                <w:sz w:val="17"/>
                <w:szCs w:val="17"/>
                <w:lang w:val="en-GB"/>
              </w:rPr>
              <w:t>N/A</w:t>
            </w:r>
          </w:p>
        </w:tc>
        <w:tc>
          <w:tcPr>
            <w:tcW w:w="1143" w:type="dxa"/>
            <w:shd w:val="clear" w:color="auto" w:fill="auto"/>
          </w:tcPr>
          <w:p w14:paraId="30F04D5E" w14:textId="77777777" w:rsidR="001E05F9" w:rsidRPr="00C33C0B" w:rsidRDefault="001E05F9" w:rsidP="00277050">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r>
    </w:tbl>
    <w:p w14:paraId="3BCD05A7" w14:textId="77777777" w:rsidR="00E76A74" w:rsidRPr="00C33C0B" w:rsidRDefault="00E76A74" w:rsidP="0065723A">
      <w:pPr>
        <w:rPr>
          <w:lang w:val="en-GB"/>
        </w:rPr>
      </w:pPr>
    </w:p>
    <w:p w14:paraId="435EA645" w14:textId="77777777" w:rsidR="000B2CCD" w:rsidRPr="00C33C0B" w:rsidRDefault="000B2CCD" w:rsidP="0093198A">
      <w:pPr>
        <w:spacing w:before="0" w:after="0" w:line="240" w:lineRule="auto"/>
        <w:rPr>
          <w:lang w:val="en-GB"/>
        </w:rPr>
      </w:pPr>
      <w:r w:rsidRPr="00C33C0B">
        <w:rPr>
          <w:lang w:val="en-GB"/>
        </w:rPr>
        <w:br w:type="page"/>
      </w:r>
    </w:p>
    <w:p w14:paraId="211D6D4D" w14:textId="77777777" w:rsidR="0063055E" w:rsidRPr="00C33C0B" w:rsidRDefault="005E0DEC" w:rsidP="0063055E">
      <w:pPr>
        <w:pStyle w:val="Heading2"/>
        <w:numPr>
          <w:ilvl w:val="0"/>
          <w:numId w:val="0"/>
        </w:numPr>
        <w:rPr>
          <w:lang w:val="en-GB"/>
        </w:rPr>
      </w:pPr>
      <w:bookmarkStart w:id="263" w:name="_Toc521442215"/>
      <w:bookmarkStart w:id="264" w:name="_Toc24544760"/>
      <w:bookmarkStart w:id="265" w:name="_Toc456045468"/>
      <w:bookmarkStart w:id="266" w:name="_Toc468831610"/>
      <w:bookmarkStart w:id="267" w:name="_Toc521442220"/>
      <w:r>
        <w:rPr>
          <w:lang w:val="en-GB"/>
        </w:rPr>
        <w:t>A.5</w:t>
      </w:r>
      <w:r w:rsidR="0063055E" w:rsidRPr="00C33C0B">
        <w:rPr>
          <w:lang w:val="en-GB"/>
        </w:rPr>
        <w:t>. Group therapy attendance items</w:t>
      </w:r>
      <w:bookmarkEnd w:id="263"/>
      <w:bookmarkEnd w:id="264"/>
    </w:p>
    <w:tbl>
      <w:tblPr>
        <w:tblStyle w:val="TableGrid"/>
        <w:tblW w:w="821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Caption w:val="Appendix - A.5 Group therapy attendance items"/>
        <w:tblDescription w:val="A.5 is a 7 column table. Column 1 is the item number. Column 2 is the item descriptor. Column 3 is the schedule fee. Column 4 is the benefits paid in financial year 2016/17. Column 5 is services provided in financial year 2016/17. Column 6 is the 5 yearly growth expressed as a percentage. Column 6 is the recommended change to the item. "/>
      </w:tblPr>
      <w:tblGrid>
        <w:gridCol w:w="421"/>
        <w:gridCol w:w="3543"/>
        <w:gridCol w:w="709"/>
        <w:gridCol w:w="851"/>
        <w:gridCol w:w="708"/>
        <w:gridCol w:w="851"/>
        <w:gridCol w:w="1134"/>
      </w:tblGrid>
      <w:tr w:rsidR="001B4414" w:rsidRPr="00C33C0B" w14:paraId="3C962561" w14:textId="77777777" w:rsidTr="00607BDA">
        <w:trPr>
          <w:trHeight w:val="1290"/>
          <w:tblHeader/>
        </w:trPr>
        <w:tc>
          <w:tcPr>
            <w:tcW w:w="421" w:type="dxa"/>
            <w:shd w:val="clear" w:color="auto" w:fill="01653F"/>
            <w:vAlign w:val="bottom"/>
            <w:hideMark/>
          </w:tcPr>
          <w:p w14:paraId="00F6DA59" w14:textId="77777777" w:rsidR="001B4414" w:rsidRPr="00C33C0B" w:rsidRDefault="001B4414" w:rsidP="0063055E">
            <w:pPr>
              <w:spacing w:before="20" w:after="20"/>
              <w:rPr>
                <w:rFonts w:ascii="Calibri" w:hAnsi="Calibri"/>
                <w:b/>
                <w:color w:val="FFFFFF" w:themeColor="background1"/>
                <w:sz w:val="17"/>
                <w:szCs w:val="17"/>
                <w:lang w:val="en-GB"/>
              </w:rPr>
            </w:pPr>
            <w:r w:rsidRPr="00C33C0B">
              <w:rPr>
                <w:b/>
                <w:color w:val="FFFFFF" w:themeColor="background1"/>
                <w:sz w:val="17"/>
                <w:szCs w:val="17"/>
                <w:lang w:val="en-GB"/>
              </w:rPr>
              <w:t xml:space="preserve">Item </w:t>
            </w:r>
            <w:r>
              <w:rPr>
                <w:b/>
                <w:color w:val="FFFFFF" w:themeColor="background1"/>
                <w:sz w:val="17"/>
                <w:szCs w:val="17"/>
                <w:lang w:val="en-GB"/>
              </w:rPr>
              <w:t>n</w:t>
            </w:r>
            <w:r w:rsidRPr="00C33C0B">
              <w:rPr>
                <w:b/>
                <w:color w:val="FFFFFF" w:themeColor="background1"/>
                <w:sz w:val="17"/>
                <w:szCs w:val="17"/>
                <w:lang w:val="en-GB"/>
              </w:rPr>
              <w:t>o.</w:t>
            </w:r>
          </w:p>
        </w:tc>
        <w:tc>
          <w:tcPr>
            <w:tcW w:w="3543" w:type="dxa"/>
            <w:shd w:val="clear" w:color="auto" w:fill="01653F"/>
            <w:vAlign w:val="bottom"/>
            <w:hideMark/>
          </w:tcPr>
          <w:p w14:paraId="192344BA" w14:textId="77777777" w:rsidR="001B4414" w:rsidRPr="00C33C0B" w:rsidRDefault="001B4414" w:rsidP="0063055E">
            <w:pPr>
              <w:spacing w:before="20" w:after="20"/>
              <w:rPr>
                <w:rFonts w:ascii="Calibri" w:hAnsi="Calibri"/>
                <w:b/>
                <w:color w:val="FFFFFF" w:themeColor="background1"/>
                <w:sz w:val="17"/>
                <w:szCs w:val="17"/>
                <w:lang w:val="en-GB"/>
              </w:rPr>
            </w:pPr>
            <w:r w:rsidRPr="00C33C0B">
              <w:rPr>
                <w:b/>
                <w:color w:val="FFFFFF" w:themeColor="background1"/>
                <w:sz w:val="17"/>
                <w:szCs w:val="17"/>
                <w:lang w:val="en-GB"/>
              </w:rPr>
              <w:t xml:space="preserve">Item </w:t>
            </w:r>
            <w:r>
              <w:rPr>
                <w:b/>
                <w:color w:val="FFFFFF" w:themeColor="background1"/>
                <w:sz w:val="17"/>
                <w:szCs w:val="17"/>
                <w:lang w:val="en-GB"/>
              </w:rPr>
              <w:t>d</w:t>
            </w:r>
            <w:r w:rsidRPr="00C33C0B">
              <w:rPr>
                <w:b/>
                <w:color w:val="FFFFFF" w:themeColor="background1"/>
                <w:sz w:val="17"/>
                <w:szCs w:val="17"/>
                <w:lang w:val="en-GB"/>
              </w:rPr>
              <w:t>escriptor</w:t>
            </w:r>
          </w:p>
        </w:tc>
        <w:tc>
          <w:tcPr>
            <w:tcW w:w="709" w:type="dxa"/>
            <w:shd w:val="clear" w:color="auto" w:fill="01653F"/>
            <w:vAlign w:val="bottom"/>
            <w:hideMark/>
          </w:tcPr>
          <w:p w14:paraId="7910567B" w14:textId="77777777" w:rsidR="001B4414" w:rsidRPr="00C33C0B" w:rsidRDefault="001B4414" w:rsidP="0063055E">
            <w:pPr>
              <w:spacing w:before="20" w:after="20"/>
              <w:rPr>
                <w:rFonts w:ascii="Calibri" w:hAnsi="Calibri"/>
                <w:b/>
                <w:color w:val="FFFFFF" w:themeColor="background1"/>
                <w:sz w:val="17"/>
                <w:szCs w:val="17"/>
                <w:lang w:val="en-GB"/>
              </w:rPr>
            </w:pPr>
            <w:r w:rsidRPr="00C33C0B">
              <w:rPr>
                <w:b/>
                <w:color w:val="FFFFFF" w:themeColor="background1"/>
                <w:sz w:val="17"/>
                <w:szCs w:val="17"/>
                <w:lang w:val="en-GB"/>
              </w:rPr>
              <w:t>Schedule fee</w:t>
            </w:r>
          </w:p>
        </w:tc>
        <w:tc>
          <w:tcPr>
            <w:tcW w:w="851" w:type="dxa"/>
            <w:shd w:val="clear" w:color="auto" w:fill="01653F"/>
            <w:vAlign w:val="bottom"/>
            <w:hideMark/>
          </w:tcPr>
          <w:p w14:paraId="02D299E5" w14:textId="77777777" w:rsidR="001B4414" w:rsidRPr="00C33C0B" w:rsidRDefault="001B4414" w:rsidP="0063055E">
            <w:pPr>
              <w:spacing w:before="20" w:after="20"/>
              <w:rPr>
                <w:rFonts w:ascii="Calibri" w:hAnsi="Calibri"/>
                <w:b/>
                <w:color w:val="FFFFFF" w:themeColor="background1"/>
                <w:sz w:val="17"/>
                <w:szCs w:val="17"/>
                <w:lang w:val="en-GB"/>
              </w:rPr>
            </w:pPr>
            <w:r w:rsidRPr="00C33C0B">
              <w:rPr>
                <w:b/>
                <w:color w:val="FFFFFF" w:themeColor="background1"/>
                <w:sz w:val="17"/>
                <w:szCs w:val="17"/>
                <w:lang w:val="en-GB"/>
              </w:rPr>
              <w:t>Benefits FY2016/17</w:t>
            </w:r>
          </w:p>
        </w:tc>
        <w:tc>
          <w:tcPr>
            <w:tcW w:w="708" w:type="dxa"/>
            <w:shd w:val="clear" w:color="auto" w:fill="01653F"/>
            <w:vAlign w:val="bottom"/>
            <w:hideMark/>
          </w:tcPr>
          <w:p w14:paraId="6466A2F5" w14:textId="77777777" w:rsidR="001B4414" w:rsidRPr="00C33C0B" w:rsidRDefault="001B4414" w:rsidP="0063055E">
            <w:pPr>
              <w:spacing w:before="20" w:after="20"/>
              <w:rPr>
                <w:rFonts w:ascii="Calibri" w:hAnsi="Calibri"/>
                <w:b/>
                <w:color w:val="FFFFFF" w:themeColor="background1"/>
                <w:sz w:val="17"/>
                <w:szCs w:val="17"/>
                <w:lang w:val="en-GB"/>
              </w:rPr>
            </w:pPr>
            <w:r w:rsidRPr="00C33C0B">
              <w:rPr>
                <w:b/>
                <w:color w:val="FFFFFF" w:themeColor="background1"/>
                <w:sz w:val="17"/>
                <w:szCs w:val="17"/>
                <w:lang w:val="en-GB"/>
              </w:rPr>
              <w:t>Services FY2016/17</w:t>
            </w:r>
          </w:p>
        </w:tc>
        <w:tc>
          <w:tcPr>
            <w:tcW w:w="851" w:type="dxa"/>
            <w:shd w:val="clear" w:color="auto" w:fill="01653F"/>
            <w:vAlign w:val="bottom"/>
            <w:hideMark/>
          </w:tcPr>
          <w:p w14:paraId="508676C2" w14:textId="77777777" w:rsidR="001B4414" w:rsidRPr="00C33C0B" w:rsidRDefault="001B4414" w:rsidP="0063055E">
            <w:pPr>
              <w:spacing w:before="20" w:after="20"/>
              <w:rPr>
                <w:rFonts w:ascii="Calibri" w:hAnsi="Calibri"/>
                <w:b/>
                <w:color w:val="FFFFFF" w:themeColor="background1"/>
                <w:sz w:val="17"/>
                <w:szCs w:val="17"/>
                <w:lang w:val="en-GB"/>
              </w:rPr>
            </w:pPr>
            <w:r w:rsidRPr="00C33C0B">
              <w:rPr>
                <w:b/>
                <w:color w:val="FFFFFF" w:themeColor="background1"/>
                <w:sz w:val="17"/>
                <w:szCs w:val="17"/>
                <w:lang w:val="en-GB"/>
              </w:rPr>
              <w:t>Services 5-year annual avg. growth</w:t>
            </w:r>
          </w:p>
        </w:tc>
        <w:tc>
          <w:tcPr>
            <w:tcW w:w="1134" w:type="dxa"/>
            <w:shd w:val="clear" w:color="auto" w:fill="01653F"/>
            <w:vAlign w:val="bottom"/>
          </w:tcPr>
          <w:p w14:paraId="5186D494" w14:textId="77777777" w:rsidR="001B4414" w:rsidRPr="00C33C0B" w:rsidRDefault="001B4414" w:rsidP="0063055E">
            <w:pPr>
              <w:spacing w:before="20" w:after="20"/>
              <w:rPr>
                <w:rFonts w:ascii="Calibri" w:hAnsi="Calibri"/>
                <w:b/>
                <w:color w:val="FFFFFF" w:themeColor="background1"/>
                <w:sz w:val="17"/>
                <w:szCs w:val="17"/>
                <w:lang w:val="en-GB"/>
              </w:rPr>
            </w:pPr>
            <w:r w:rsidRPr="00C33C0B">
              <w:rPr>
                <w:b/>
                <w:color w:val="FFFFFF" w:themeColor="background1"/>
                <w:sz w:val="17"/>
                <w:szCs w:val="17"/>
                <w:lang w:val="en-GB"/>
              </w:rPr>
              <w:t>Recommended change</w:t>
            </w:r>
          </w:p>
        </w:tc>
      </w:tr>
      <w:tr w:rsidR="001B4414" w:rsidRPr="00C33C0B" w14:paraId="4C23219D" w14:textId="77777777" w:rsidTr="00607BDA">
        <w:trPr>
          <w:trHeight w:val="300"/>
        </w:trPr>
        <w:tc>
          <w:tcPr>
            <w:tcW w:w="421" w:type="dxa"/>
            <w:shd w:val="clear" w:color="auto" w:fill="auto"/>
            <w:noWrap/>
            <w:hideMark/>
          </w:tcPr>
          <w:p w14:paraId="6724DE7E"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170</w:t>
            </w:r>
          </w:p>
        </w:tc>
        <w:tc>
          <w:tcPr>
            <w:tcW w:w="3543" w:type="dxa"/>
            <w:shd w:val="clear" w:color="auto" w:fill="auto"/>
            <w:noWrap/>
            <w:hideMark/>
          </w:tcPr>
          <w:p w14:paraId="0C7862F7"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Professional attendance for the purpose of group therapy of not less than 1 hour in duration given under the direct continuous supervision of a medical practitioner (other than a consultant physician in the practice of his or her specialty of psychiatry) involving members of a family and persons with close personal relationships with that family--each group of 2 patients</w:t>
            </w:r>
          </w:p>
        </w:tc>
        <w:tc>
          <w:tcPr>
            <w:tcW w:w="709" w:type="dxa"/>
            <w:shd w:val="clear" w:color="auto" w:fill="auto"/>
            <w:noWrap/>
            <w:hideMark/>
          </w:tcPr>
          <w:p w14:paraId="01795362"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 xml:space="preserve">$117.55 </w:t>
            </w:r>
          </w:p>
        </w:tc>
        <w:tc>
          <w:tcPr>
            <w:tcW w:w="851" w:type="dxa"/>
            <w:shd w:val="clear" w:color="auto" w:fill="auto"/>
            <w:noWrap/>
            <w:hideMark/>
          </w:tcPr>
          <w:p w14:paraId="26808C2D"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$1,186,406</w:t>
            </w:r>
          </w:p>
        </w:tc>
        <w:tc>
          <w:tcPr>
            <w:tcW w:w="708" w:type="dxa"/>
            <w:shd w:val="clear" w:color="auto" w:fill="auto"/>
            <w:noWrap/>
            <w:hideMark/>
          </w:tcPr>
          <w:p w14:paraId="2C8E6F52"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 xml:space="preserve"> 9,010 </w:t>
            </w:r>
          </w:p>
        </w:tc>
        <w:tc>
          <w:tcPr>
            <w:tcW w:w="851" w:type="dxa"/>
            <w:shd w:val="clear" w:color="auto" w:fill="auto"/>
            <w:noWrap/>
            <w:hideMark/>
          </w:tcPr>
          <w:p w14:paraId="6F515B04"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2.3%</w:t>
            </w:r>
          </w:p>
        </w:tc>
        <w:tc>
          <w:tcPr>
            <w:tcW w:w="1134" w:type="dxa"/>
            <w:shd w:val="clear" w:color="auto" w:fill="auto"/>
          </w:tcPr>
          <w:p w14:paraId="1F1D8FD2" w14:textId="77777777" w:rsidR="001B4414" w:rsidRPr="00C33C0B" w:rsidRDefault="001B4414" w:rsidP="0063055E">
            <w:pPr>
              <w:spacing w:before="20" w:after="20"/>
              <w:rPr>
                <w:rFonts w:ascii="Calibri" w:hAnsi="Calibri"/>
                <w:color w:val="000000"/>
                <w:sz w:val="17"/>
                <w:szCs w:val="17"/>
                <w:lang w:val="en-GB"/>
              </w:rPr>
            </w:pPr>
            <w:r>
              <w:rPr>
                <w:rFonts w:ascii="Calibri" w:hAnsi="Calibri"/>
                <w:color w:val="000000"/>
                <w:sz w:val="17"/>
                <w:szCs w:val="17"/>
                <w:lang w:val="en-GB"/>
              </w:rPr>
              <w:t>No change</w:t>
            </w:r>
          </w:p>
        </w:tc>
      </w:tr>
      <w:tr w:rsidR="001B4414" w:rsidRPr="00C33C0B" w14:paraId="482588FF" w14:textId="77777777" w:rsidTr="00607BDA">
        <w:trPr>
          <w:trHeight w:val="300"/>
        </w:trPr>
        <w:tc>
          <w:tcPr>
            <w:tcW w:w="421" w:type="dxa"/>
            <w:shd w:val="clear" w:color="auto" w:fill="auto"/>
            <w:noWrap/>
            <w:hideMark/>
          </w:tcPr>
          <w:p w14:paraId="7ACD51F5"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171</w:t>
            </w:r>
          </w:p>
        </w:tc>
        <w:tc>
          <w:tcPr>
            <w:tcW w:w="3543" w:type="dxa"/>
            <w:shd w:val="clear" w:color="auto" w:fill="auto"/>
            <w:noWrap/>
            <w:hideMark/>
          </w:tcPr>
          <w:p w14:paraId="31CE209C"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Professional attendance for the purpose of group therapy of not less than 1 hour in duration given under the direct continuous supervision of a medical practitioner (other than a consultant physician in the practice of his or her specialty of psychiatry) involving members of a family and persons with close personal relationships with that family--each group of 3 patients</w:t>
            </w:r>
          </w:p>
        </w:tc>
        <w:tc>
          <w:tcPr>
            <w:tcW w:w="709" w:type="dxa"/>
            <w:shd w:val="clear" w:color="auto" w:fill="auto"/>
            <w:noWrap/>
            <w:hideMark/>
          </w:tcPr>
          <w:p w14:paraId="4BC5DD35"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 xml:space="preserve">$123.85 </w:t>
            </w:r>
          </w:p>
        </w:tc>
        <w:tc>
          <w:tcPr>
            <w:tcW w:w="851" w:type="dxa"/>
            <w:shd w:val="clear" w:color="auto" w:fill="auto"/>
            <w:noWrap/>
            <w:hideMark/>
          </w:tcPr>
          <w:p w14:paraId="00C4209C"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 xml:space="preserve">$204,109 </w:t>
            </w:r>
          </w:p>
        </w:tc>
        <w:tc>
          <w:tcPr>
            <w:tcW w:w="708" w:type="dxa"/>
            <w:shd w:val="clear" w:color="auto" w:fill="auto"/>
            <w:noWrap/>
            <w:hideMark/>
          </w:tcPr>
          <w:p w14:paraId="7F23B8CA"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 xml:space="preserve"> 1,542 </w:t>
            </w:r>
          </w:p>
        </w:tc>
        <w:tc>
          <w:tcPr>
            <w:tcW w:w="851" w:type="dxa"/>
            <w:shd w:val="clear" w:color="auto" w:fill="auto"/>
            <w:noWrap/>
            <w:hideMark/>
          </w:tcPr>
          <w:p w14:paraId="18751F76"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-4.9%</w:t>
            </w:r>
          </w:p>
        </w:tc>
        <w:tc>
          <w:tcPr>
            <w:tcW w:w="1134" w:type="dxa"/>
            <w:shd w:val="clear" w:color="auto" w:fill="auto"/>
          </w:tcPr>
          <w:p w14:paraId="6044BD78" w14:textId="77777777" w:rsidR="001B4414" w:rsidRPr="00C33C0B" w:rsidRDefault="001B4414" w:rsidP="0063055E">
            <w:pPr>
              <w:spacing w:before="20" w:after="20"/>
              <w:rPr>
                <w:rFonts w:ascii="Calibri" w:hAnsi="Calibri"/>
                <w:color w:val="000000"/>
                <w:sz w:val="17"/>
                <w:szCs w:val="17"/>
                <w:lang w:val="en-GB"/>
              </w:rPr>
            </w:pPr>
            <w:r>
              <w:rPr>
                <w:rFonts w:ascii="Calibri" w:hAnsi="Calibri"/>
                <w:color w:val="000000"/>
                <w:sz w:val="17"/>
                <w:szCs w:val="17"/>
                <w:lang w:val="en-GB"/>
              </w:rPr>
              <w:t>No change</w:t>
            </w:r>
          </w:p>
        </w:tc>
      </w:tr>
      <w:tr w:rsidR="001B4414" w:rsidRPr="00C33C0B" w14:paraId="410E81BA" w14:textId="77777777" w:rsidTr="00607BDA">
        <w:trPr>
          <w:trHeight w:val="300"/>
        </w:trPr>
        <w:tc>
          <w:tcPr>
            <w:tcW w:w="421" w:type="dxa"/>
            <w:shd w:val="clear" w:color="auto" w:fill="auto"/>
            <w:noWrap/>
            <w:hideMark/>
          </w:tcPr>
          <w:p w14:paraId="630587C2"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172</w:t>
            </w:r>
          </w:p>
        </w:tc>
        <w:tc>
          <w:tcPr>
            <w:tcW w:w="3543" w:type="dxa"/>
            <w:shd w:val="clear" w:color="auto" w:fill="auto"/>
            <w:noWrap/>
            <w:hideMark/>
          </w:tcPr>
          <w:p w14:paraId="6636179C"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Professional attendance for the purpose of group therapy of not less than 1 hour in duration given under the direct continuous supervision of a medical practitioner (other than a consultant physician in the practice of his or her specialty of psychiatry) involving members of a family and persons with close personal relationships with that family--each group of 4 or more patients</w:t>
            </w:r>
          </w:p>
        </w:tc>
        <w:tc>
          <w:tcPr>
            <w:tcW w:w="709" w:type="dxa"/>
            <w:shd w:val="clear" w:color="auto" w:fill="auto"/>
            <w:noWrap/>
            <w:hideMark/>
          </w:tcPr>
          <w:p w14:paraId="4434985C"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 xml:space="preserve">$150.70 </w:t>
            </w:r>
          </w:p>
        </w:tc>
        <w:tc>
          <w:tcPr>
            <w:tcW w:w="851" w:type="dxa"/>
            <w:shd w:val="clear" w:color="auto" w:fill="auto"/>
            <w:noWrap/>
            <w:hideMark/>
          </w:tcPr>
          <w:p w14:paraId="30C5CF59"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 xml:space="preserve">$70,080 </w:t>
            </w:r>
          </w:p>
        </w:tc>
        <w:tc>
          <w:tcPr>
            <w:tcW w:w="708" w:type="dxa"/>
            <w:shd w:val="clear" w:color="auto" w:fill="auto"/>
            <w:noWrap/>
            <w:hideMark/>
          </w:tcPr>
          <w:p w14:paraId="2FB05F93"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 xml:space="preserve"> 471 </w:t>
            </w:r>
          </w:p>
        </w:tc>
        <w:tc>
          <w:tcPr>
            <w:tcW w:w="851" w:type="dxa"/>
            <w:shd w:val="clear" w:color="auto" w:fill="auto"/>
            <w:noWrap/>
            <w:hideMark/>
          </w:tcPr>
          <w:p w14:paraId="1C4F66DE"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1.6%</w:t>
            </w:r>
          </w:p>
        </w:tc>
        <w:tc>
          <w:tcPr>
            <w:tcW w:w="1134" w:type="dxa"/>
            <w:shd w:val="clear" w:color="auto" w:fill="auto"/>
          </w:tcPr>
          <w:p w14:paraId="2D2A0BAC" w14:textId="77777777" w:rsidR="001B4414" w:rsidRPr="00C33C0B" w:rsidRDefault="001B4414" w:rsidP="0063055E">
            <w:pPr>
              <w:spacing w:before="20" w:after="20"/>
              <w:rPr>
                <w:rFonts w:ascii="Calibri" w:hAnsi="Calibri"/>
                <w:color w:val="000000"/>
                <w:sz w:val="17"/>
                <w:szCs w:val="17"/>
                <w:lang w:val="en-GB"/>
              </w:rPr>
            </w:pPr>
            <w:r>
              <w:rPr>
                <w:rFonts w:ascii="Calibri" w:hAnsi="Calibri"/>
                <w:color w:val="000000"/>
                <w:sz w:val="17"/>
                <w:szCs w:val="17"/>
                <w:lang w:val="en-GB"/>
              </w:rPr>
              <w:t>No change</w:t>
            </w:r>
          </w:p>
        </w:tc>
      </w:tr>
      <w:tr w:rsidR="001B4414" w:rsidRPr="00C33C0B" w14:paraId="7B14BC32" w14:textId="77777777" w:rsidTr="00607BDA">
        <w:trPr>
          <w:trHeight w:val="300"/>
        </w:trPr>
        <w:tc>
          <w:tcPr>
            <w:tcW w:w="421" w:type="dxa"/>
            <w:shd w:val="clear" w:color="auto" w:fill="auto"/>
            <w:noWrap/>
          </w:tcPr>
          <w:p w14:paraId="649397E8"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6028</w:t>
            </w:r>
          </w:p>
        </w:tc>
        <w:tc>
          <w:tcPr>
            <w:tcW w:w="3543" w:type="dxa"/>
            <w:shd w:val="clear" w:color="auto" w:fill="auto"/>
            <w:noWrap/>
          </w:tcPr>
          <w:p w14:paraId="0D37893C"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Group therapy (including any associated consultation with a patient taking place on the same occasion and relating to the condition for which group therapy is conducted) of not less than 1 hour, given under the continuous direct supervision of an addiction medicine specialist in the practice of his or her specialty for a group of 2 to 9 unrelated patients, or a family group of more than 2 patients, each of whom is referred to the addiction medicine specialist by a referring practitioner--for each patient</w:t>
            </w:r>
          </w:p>
        </w:tc>
        <w:tc>
          <w:tcPr>
            <w:tcW w:w="709" w:type="dxa"/>
            <w:shd w:val="clear" w:color="auto" w:fill="auto"/>
            <w:noWrap/>
          </w:tcPr>
          <w:p w14:paraId="26987021"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$49.30</w:t>
            </w:r>
          </w:p>
        </w:tc>
        <w:tc>
          <w:tcPr>
            <w:tcW w:w="851" w:type="dxa"/>
            <w:shd w:val="clear" w:color="auto" w:fill="auto"/>
            <w:noWrap/>
          </w:tcPr>
          <w:p w14:paraId="411277B5"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$1,887</w:t>
            </w:r>
          </w:p>
        </w:tc>
        <w:tc>
          <w:tcPr>
            <w:tcW w:w="708" w:type="dxa"/>
            <w:shd w:val="clear" w:color="auto" w:fill="auto"/>
            <w:noWrap/>
          </w:tcPr>
          <w:p w14:paraId="7C872CCC"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51</w:t>
            </w:r>
          </w:p>
          <w:p w14:paraId="68CE8A57" w14:textId="77777777" w:rsidR="001B4414" w:rsidRPr="00C33C0B" w:rsidRDefault="001B4414" w:rsidP="0063055E">
            <w:pPr>
              <w:spacing w:before="20" w:after="20"/>
              <w:rPr>
                <w:rFonts w:ascii="Calibri" w:hAnsi="Calibri"/>
                <w:color w:val="000000"/>
                <w:sz w:val="17"/>
                <w:szCs w:val="17"/>
                <w:lang w:val="en-GB"/>
              </w:rPr>
            </w:pPr>
          </w:p>
        </w:tc>
        <w:tc>
          <w:tcPr>
            <w:tcW w:w="851" w:type="dxa"/>
            <w:shd w:val="clear" w:color="auto" w:fill="auto"/>
            <w:noWrap/>
          </w:tcPr>
          <w:p w14:paraId="569E0BBD" w14:textId="77777777" w:rsidR="001B4414" w:rsidRPr="00C33C0B" w:rsidRDefault="001B4414" w:rsidP="0063055E">
            <w:pPr>
              <w:spacing w:before="20" w:after="20"/>
              <w:rPr>
                <w:rFonts w:ascii="Calibri" w:hAnsi="Calibri"/>
                <w:color w:val="000000"/>
                <w:sz w:val="17"/>
                <w:szCs w:val="17"/>
                <w:lang w:val="en-GB"/>
              </w:rPr>
            </w:pPr>
            <w:r w:rsidRPr="00C33C0B">
              <w:rPr>
                <w:rFonts w:ascii="Calibri" w:hAnsi="Calibri"/>
                <w:color w:val="000000"/>
                <w:sz w:val="17"/>
                <w:szCs w:val="17"/>
                <w:lang w:val="en-GB"/>
              </w:rPr>
              <w:t>N/A</w:t>
            </w:r>
          </w:p>
        </w:tc>
        <w:tc>
          <w:tcPr>
            <w:tcW w:w="1134" w:type="dxa"/>
            <w:shd w:val="clear" w:color="auto" w:fill="auto"/>
          </w:tcPr>
          <w:p w14:paraId="08352D3A" w14:textId="77777777" w:rsidR="001B4414" w:rsidRPr="00C33C0B" w:rsidRDefault="001B4414" w:rsidP="0063055E">
            <w:pPr>
              <w:spacing w:before="20" w:after="20"/>
              <w:rPr>
                <w:rFonts w:ascii="Calibri" w:hAnsi="Calibri"/>
                <w:color w:val="000000"/>
                <w:sz w:val="17"/>
                <w:szCs w:val="17"/>
                <w:lang w:val="en-GB"/>
              </w:rPr>
            </w:pPr>
            <w:r>
              <w:rPr>
                <w:rFonts w:ascii="Calibri" w:hAnsi="Calibri"/>
                <w:color w:val="000000"/>
                <w:sz w:val="17"/>
                <w:szCs w:val="17"/>
                <w:lang w:val="en-GB"/>
              </w:rPr>
              <w:t>No change</w:t>
            </w:r>
          </w:p>
        </w:tc>
      </w:tr>
    </w:tbl>
    <w:p w14:paraId="6584B7DB" w14:textId="77777777" w:rsidR="00C70F2D" w:rsidRDefault="00C70F2D" w:rsidP="006620C7">
      <w:pPr>
        <w:pStyle w:val="AppendixStyle1"/>
        <w:spacing w:before="360"/>
        <w:rPr>
          <w:lang w:val="en-GB"/>
        </w:rPr>
        <w:sectPr w:rsidR="00C70F2D" w:rsidSect="00DF09CD">
          <w:endnotePr>
            <w:numFmt w:val="decimal"/>
          </w:endnotePr>
          <w:pgSz w:w="11906" w:h="16838" w:code="9"/>
          <w:pgMar w:top="1440" w:right="1797" w:bottom="1440" w:left="1797" w:header="720" w:footer="720" w:gutter="0"/>
          <w:cols w:space="720"/>
          <w:docGrid w:linePitch="326"/>
        </w:sectPr>
      </w:pPr>
      <w:bookmarkStart w:id="268" w:name="_Toc521442221"/>
      <w:bookmarkEnd w:id="265"/>
      <w:bookmarkEnd w:id="266"/>
      <w:bookmarkEnd w:id="267"/>
    </w:p>
    <w:p w14:paraId="2F8E49C4" w14:textId="77777777" w:rsidR="00940D6E" w:rsidRDefault="00940D6E" w:rsidP="006620C7">
      <w:pPr>
        <w:pStyle w:val="AppendixStyle1"/>
        <w:spacing w:before="360"/>
        <w:rPr>
          <w:lang w:val="en-GB"/>
        </w:rPr>
      </w:pPr>
      <w:bookmarkStart w:id="269" w:name="_Toc24544761"/>
      <w:r>
        <w:rPr>
          <w:lang w:val="en-GB"/>
        </w:rPr>
        <w:t>List of Recommendations</w:t>
      </w:r>
      <w:bookmarkEnd w:id="269"/>
    </w:p>
    <w:p w14:paraId="00B0ABB0" w14:textId="77777777" w:rsidR="000740B5" w:rsidRPr="000740B5" w:rsidRDefault="000740B5" w:rsidP="000740B5">
      <w:pPr>
        <w:rPr>
          <w:b/>
          <w:bCs/>
          <w:iCs/>
          <w:lang w:val="en-US" w:eastAsia="en-US"/>
        </w:rPr>
      </w:pPr>
      <w:r w:rsidRPr="000740B5">
        <w:rPr>
          <w:b/>
          <w:bCs/>
          <w:iCs/>
          <w:lang w:val="en-US" w:eastAsia="en-US"/>
        </w:rPr>
        <w:t>Recommendation 1 - Introduce attendance items</w:t>
      </w:r>
      <w:r w:rsidR="00FC6719">
        <w:rPr>
          <w:b/>
          <w:bCs/>
          <w:iCs/>
          <w:lang w:val="en-US" w:eastAsia="en-US"/>
        </w:rPr>
        <w:t xml:space="preserve"> based on attendance duration and patient complexity factors</w:t>
      </w:r>
    </w:p>
    <w:p w14:paraId="14B73D5B" w14:textId="77777777" w:rsidR="000740B5" w:rsidRDefault="000740B5" w:rsidP="000740B5">
      <w:pPr>
        <w:pStyle w:val="Bullet-green"/>
        <w:numPr>
          <w:ilvl w:val="0"/>
          <w:numId w:val="0"/>
        </w:numPr>
        <w:rPr>
          <w:lang w:val="en-GB"/>
        </w:rPr>
      </w:pPr>
      <w:r>
        <w:rPr>
          <w:lang w:val="en-GB"/>
        </w:rPr>
        <w:t>The Committee recommends:</w:t>
      </w:r>
    </w:p>
    <w:p w14:paraId="54B98B4C" w14:textId="77777777" w:rsidR="000740B5" w:rsidRPr="00C33C0B" w:rsidRDefault="000740B5" w:rsidP="000831A1">
      <w:pPr>
        <w:pStyle w:val="Bullet-green"/>
        <w:numPr>
          <w:ilvl w:val="0"/>
          <w:numId w:val="77"/>
        </w:numPr>
        <w:rPr>
          <w:lang w:val="en-GB"/>
        </w:rPr>
      </w:pPr>
      <w:r>
        <w:rPr>
          <w:lang w:val="en-GB"/>
        </w:rPr>
        <w:t>introducing time-tiered attendance items to</w:t>
      </w:r>
      <w:r w:rsidRPr="00C33C0B">
        <w:rPr>
          <w:lang w:val="en-GB"/>
        </w:rPr>
        <w:t xml:space="preserve"> replace most of the current </w:t>
      </w:r>
      <w:r>
        <w:rPr>
          <w:lang w:val="en-GB"/>
        </w:rPr>
        <w:t xml:space="preserve">standard </w:t>
      </w:r>
      <w:r w:rsidRPr="00C33C0B">
        <w:rPr>
          <w:lang w:val="en-GB"/>
        </w:rPr>
        <w:t>attendance items</w:t>
      </w:r>
      <w:r w:rsidR="00B85435">
        <w:rPr>
          <w:lang w:val="en-GB"/>
        </w:rPr>
        <w:t>;</w:t>
      </w:r>
    </w:p>
    <w:p w14:paraId="6D21D3A3" w14:textId="77777777" w:rsidR="000740B5" w:rsidRDefault="000740B5" w:rsidP="000831A1">
      <w:pPr>
        <w:pStyle w:val="Bullet-green"/>
        <w:numPr>
          <w:ilvl w:val="0"/>
          <w:numId w:val="77"/>
        </w:numPr>
        <w:rPr>
          <w:lang w:val="en-GB"/>
        </w:rPr>
      </w:pPr>
      <w:r>
        <w:rPr>
          <w:lang w:val="en-GB"/>
        </w:rPr>
        <w:t>r</w:t>
      </w:r>
      <w:r w:rsidRPr="00607BDA">
        <w:rPr>
          <w:lang w:val="en-GB"/>
        </w:rPr>
        <w:t>emov</w:t>
      </w:r>
      <w:r>
        <w:rPr>
          <w:lang w:val="en-GB"/>
        </w:rPr>
        <w:t>ing</w:t>
      </w:r>
      <w:r w:rsidRPr="00607BDA">
        <w:rPr>
          <w:lang w:val="en-GB"/>
        </w:rPr>
        <w:t xml:space="preserve"> standard attendance items from Groups A3, A4, A12, A24, A26, A31 and A32</w:t>
      </w:r>
      <w:r w:rsidR="00B85435">
        <w:rPr>
          <w:lang w:val="en-GB"/>
        </w:rPr>
        <w:t>;</w:t>
      </w:r>
      <w:r w:rsidRPr="00607BDA">
        <w:rPr>
          <w:lang w:val="en-GB"/>
        </w:rPr>
        <w:t xml:space="preserve"> </w:t>
      </w:r>
    </w:p>
    <w:p w14:paraId="45C10176" w14:textId="77777777" w:rsidR="000740B5" w:rsidRDefault="000740B5" w:rsidP="000740B5">
      <w:pPr>
        <w:pStyle w:val="Bullet-green"/>
        <w:numPr>
          <w:ilvl w:val="0"/>
          <w:numId w:val="0"/>
        </w:numPr>
        <w:ind w:left="720"/>
        <w:rPr>
          <w:i/>
        </w:rPr>
      </w:pPr>
      <w:r w:rsidRPr="00607BDA">
        <w:rPr>
          <w:i/>
          <w:lang w:val="en-GB"/>
        </w:rPr>
        <w:t xml:space="preserve">Note: </w:t>
      </w:r>
      <w:r w:rsidRPr="00607BDA">
        <w:rPr>
          <w:i/>
        </w:rPr>
        <w:t>See Appendix A.1. for a full list of attendance items that are recommended for removal.</w:t>
      </w:r>
    </w:p>
    <w:p w14:paraId="1861DF6A" w14:textId="77777777" w:rsidR="000740B5" w:rsidRPr="00607BDA" w:rsidRDefault="000740B5" w:rsidP="000831A1">
      <w:pPr>
        <w:pStyle w:val="Bullet-green"/>
        <w:numPr>
          <w:ilvl w:val="0"/>
          <w:numId w:val="77"/>
        </w:numPr>
        <w:rPr>
          <w:lang w:val="en-GB"/>
        </w:rPr>
      </w:pPr>
      <w:r>
        <w:t>a</w:t>
      </w:r>
      <w:r w:rsidRPr="005A1EEC">
        <w:t>dd</w:t>
      </w:r>
      <w:r>
        <w:t>ing</w:t>
      </w:r>
      <w:r w:rsidRPr="005A1EEC">
        <w:t xml:space="preserve"> 10 new time-tiered attendance items with the following characteristics (</w:t>
      </w:r>
      <w:r w:rsidR="009C2492">
        <w:t>see Table B.1</w:t>
      </w:r>
      <w:r w:rsidRPr="005A1EEC">
        <w:t>):</w:t>
      </w:r>
    </w:p>
    <w:p w14:paraId="7DC4AD49" w14:textId="77777777" w:rsidR="000740B5" w:rsidRPr="0046418D" w:rsidRDefault="002654D7" w:rsidP="000831A1">
      <w:pPr>
        <w:pStyle w:val="BulletStyle3"/>
        <w:numPr>
          <w:ilvl w:val="0"/>
          <w:numId w:val="78"/>
        </w:numPr>
        <w:rPr>
          <w:lang w:val="en-GB"/>
        </w:rPr>
      </w:pPr>
      <w:r>
        <w:rPr>
          <w:lang w:val="en-GB"/>
        </w:rPr>
        <w:t>i</w:t>
      </w:r>
      <w:r w:rsidR="000740B5" w:rsidRPr="0046418D">
        <w:rPr>
          <w:lang w:val="en-GB"/>
        </w:rPr>
        <w:t xml:space="preserve">tem descriptors should specify </w:t>
      </w:r>
      <w:r w:rsidR="000740B5">
        <w:rPr>
          <w:lang w:val="en-GB"/>
        </w:rPr>
        <w:t xml:space="preserve">required </w:t>
      </w:r>
      <w:r w:rsidR="000740B5" w:rsidRPr="0046418D">
        <w:rPr>
          <w:lang w:val="en-GB"/>
        </w:rPr>
        <w:t>attendance time, and standard activities performed (to indicate complexity)</w:t>
      </w:r>
      <w:r>
        <w:rPr>
          <w:lang w:val="en-GB"/>
        </w:rPr>
        <w:t>;</w:t>
      </w:r>
    </w:p>
    <w:p w14:paraId="7D38CA2B" w14:textId="77777777" w:rsidR="000740B5" w:rsidRPr="0046418D" w:rsidRDefault="002654D7" w:rsidP="000831A1">
      <w:pPr>
        <w:pStyle w:val="BulletStyle3"/>
        <w:numPr>
          <w:ilvl w:val="0"/>
          <w:numId w:val="78"/>
        </w:numPr>
        <w:rPr>
          <w:lang w:val="en-GB"/>
        </w:rPr>
      </w:pPr>
      <w:r>
        <w:rPr>
          <w:lang w:val="en-GB"/>
        </w:rPr>
        <w:t>t</w:t>
      </w:r>
      <w:r w:rsidR="000740B5" w:rsidRPr="0046418D">
        <w:rPr>
          <w:lang w:val="en-GB"/>
        </w:rPr>
        <w:t>he duration of the time tiers should be the same as those recommended by the</w:t>
      </w:r>
      <w:r w:rsidR="000740B5">
        <w:rPr>
          <w:lang w:val="en-GB"/>
        </w:rPr>
        <w:t xml:space="preserve"> </w:t>
      </w:r>
      <w:r w:rsidR="000740B5" w:rsidRPr="0046418D">
        <w:rPr>
          <w:lang w:val="en-GB"/>
        </w:rPr>
        <w:t>GPPCCC</w:t>
      </w:r>
      <w:r>
        <w:rPr>
          <w:lang w:val="en-GB"/>
        </w:rPr>
        <w:t>;</w:t>
      </w:r>
      <w:r w:rsidR="000740B5">
        <w:rPr>
          <w:lang w:val="en-GB"/>
        </w:rPr>
        <w:t xml:space="preserve"> and</w:t>
      </w:r>
    </w:p>
    <w:p w14:paraId="06B0CF2F" w14:textId="77777777" w:rsidR="000740B5" w:rsidRDefault="002654D7" w:rsidP="000831A1">
      <w:pPr>
        <w:pStyle w:val="BulletStyle3"/>
        <w:numPr>
          <w:ilvl w:val="0"/>
          <w:numId w:val="78"/>
        </w:numPr>
        <w:rPr>
          <w:lang w:val="en-GB"/>
        </w:rPr>
      </w:pPr>
      <w:r>
        <w:rPr>
          <w:lang w:val="en-GB"/>
        </w:rPr>
        <w:t>p</w:t>
      </w:r>
      <w:r w:rsidR="000740B5" w:rsidRPr="0046418D">
        <w:rPr>
          <w:lang w:val="en-GB"/>
        </w:rPr>
        <w:t>arallel items should continue to exist for attendances that occur in a consulting room or hospital, and elsewhere (five items each).</w:t>
      </w:r>
    </w:p>
    <w:p w14:paraId="4808DF6B" w14:textId="77777777" w:rsidR="000740B5" w:rsidRPr="00607BDA" w:rsidRDefault="000740B5" w:rsidP="000831A1">
      <w:pPr>
        <w:pStyle w:val="Bullet-green"/>
        <w:numPr>
          <w:ilvl w:val="0"/>
          <w:numId w:val="77"/>
        </w:numPr>
      </w:pPr>
      <w:r>
        <w:t>adding e</w:t>
      </w:r>
      <w:r w:rsidRPr="00607BDA">
        <w:t xml:space="preserve">xplanatory notes for these items </w:t>
      </w:r>
      <w:r>
        <w:t>that</w:t>
      </w:r>
      <w:r w:rsidRPr="00607BDA">
        <w:t xml:space="preserve"> state that:</w:t>
      </w:r>
    </w:p>
    <w:p w14:paraId="176FDF32" w14:textId="77777777" w:rsidR="000740B5" w:rsidRDefault="000740B5" w:rsidP="000831A1">
      <w:pPr>
        <w:pStyle w:val="Squarebullet"/>
        <w:numPr>
          <w:ilvl w:val="0"/>
          <w:numId w:val="79"/>
        </w:numPr>
      </w:pPr>
      <w:r>
        <w:t>Specific features of the patient interaction may contribute to the duration of the attendance. This may include c</w:t>
      </w:r>
      <w:r w:rsidRPr="00923113">
        <w:t>ommunication</w:t>
      </w:r>
      <w:r w:rsidRPr="00C376B2">
        <w:t xml:space="preserve"> or comprehension factors that result in more time needed to take a medical history or to take informed consent (e.g., using an interpreter to take a medical history, taking informed consent for an intrusive examination of a child)</w:t>
      </w:r>
      <w:r w:rsidRPr="00923113">
        <w:t xml:space="preserve"> </w:t>
      </w:r>
      <w:r>
        <w:t>and m</w:t>
      </w:r>
      <w:r w:rsidRPr="00923113">
        <w:t>obility factors resulting in more time needed to perform a clinical examination (e.g., the need for an assistant or assistive device to transfer a patient)</w:t>
      </w:r>
      <w:r w:rsidR="002654D7">
        <w:t>.</w:t>
      </w:r>
    </w:p>
    <w:p w14:paraId="39D2340B" w14:textId="77777777" w:rsidR="000740B5" w:rsidRDefault="000740B5" w:rsidP="000831A1">
      <w:pPr>
        <w:pStyle w:val="Squarebullet"/>
        <w:numPr>
          <w:ilvl w:val="0"/>
          <w:numId w:val="79"/>
        </w:numPr>
      </w:pPr>
      <w:r>
        <w:t xml:space="preserve">Non-patient-facing time should not contribute to the duration of the attendance and the calculation of </w:t>
      </w:r>
      <w:r w:rsidRPr="00923113">
        <w:t>schedule fees for attendance items</w:t>
      </w:r>
      <w:r>
        <w:t xml:space="preserve"> should</w:t>
      </w:r>
      <w:r w:rsidRPr="00923113">
        <w:t xml:space="preserve"> take non-patient-facing time into account</w:t>
      </w:r>
      <w:r w:rsidR="002654D7">
        <w:t>.</w:t>
      </w:r>
    </w:p>
    <w:p w14:paraId="50234A49" w14:textId="77777777" w:rsidR="000740B5" w:rsidRDefault="000740B5" w:rsidP="000831A1">
      <w:pPr>
        <w:pStyle w:val="Squarebullet"/>
        <w:numPr>
          <w:ilvl w:val="0"/>
          <w:numId w:val="79"/>
        </w:numPr>
      </w:pPr>
      <w:r>
        <w:t>Time spent with other health professionals should not contribute</w:t>
      </w:r>
      <w:r w:rsidR="002654D7">
        <w:t xml:space="preserve"> the duration of the attendance.</w:t>
      </w:r>
      <w:r>
        <w:t xml:space="preserve"> </w:t>
      </w:r>
    </w:p>
    <w:p w14:paraId="74E5A683" w14:textId="77777777" w:rsidR="000740B5" w:rsidRDefault="000740B5" w:rsidP="000831A1">
      <w:pPr>
        <w:pStyle w:val="Squarebullet"/>
        <w:numPr>
          <w:ilvl w:val="0"/>
          <w:numId w:val="79"/>
        </w:numPr>
      </w:pPr>
      <w:r>
        <w:t>Time spent on a procedure or a diagnostic test should not contribute to the duration of the attendance.</w:t>
      </w:r>
    </w:p>
    <w:p w14:paraId="2931E12F" w14:textId="77777777" w:rsidR="000740B5" w:rsidRPr="00C33C0B" w:rsidRDefault="000740B5" w:rsidP="000831A1">
      <w:pPr>
        <w:pStyle w:val="Bullet-green"/>
        <w:numPr>
          <w:ilvl w:val="0"/>
          <w:numId w:val="77"/>
        </w:numPr>
      </w:pPr>
      <w:r>
        <w:t>k</w:t>
      </w:r>
      <w:r w:rsidRPr="00C33C0B">
        <w:t xml:space="preserve">eep Group A5 </w:t>
      </w:r>
      <w:r>
        <w:t>p</w:t>
      </w:r>
      <w:r w:rsidRPr="00C33C0B">
        <w:t xml:space="preserve">rolonged </w:t>
      </w:r>
      <w:r>
        <w:t>a</w:t>
      </w:r>
      <w:r w:rsidRPr="00C33C0B">
        <w:t xml:space="preserve">ttendance </w:t>
      </w:r>
      <w:r>
        <w:t>i</w:t>
      </w:r>
      <w:r w:rsidRPr="00C33C0B">
        <w:t>tems, which have a specific allowance for patients in imminent danger of death</w:t>
      </w:r>
      <w:r>
        <w:t xml:space="preserve"> (</w:t>
      </w:r>
      <w:r w:rsidRPr="00607BDA">
        <w:rPr>
          <w:i/>
        </w:rPr>
        <w:t>refer to Recommendation 2</w:t>
      </w:r>
      <w:r>
        <w:t>).</w:t>
      </w:r>
    </w:p>
    <w:p w14:paraId="799889A2" w14:textId="77777777" w:rsidR="000740B5" w:rsidRPr="00651006" w:rsidRDefault="002355E9" w:rsidP="00651006">
      <w:pPr>
        <w:rPr>
          <w:b/>
          <w:lang w:val="en-GB"/>
        </w:rPr>
      </w:pPr>
      <w:r>
        <w:rPr>
          <w:b/>
          <w:lang w:val="en-GB"/>
        </w:rPr>
        <w:t xml:space="preserve">Table </w:t>
      </w:r>
      <w:r w:rsidR="00C17B92">
        <w:rPr>
          <w:b/>
          <w:lang w:val="en-GB"/>
        </w:rPr>
        <w:t>B</w:t>
      </w:r>
      <w:r>
        <w:rPr>
          <w:b/>
          <w:lang w:val="en-GB"/>
        </w:rPr>
        <w:t>.</w:t>
      </w:r>
      <w:r w:rsidR="00C17B92">
        <w:rPr>
          <w:b/>
          <w:lang w:val="en-GB"/>
        </w:rPr>
        <w:t>1</w:t>
      </w:r>
      <w:r w:rsidR="000740B5" w:rsidRPr="00651006">
        <w:rPr>
          <w:b/>
          <w:lang w:val="en-GB"/>
        </w:rPr>
        <w:t>: Recommended item descriptors for time-tiered attendance items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B - Table B.1: Recommended item descriptors for time-tiered attendance items"/>
        <w:tblDescription w:val="Table B.1 has 4 columns. Column 1 is the item level. Column 2 is the item descriptor. Column 3 is the location of where the item takes place. Column 4 is the duration of the item. "/>
      </w:tblPr>
      <w:tblGrid>
        <w:gridCol w:w="772"/>
        <w:gridCol w:w="5062"/>
        <w:gridCol w:w="1350"/>
        <w:gridCol w:w="1118"/>
      </w:tblGrid>
      <w:tr w:rsidR="000740B5" w:rsidRPr="00C33C0B" w14:paraId="51100F3F" w14:textId="77777777" w:rsidTr="00C65B0C">
        <w:trPr>
          <w:tblHeader/>
        </w:trPr>
        <w:tc>
          <w:tcPr>
            <w:tcW w:w="784" w:type="dxa"/>
            <w:shd w:val="clear" w:color="auto" w:fill="01653F"/>
            <w:vAlign w:val="bottom"/>
          </w:tcPr>
          <w:p w14:paraId="6BE50994" w14:textId="77777777" w:rsidR="000740B5" w:rsidRPr="00C33C0B" w:rsidRDefault="000740B5" w:rsidP="00C65B0C">
            <w:pPr>
              <w:spacing w:before="20" w:after="20" w:line="240" w:lineRule="auto"/>
              <w:rPr>
                <w:b/>
                <w:bCs/>
                <w:color w:val="FFFFFF" w:themeColor="background1"/>
                <w:szCs w:val="22"/>
                <w:lang w:val="en-GB"/>
              </w:rPr>
            </w:pPr>
            <w:r w:rsidRPr="00C33C0B">
              <w:rPr>
                <w:b/>
                <w:bCs/>
                <w:color w:val="FFFFFF" w:themeColor="background1"/>
                <w:szCs w:val="22"/>
                <w:lang w:val="en-GB"/>
              </w:rPr>
              <w:t>Level (</w:t>
            </w:r>
            <w:r>
              <w:rPr>
                <w:b/>
                <w:bCs/>
                <w:color w:val="FFFFFF" w:themeColor="background1"/>
                <w:szCs w:val="22"/>
                <w:lang w:val="en-GB"/>
              </w:rPr>
              <w:t>i</w:t>
            </w:r>
            <w:r w:rsidRPr="00C33C0B">
              <w:rPr>
                <w:b/>
                <w:bCs/>
                <w:color w:val="FFFFFF" w:themeColor="background1"/>
                <w:szCs w:val="22"/>
                <w:lang w:val="en-GB"/>
              </w:rPr>
              <w:t>tem</w:t>
            </w:r>
            <w:r>
              <w:rPr>
                <w:b/>
                <w:bCs/>
                <w:color w:val="FFFFFF" w:themeColor="background1"/>
                <w:szCs w:val="22"/>
                <w:lang w:val="en-GB"/>
              </w:rPr>
              <w:t>)</w:t>
            </w:r>
            <w:r w:rsidRPr="00C33C0B">
              <w:rPr>
                <w:rStyle w:val="FootnoteReference"/>
                <w:b/>
                <w:bCs/>
                <w:color w:val="FFFFFF" w:themeColor="background1"/>
                <w:szCs w:val="22"/>
                <w:lang w:val="en-GB"/>
              </w:rPr>
              <w:footnoteReference w:id="14"/>
            </w:r>
          </w:p>
        </w:tc>
        <w:tc>
          <w:tcPr>
            <w:tcW w:w="7243" w:type="dxa"/>
            <w:shd w:val="clear" w:color="auto" w:fill="01653F"/>
            <w:vAlign w:val="bottom"/>
          </w:tcPr>
          <w:p w14:paraId="4CAD6B2D" w14:textId="77777777" w:rsidR="000740B5" w:rsidRPr="00C33C0B" w:rsidRDefault="000740B5" w:rsidP="00C65B0C">
            <w:pPr>
              <w:spacing w:before="20" w:after="20" w:line="240" w:lineRule="auto"/>
              <w:rPr>
                <w:b/>
                <w:color w:val="FFFFFF" w:themeColor="background1"/>
                <w:szCs w:val="22"/>
                <w:lang w:val="en-GB"/>
              </w:rPr>
            </w:pPr>
            <w:r w:rsidRPr="00C33C0B">
              <w:rPr>
                <w:b/>
                <w:bCs/>
                <w:color w:val="FFFFFF" w:themeColor="background1"/>
                <w:szCs w:val="22"/>
                <w:lang w:val="en-GB"/>
              </w:rPr>
              <w:t xml:space="preserve">Item descriptor </w:t>
            </w:r>
          </w:p>
        </w:tc>
        <w:tc>
          <w:tcPr>
            <w:tcW w:w="1553" w:type="dxa"/>
            <w:shd w:val="clear" w:color="auto" w:fill="01653F"/>
            <w:vAlign w:val="bottom"/>
          </w:tcPr>
          <w:p w14:paraId="33F5734B" w14:textId="77777777" w:rsidR="000740B5" w:rsidRPr="00C33C0B" w:rsidRDefault="000740B5" w:rsidP="00C65B0C">
            <w:pPr>
              <w:spacing w:before="20" w:after="20" w:line="240" w:lineRule="auto"/>
              <w:rPr>
                <w:b/>
                <w:bCs/>
                <w:color w:val="FFFFFF" w:themeColor="background1"/>
                <w:szCs w:val="22"/>
                <w:lang w:val="en-GB"/>
              </w:rPr>
            </w:pPr>
            <w:r w:rsidRPr="00C33C0B">
              <w:rPr>
                <w:b/>
                <w:bCs/>
                <w:color w:val="FFFFFF" w:themeColor="background1"/>
                <w:szCs w:val="22"/>
                <w:lang w:val="en-GB"/>
              </w:rPr>
              <w:t>Location</w:t>
            </w:r>
          </w:p>
        </w:tc>
        <w:tc>
          <w:tcPr>
            <w:tcW w:w="1319" w:type="dxa"/>
            <w:shd w:val="clear" w:color="auto" w:fill="01653F"/>
            <w:vAlign w:val="bottom"/>
          </w:tcPr>
          <w:p w14:paraId="6A54C4D5" w14:textId="77777777" w:rsidR="000740B5" w:rsidRPr="00C33C0B" w:rsidRDefault="000740B5" w:rsidP="00C65B0C">
            <w:pPr>
              <w:spacing w:before="20" w:after="20" w:line="240" w:lineRule="auto"/>
              <w:rPr>
                <w:b/>
                <w:bCs/>
                <w:color w:val="FFFFFF" w:themeColor="background1"/>
                <w:szCs w:val="22"/>
                <w:lang w:val="en-GB"/>
              </w:rPr>
            </w:pPr>
            <w:r w:rsidRPr="00C33C0B">
              <w:rPr>
                <w:b/>
                <w:bCs/>
                <w:color w:val="FFFFFF" w:themeColor="background1"/>
                <w:szCs w:val="22"/>
                <w:lang w:val="en-GB"/>
              </w:rPr>
              <w:t>Duration</w:t>
            </w:r>
          </w:p>
        </w:tc>
      </w:tr>
      <w:tr w:rsidR="000740B5" w:rsidRPr="00C33C0B" w14:paraId="19A92F49" w14:textId="77777777" w:rsidTr="00C65B0C">
        <w:tc>
          <w:tcPr>
            <w:tcW w:w="784" w:type="dxa"/>
            <w:shd w:val="clear" w:color="auto" w:fill="auto"/>
          </w:tcPr>
          <w:p w14:paraId="7025C4FE" w14:textId="77777777" w:rsidR="000740B5" w:rsidRPr="00C33C0B" w:rsidRDefault="000740B5" w:rsidP="00C65B0C">
            <w:pPr>
              <w:spacing w:before="20" w:after="20" w:line="240" w:lineRule="auto"/>
              <w:rPr>
                <w:b/>
                <w:szCs w:val="22"/>
                <w:lang w:val="en-GB"/>
              </w:rPr>
            </w:pPr>
            <w:r w:rsidRPr="00C33C0B">
              <w:rPr>
                <w:b/>
                <w:szCs w:val="22"/>
                <w:lang w:val="en-GB"/>
              </w:rPr>
              <w:t>Level A</w:t>
            </w:r>
          </w:p>
          <w:p w14:paraId="74032DB2" w14:textId="77777777" w:rsidR="000740B5" w:rsidRPr="00C33C0B" w:rsidRDefault="000740B5" w:rsidP="00C65B0C">
            <w:pPr>
              <w:spacing w:before="20" w:after="20" w:line="240" w:lineRule="auto"/>
              <w:rPr>
                <w:szCs w:val="22"/>
                <w:lang w:val="en-GB"/>
              </w:rPr>
            </w:pPr>
            <w:r w:rsidRPr="00C33C0B">
              <w:rPr>
                <w:szCs w:val="22"/>
                <w:lang w:val="en-GB"/>
              </w:rPr>
              <w:t>(XX1A)</w:t>
            </w:r>
          </w:p>
        </w:tc>
        <w:tc>
          <w:tcPr>
            <w:tcW w:w="7243" w:type="dxa"/>
            <w:vMerge w:val="restart"/>
            <w:shd w:val="clear" w:color="auto" w:fill="auto"/>
          </w:tcPr>
          <w:p w14:paraId="38FCF562" w14:textId="77777777" w:rsidR="000740B5" w:rsidRPr="00C33C0B" w:rsidRDefault="000740B5" w:rsidP="00C65B0C">
            <w:pPr>
              <w:spacing w:before="20" w:after="20" w:line="240" w:lineRule="auto"/>
              <w:rPr>
                <w:szCs w:val="22"/>
                <w:lang w:val="en-GB"/>
              </w:rPr>
            </w:pPr>
            <w:r w:rsidRPr="00C33C0B">
              <w:rPr>
                <w:szCs w:val="22"/>
                <w:lang w:val="en-GB"/>
              </w:rPr>
              <w:t xml:space="preserve">Professional attendance of </w:t>
            </w:r>
            <w:r>
              <w:rPr>
                <w:b/>
                <w:szCs w:val="22"/>
                <w:lang w:val="en-GB"/>
              </w:rPr>
              <w:t xml:space="preserve">5 </w:t>
            </w:r>
            <w:r w:rsidRPr="00C33C0B">
              <w:rPr>
                <w:b/>
                <w:szCs w:val="22"/>
                <w:lang w:val="en-GB"/>
              </w:rPr>
              <w:t>minutes</w:t>
            </w:r>
            <w:r w:rsidRPr="00C33C0B">
              <w:rPr>
                <w:szCs w:val="22"/>
                <w:lang w:val="en-GB"/>
              </w:rPr>
              <w:t xml:space="preserve"> </w:t>
            </w:r>
            <w:r w:rsidRPr="00CC5E74">
              <w:rPr>
                <w:b/>
                <w:szCs w:val="22"/>
                <w:lang w:val="en-GB"/>
              </w:rPr>
              <w:t>or less</w:t>
            </w:r>
            <w:r>
              <w:rPr>
                <w:szCs w:val="22"/>
                <w:lang w:val="en-GB"/>
              </w:rPr>
              <w:t xml:space="preserve"> </w:t>
            </w:r>
            <w:r w:rsidRPr="00C33C0B">
              <w:rPr>
                <w:szCs w:val="22"/>
                <w:lang w:val="en-GB"/>
              </w:rPr>
              <w:t xml:space="preserve">by a </w:t>
            </w:r>
            <w:r>
              <w:rPr>
                <w:szCs w:val="22"/>
                <w:lang w:val="en-GB"/>
              </w:rPr>
              <w:t>consultant specialist</w:t>
            </w:r>
            <w:r w:rsidRPr="00C33C0B">
              <w:rPr>
                <w:szCs w:val="22"/>
                <w:lang w:val="en-GB"/>
              </w:rPr>
              <w:t xml:space="preserve"> in the practice of his or her speciality following patient referral for an obvious problem with a straightforward task, including any of the following that are clinically relevant:</w:t>
            </w:r>
          </w:p>
          <w:p w14:paraId="5B5E83D8" w14:textId="77777777" w:rsidR="000740B5" w:rsidRPr="00C33C0B" w:rsidRDefault="000740B5" w:rsidP="000831A1">
            <w:pPr>
              <w:pStyle w:val="ListParagraph"/>
              <w:numPr>
                <w:ilvl w:val="0"/>
                <w:numId w:val="18"/>
              </w:numPr>
              <w:spacing w:before="20" w:after="20" w:line="240" w:lineRule="auto"/>
              <w:ind w:left="357" w:hanging="357"/>
              <w:rPr>
                <w:szCs w:val="22"/>
                <w:lang w:val="en-GB"/>
              </w:rPr>
            </w:pPr>
            <w:r w:rsidRPr="00C33C0B">
              <w:rPr>
                <w:szCs w:val="22"/>
                <w:lang w:val="en-GB"/>
              </w:rPr>
              <w:t>a short patient history and, if required, limited examination and management</w:t>
            </w:r>
          </w:p>
          <w:p w14:paraId="53F4EE1A" w14:textId="77777777" w:rsidR="000740B5" w:rsidRPr="00C33C0B" w:rsidRDefault="000740B5" w:rsidP="000831A1">
            <w:pPr>
              <w:pStyle w:val="ListParagraph"/>
              <w:numPr>
                <w:ilvl w:val="0"/>
                <w:numId w:val="18"/>
              </w:numPr>
              <w:spacing w:before="20" w:after="20" w:line="240" w:lineRule="auto"/>
              <w:ind w:left="357" w:hanging="357"/>
              <w:rPr>
                <w:szCs w:val="22"/>
                <w:lang w:val="en-GB"/>
              </w:rPr>
            </w:pPr>
            <w:r w:rsidRPr="00C33C0B">
              <w:rPr>
                <w:szCs w:val="22"/>
                <w:lang w:val="en-GB"/>
              </w:rPr>
              <w:t xml:space="preserve">outcomes documented and communicated in writing to the referring practitioner </w:t>
            </w:r>
          </w:p>
          <w:p w14:paraId="765F4637" w14:textId="77777777" w:rsidR="000740B5" w:rsidRDefault="000740B5" w:rsidP="00C65B0C">
            <w:pPr>
              <w:spacing w:before="20" w:after="20" w:line="240" w:lineRule="auto"/>
              <w:rPr>
                <w:szCs w:val="22"/>
                <w:lang w:val="en-GB"/>
              </w:rPr>
            </w:pPr>
            <w:r w:rsidRPr="00C33C0B">
              <w:rPr>
                <w:szCs w:val="22"/>
                <w:lang w:val="en-GB"/>
              </w:rPr>
              <w:t>Other than a service to which another Category 1, Group T1, Group T4 or Group T6 professional attendance item applies.</w:t>
            </w:r>
            <w:r>
              <w:rPr>
                <w:szCs w:val="22"/>
                <w:lang w:val="en-GB"/>
              </w:rPr>
              <w:t xml:space="preserve"> </w:t>
            </w:r>
          </w:p>
          <w:p w14:paraId="4015A5F7" w14:textId="77777777" w:rsidR="000740B5" w:rsidRDefault="000740B5" w:rsidP="00C65B0C">
            <w:pPr>
              <w:spacing w:before="20" w:after="20" w:line="240" w:lineRule="auto"/>
              <w:rPr>
                <w:szCs w:val="22"/>
                <w:lang w:val="en-GB"/>
              </w:rPr>
            </w:pPr>
            <w:r>
              <w:rPr>
                <w:szCs w:val="22"/>
                <w:lang w:val="en-GB"/>
              </w:rPr>
              <w:t xml:space="preserve">Only to </w:t>
            </w:r>
            <w:r w:rsidRPr="003119FF">
              <w:rPr>
                <w:szCs w:val="22"/>
                <w:lang w:val="en-GB"/>
              </w:rPr>
              <w:t>be claimed with a Group T8</w:t>
            </w:r>
            <w:r>
              <w:rPr>
                <w:szCs w:val="22"/>
                <w:lang w:val="en-GB"/>
              </w:rPr>
              <w:t xml:space="preserve"> procedure</w:t>
            </w:r>
            <w:r w:rsidRPr="003119FF">
              <w:rPr>
                <w:szCs w:val="22"/>
                <w:lang w:val="en-GB"/>
              </w:rPr>
              <w:t xml:space="preserve"> </w:t>
            </w:r>
            <w:r>
              <w:rPr>
                <w:szCs w:val="22"/>
                <w:lang w:val="en-GB"/>
              </w:rPr>
              <w:t>item:</w:t>
            </w:r>
          </w:p>
          <w:p w14:paraId="198CC37C" w14:textId="77777777" w:rsidR="000740B5" w:rsidRDefault="000740B5" w:rsidP="000831A1">
            <w:pPr>
              <w:pStyle w:val="ListParagraph"/>
              <w:numPr>
                <w:ilvl w:val="0"/>
                <w:numId w:val="33"/>
              </w:numPr>
              <w:spacing w:before="20" w:after="20" w:line="240" w:lineRule="auto"/>
              <w:rPr>
                <w:szCs w:val="22"/>
                <w:lang w:val="en-GB"/>
              </w:rPr>
            </w:pPr>
            <w:r>
              <w:rPr>
                <w:szCs w:val="22"/>
                <w:lang w:val="en-GB"/>
              </w:rPr>
              <w:t xml:space="preserve">where </w:t>
            </w:r>
            <w:r w:rsidRPr="001B15DF">
              <w:rPr>
                <w:szCs w:val="22"/>
                <w:lang w:val="en-GB"/>
              </w:rPr>
              <w:t>the procedure has a s</w:t>
            </w:r>
            <w:r>
              <w:rPr>
                <w:szCs w:val="22"/>
                <w:lang w:val="en-GB"/>
              </w:rPr>
              <w:t>chedule fee of less than $300; or</w:t>
            </w:r>
            <w:r w:rsidRPr="001B15DF">
              <w:rPr>
                <w:szCs w:val="22"/>
                <w:lang w:val="en-GB"/>
              </w:rPr>
              <w:t xml:space="preserve"> </w:t>
            </w:r>
          </w:p>
          <w:p w14:paraId="48341BDA" w14:textId="77777777" w:rsidR="000740B5" w:rsidRPr="001B15DF" w:rsidRDefault="000740B5" w:rsidP="000831A1">
            <w:pPr>
              <w:pStyle w:val="ListParagraph"/>
              <w:numPr>
                <w:ilvl w:val="0"/>
                <w:numId w:val="33"/>
              </w:numPr>
              <w:spacing w:before="20" w:after="20" w:line="240" w:lineRule="auto"/>
              <w:rPr>
                <w:szCs w:val="22"/>
                <w:lang w:val="en-GB"/>
              </w:rPr>
            </w:pPr>
            <w:r>
              <w:rPr>
                <w:szCs w:val="22"/>
                <w:lang w:val="en-GB"/>
              </w:rPr>
              <w:t xml:space="preserve">where </w:t>
            </w:r>
            <w:r w:rsidRPr="001B15DF">
              <w:rPr>
                <w:szCs w:val="22"/>
                <w:lang w:val="en-GB"/>
              </w:rPr>
              <w:t>the need for the procedure is identified during the consultation, has not otherwise been scheduled, is performed on the same day as the attendance, and where the procedure has a schedule fee of $300 or more.</w:t>
            </w:r>
          </w:p>
        </w:tc>
        <w:tc>
          <w:tcPr>
            <w:tcW w:w="1553" w:type="dxa"/>
            <w:shd w:val="clear" w:color="auto" w:fill="auto"/>
          </w:tcPr>
          <w:p w14:paraId="121D4FB1" w14:textId="77777777" w:rsidR="000740B5" w:rsidRPr="00C33C0B" w:rsidRDefault="000740B5" w:rsidP="00C65B0C">
            <w:pPr>
              <w:spacing w:before="20" w:after="20" w:line="240" w:lineRule="auto"/>
              <w:rPr>
                <w:szCs w:val="22"/>
                <w:lang w:val="en-GB"/>
              </w:rPr>
            </w:pPr>
            <w:r w:rsidRPr="00C33C0B">
              <w:rPr>
                <w:szCs w:val="22"/>
                <w:lang w:val="en-GB"/>
              </w:rPr>
              <w:t>Attendance at consulting room or hospital</w:t>
            </w:r>
          </w:p>
        </w:tc>
        <w:tc>
          <w:tcPr>
            <w:tcW w:w="1319" w:type="dxa"/>
            <w:shd w:val="clear" w:color="auto" w:fill="auto"/>
          </w:tcPr>
          <w:p w14:paraId="0986F672" w14:textId="77777777" w:rsidR="000740B5" w:rsidRPr="00C33C0B" w:rsidRDefault="000740B5" w:rsidP="00C65B0C">
            <w:pPr>
              <w:spacing w:before="20" w:after="20" w:line="240" w:lineRule="auto"/>
              <w:rPr>
                <w:szCs w:val="22"/>
                <w:lang w:val="en-GB"/>
              </w:rPr>
            </w:pPr>
            <w:r>
              <w:rPr>
                <w:szCs w:val="22"/>
                <w:lang w:val="en-GB"/>
              </w:rPr>
              <w:t>5 minutes or less</w:t>
            </w:r>
          </w:p>
        </w:tc>
      </w:tr>
      <w:tr w:rsidR="000740B5" w:rsidRPr="00C33C0B" w14:paraId="5A7925CF" w14:textId="77777777" w:rsidTr="00C65B0C">
        <w:tc>
          <w:tcPr>
            <w:tcW w:w="784" w:type="dxa"/>
            <w:shd w:val="clear" w:color="auto" w:fill="auto"/>
          </w:tcPr>
          <w:p w14:paraId="0A87BC05" w14:textId="77777777" w:rsidR="000740B5" w:rsidRPr="00C33C0B" w:rsidRDefault="000740B5" w:rsidP="00C65B0C">
            <w:pPr>
              <w:spacing w:before="20" w:after="20" w:line="240" w:lineRule="auto"/>
              <w:rPr>
                <w:b/>
                <w:szCs w:val="22"/>
                <w:lang w:val="en-GB"/>
              </w:rPr>
            </w:pPr>
            <w:r w:rsidRPr="00C33C0B">
              <w:rPr>
                <w:b/>
                <w:szCs w:val="22"/>
                <w:lang w:val="en-GB"/>
              </w:rPr>
              <w:t>Level A</w:t>
            </w:r>
          </w:p>
          <w:p w14:paraId="1444BDA6" w14:textId="77777777" w:rsidR="000740B5" w:rsidRPr="00C33C0B" w:rsidRDefault="000740B5" w:rsidP="00C65B0C">
            <w:pPr>
              <w:spacing w:before="20" w:after="20" w:line="240" w:lineRule="auto"/>
              <w:rPr>
                <w:szCs w:val="22"/>
                <w:lang w:val="en-GB"/>
              </w:rPr>
            </w:pPr>
            <w:r w:rsidRPr="00C33C0B">
              <w:rPr>
                <w:szCs w:val="22"/>
                <w:lang w:val="en-GB"/>
              </w:rPr>
              <w:t>(XX2A)</w:t>
            </w:r>
          </w:p>
        </w:tc>
        <w:tc>
          <w:tcPr>
            <w:tcW w:w="7243" w:type="dxa"/>
            <w:vMerge/>
            <w:shd w:val="clear" w:color="auto" w:fill="auto"/>
          </w:tcPr>
          <w:p w14:paraId="2C2C34C4" w14:textId="77777777" w:rsidR="000740B5" w:rsidRPr="00C33C0B" w:rsidRDefault="000740B5" w:rsidP="00C65B0C">
            <w:pPr>
              <w:spacing w:before="20" w:after="20" w:line="240" w:lineRule="auto"/>
              <w:rPr>
                <w:szCs w:val="22"/>
                <w:lang w:val="en-GB"/>
              </w:rPr>
            </w:pPr>
          </w:p>
        </w:tc>
        <w:tc>
          <w:tcPr>
            <w:tcW w:w="1553" w:type="dxa"/>
            <w:shd w:val="clear" w:color="auto" w:fill="auto"/>
          </w:tcPr>
          <w:p w14:paraId="36F1042B" w14:textId="77777777" w:rsidR="000740B5" w:rsidRPr="00C33C0B" w:rsidRDefault="000740B5" w:rsidP="00C65B0C">
            <w:pPr>
              <w:spacing w:before="20" w:after="20" w:line="240" w:lineRule="auto"/>
              <w:rPr>
                <w:szCs w:val="22"/>
                <w:lang w:val="en-GB"/>
              </w:rPr>
            </w:pPr>
            <w:r w:rsidRPr="00C33C0B">
              <w:rPr>
                <w:szCs w:val="22"/>
                <w:lang w:val="en-GB"/>
              </w:rPr>
              <w:t>Attendance in a location other than consulting room or hospital</w:t>
            </w:r>
          </w:p>
        </w:tc>
        <w:tc>
          <w:tcPr>
            <w:tcW w:w="1319" w:type="dxa"/>
            <w:shd w:val="clear" w:color="auto" w:fill="auto"/>
          </w:tcPr>
          <w:p w14:paraId="5739AB9A" w14:textId="77777777" w:rsidR="000740B5" w:rsidRPr="00C33C0B" w:rsidRDefault="000740B5" w:rsidP="00C65B0C">
            <w:pPr>
              <w:spacing w:before="20" w:after="20" w:line="240" w:lineRule="auto"/>
              <w:rPr>
                <w:szCs w:val="22"/>
                <w:lang w:val="en-GB"/>
              </w:rPr>
            </w:pPr>
            <w:r>
              <w:rPr>
                <w:szCs w:val="22"/>
                <w:lang w:val="en-GB"/>
              </w:rPr>
              <w:t>5 minutes or less</w:t>
            </w:r>
          </w:p>
        </w:tc>
      </w:tr>
      <w:tr w:rsidR="000740B5" w:rsidRPr="00C33C0B" w14:paraId="43F0ABC8" w14:textId="77777777" w:rsidTr="00C65B0C">
        <w:tc>
          <w:tcPr>
            <w:tcW w:w="784" w:type="dxa"/>
            <w:shd w:val="clear" w:color="auto" w:fill="auto"/>
          </w:tcPr>
          <w:p w14:paraId="74AC617E" w14:textId="77777777" w:rsidR="000740B5" w:rsidRPr="00C33C0B" w:rsidRDefault="000740B5" w:rsidP="00C65B0C">
            <w:pPr>
              <w:spacing w:before="20" w:after="20" w:line="240" w:lineRule="auto"/>
              <w:rPr>
                <w:b/>
                <w:szCs w:val="22"/>
                <w:lang w:val="en-GB"/>
              </w:rPr>
            </w:pPr>
            <w:r w:rsidRPr="00C33C0B">
              <w:rPr>
                <w:b/>
                <w:szCs w:val="22"/>
                <w:lang w:val="en-GB"/>
              </w:rPr>
              <w:t>Level B</w:t>
            </w:r>
          </w:p>
          <w:p w14:paraId="1425232D" w14:textId="77777777" w:rsidR="000740B5" w:rsidRPr="00C33C0B" w:rsidRDefault="000740B5" w:rsidP="00C65B0C">
            <w:pPr>
              <w:spacing w:before="20" w:after="20" w:line="240" w:lineRule="auto"/>
              <w:rPr>
                <w:szCs w:val="22"/>
                <w:lang w:val="en-GB"/>
              </w:rPr>
            </w:pPr>
            <w:r w:rsidRPr="00C33C0B">
              <w:rPr>
                <w:szCs w:val="22"/>
                <w:lang w:val="en-GB"/>
              </w:rPr>
              <w:t>(XX1B)</w:t>
            </w:r>
          </w:p>
        </w:tc>
        <w:tc>
          <w:tcPr>
            <w:tcW w:w="7243" w:type="dxa"/>
            <w:vMerge w:val="restart"/>
            <w:shd w:val="clear" w:color="auto" w:fill="auto"/>
          </w:tcPr>
          <w:p w14:paraId="6FC32752" w14:textId="77777777" w:rsidR="000740B5" w:rsidRPr="00C33C0B" w:rsidRDefault="000740B5" w:rsidP="00C65B0C">
            <w:pPr>
              <w:spacing w:before="20" w:after="20" w:line="240" w:lineRule="auto"/>
              <w:rPr>
                <w:szCs w:val="22"/>
                <w:lang w:val="en-GB"/>
              </w:rPr>
            </w:pPr>
            <w:r w:rsidRPr="00C33C0B">
              <w:rPr>
                <w:szCs w:val="22"/>
                <w:lang w:val="en-GB"/>
              </w:rPr>
              <w:t xml:space="preserve">Professional attendance of </w:t>
            </w:r>
            <w:r>
              <w:rPr>
                <w:b/>
                <w:szCs w:val="22"/>
                <w:lang w:val="en-GB"/>
              </w:rPr>
              <w:t xml:space="preserve">more than 5 minutes but not more than 20 minutes </w:t>
            </w:r>
            <w:r w:rsidRPr="00C33C0B">
              <w:rPr>
                <w:szCs w:val="22"/>
                <w:lang w:val="en-GB"/>
              </w:rPr>
              <w:t xml:space="preserve">by a </w:t>
            </w:r>
            <w:r>
              <w:rPr>
                <w:szCs w:val="22"/>
                <w:lang w:val="en-GB"/>
              </w:rPr>
              <w:t>consultant specialist</w:t>
            </w:r>
            <w:r w:rsidRPr="00C33C0B">
              <w:rPr>
                <w:szCs w:val="22"/>
                <w:lang w:val="en-GB"/>
              </w:rPr>
              <w:t xml:space="preserve"> in the practice of his or her speciality following patient referral, including any of the following that are clinically relevant:</w:t>
            </w:r>
          </w:p>
          <w:p w14:paraId="2CC87AEA" w14:textId="77777777" w:rsidR="000740B5" w:rsidRPr="00C33C0B" w:rsidRDefault="000740B5" w:rsidP="000831A1">
            <w:pPr>
              <w:pStyle w:val="ListParagraph"/>
              <w:numPr>
                <w:ilvl w:val="0"/>
                <w:numId w:val="17"/>
              </w:numPr>
              <w:spacing w:before="20" w:after="20" w:line="240" w:lineRule="auto"/>
              <w:ind w:left="357" w:hanging="357"/>
              <w:rPr>
                <w:szCs w:val="22"/>
                <w:lang w:val="en-GB"/>
              </w:rPr>
            </w:pPr>
            <w:r w:rsidRPr="00C33C0B">
              <w:rPr>
                <w:szCs w:val="22"/>
                <w:lang w:val="en-GB"/>
              </w:rPr>
              <w:t>focused patient history and, if required, focused examination and management</w:t>
            </w:r>
          </w:p>
          <w:p w14:paraId="22201BE1" w14:textId="77777777" w:rsidR="000740B5" w:rsidRPr="00C33C0B" w:rsidRDefault="000740B5" w:rsidP="000831A1">
            <w:pPr>
              <w:pStyle w:val="ListParagraph"/>
              <w:numPr>
                <w:ilvl w:val="0"/>
                <w:numId w:val="17"/>
              </w:numPr>
              <w:spacing w:before="20" w:after="20" w:line="240" w:lineRule="auto"/>
              <w:ind w:left="360"/>
              <w:rPr>
                <w:szCs w:val="22"/>
                <w:lang w:val="en-GB"/>
              </w:rPr>
            </w:pPr>
            <w:r w:rsidRPr="00C33C0B">
              <w:rPr>
                <w:szCs w:val="22"/>
                <w:lang w:val="en-GB"/>
              </w:rPr>
              <w:t xml:space="preserve">outcomes documented and communicated in writing to the referring practitioner </w:t>
            </w:r>
          </w:p>
          <w:p w14:paraId="44DA5B68" w14:textId="77777777" w:rsidR="000740B5" w:rsidRDefault="000740B5" w:rsidP="00C65B0C">
            <w:pPr>
              <w:spacing w:before="20" w:after="20" w:line="240" w:lineRule="auto"/>
              <w:rPr>
                <w:szCs w:val="22"/>
                <w:lang w:val="en-GB"/>
              </w:rPr>
            </w:pPr>
            <w:r w:rsidRPr="00C33C0B">
              <w:rPr>
                <w:szCs w:val="22"/>
                <w:lang w:val="en-GB"/>
              </w:rPr>
              <w:t>Other than a service to which another Category 1, Group T1, Group T4 or Group T6 professional attendance item applies.</w:t>
            </w:r>
          </w:p>
          <w:p w14:paraId="07F1885D" w14:textId="77777777" w:rsidR="000740B5" w:rsidRDefault="000740B5" w:rsidP="00C65B0C">
            <w:pPr>
              <w:spacing w:before="20" w:after="20" w:line="240" w:lineRule="auto"/>
              <w:rPr>
                <w:szCs w:val="22"/>
                <w:lang w:val="en-GB"/>
              </w:rPr>
            </w:pPr>
            <w:r>
              <w:rPr>
                <w:szCs w:val="22"/>
                <w:lang w:val="en-GB"/>
              </w:rPr>
              <w:t xml:space="preserve">Only to </w:t>
            </w:r>
            <w:r w:rsidRPr="003119FF">
              <w:rPr>
                <w:szCs w:val="22"/>
                <w:lang w:val="en-GB"/>
              </w:rPr>
              <w:t>be claimed with a Group T8</w:t>
            </w:r>
            <w:r>
              <w:rPr>
                <w:szCs w:val="22"/>
                <w:lang w:val="en-GB"/>
              </w:rPr>
              <w:t xml:space="preserve"> procedure</w:t>
            </w:r>
            <w:r w:rsidRPr="003119FF">
              <w:rPr>
                <w:szCs w:val="22"/>
                <w:lang w:val="en-GB"/>
              </w:rPr>
              <w:t xml:space="preserve"> </w:t>
            </w:r>
            <w:r>
              <w:rPr>
                <w:szCs w:val="22"/>
                <w:lang w:val="en-GB"/>
              </w:rPr>
              <w:t>item:</w:t>
            </w:r>
          </w:p>
          <w:p w14:paraId="58091A9F" w14:textId="77777777" w:rsidR="000740B5" w:rsidRDefault="000740B5" w:rsidP="000831A1">
            <w:pPr>
              <w:pStyle w:val="ListParagraph"/>
              <w:numPr>
                <w:ilvl w:val="0"/>
                <w:numId w:val="34"/>
              </w:numPr>
              <w:spacing w:before="20" w:after="20" w:line="240" w:lineRule="auto"/>
              <w:rPr>
                <w:szCs w:val="22"/>
                <w:lang w:val="en-GB"/>
              </w:rPr>
            </w:pPr>
            <w:r>
              <w:rPr>
                <w:szCs w:val="22"/>
                <w:lang w:val="en-GB"/>
              </w:rPr>
              <w:t xml:space="preserve">where </w:t>
            </w:r>
            <w:r w:rsidRPr="001B15DF">
              <w:rPr>
                <w:szCs w:val="22"/>
                <w:lang w:val="en-GB"/>
              </w:rPr>
              <w:t>the procedure has a s</w:t>
            </w:r>
            <w:r>
              <w:rPr>
                <w:szCs w:val="22"/>
                <w:lang w:val="en-GB"/>
              </w:rPr>
              <w:t>chedule fee of less than $300; or</w:t>
            </w:r>
            <w:r w:rsidRPr="001B15DF">
              <w:rPr>
                <w:szCs w:val="22"/>
                <w:lang w:val="en-GB"/>
              </w:rPr>
              <w:t xml:space="preserve"> </w:t>
            </w:r>
          </w:p>
          <w:p w14:paraId="704F207F" w14:textId="77777777" w:rsidR="000740B5" w:rsidRPr="001B15DF" w:rsidRDefault="000740B5" w:rsidP="000831A1">
            <w:pPr>
              <w:pStyle w:val="ListParagraph"/>
              <w:numPr>
                <w:ilvl w:val="0"/>
                <w:numId w:val="34"/>
              </w:numPr>
              <w:spacing w:before="20" w:after="20" w:line="240" w:lineRule="auto"/>
              <w:rPr>
                <w:szCs w:val="22"/>
                <w:lang w:val="en-GB"/>
              </w:rPr>
            </w:pPr>
            <w:r w:rsidRPr="001B15DF">
              <w:rPr>
                <w:szCs w:val="22"/>
                <w:lang w:val="en-GB"/>
              </w:rPr>
              <w:t>where the need for the procedure is identified during the consultation, has not otherwise been scheduled, is performed on the same day as the attendance, and where the procedure has a schedule fee of $300 or more.</w:t>
            </w:r>
          </w:p>
        </w:tc>
        <w:tc>
          <w:tcPr>
            <w:tcW w:w="1553" w:type="dxa"/>
            <w:shd w:val="clear" w:color="auto" w:fill="auto"/>
          </w:tcPr>
          <w:p w14:paraId="269EA711" w14:textId="77777777" w:rsidR="000740B5" w:rsidRPr="00C33C0B" w:rsidRDefault="000740B5" w:rsidP="00C65B0C">
            <w:pPr>
              <w:spacing w:before="20" w:after="20" w:line="240" w:lineRule="auto"/>
              <w:rPr>
                <w:szCs w:val="22"/>
                <w:lang w:val="en-GB"/>
              </w:rPr>
            </w:pPr>
            <w:r w:rsidRPr="00C33C0B">
              <w:rPr>
                <w:szCs w:val="22"/>
                <w:lang w:val="en-GB"/>
              </w:rPr>
              <w:t>Attendance at consulting room or hospital</w:t>
            </w:r>
          </w:p>
        </w:tc>
        <w:tc>
          <w:tcPr>
            <w:tcW w:w="1319" w:type="dxa"/>
            <w:shd w:val="clear" w:color="auto" w:fill="auto"/>
          </w:tcPr>
          <w:p w14:paraId="2F7C05A1" w14:textId="77777777" w:rsidR="000740B5" w:rsidRPr="00C33C0B" w:rsidRDefault="000740B5" w:rsidP="00C65B0C">
            <w:pPr>
              <w:spacing w:before="20" w:after="20" w:line="240" w:lineRule="auto"/>
              <w:rPr>
                <w:szCs w:val="22"/>
                <w:lang w:val="en-GB"/>
              </w:rPr>
            </w:pPr>
            <w:r w:rsidRPr="00C33C0B">
              <w:rPr>
                <w:szCs w:val="22"/>
                <w:lang w:val="en-GB"/>
              </w:rPr>
              <w:t>6</w:t>
            </w:r>
            <w:r>
              <w:rPr>
                <w:szCs w:val="22"/>
                <w:lang w:val="en-GB"/>
              </w:rPr>
              <w:t>–</w:t>
            </w:r>
            <w:r w:rsidRPr="00C33C0B">
              <w:rPr>
                <w:szCs w:val="22"/>
                <w:lang w:val="en-GB"/>
              </w:rPr>
              <w:t>20</w:t>
            </w:r>
            <w:r>
              <w:rPr>
                <w:szCs w:val="22"/>
                <w:lang w:val="en-GB"/>
              </w:rPr>
              <w:t xml:space="preserve"> </w:t>
            </w:r>
            <w:r w:rsidRPr="00C33C0B">
              <w:rPr>
                <w:szCs w:val="22"/>
                <w:lang w:val="en-GB"/>
              </w:rPr>
              <w:t>min</w:t>
            </w:r>
            <w:r>
              <w:rPr>
                <w:szCs w:val="22"/>
                <w:lang w:val="en-GB"/>
              </w:rPr>
              <w:t>ute</w:t>
            </w:r>
            <w:r w:rsidRPr="00C33C0B">
              <w:rPr>
                <w:szCs w:val="22"/>
                <w:lang w:val="en-GB"/>
              </w:rPr>
              <w:t>s</w:t>
            </w:r>
          </w:p>
        </w:tc>
      </w:tr>
      <w:tr w:rsidR="000740B5" w:rsidRPr="00C33C0B" w14:paraId="5B801EDB" w14:textId="77777777" w:rsidTr="00C65B0C">
        <w:tc>
          <w:tcPr>
            <w:tcW w:w="784" w:type="dxa"/>
            <w:shd w:val="clear" w:color="auto" w:fill="auto"/>
          </w:tcPr>
          <w:p w14:paraId="02FAFDA3" w14:textId="77777777" w:rsidR="000740B5" w:rsidRPr="00C33C0B" w:rsidRDefault="000740B5" w:rsidP="00C65B0C">
            <w:pPr>
              <w:spacing w:before="20" w:after="20" w:line="240" w:lineRule="auto"/>
              <w:rPr>
                <w:b/>
                <w:szCs w:val="22"/>
                <w:lang w:val="en-GB"/>
              </w:rPr>
            </w:pPr>
            <w:r w:rsidRPr="00C33C0B">
              <w:rPr>
                <w:b/>
                <w:szCs w:val="22"/>
                <w:lang w:val="en-GB"/>
              </w:rPr>
              <w:t>Level B</w:t>
            </w:r>
          </w:p>
          <w:p w14:paraId="71E111DB" w14:textId="77777777" w:rsidR="000740B5" w:rsidRPr="00C33C0B" w:rsidRDefault="000740B5" w:rsidP="00C65B0C">
            <w:pPr>
              <w:spacing w:before="20" w:after="20" w:line="240" w:lineRule="auto"/>
              <w:rPr>
                <w:szCs w:val="22"/>
                <w:lang w:val="en-GB"/>
              </w:rPr>
            </w:pPr>
            <w:r w:rsidRPr="00C33C0B">
              <w:rPr>
                <w:szCs w:val="22"/>
                <w:lang w:val="en-GB"/>
              </w:rPr>
              <w:t>(XX2B)</w:t>
            </w:r>
          </w:p>
        </w:tc>
        <w:tc>
          <w:tcPr>
            <w:tcW w:w="7243" w:type="dxa"/>
            <w:vMerge/>
            <w:shd w:val="clear" w:color="auto" w:fill="auto"/>
          </w:tcPr>
          <w:p w14:paraId="6276EEE0" w14:textId="77777777" w:rsidR="000740B5" w:rsidRPr="00C33C0B" w:rsidRDefault="000740B5" w:rsidP="00C65B0C">
            <w:pPr>
              <w:spacing w:before="20" w:after="20" w:line="240" w:lineRule="auto"/>
              <w:rPr>
                <w:szCs w:val="22"/>
                <w:lang w:val="en-GB"/>
              </w:rPr>
            </w:pPr>
          </w:p>
        </w:tc>
        <w:tc>
          <w:tcPr>
            <w:tcW w:w="1553" w:type="dxa"/>
            <w:shd w:val="clear" w:color="auto" w:fill="auto"/>
          </w:tcPr>
          <w:p w14:paraId="07B702EF" w14:textId="77777777" w:rsidR="000740B5" w:rsidRPr="00C33C0B" w:rsidRDefault="000740B5" w:rsidP="00C65B0C">
            <w:pPr>
              <w:spacing w:before="20" w:after="20" w:line="240" w:lineRule="auto"/>
              <w:rPr>
                <w:szCs w:val="22"/>
                <w:lang w:val="en-GB"/>
              </w:rPr>
            </w:pPr>
            <w:r w:rsidRPr="00C33C0B">
              <w:rPr>
                <w:szCs w:val="22"/>
                <w:lang w:val="en-GB"/>
              </w:rPr>
              <w:t>Attendance in a location other than consulting room or hospital</w:t>
            </w:r>
          </w:p>
        </w:tc>
        <w:tc>
          <w:tcPr>
            <w:tcW w:w="1319" w:type="dxa"/>
            <w:shd w:val="clear" w:color="auto" w:fill="auto"/>
          </w:tcPr>
          <w:p w14:paraId="12F85275" w14:textId="77777777" w:rsidR="000740B5" w:rsidRPr="00C33C0B" w:rsidRDefault="000740B5" w:rsidP="00C65B0C">
            <w:pPr>
              <w:spacing w:before="20" w:after="20" w:line="240" w:lineRule="auto"/>
              <w:rPr>
                <w:szCs w:val="22"/>
                <w:lang w:val="en-GB"/>
              </w:rPr>
            </w:pPr>
            <w:r w:rsidRPr="00C33C0B">
              <w:rPr>
                <w:szCs w:val="22"/>
                <w:lang w:val="en-GB"/>
              </w:rPr>
              <w:t>6</w:t>
            </w:r>
            <w:r>
              <w:rPr>
                <w:szCs w:val="22"/>
                <w:lang w:val="en-GB"/>
              </w:rPr>
              <w:t>–</w:t>
            </w:r>
            <w:r w:rsidRPr="00C33C0B">
              <w:rPr>
                <w:szCs w:val="22"/>
                <w:lang w:val="en-GB"/>
              </w:rPr>
              <w:t>20</w:t>
            </w:r>
            <w:r>
              <w:rPr>
                <w:szCs w:val="22"/>
                <w:lang w:val="en-GB"/>
              </w:rPr>
              <w:t xml:space="preserve"> </w:t>
            </w:r>
            <w:r w:rsidRPr="00C33C0B">
              <w:rPr>
                <w:szCs w:val="22"/>
                <w:lang w:val="en-GB"/>
              </w:rPr>
              <w:t>min</w:t>
            </w:r>
            <w:r>
              <w:rPr>
                <w:szCs w:val="22"/>
                <w:lang w:val="en-GB"/>
              </w:rPr>
              <w:t>ute</w:t>
            </w:r>
            <w:r w:rsidRPr="00C33C0B">
              <w:rPr>
                <w:szCs w:val="22"/>
                <w:lang w:val="en-GB"/>
              </w:rPr>
              <w:t>s</w:t>
            </w:r>
          </w:p>
        </w:tc>
      </w:tr>
      <w:tr w:rsidR="000740B5" w:rsidRPr="00C33C0B" w14:paraId="7A2B9EBB" w14:textId="77777777" w:rsidTr="00C65B0C">
        <w:tc>
          <w:tcPr>
            <w:tcW w:w="784" w:type="dxa"/>
            <w:shd w:val="clear" w:color="auto" w:fill="auto"/>
          </w:tcPr>
          <w:p w14:paraId="5D2C94EB" w14:textId="77777777" w:rsidR="000740B5" w:rsidRPr="00C33C0B" w:rsidRDefault="000740B5" w:rsidP="00C65B0C">
            <w:pPr>
              <w:spacing w:before="20" w:after="20" w:line="240" w:lineRule="auto"/>
              <w:rPr>
                <w:b/>
                <w:szCs w:val="22"/>
                <w:lang w:val="en-GB"/>
              </w:rPr>
            </w:pPr>
            <w:r w:rsidRPr="00C33C0B">
              <w:rPr>
                <w:b/>
                <w:szCs w:val="22"/>
                <w:lang w:val="en-GB"/>
              </w:rPr>
              <w:t>Level C</w:t>
            </w:r>
          </w:p>
          <w:p w14:paraId="1259E1A7" w14:textId="77777777" w:rsidR="000740B5" w:rsidRPr="00C33C0B" w:rsidRDefault="000740B5" w:rsidP="00C65B0C">
            <w:pPr>
              <w:spacing w:before="20" w:after="20" w:line="240" w:lineRule="auto"/>
              <w:rPr>
                <w:szCs w:val="22"/>
                <w:lang w:val="en-GB"/>
              </w:rPr>
            </w:pPr>
            <w:r w:rsidRPr="00C33C0B">
              <w:rPr>
                <w:szCs w:val="22"/>
                <w:lang w:val="en-GB"/>
              </w:rPr>
              <w:t>(XX1C)</w:t>
            </w:r>
          </w:p>
        </w:tc>
        <w:tc>
          <w:tcPr>
            <w:tcW w:w="7243" w:type="dxa"/>
            <w:vMerge w:val="restart"/>
            <w:shd w:val="clear" w:color="auto" w:fill="auto"/>
          </w:tcPr>
          <w:p w14:paraId="1D3274D3" w14:textId="77777777" w:rsidR="000740B5" w:rsidRPr="00C33C0B" w:rsidRDefault="000740B5" w:rsidP="00C65B0C">
            <w:pPr>
              <w:spacing w:before="20" w:after="20" w:line="240" w:lineRule="auto"/>
              <w:rPr>
                <w:szCs w:val="22"/>
                <w:lang w:val="en-GB"/>
              </w:rPr>
            </w:pPr>
            <w:r w:rsidRPr="00C33C0B">
              <w:rPr>
                <w:szCs w:val="22"/>
                <w:lang w:val="en-GB"/>
              </w:rPr>
              <w:t>Professional attendance</w:t>
            </w:r>
            <w:r>
              <w:rPr>
                <w:szCs w:val="22"/>
                <w:lang w:val="en-GB"/>
              </w:rPr>
              <w:t xml:space="preserve"> of</w:t>
            </w:r>
            <w:r w:rsidRPr="00C33C0B">
              <w:rPr>
                <w:szCs w:val="22"/>
                <w:lang w:val="en-GB"/>
              </w:rPr>
              <w:t xml:space="preserve"> </w:t>
            </w:r>
            <w:r>
              <w:rPr>
                <w:b/>
                <w:szCs w:val="22"/>
                <w:lang w:val="en-GB"/>
              </w:rPr>
              <w:t>more than 20 minutes but not more than 40 minutes</w:t>
            </w:r>
            <w:r w:rsidRPr="00C33C0B">
              <w:rPr>
                <w:szCs w:val="22"/>
                <w:lang w:val="en-GB"/>
              </w:rPr>
              <w:t xml:space="preserve"> by a </w:t>
            </w:r>
            <w:r>
              <w:rPr>
                <w:szCs w:val="22"/>
                <w:lang w:val="en-GB"/>
              </w:rPr>
              <w:t>consultant specialist</w:t>
            </w:r>
            <w:r w:rsidRPr="00C33C0B">
              <w:rPr>
                <w:szCs w:val="22"/>
                <w:lang w:val="en-GB"/>
              </w:rPr>
              <w:t xml:space="preserve"> in the practice of his or her speciality following patient referral, including any of the following that are clinically relevant:</w:t>
            </w:r>
          </w:p>
          <w:p w14:paraId="33B87C20" w14:textId="77777777" w:rsidR="000740B5" w:rsidRPr="00C33C0B" w:rsidRDefault="000740B5" w:rsidP="000831A1">
            <w:pPr>
              <w:pStyle w:val="ListParagraph"/>
              <w:numPr>
                <w:ilvl w:val="3"/>
                <w:numId w:val="16"/>
              </w:numPr>
              <w:spacing w:before="20" w:after="20" w:line="240" w:lineRule="auto"/>
              <w:ind w:left="360"/>
              <w:rPr>
                <w:szCs w:val="22"/>
                <w:lang w:val="en-GB"/>
              </w:rPr>
            </w:pPr>
            <w:r w:rsidRPr="00C33C0B">
              <w:rPr>
                <w:szCs w:val="22"/>
                <w:lang w:val="en-GB"/>
              </w:rPr>
              <w:t>detailed patient history of a major single or multiple minor conditions</w:t>
            </w:r>
          </w:p>
          <w:p w14:paraId="477E9750" w14:textId="77777777" w:rsidR="000740B5" w:rsidRPr="00C33C0B" w:rsidRDefault="000740B5" w:rsidP="000831A1">
            <w:pPr>
              <w:pStyle w:val="ListParagraph"/>
              <w:numPr>
                <w:ilvl w:val="3"/>
                <w:numId w:val="16"/>
              </w:numPr>
              <w:spacing w:before="20" w:after="20" w:line="240" w:lineRule="auto"/>
              <w:ind w:left="360"/>
              <w:rPr>
                <w:szCs w:val="22"/>
                <w:lang w:val="en-GB"/>
              </w:rPr>
            </w:pPr>
            <w:r w:rsidRPr="00C33C0B">
              <w:rPr>
                <w:szCs w:val="22"/>
                <w:lang w:val="en-GB"/>
              </w:rPr>
              <w:t>comprehensive examination of single system OR multi-system focused examination</w:t>
            </w:r>
          </w:p>
          <w:p w14:paraId="5E7FC109" w14:textId="77777777" w:rsidR="000740B5" w:rsidRPr="00C33C0B" w:rsidRDefault="000740B5" w:rsidP="000831A1">
            <w:pPr>
              <w:pStyle w:val="ListParagraph"/>
              <w:numPr>
                <w:ilvl w:val="3"/>
                <w:numId w:val="16"/>
              </w:numPr>
              <w:spacing w:before="20" w:after="20" w:line="240" w:lineRule="auto"/>
              <w:ind w:left="360"/>
              <w:rPr>
                <w:szCs w:val="22"/>
                <w:lang w:val="en-GB"/>
              </w:rPr>
            </w:pPr>
            <w:r w:rsidRPr="00C33C0B">
              <w:rPr>
                <w:szCs w:val="22"/>
                <w:lang w:val="en-GB"/>
              </w:rPr>
              <w:t>single or multiple minor diagnostic problems considered</w:t>
            </w:r>
          </w:p>
          <w:p w14:paraId="661D6277" w14:textId="77777777" w:rsidR="000740B5" w:rsidRPr="00C33C0B" w:rsidRDefault="000740B5" w:rsidP="000831A1">
            <w:pPr>
              <w:pStyle w:val="ListParagraph"/>
              <w:numPr>
                <w:ilvl w:val="3"/>
                <w:numId w:val="16"/>
              </w:numPr>
              <w:spacing w:before="20" w:after="20" w:line="240" w:lineRule="auto"/>
              <w:ind w:left="360"/>
              <w:rPr>
                <w:szCs w:val="22"/>
                <w:lang w:val="en-GB"/>
              </w:rPr>
            </w:pPr>
            <w:r w:rsidRPr="00C33C0B">
              <w:rPr>
                <w:szCs w:val="22"/>
                <w:lang w:val="en-GB"/>
              </w:rPr>
              <w:t xml:space="preserve">a non-complex management plan </w:t>
            </w:r>
          </w:p>
          <w:p w14:paraId="1057542A" w14:textId="77777777" w:rsidR="000740B5" w:rsidRPr="00C33C0B" w:rsidRDefault="000740B5" w:rsidP="000831A1">
            <w:pPr>
              <w:pStyle w:val="ListParagraph"/>
              <w:numPr>
                <w:ilvl w:val="3"/>
                <w:numId w:val="16"/>
              </w:numPr>
              <w:spacing w:before="20" w:after="20" w:line="240" w:lineRule="auto"/>
              <w:ind w:left="360"/>
              <w:rPr>
                <w:szCs w:val="22"/>
                <w:lang w:val="en-GB"/>
              </w:rPr>
            </w:pPr>
            <w:r w:rsidRPr="00C33C0B">
              <w:rPr>
                <w:szCs w:val="22"/>
                <w:lang w:val="en-GB"/>
              </w:rPr>
              <w:t>a management plan communicated in writing to the referring practitioner and, if required;</w:t>
            </w:r>
          </w:p>
          <w:p w14:paraId="01447613" w14:textId="77777777" w:rsidR="000740B5" w:rsidRPr="00C33C0B" w:rsidRDefault="000740B5" w:rsidP="000831A1">
            <w:pPr>
              <w:pStyle w:val="ListParagraph"/>
              <w:numPr>
                <w:ilvl w:val="3"/>
                <w:numId w:val="16"/>
              </w:numPr>
              <w:spacing w:before="20" w:after="20" w:line="240" w:lineRule="auto"/>
              <w:ind w:left="360"/>
              <w:rPr>
                <w:szCs w:val="22"/>
                <w:lang w:val="en-GB"/>
              </w:rPr>
            </w:pPr>
            <w:r w:rsidRPr="00C33C0B">
              <w:rPr>
                <w:szCs w:val="22"/>
                <w:lang w:val="en-GB"/>
              </w:rPr>
              <w:t>discussion of multiple treatment options available, including;</w:t>
            </w:r>
          </w:p>
          <w:p w14:paraId="3A726DD3" w14:textId="77777777" w:rsidR="000740B5" w:rsidRPr="00C33C0B" w:rsidRDefault="000740B5" w:rsidP="00C65B0C">
            <w:pPr>
              <w:spacing w:before="20" w:after="20" w:line="240" w:lineRule="auto"/>
              <w:ind w:left="331"/>
              <w:rPr>
                <w:szCs w:val="22"/>
                <w:lang w:val="en-GB"/>
              </w:rPr>
            </w:pPr>
            <w:r w:rsidRPr="00C33C0B">
              <w:rPr>
                <w:szCs w:val="22"/>
                <w:lang w:val="en-GB"/>
              </w:rPr>
              <w:t>i. Discussion of treatment options to assess pros and cons of each option given patient characteristics and medical history</w:t>
            </w:r>
          </w:p>
          <w:p w14:paraId="52EC16F6" w14:textId="77777777" w:rsidR="000740B5" w:rsidRPr="00C33C0B" w:rsidRDefault="000740B5" w:rsidP="00C65B0C">
            <w:pPr>
              <w:spacing w:before="20" w:after="20" w:line="240" w:lineRule="auto"/>
              <w:ind w:left="331"/>
              <w:rPr>
                <w:szCs w:val="22"/>
                <w:lang w:val="en-GB"/>
              </w:rPr>
            </w:pPr>
            <w:r w:rsidRPr="00C33C0B">
              <w:rPr>
                <w:szCs w:val="22"/>
                <w:lang w:val="en-GB"/>
              </w:rPr>
              <w:t>ii. Consideration and discussion of necessary referrals to other health professionals</w:t>
            </w:r>
          </w:p>
          <w:p w14:paraId="4639C278" w14:textId="77777777" w:rsidR="000740B5" w:rsidRPr="00C33C0B" w:rsidRDefault="000740B5" w:rsidP="00C65B0C">
            <w:pPr>
              <w:spacing w:before="20" w:after="20" w:line="240" w:lineRule="auto"/>
              <w:ind w:left="331"/>
              <w:rPr>
                <w:szCs w:val="22"/>
                <w:lang w:val="en-GB"/>
              </w:rPr>
            </w:pPr>
            <w:r w:rsidRPr="00C33C0B">
              <w:rPr>
                <w:szCs w:val="22"/>
                <w:lang w:val="en-GB"/>
              </w:rPr>
              <w:t>iii. Written documentation made available for the patient and/or carer that outlines treatment options and information on associated risks and benefits</w:t>
            </w:r>
          </w:p>
          <w:p w14:paraId="30E64D09" w14:textId="77777777" w:rsidR="000740B5" w:rsidRPr="00C33C0B" w:rsidRDefault="000740B5" w:rsidP="000831A1">
            <w:pPr>
              <w:pStyle w:val="ListParagraph"/>
              <w:numPr>
                <w:ilvl w:val="3"/>
                <w:numId w:val="16"/>
              </w:numPr>
              <w:spacing w:before="20" w:after="20" w:line="240" w:lineRule="auto"/>
              <w:ind w:left="360"/>
              <w:rPr>
                <w:szCs w:val="22"/>
                <w:lang w:val="en-GB"/>
              </w:rPr>
            </w:pPr>
            <w:r w:rsidRPr="00C33C0B">
              <w:rPr>
                <w:szCs w:val="22"/>
                <w:lang w:val="en-GB"/>
              </w:rPr>
              <w:t xml:space="preserve">outcomes documented and communicated in writing to the referring practitioner </w:t>
            </w:r>
          </w:p>
          <w:p w14:paraId="0E262B23" w14:textId="77777777" w:rsidR="000740B5" w:rsidRDefault="000740B5" w:rsidP="00C65B0C">
            <w:pPr>
              <w:pStyle w:val="01squarebullet"/>
              <w:numPr>
                <w:ilvl w:val="0"/>
                <w:numId w:val="0"/>
              </w:numPr>
              <w:spacing w:before="20" w:after="20"/>
              <w:rPr>
                <w:szCs w:val="22"/>
                <w:lang w:val="en-GB"/>
              </w:rPr>
            </w:pPr>
            <w:r w:rsidRPr="00C33C0B">
              <w:rPr>
                <w:szCs w:val="22"/>
                <w:lang w:val="en-GB"/>
              </w:rPr>
              <w:t>Other than a service to which another Category 1, Group T1, Group T4 or Group T6 professional attendance item applies</w:t>
            </w:r>
            <w:r>
              <w:rPr>
                <w:szCs w:val="22"/>
                <w:lang w:val="en-GB"/>
              </w:rPr>
              <w:t>.</w:t>
            </w:r>
          </w:p>
          <w:p w14:paraId="6951A186" w14:textId="77777777" w:rsidR="000740B5" w:rsidRDefault="000740B5" w:rsidP="00C65B0C">
            <w:pPr>
              <w:spacing w:before="20" w:after="20" w:line="240" w:lineRule="auto"/>
              <w:rPr>
                <w:szCs w:val="22"/>
                <w:lang w:val="en-GB"/>
              </w:rPr>
            </w:pPr>
            <w:r>
              <w:rPr>
                <w:szCs w:val="22"/>
                <w:lang w:val="en-GB"/>
              </w:rPr>
              <w:t xml:space="preserve">Only to </w:t>
            </w:r>
            <w:r w:rsidRPr="003119FF">
              <w:rPr>
                <w:szCs w:val="22"/>
                <w:lang w:val="en-GB"/>
              </w:rPr>
              <w:t>be claimed with a Group T8</w:t>
            </w:r>
            <w:r>
              <w:rPr>
                <w:szCs w:val="22"/>
                <w:lang w:val="en-GB"/>
              </w:rPr>
              <w:t xml:space="preserve"> procedure</w:t>
            </w:r>
            <w:r w:rsidRPr="003119FF">
              <w:rPr>
                <w:szCs w:val="22"/>
                <w:lang w:val="en-GB"/>
              </w:rPr>
              <w:t xml:space="preserve"> </w:t>
            </w:r>
            <w:r>
              <w:rPr>
                <w:szCs w:val="22"/>
                <w:lang w:val="en-GB"/>
              </w:rPr>
              <w:t>item:</w:t>
            </w:r>
          </w:p>
          <w:p w14:paraId="7BAE7A47" w14:textId="77777777" w:rsidR="000740B5" w:rsidRDefault="000740B5" w:rsidP="000831A1">
            <w:pPr>
              <w:pStyle w:val="ListParagraph"/>
              <w:numPr>
                <w:ilvl w:val="0"/>
                <w:numId w:val="35"/>
              </w:numPr>
              <w:spacing w:before="20" w:after="20" w:line="240" w:lineRule="auto"/>
              <w:rPr>
                <w:szCs w:val="22"/>
                <w:lang w:val="en-GB"/>
              </w:rPr>
            </w:pPr>
            <w:r>
              <w:rPr>
                <w:szCs w:val="22"/>
                <w:lang w:val="en-GB"/>
              </w:rPr>
              <w:t xml:space="preserve">where </w:t>
            </w:r>
            <w:r w:rsidRPr="001B15DF">
              <w:rPr>
                <w:szCs w:val="22"/>
                <w:lang w:val="en-GB"/>
              </w:rPr>
              <w:t>the procedure has a s</w:t>
            </w:r>
            <w:r>
              <w:rPr>
                <w:szCs w:val="22"/>
                <w:lang w:val="en-GB"/>
              </w:rPr>
              <w:t>chedule fee of less than $300; or</w:t>
            </w:r>
            <w:r w:rsidRPr="001B15DF">
              <w:rPr>
                <w:szCs w:val="22"/>
                <w:lang w:val="en-GB"/>
              </w:rPr>
              <w:t xml:space="preserve"> </w:t>
            </w:r>
          </w:p>
          <w:p w14:paraId="6F95E582" w14:textId="77777777" w:rsidR="000740B5" w:rsidRPr="001B15DF" w:rsidRDefault="000740B5" w:rsidP="000831A1">
            <w:pPr>
              <w:pStyle w:val="ListParagraph"/>
              <w:numPr>
                <w:ilvl w:val="0"/>
                <w:numId w:val="35"/>
              </w:numPr>
              <w:spacing w:before="20" w:after="20" w:line="240" w:lineRule="auto"/>
              <w:rPr>
                <w:szCs w:val="22"/>
                <w:lang w:val="en-GB"/>
              </w:rPr>
            </w:pPr>
            <w:r w:rsidRPr="001B15DF">
              <w:rPr>
                <w:szCs w:val="22"/>
                <w:lang w:val="en-GB"/>
              </w:rPr>
              <w:t>where the need for the procedure is identified during the consultation, has not otherwise been scheduled, is performed on the same day as the attendance, and where the procedure has a schedule fee of $300 or more.</w:t>
            </w:r>
          </w:p>
        </w:tc>
        <w:tc>
          <w:tcPr>
            <w:tcW w:w="1553" w:type="dxa"/>
            <w:shd w:val="clear" w:color="auto" w:fill="auto"/>
          </w:tcPr>
          <w:p w14:paraId="6492A5D5" w14:textId="77777777" w:rsidR="000740B5" w:rsidRPr="00C33C0B" w:rsidRDefault="000740B5" w:rsidP="00C65B0C">
            <w:pPr>
              <w:spacing w:before="20" w:after="20" w:line="240" w:lineRule="auto"/>
              <w:rPr>
                <w:szCs w:val="22"/>
                <w:lang w:val="en-GB"/>
              </w:rPr>
            </w:pPr>
            <w:r w:rsidRPr="00C33C0B">
              <w:rPr>
                <w:szCs w:val="22"/>
                <w:lang w:val="en-GB"/>
              </w:rPr>
              <w:t>Attendance at consulting room or hospital</w:t>
            </w:r>
          </w:p>
        </w:tc>
        <w:tc>
          <w:tcPr>
            <w:tcW w:w="1319" w:type="dxa"/>
            <w:shd w:val="clear" w:color="auto" w:fill="auto"/>
          </w:tcPr>
          <w:p w14:paraId="68F0D516" w14:textId="77777777" w:rsidR="000740B5" w:rsidRPr="00C33C0B" w:rsidRDefault="000740B5" w:rsidP="00C65B0C">
            <w:pPr>
              <w:spacing w:before="20" w:after="20" w:line="240" w:lineRule="auto"/>
              <w:rPr>
                <w:szCs w:val="22"/>
                <w:lang w:val="en-GB"/>
              </w:rPr>
            </w:pPr>
            <w:r>
              <w:rPr>
                <w:szCs w:val="22"/>
                <w:lang w:val="en-GB"/>
              </w:rPr>
              <w:t>21–</w:t>
            </w:r>
            <w:r w:rsidRPr="00C33C0B">
              <w:rPr>
                <w:szCs w:val="22"/>
                <w:lang w:val="en-GB"/>
              </w:rPr>
              <w:t>40</w:t>
            </w:r>
            <w:r>
              <w:rPr>
                <w:szCs w:val="22"/>
                <w:lang w:val="en-GB"/>
              </w:rPr>
              <w:t xml:space="preserve"> </w:t>
            </w:r>
            <w:r w:rsidRPr="00C33C0B">
              <w:rPr>
                <w:szCs w:val="22"/>
                <w:lang w:val="en-GB"/>
              </w:rPr>
              <w:t>min</w:t>
            </w:r>
            <w:r>
              <w:rPr>
                <w:szCs w:val="22"/>
                <w:lang w:val="en-GB"/>
              </w:rPr>
              <w:t>ute</w:t>
            </w:r>
            <w:r w:rsidRPr="00C33C0B">
              <w:rPr>
                <w:szCs w:val="22"/>
                <w:lang w:val="en-GB"/>
              </w:rPr>
              <w:t>s</w:t>
            </w:r>
          </w:p>
        </w:tc>
      </w:tr>
      <w:tr w:rsidR="000740B5" w:rsidRPr="00C33C0B" w14:paraId="2911DBE4" w14:textId="77777777" w:rsidTr="00C65B0C">
        <w:tc>
          <w:tcPr>
            <w:tcW w:w="784" w:type="dxa"/>
            <w:shd w:val="clear" w:color="auto" w:fill="auto"/>
          </w:tcPr>
          <w:p w14:paraId="767561CB" w14:textId="77777777" w:rsidR="000740B5" w:rsidRPr="00C33C0B" w:rsidRDefault="000740B5" w:rsidP="00C65B0C">
            <w:pPr>
              <w:spacing w:before="20" w:after="20" w:line="240" w:lineRule="auto"/>
              <w:rPr>
                <w:b/>
                <w:szCs w:val="22"/>
                <w:lang w:val="en-GB"/>
              </w:rPr>
            </w:pPr>
            <w:r w:rsidRPr="00C33C0B">
              <w:rPr>
                <w:b/>
                <w:szCs w:val="22"/>
                <w:lang w:val="en-GB"/>
              </w:rPr>
              <w:t>Level C</w:t>
            </w:r>
          </w:p>
          <w:p w14:paraId="10359E50" w14:textId="77777777" w:rsidR="000740B5" w:rsidRPr="00C33C0B" w:rsidRDefault="000740B5" w:rsidP="00C65B0C">
            <w:pPr>
              <w:spacing w:before="20" w:after="20" w:line="240" w:lineRule="auto"/>
              <w:rPr>
                <w:szCs w:val="22"/>
                <w:lang w:val="en-GB"/>
              </w:rPr>
            </w:pPr>
            <w:r w:rsidRPr="00C33C0B">
              <w:rPr>
                <w:szCs w:val="22"/>
                <w:lang w:val="en-GB"/>
              </w:rPr>
              <w:t>(XX2C)</w:t>
            </w:r>
          </w:p>
        </w:tc>
        <w:tc>
          <w:tcPr>
            <w:tcW w:w="7243" w:type="dxa"/>
            <w:vMerge/>
            <w:shd w:val="clear" w:color="auto" w:fill="auto"/>
          </w:tcPr>
          <w:p w14:paraId="74071663" w14:textId="77777777" w:rsidR="000740B5" w:rsidRPr="00C33C0B" w:rsidRDefault="000740B5" w:rsidP="00C65B0C">
            <w:pPr>
              <w:spacing w:before="20" w:after="20" w:line="240" w:lineRule="auto"/>
              <w:rPr>
                <w:szCs w:val="22"/>
                <w:lang w:val="en-GB"/>
              </w:rPr>
            </w:pPr>
          </w:p>
        </w:tc>
        <w:tc>
          <w:tcPr>
            <w:tcW w:w="1553" w:type="dxa"/>
            <w:shd w:val="clear" w:color="auto" w:fill="auto"/>
          </w:tcPr>
          <w:p w14:paraId="4EF2BE10" w14:textId="77777777" w:rsidR="000740B5" w:rsidRPr="00C33C0B" w:rsidRDefault="000740B5" w:rsidP="00C65B0C">
            <w:pPr>
              <w:spacing w:before="20" w:after="20" w:line="240" w:lineRule="auto"/>
              <w:rPr>
                <w:szCs w:val="22"/>
                <w:lang w:val="en-GB"/>
              </w:rPr>
            </w:pPr>
            <w:r w:rsidRPr="00C33C0B">
              <w:rPr>
                <w:szCs w:val="22"/>
                <w:lang w:val="en-GB"/>
              </w:rPr>
              <w:t>Attendance in a location other than consulting room or hospital</w:t>
            </w:r>
          </w:p>
        </w:tc>
        <w:tc>
          <w:tcPr>
            <w:tcW w:w="1319" w:type="dxa"/>
            <w:shd w:val="clear" w:color="auto" w:fill="auto"/>
          </w:tcPr>
          <w:p w14:paraId="51724D71" w14:textId="77777777" w:rsidR="000740B5" w:rsidRPr="00C33C0B" w:rsidRDefault="000740B5" w:rsidP="00C65B0C">
            <w:pPr>
              <w:spacing w:before="20" w:after="20" w:line="240" w:lineRule="auto"/>
              <w:rPr>
                <w:szCs w:val="22"/>
                <w:lang w:val="en-GB"/>
              </w:rPr>
            </w:pPr>
            <w:r>
              <w:rPr>
                <w:szCs w:val="22"/>
                <w:lang w:val="en-GB"/>
              </w:rPr>
              <w:t>21–</w:t>
            </w:r>
            <w:r w:rsidRPr="00C33C0B">
              <w:rPr>
                <w:szCs w:val="22"/>
                <w:lang w:val="en-GB"/>
              </w:rPr>
              <w:t>40</w:t>
            </w:r>
            <w:r>
              <w:rPr>
                <w:szCs w:val="22"/>
                <w:lang w:val="en-GB"/>
              </w:rPr>
              <w:t xml:space="preserve"> </w:t>
            </w:r>
            <w:r w:rsidRPr="00C33C0B">
              <w:rPr>
                <w:szCs w:val="22"/>
                <w:lang w:val="en-GB"/>
              </w:rPr>
              <w:t>min</w:t>
            </w:r>
            <w:r>
              <w:rPr>
                <w:szCs w:val="22"/>
                <w:lang w:val="en-GB"/>
              </w:rPr>
              <w:t>ute</w:t>
            </w:r>
            <w:r w:rsidRPr="00C33C0B">
              <w:rPr>
                <w:szCs w:val="22"/>
                <w:lang w:val="en-GB"/>
              </w:rPr>
              <w:t>s</w:t>
            </w:r>
          </w:p>
        </w:tc>
      </w:tr>
      <w:tr w:rsidR="000740B5" w:rsidRPr="00C33C0B" w14:paraId="3635A827" w14:textId="77777777" w:rsidTr="00C65B0C">
        <w:tc>
          <w:tcPr>
            <w:tcW w:w="784" w:type="dxa"/>
            <w:shd w:val="clear" w:color="auto" w:fill="auto"/>
          </w:tcPr>
          <w:p w14:paraId="2D2D8CA0" w14:textId="77777777" w:rsidR="000740B5" w:rsidRPr="00C33C0B" w:rsidRDefault="000740B5" w:rsidP="00C65B0C">
            <w:pPr>
              <w:spacing w:before="20" w:after="20" w:line="240" w:lineRule="auto"/>
              <w:rPr>
                <w:b/>
                <w:szCs w:val="22"/>
                <w:lang w:val="en-GB"/>
              </w:rPr>
            </w:pPr>
            <w:r w:rsidRPr="00C33C0B">
              <w:rPr>
                <w:b/>
                <w:szCs w:val="22"/>
                <w:lang w:val="en-GB"/>
              </w:rPr>
              <w:t>Level D</w:t>
            </w:r>
          </w:p>
          <w:p w14:paraId="4778A4F3" w14:textId="77777777" w:rsidR="000740B5" w:rsidRPr="00C33C0B" w:rsidRDefault="000740B5" w:rsidP="00C65B0C">
            <w:pPr>
              <w:spacing w:before="20" w:after="20" w:line="240" w:lineRule="auto"/>
              <w:rPr>
                <w:szCs w:val="22"/>
                <w:lang w:val="en-GB"/>
              </w:rPr>
            </w:pPr>
            <w:r w:rsidRPr="00C33C0B">
              <w:rPr>
                <w:szCs w:val="22"/>
                <w:lang w:val="en-GB"/>
              </w:rPr>
              <w:t>(XX1D)</w:t>
            </w:r>
          </w:p>
        </w:tc>
        <w:tc>
          <w:tcPr>
            <w:tcW w:w="7243" w:type="dxa"/>
            <w:vMerge w:val="restart"/>
            <w:shd w:val="clear" w:color="auto" w:fill="auto"/>
          </w:tcPr>
          <w:p w14:paraId="7A5CDB69" w14:textId="77777777" w:rsidR="000740B5" w:rsidRPr="00C33C0B" w:rsidRDefault="000740B5" w:rsidP="00C65B0C">
            <w:pPr>
              <w:spacing w:before="20" w:after="20" w:line="240" w:lineRule="auto"/>
              <w:rPr>
                <w:szCs w:val="22"/>
                <w:lang w:val="en-GB"/>
              </w:rPr>
            </w:pPr>
            <w:r w:rsidRPr="00C33C0B">
              <w:rPr>
                <w:szCs w:val="22"/>
                <w:lang w:val="en-GB"/>
              </w:rPr>
              <w:t xml:space="preserve">Professional attendance of </w:t>
            </w:r>
            <w:r>
              <w:rPr>
                <w:b/>
                <w:szCs w:val="22"/>
                <w:lang w:val="en-GB"/>
              </w:rPr>
              <w:t>more than 40 minutes but not more than 60 minutes</w:t>
            </w:r>
            <w:r w:rsidRPr="00C33C0B">
              <w:rPr>
                <w:szCs w:val="22"/>
                <w:lang w:val="en-GB"/>
              </w:rPr>
              <w:t xml:space="preserve"> by a </w:t>
            </w:r>
            <w:r>
              <w:rPr>
                <w:szCs w:val="22"/>
                <w:lang w:val="en-GB"/>
              </w:rPr>
              <w:t>consultant specialist</w:t>
            </w:r>
            <w:r w:rsidRPr="00C33C0B">
              <w:rPr>
                <w:szCs w:val="22"/>
                <w:lang w:val="en-GB"/>
              </w:rPr>
              <w:t xml:space="preserve"> in the practice of his or her speciality following patient referral, including any of the following that are clinically relevant:</w:t>
            </w:r>
          </w:p>
          <w:p w14:paraId="575A42E1" w14:textId="77777777" w:rsidR="000740B5" w:rsidRPr="00C33C0B" w:rsidRDefault="000740B5" w:rsidP="000831A1">
            <w:pPr>
              <w:pStyle w:val="ListParagraph"/>
              <w:numPr>
                <w:ilvl w:val="0"/>
                <w:numId w:val="19"/>
              </w:numPr>
              <w:spacing w:before="20" w:after="20" w:line="240" w:lineRule="auto"/>
              <w:ind w:left="357" w:hanging="357"/>
              <w:rPr>
                <w:szCs w:val="22"/>
                <w:lang w:val="en-GB"/>
              </w:rPr>
            </w:pPr>
            <w:r w:rsidRPr="00C33C0B">
              <w:rPr>
                <w:szCs w:val="22"/>
                <w:lang w:val="en-GB"/>
              </w:rPr>
              <w:t>comprehensive patient history of multiple conditions or a complex single condition</w:t>
            </w:r>
          </w:p>
          <w:p w14:paraId="3CC495C5" w14:textId="77777777" w:rsidR="000740B5" w:rsidRPr="00C33C0B" w:rsidRDefault="000740B5" w:rsidP="000831A1">
            <w:pPr>
              <w:pStyle w:val="ListParagraph"/>
              <w:numPr>
                <w:ilvl w:val="0"/>
                <w:numId w:val="19"/>
              </w:numPr>
              <w:spacing w:before="20" w:after="20" w:line="240" w:lineRule="auto"/>
              <w:ind w:left="357" w:hanging="357"/>
              <w:rPr>
                <w:szCs w:val="22"/>
                <w:lang w:val="en-GB"/>
              </w:rPr>
            </w:pPr>
            <w:r w:rsidRPr="00C33C0B">
              <w:rPr>
                <w:szCs w:val="22"/>
                <w:lang w:val="en-GB"/>
              </w:rPr>
              <w:t xml:space="preserve">comprehensive multi-system examination </w:t>
            </w:r>
          </w:p>
          <w:p w14:paraId="5CB26CD9" w14:textId="77777777" w:rsidR="000740B5" w:rsidRPr="00C33C0B" w:rsidRDefault="000740B5" w:rsidP="000831A1">
            <w:pPr>
              <w:pStyle w:val="ListParagraph"/>
              <w:numPr>
                <w:ilvl w:val="0"/>
                <w:numId w:val="19"/>
              </w:numPr>
              <w:spacing w:before="20" w:after="20" w:line="240" w:lineRule="auto"/>
              <w:ind w:left="357" w:hanging="357"/>
              <w:rPr>
                <w:szCs w:val="22"/>
                <w:lang w:val="en-GB"/>
              </w:rPr>
            </w:pPr>
            <w:r w:rsidRPr="00C33C0B">
              <w:rPr>
                <w:szCs w:val="22"/>
                <w:lang w:val="en-GB"/>
              </w:rPr>
              <w:t>multiple diagnostic problems considered</w:t>
            </w:r>
          </w:p>
          <w:p w14:paraId="4406A935" w14:textId="77777777" w:rsidR="000740B5" w:rsidRPr="00C33C0B" w:rsidRDefault="000740B5" w:rsidP="000831A1">
            <w:pPr>
              <w:pStyle w:val="ListParagraph"/>
              <w:numPr>
                <w:ilvl w:val="0"/>
                <w:numId w:val="19"/>
              </w:numPr>
              <w:spacing w:before="20" w:after="20" w:line="240" w:lineRule="auto"/>
              <w:ind w:left="357" w:hanging="357"/>
              <w:rPr>
                <w:szCs w:val="22"/>
                <w:lang w:val="en-GB"/>
              </w:rPr>
            </w:pPr>
            <w:r w:rsidRPr="00C33C0B">
              <w:rPr>
                <w:szCs w:val="22"/>
                <w:lang w:val="en-GB"/>
              </w:rPr>
              <w:t>a comprehensive management plan</w:t>
            </w:r>
          </w:p>
          <w:p w14:paraId="4E963111" w14:textId="77777777" w:rsidR="000740B5" w:rsidRPr="00C33C0B" w:rsidRDefault="000740B5" w:rsidP="000831A1">
            <w:pPr>
              <w:pStyle w:val="ListParagraph"/>
              <w:numPr>
                <w:ilvl w:val="0"/>
                <w:numId w:val="19"/>
              </w:numPr>
              <w:spacing w:before="20" w:after="20" w:line="240" w:lineRule="auto"/>
              <w:ind w:left="357" w:hanging="357"/>
              <w:rPr>
                <w:szCs w:val="22"/>
                <w:lang w:val="en-GB"/>
              </w:rPr>
            </w:pPr>
            <w:r w:rsidRPr="00C33C0B">
              <w:rPr>
                <w:szCs w:val="22"/>
                <w:lang w:val="en-GB"/>
              </w:rPr>
              <w:t>the management plan communicated in writing to the referring practitioner and, if required;</w:t>
            </w:r>
          </w:p>
          <w:p w14:paraId="72E538B5" w14:textId="77777777" w:rsidR="000740B5" w:rsidRPr="00C33C0B" w:rsidRDefault="000740B5" w:rsidP="000831A1">
            <w:pPr>
              <w:pStyle w:val="ListParagraph"/>
              <w:numPr>
                <w:ilvl w:val="0"/>
                <w:numId w:val="19"/>
              </w:numPr>
              <w:spacing w:before="20" w:after="20" w:line="240" w:lineRule="auto"/>
              <w:ind w:left="357" w:hanging="357"/>
              <w:rPr>
                <w:szCs w:val="22"/>
                <w:lang w:val="en-GB"/>
              </w:rPr>
            </w:pPr>
            <w:r w:rsidRPr="00C33C0B">
              <w:rPr>
                <w:szCs w:val="22"/>
                <w:lang w:val="en-GB"/>
              </w:rPr>
              <w:t>discussion of multiple treatment options available, including:</w:t>
            </w:r>
          </w:p>
          <w:p w14:paraId="5EBD684B" w14:textId="77777777" w:rsidR="000740B5" w:rsidRPr="00C33C0B" w:rsidRDefault="000740B5" w:rsidP="000831A1">
            <w:pPr>
              <w:pStyle w:val="ListParagraph"/>
              <w:numPr>
                <w:ilvl w:val="2"/>
                <w:numId w:val="19"/>
              </w:numPr>
              <w:spacing w:before="20" w:after="20" w:line="240" w:lineRule="auto"/>
              <w:ind w:left="755" w:right="142"/>
              <w:contextualSpacing w:val="0"/>
              <w:rPr>
                <w:szCs w:val="22"/>
                <w:lang w:val="en-GB"/>
              </w:rPr>
            </w:pPr>
            <w:r w:rsidRPr="00C33C0B">
              <w:rPr>
                <w:szCs w:val="22"/>
                <w:lang w:val="en-GB"/>
              </w:rPr>
              <w:t>Discussion of treatment options to assess pros and cons of each option given patient characteristics and medical history</w:t>
            </w:r>
          </w:p>
          <w:p w14:paraId="2356FEDB" w14:textId="77777777" w:rsidR="000740B5" w:rsidRPr="00C33C0B" w:rsidRDefault="000740B5" w:rsidP="000831A1">
            <w:pPr>
              <w:pStyle w:val="ListParagraph"/>
              <w:numPr>
                <w:ilvl w:val="2"/>
                <w:numId w:val="19"/>
              </w:numPr>
              <w:spacing w:before="20" w:after="20" w:line="240" w:lineRule="auto"/>
              <w:ind w:left="755" w:right="142"/>
              <w:contextualSpacing w:val="0"/>
              <w:rPr>
                <w:szCs w:val="22"/>
                <w:lang w:val="en-GB"/>
              </w:rPr>
            </w:pPr>
            <w:r w:rsidRPr="00C33C0B">
              <w:rPr>
                <w:szCs w:val="22"/>
                <w:lang w:val="en-GB"/>
              </w:rPr>
              <w:t>Consideration and discussion of necessary referrals to other health professionals</w:t>
            </w:r>
          </w:p>
          <w:p w14:paraId="5B7BE9D4" w14:textId="77777777" w:rsidR="000740B5" w:rsidRPr="00C33C0B" w:rsidRDefault="000740B5" w:rsidP="000831A1">
            <w:pPr>
              <w:pStyle w:val="ListParagraph"/>
              <w:numPr>
                <w:ilvl w:val="2"/>
                <w:numId w:val="19"/>
              </w:numPr>
              <w:spacing w:before="20" w:after="20" w:line="240" w:lineRule="auto"/>
              <w:ind w:left="755" w:right="142"/>
              <w:contextualSpacing w:val="0"/>
              <w:rPr>
                <w:szCs w:val="22"/>
                <w:lang w:val="en-GB"/>
              </w:rPr>
            </w:pPr>
            <w:r w:rsidRPr="00C33C0B">
              <w:rPr>
                <w:szCs w:val="22"/>
                <w:lang w:val="en-GB"/>
              </w:rPr>
              <w:t>Written documentation made available for the patient and/or carer that outlines treatment options and information on associated risks and benefits</w:t>
            </w:r>
          </w:p>
          <w:p w14:paraId="3BC654CA" w14:textId="77777777" w:rsidR="000740B5" w:rsidRPr="00C33C0B" w:rsidRDefault="000740B5" w:rsidP="000831A1">
            <w:pPr>
              <w:pStyle w:val="ListParagraph"/>
              <w:numPr>
                <w:ilvl w:val="0"/>
                <w:numId w:val="19"/>
              </w:numPr>
              <w:spacing w:before="20" w:after="20" w:line="240" w:lineRule="auto"/>
              <w:ind w:left="357" w:hanging="357"/>
              <w:rPr>
                <w:szCs w:val="22"/>
                <w:lang w:val="en-GB"/>
              </w:rPr>
            </w:pPr>
            <w:r w:rsidRPr="00C33C0B">
              <w:rPr>
                <w:szCs w:val="22"/>
                <w:lang w:val="en-GB"/>
              </w:rPr>
              <w:t xml:space="preserve">outcomes documented and communicated in writing to the referring practitioner </w:t>
            </w:r>
          </w:p>
          <w:p w14:paraId="42AF9D01" w14:textId="77777777" w:rsidR="000740B5" w:rsidRDefault="000740B5" w:rsidP="00C65B0C">
            <w:pPr>
              <w:spacing w:before="20" w:after="20" w:line="240" w:lineRule="auto"/>
              <w:rPr>
                <w:szCs w:val="22"/>
                <w:lang w:val="en-GB"/>
              </w:rPr>
            </w:pPr>
            <w:r w:rsidRPr="0004705F">
              <w:rPr>
                <w:szCs w:val="22"/>
                <w:lang w:val="en-GB"/>
              </w:rPr>
              <w:t>Other than a service to which another Category 1, Group T1, Group T4 or Group T6 professional attendance item applies.</w:t>
            </w:r>
          </w:p>
          <w:p w14:paraId="6626FE1C" w14:textId="77777777" w:rsidR="000740B5" w:rsidRDefault="000740B5" w:rsidP="00C65B0C">
            <w:pPr>
              <w:spacing w:before="20" w:after="20" w:line="240" w:lineRule="auto"/>
              <w:rPr>
                <w:szCs w:val="22"/>
                <w:lang w:val="en-GB"/>
              </w:rPr>
            </w:pPr>
            <w:r>
              <w:rPr>
                <w:szCs w:val="22"/>
                <w:lang w:val="en-GB"/>
              </w:rPr>
              <w:t xml:space="preserve">Only to </w:t>
            </w:r>
            <w:r w:rsidRPr="003119FF">
              <w:rPr>
                <w:szCs w:val="22"/>
                <w:lang w:val="en-GB"/>
              </w:rPr>
              <w:t>be claimed with a Group T8</w:t>
            </w:r>
            <w:r>
              <w:rPr>
                <w:szCs w:val="22"/>
                <w:lang w:val="en-GB"/>
              </w:rPr>
              <w:t xml:space="preserve"> procedure</w:t>
            </w:r>
            <w:r w:rsidRPr="003119FF">
              <w:rPr>
                <w:szCs w:val="22"/>
                <w:lang w:val="en-GB"/>
              </w:rPr>
              <w:t xml:space="preserve"> </w:t>
            </w:r>
            <w:r>
              <w:rPr>
                <w:szCs w:val="22"/>
                <w:lang w:val="en-GB"/>
              </w:rPr>
              <w:t>item:</w:t>
            </w:r>
          </w:p>
          <w:p w14:paraId="00EF74B5" w14:textId="77777777" w:rsidR="000740B5" w:rsidRDefault="000740B5" w:rsidP="000831A1">
            <w:pPr>
              <w:pStyle w:val="ListParagraph"/>
              <w:numPr>
                <w:ilvl w:val="0"/>
                <w:numId w:val="36"/>
              </w:numPr>
              <w:spacing w:before="20" w:after="20" w:line="240" w:lineRule="auto"/>
              <w:rPr>
                <w:szCs w:val="22"/>
                <w:lang w:val="en-GB"/>
              </w:rPr>
            </w:pPr>
            <w:r>
              <w:rPr>
                <w:szCs w:val="22"/>
                <w:lang w:val="en-GB"/>
              </w:rPr>
              <w:t xml:space="preserve">where </w:t>
            </w:r>
            <w:r w:rsidRPr="001B15DF">
              <w:rPr>
                <w:szCs w:val="22"/>
                <w:lang w:val="en-GB"/>
              </w:rPr>
              <w:t>the procedure has a s</w:t>
            </w:r>
            <w:r>
              <w:rPr>
                <w:szCs w:val="22"/>
                <w:lang w:val="en-GB"/>
              </w:rPr>
              <w:t>chedule fee of less than $300; or</w:t>
            </w:r>
            <w:r w:rsidRPr="001B15DF">
              <w:rPr>
                <w:szCs w:val="22"/>
                <w:lang w:val="en-GB"/>
              </w:rPr>
              <w:t xml:space="preserve"> </w:t>
            </w:r>
          </w:p>
          <w:p w14:paraId="7D5CF2E1" w14:textId="77777777" w:rsidR="000740B5" w:rsidRPr="001B15DF" w:rsidRDefault="000740B5" w:rsidP="000831A1">
            <w:pPr>
              <w:pStyle w:val="ListParagraph"/>
              <w:numPr>
                <w:ilvl w:val="0"/>
                <w:numId w:val="36"/>
              </w:numPr>
              <w:spacing w:before="20" w:after="20" w:line="240" w:lineRule="auto"/>
              <w:rPr>
                <w:szCs w:val="22"/>
                <w:lang w:val="en-GB"/>
              </w:rPr>
            </w:pPr>
            <w:r w:rsidRPr="001B15DF">
              <w:rPr>
                <w:szCs w:val="22"/>
                <w:lang w:val="en-GB"/>
              </w:rPr>
              <w:t>where the need for the procedure is identified during the consultation, has not otherwise been scheduled, is performed on the same day as the attendance, and where the procedure has a schedule fee of $300 or more.</w:t>
            </w:r>
          </w:p>
        </w:tc>
        <w:tc>
          <w:tcPr>
            <w:tcW w:w="1553" w:type="dxa"/>
            <w:shd w:val="clear" w:color="auto" w:fill="auto"/>
          </w:tcPr>
          <w:p w14:paraId="71DEAB9B" w14:textId="77777777" w:rsidR="000740B5" w:rsidRPr="00C33C0B" w:rsidRDefault="000740B5" w:rsidP="00C65B0C">
            <w:pPr>
              <w:spacing w:before="20" w:after="20" w:line="240" w:lineRule="auto"/>
              <w:rPr>
                <w:szCs w:val="22"/>
                <w:lang w:val="en-GB"/>
              </w:rPr>
            </w:pPr>
            <w:r w:rsidRPr="00C33C0B">
              <w:rPr>
                <w:szCs w:val="22"/>
                <w:lang w:val="en-GB"/>
              </w:rPr>
              <w:t>Attendance at consulting room or hospital</w:t>
            </w:r>
          </w:p>
        </w:tc>
        <w:tc>
          <w:tcPr>
            <w:tcW w:w="1319" w:type="dxa"/>
            <w:shd w:val="clear" w:color="auto" w:fill="auto"/>
          </w:tcPr>
          <w:p w14:paraId="066A4715" w14:textId="77777777" w:rsidR="000740B5" w:rsidRPr="00C33C0B" w:rsidRDefault="000740B5" w:rsidP="00C65B0C">
            <w:pPr>
              <w:spacing w:before="20" w:after="20" w:line="240" w:lineRule="auto"/>
              <w:rPr>
                <w:szCs w:val="22"/>
                <w:lang w:val="en-GB"/>
              </w:rPr>
            </w:pPr>
            <w:r>
              <w:rPr>
                <w:szCs w:val="22"/>
                <w:lang w:val="en-GB"/>
              </w:rPr>
              <w:t>41–</w:t>
            </w:r>
            <w:r w:rsidRPr="00C33C0B">
              <w:rPr>
                <w:szCs w:val="22"/>
                <w:lang w:val="en-GB"/>
              </w:rPr>
              <w:t>60</w:t>
            </w:r>
            <w:r>
              <w:rPr>
                <w:szCs w:val="22"/>
                <w:lang w:val="en-GB"/>
              </w:rPr>
              <w:t xml:space="preserve"> </w:t>
            </w:r>
            <w:r w:rsidRPr="00C33C0B">
              <w:rPr>
                <w:szCs w:val="22"/>
                <w:lang w:val="en-GB"/>
              </w:rPr>
              <w:t>min</w:t>
            </w:r>
            <w:r>
              <w:rPr>
                <w:szCs w:val="22"/>
                <w:lang w:val="en-GB"/>
              </w:rPr>
              <w:t>ute</w:t>
            </w:r>
            <w:r w:rsidRPr="00C33C0B">
              <w:rPr>
                <w:szCs w:val="22"/>
                <w:lang w:val="en-GB"/>
              </w:rPr>
              <w:t>s</w:t>
            </w:r>
          </w:p>
        </w:tc>
      </w:tr>
      <w:tr w:rsidR="000740B5" w:rsidRPr="00C33C0B" w14:paraId="48CD8739" w14:textId="77777777" w:rsidTr="00C65B0C">
        <w:tc>
          <w:tcPr>
            <w:tcW w:w="784" w:type="dxa"/>
            <w:shd w:val="clear" w:color="auto" w:fill="auto"/>
          </w:tcPr>
          <w:p w14:paraId="4380AA7F" w14:textId="77777777" w:rsidR="000740B5" w:rsidRPr="00C33C0B" w:rsidRDefault="000740B5" w:rsidP="00C65B0C">
            <w:pPr>
              <w:spacing w:before="20" w:after="20" w:line="240" w:lineRule="auto"/>
              <w:rPr>
                <w:b/>
                <w:szCs w:val="22"/>
                <w:lang w:val="en-GB"/>
              </w:rPr>
            </w:pPr>
            <w:r w:rsidRPr="00C33C0B">
              <w:rPr>
                <w:b/>
                <w:szCs w:val="22"/>
                <w:lang w:val="en-GB"/>
              </w:rPr>
              <w:t>Level D</w:t>
            </w:r>
          </w:p>
          <w:p w14:paraId="3A19AB2B" w14:textId="77777777" w:rsidR="000740B5" w:rsidRPr="00C33C0B" w:rsidRDefault="000740B5" w:rsidP="00C65B0C">
            <w:pPr>
              <w:spacing w:before="20" w:after="20" w:line="240" w:lineRule="auto"/>
              <w:rPr>
                <w:szCs w:val="22"/>
                <w:lang w:val="en-GB"/>
              </w:rPr>
            </w:pPr>
            <w:r w:rsidRPr="00C33C0B">
              <w:rPr>
                <w:szCs w:val="22"/>
                <w:lang w:val="en-GB"/>
              </w:rPr>
              <w:t>(XX2D)</w:t>
            </w:r>
          </w:p>
        </w:tc>
        <w:tc>
          <w:tcPr>
            <w:tcW w:w="7243" w:type="dxa"/>
            <w:vMerge/>
            <w:shd w:val="clear" w:color="auto" w:fill="auto"/>
          </w:tcPr>
          <w:p w14:paraId="05C87315" w14:textId="77777777" w:rsidR="000740B5" w:rsidRPr="00C33C0B" w:rsidRDefault="000740B5" w:rsidP="00C65B0C">
            <w:pPr>
              <w:spacing w:before="20" w:after="20" w:line="240" w:lineRule="auto"/>
              <w:rPr>
                <w:szCs w:val="22"/>
                <w:lang w:val="en-GB"/>
              </w:rPr>
            </w:pPr>
          </w:p>
        </w:tc>
        <w:tc>
          <w:tcPr>
            <w:tcW w:w="1553" w:type="dxa"/>
            <w:shd w:val="clear" w:color="auto" w:fill="auto"/>
          </w:tcPr>
          <w:p w14:paraId="75F393AA" w14:textId="77777777" w:rsidR="000740B5" w:rsidRPr="00C33C0B" w:rsidRDefault="000740B5" w:rsidP="00C65B0C">
            <w:pPr>
              <w:spacing w:before="20" w:after="20" w:line="240" w:lineRule="auto"/>
              <w:rPr>
                <w:szCs w:val="22"/>
                <w:lang w:val="en-GB"/>
              </w:rPr>
            </w:pPr>
            <w:r w:rsidRPr="00C33C0B">
              <w:rPr>
                <w:szCs w:val="22"/>
                <w:lang w:val="en-GB"/>
              </w:rPr>
              <w:t>Attendance in a location other than consulting room or hospital</w:t>
            </w:r>
          </w:p>
        </w:tc>
        <w:tc>
          <w:tcPr>
            <w:tcW w:w="1319" w:type="dxa"/>
            <w:shd w:val="clear" w:color="auto" w:fill="auto"/>
          </w:tcPr>
          <w:p w14:paraId="1C74D2F3" w14:textId="77777777" w:rsidR="000740B5" w:rsidRPr="00C33C0B" w:rsidRDefault="000740B5" w:rsidP="00C65B0C">
            <w:pPr>
              <w:spacing w:before="20" w:after="20" w:line="240" w:lineRule="auto"/>
              <w:rPr>
                <w:szCs w:val="22"/>
                <w:lang w:val="en-GB"/>
              </w:rPr>
            </w:pPr>
            <w:r>
              <w:rPr>
                <w:szCs w:val="22"/>
                <w:lang w:val="en-GB"/>
              </w:rPr>
              <w:t>41–</w:t>
            </w:r>
            <w:r w:rsidRPr="00C33C0B">
              <w:rPr>
                <w:szCs w:val="22"/>
                <w:lang w:val="en-GB"/>
              </w:rPr>
              <w:t>60</w:t>
            </w:r>
            <w:r>
              <w:rPr>
                <w:szCs w:val="22"/>
                <w:lang w:val="en-GB"/>
              </w:rPr>
              <w:t xml:space="preserve"> </w:t>
            </w:r>
            <w:r w:rsidRPr="00C33C0B">
              <w:rPr>
                <w:szCs w:val="22"/>
                <w:lang w:val="en-GB"/>
              </w:rPr>
              <w:t>min</w:t>
            </w:r>
            <w:r>
              <w:rPr>
                <w:szCs w:val="22"/>
                <w:lang w:val="en-GB"/>
              </w:rPr>
              <w:t>ute</w:t>
            </w:r>
            <w:r w:rsidRPr="00C33C0B">
              <w:rPr>
                <w:szCs w:val="22"/>
                <w:lang w:val="en-GB"/>
              </w:rPr>
              <w:t>s</w:t>
            </w:r>
          </w:p>
        </w:tc>
      </w:tr>
      <w:tr w:rsidR="000740B5" w:rsidRPr="00C33C0B" w14:paraId="35F67A25" w14:textId="77777777" w:rsidTr="00C65B0C">
        <w:tc>
          <w:tcPr>
            <w:tcW w:w="784" w:type="dxa"/>
            <w:shd w:val="clear" w:color="auto" w:fill="auto"/>
          </w:tcPr>
          <w:p w14:paraId="0FC97279" w14:textId="77777777" w:rsidR="000740B5" w:rsidRPr="00C33C0B" w:rsidRDefault="000740B5" w:rsidP="00C65B0C">
            <w:pPr>
              <w:spacing w:before="20" w:after="20" w:line="240" w:lineRule="auto"/>
              <w:rPr>
                <w:b/>
                <w:szCs w:val="22"/>
                <w:lang w:val="en-GB"/>
              </w:rPr>
            </w:pPr>
            <w:r w:rsidRPr="00C33C0B">
              <w:rPr>
                <w:b/>
                <w:szCs w:val="22"/>
                <w:lang w:val="en-GB"/>
              </w:rPr>
              <w:t>Level E</w:t>
            </w:r>
          </w:p>
          <w:p w14:paraId="3E393A7D" w14:textId="77777777" w:rsidR="000740B5" w:rsidRPr="00C33C0B" w:rsidRDefault="000740B5" w:rsidP="00C65B0C">
            <w:pPr>
              <w:spacing w:before="20" w:after="20" w:line="240" w:lineRule="auto"/>
              <w:rPr>
                <w:szCs w:val="22"/>
                <w:lang w:val="en-GB"/>
              </w:rPr>
            </w:pPr>
            <w:r w:rsidRPr="00C33C0B">
              <w:rPr>
                <w:szCs w:val="22"/>
                <w:lang w:val="en-GB"/>
              </w:rPr>
              <w:t>(XX1E)</w:t>
            </w:r>
          </w:p>
        </w:tc>
        <w:tc>
          <w:tcPr>
            <w:tcW w:w="7243" w:type="dxa"/>
            <w:vMerge w:val="restart"/>
            <w:shd w:val="clear" w:color="auto" w:fill="auto"/>
          </w:tcPr>
          <w:p w14:paraId="34859F88" w14:textId="77777777" w:rsidR="000740B5" w:rsidRPr="00C33C0B" w:rsidRDefault="000740B5" w:rsidP="00C65B0C">
            <w:pPr>
              <w:spacing w:before="20" w:after="20" w:line="240" w:lineRule="auto"/>
              <w:rPr>
                <w:szCs w:val="22"/>
                <w:lang w:val="en-GB"/>
              </w:rPr>
            </w:pPr>
            <w:r w:rsidRPr="00C33C0B">
              <w:rPr>
                <w:szCs w:val="22"/>
                <w:lang w:val="en-GB"/>
              </w:rPr>
              <w:t xml:space="preserve">Professional attendance of </w:t>
            </w:r>
            <w:r>
              <w:rPr>
                <w:b/>
                <w:szCs w:val="22"/>
                <w:lang w:val="en-GB"/>
              </w:rPr>
              <w:t xml:space="preserve">more than </w:t>
            </w:r>
            <w:r w:rsidRPr="00C33C0B">
              <w:rPr>
                <w:b/>
                <w:szCs w:val="22"/>
                <w:lang w:val="en-GB"/>
              </w:rPr>
              <w:t>60 minutes</w:t>
            </w:r>
            <w:r w:rsidRPr="00C33C0B">
              <w:rPr>
                <w:szCs w:val="22"/>
                <w:lang w:val="en-GB"/>
              </w:rPr>
              <w:t xml:space="preserve"> by a </w:t>
            </w:r>
            <w:r>
              <w:rPr>
                <w:szCs w:val="22"/>
                <w:lang w:val="en-GB"/>
              </w:rPr>
              <w:t>consultant specialist</w:t>
            </w:r>
            <w:r w:rsidRPr="00C33C0B">
              <w:rPr>
                <w:szCs w:val="22"/>
                <w:lang w:val="en-GB"/>
              </w:rPr>
              <w:t xml:space="preserve"> in the practice of his or her speciality following patient referral, including any of the following that are clinically relevant:</w:t>
            </w:r>
          </w:p>
          <w:p w14:paraId="0546013F" w14:textId="77777777" w:rsidR="000740B5" w:rsidRPr="00C33C0B" w:rsidRDefault="000740B5" w:rsidP="000831A1">
            <w:pPr>
              <w:pStyle w:val="ListParagraph"/>
              <w:numPr>
                <w:ilvl w:val="0"/>
                <w:numId w:val="20"/>
              </w:numPr>
              <w:spacing w:before="20" w:after="20" w:line="240" w:lineRule="auto"/>
              <w:ind w:left="357" w:hanging="357"/>
              <w:rPr>
                <w:szCs w:val="22"/>
                <w:lang w:val="en-GB"/>
              </w:rPr>
            </w:pPr>
            <w:r w:rsidRPr="00C33C0B">
              <w:rPr>
                <w:szCs w:val="22"/>
                <w:lang w:val="en-GB"/>
              </w:rPr>
              <w:t xml:space="preserve">extensive history of multiple complex conditions </w:t>
            </w:r>
          </w:p>
          <w:p w14:paraId="69AA8362" w14:textId="77777777" w:rsidR="000740B5" w:rsidRPr="00C33C0B" w:rsidRDefault="000740B5" w:rsidP="000831A1">
            <w:pPr>
              <w:pStyle w:val="ListParagraph"/>
              <w:numPr>
                <w:ilvl w:val="0"/>
                <w:numId w:val="20"/>
              </w:numPr>
              <w:spacing w:before="20" w:after="20" w:line="240" w:lineRule="auto"/>
              <w:ind w:left="357" w:hanging="357"/>
              <w:rPr>
                <w:szCs w:val="22"/>
                <w:lang w:val="en-GB"/>
              </w:rPr>
            </w:pPr>
            <w:r w:rsidRPr="00C33C0B">
              <w:rPr>
                <w:szCs w:val="22"/>
                <w:lang w:val="en-GB"/>
              </w:rPr>
              <w:t>extensive multi-system medical examination</w:t>
            </w:r>
          </w:p>
          <w:p w14:paraId="4D7F3AF7" w14:textId="77777777" w:rsidR="000740B5" w:rsidRPr="00C33C0B" w:rsidRDefault="000740B5" w:rsidP="000831A1">
            <w:pPr>
              <w:pStyle w:val="ListParagraph"/>
              <w:numPr>
                <w:ilvl w:val="0"/>
                <w:numId w:val="20"/>
              </w:numPr>
              <w:spacing w:before="20" w:after="20" w:line="240" w:lineRule="auto"/>
              <w:ind w:left="357" w:hanging="357"/>
              <w:rPr>
                <w:szCs w:val="22"/>
                <w:lang w:val="en-GB"/>
              </w:rPr>
            </w:pPr>
            <w:r w:rsidRPr="00C33C0B">
              <w:rPr>
                <w:szCs w:val="22"/>
                <w:lang w:val="en-GB"/>
              </w:rPr>
              <w:t>multiple complex diagnoses considered</w:t>
            </w:r>
          </w:p>
          <w:p w14:paraId="2505F2F1" w14:textId="77777777" w:rsidR="000740B5" w:rsidRPr="00C33C0B" w:rsidRDefault="000740B5" w:rsidP="000831A1">
            <w:pPr>
              <w:pStyle w:val="ListParagraph"/>
              <w:numPr>
                <w:ilvl w:val="0"/>
                <w:numId w:val="20"/>
              </w:numPr>
              <w:spacing w:before="20" w:after="20" w:line="240" w:lineRule="auto"/>
              <w:ind w:left="357" w:hanging="357"/>
              <w:rPr>
                <w:szCs w:val="22"/>
                <w:lang w:val="en-GB"/>
              </w:rPr>
            </w:pPr>
            <w:r w:rsidRPr="00C33C0B">
              <w:rPr>
                <w:szCs w:val="22"/>
                <w:lang w:val="en-GB"/>
              </w:rPr>
              <w:t>a comprehensive management plan</w:t>
            </w:r>
          </w:p>
          <w:p w14:paraId="7045DFE3" w14:textId="77777777" w:rsidR="000740B5" w:rsidRPr="00C33C0B" w:rsidRDefault="000740B5" w:rsidP="000831A1">
            <w:pPr>
              <w:pStyle w:val="ListParagraph"/>
              <w:numPr>
                <w:ilvl w:val="0"/>
                <w:numId w:val="20"/>
              </w:numPr>
              <w:spacing w:before="20" w:after="20" w:line="240" w:lineRule="auto"/>
              <w:ind w:left="357" w:hanging="357"/>
              <w:rPr>
                <w:szCs w:val="22"/>
                <w:lang w:val="en-GB"/>
              </w:rPr>
            </w:pPr>
            <w:r w:rsidRPr="00C33C0B">
              <w:rPr>
                <w:szCs w:val="22"/>
                <w:lang w:val="en-GB"/>
              </w:rPr>
              <w:t>the management plan is communicated in writing to the referring practitioner and, if required;</w:t>
            </w:r>
          </w:p>
          <w:p w14:paraId="43AB0D96" w14:textId="77777777" w:rsidR="000740B5" w:rsidRPr="00C33C0B" w:rsidRDefault="000740B5" w:rsidP="000831A1">
            <w:pPr>
              <w:pStyle w:val="ListParagraph"/>
              <w:numPr>
                <w:ilvl w:val="0"/>
                <w:numId w:val="20"/>
              </w:numPr>
              <w:spacing w:before="20" w:after="20" w:line="240" w:lineRule="auto"/>
              <w:ind w:left="357" w:hanging="357"/>
              <w:rPr>
                <w:szCs w:val="22"/>
                <w:lang w:val="en-GB"/>
              </w:rPr>
            </w:pPr>
            <w:r w:rsidRPr="00C33C0B">
              <w:rPr>
                <w:szCs w:val="22"/>
                <w:lang w:val="en-GB"/>
              </w:rPr>
              <w:t>discussion of multiple treatment options available, including:</w:t>
            </w:r>
          </w:p>
          <w:p w14:paraId="143512BB" w14:textId="77777777" w:rsidR="000740B5" w:rsidRPr="00C33C0B" w:rsidRDefault="000740B5" w:rsidP="000831A1">
            <w:pPr>
              <w:pStyle w:val="ListParagraph"/>
              <w:numPr>
                <w:ilvl w:val="0"/>
                <w:numId w:val="26"/>
              </w:numPr>
              <w:spacing w:before="20" w:after="20" w:line="240" w:lineRule="auto"/>
              <w:rPr>
                <w:szCs w:val="22"/>
                <w:lang w:val="en-GB"/>
              </w:rPr>
            </w:pPr>
            <w:r w:rsidRPr="00C33C0B">
              <w:rPr>
                <w:szCs w:val="22"/>
                <w:lang w:val="en-GB"/>
              </w:rPr>
              <w:t>Discussion of treatment options to assess pros and cons of each option given patient characteristics and medical history</w:t>
            </w:r>
          </w:p>
          <w:p w14:paraId="531C3E3D" w14:textId="77777777" w:rsidR="000740B5" w:rsidRPr="00C33C0B" w:rsidRDefault="000740B5" w:rsidP="000831A1">
            <w:pPr>
              <w:pStyle w:val="ListParagraph"/>
              <w:numPr>
                <w:ilvl w:val="0"/>
                <w:numId w:val="26"/>
              </w:numPr>
              <w:spacing w:before="20" w:after="20" w:line="240" w:lineRule="auto"/>
              <w:rPr>
                <w:szCs w:val="22"/>
                <w:lang w:val="en-GB"/>
              </w:rPr>
            </w:pPr>
            <w:r w:rsidRPr="00C33C0B">
              <w:rPr>
                <w:szCs w:val="22"/>
                <w:lang w:val="en-GB"/>
              </w:rPr>
              <w:t>Consideration and discussion of necessary referrals to other health professionals</w:t>
            </w:r>
          </w:p>
          <w:p w14:paraId="7D8C8DBD" w14:textId="77777777" w:rsidR="000740B5" w:rsidRPr="00C33C0B" w:rsidRDefault="000740B5" w:rsidP="000831A1">
            <w:pPr>
              <w:pStyle w:val="ListParagraph"/>
              <w:numPr>
                <w:ilvl w:val="0"/>
                <w:numId w:val="26"/>
              </w:numPr>
              <w:spacing w:before="20" w:after="20" w:line="240" w:lineRule="auto"/>
              <w:rPr>
                <w:szCs w:val="22"/>
                <w:lang w:val="en-GB"/>
              </w:rPr>
            </w:pPr>
            <w:r w:rsidRPr="00C33C0B">
              <w:rPr>
                <w:szCs w:val="22"/>
                <w:lang w:val="en-GB"/>
              </w:rPr>
              <w:t>Written documentation made available for the patient and/or carer that outlines treatment options and information on associated risks and benefits</w:t>
            </w:r>
          </w:p>
          <w:p w14:paraId="142674DD" w14:textId="77777777" w:rsidR="000740B5" w:rsidRPr="00C33C0B" w:rsidRDefault="000740B5" w:rsidP="000831A1">
            <w:pPr>
              <w:pStyle w:val="ListParagraph"/>
              <w:numPr>
                <w:ilvl w:val="0"/>
                <w:numId w:val="20"/>
              </w:numPr>
              <w:spacing w:before="20" w:after="20" w:line="240" w:lineRule="auto"/>
              <w:ind w:left="360"/>
              <w:rPr>
                <w:szCs w:val="22"/>
                <w:lang w:val="en-GB"/>
              </w:rPr>
            </w:pPr>
            <w:r w:rsidRPr="00C33C0B">
              <w:rPr>
                <w:szCs w:val="22"/>
                <w:lang w:val="en-GB"/>
              </w:rPr>
              <w:t>outcomes documented and communicated in writing to the referring practitioner</w:t>
            </w:r>
          </w:p>
          <w:p w14:paraId="225DF6AA" w14:textId="77777777" w:rsidR="000740B5" w:rsidRDefault="000740B5" w:rsidP="00C65B0C">
            <w:pPr>
              <w:spacing w:before="20" w:after="20" w:line="240" w:lineRule="auto"/>
              <w:rPr>
                <w:szCs w:val="22"/>
                <w:lang w:val="en-GB"/>
              </w:rPr>
            </w:pPr>
            <w:r w:rsidRPr="00C33C0B">
              <w:rPr>
                <w:szCs w:val="22"/>
                <w:lang w:val="en-GB"/>
              </w:rPr>
              <w:t>Other than a service to which another Category 1, Group T1, Group T4 or Group T6 professional attendance item applies</w:t>
            </w:r>
            <w:r>
              <w:rPr>
                <w:szCs w:val="22"/>
                <w:lang w:val="en-GB"/>
              </w:rPr>
              <w:t>.</w:t>
            </w:r>
          </w:p>
          <w:p w14:paraId="09CC89F7" w14:textId="77777777" w:rsidR="000740B5" w:rsidRDefault="000740B5" w:rsidP="00C65B0C">
            <w:pPr>
              <w:spacing w:before="20" w:after="20" w:line="240" w:lineRule="auto"/>
              <w:rPr>
                <w:szCs w:val="22"/>
                <w:lang w:val="en-GB"/>
              </w:rPr>
            </w:pPr>
            <w:r>
              <w:rPr>
                <w:szCs w:val="22"/>
                <w:lang w:val="en-GB"/>
              </w:rPr>
              <w:t xml:space="preserve">Only to </w:t>
            </w:r>
            <w:r w:rsidRPr="003119FF">
              <w:rPr>
                <w:szCs w:val="22"/>
                <w:lang w:val="en-GB"/>
              </w:rPr>
              <w:t>be claimed with a Group T8</w:t>
            </w:r>
            <w:r>
              <w:rPr>
                <w:szCs w:val="22"/>
                <w:lang w:val="en-GB"/>
              </w:rPr>
              <w:t xml:space="preserve"> procedure</w:t>
            </w:r>
            <w:r w:rsidRPr="003119FF">
              <w:rPr>
                <w:szCs w:val="22"/>
                <w:lang w:val="en-GB"/>
              </w:rPr>
              <w:t xml:space="preserve"> </w:t>
            </w:r>
            <w:r>
              <w:rPr>
                <w:szCs w:val="22"/>
                <w:lang w:val="en-GB"/>
              </w:rPr>
              <w:t>item:</w:t>
            </w:r>
          </w:p>
          <w:p w14:paraId="06D570AC" w14:textId="77777777" w:rsidR="000740B5" w:rsidRDefault="000740B5" w:rsidP="000831A1">
            <w:pPr>
              <w:pStyle w:val="ListParagraph"/>
              <w:numPr>
                <w:ilvl w:val="0"/>
                <w:numId w:val="37"/>
              </w:numPr>
              <w:spacing w:before="20" w:after="20" w:line="240" w:lineRule="auto"/>
              <w:rPr>
                <w:szCs w:val="22"/>
                <w:lang w:val="en-GB"/>
              </w:rPr>
            </w:pPr>
            <w:r>
              <w:rPr>
                <w:szCs w:val="22"/>
                <w:lang w:val="en-GB"/>
              </w:rPr>
              <w:t xml:space="preserve">where </w:t>
            </w:r>
            <w:r w:rsidRPr="001B15DF">
              <w:rPr>
                <w:szCs w:val="22"/>
                <w:lang w:val="en-GB"/>
              </w:rPr>
              <w:t>the procedure has a s</w:t>
            </w:r>
            <w:r>
              <w:rPr>
                <w:szCs w:val="22"/>
                <w:lang w:val="en-GB"/>
              </w:rPr>
              <w:t>chedule fee of less than $300; or</w:t>
            </w:r>
            <w:r w:rsidRPr="001B15DF">
              <w:rPr>
                <w:szCs w:val="22"/>
                <w:lang w:val="en-GB"/>
              </w:rPr>
              <w:t xml:space="preserve"> </w:t>
            </w:r>
          </w:p>
          <w:p w14:paraId="455022D8" w14:textId="77777777" w:rsidR="000740B5" w:rsidRPr="001B15DF" w:rsidRDefault="000740B5" w:rsidP="000831A1">
            <w:pPr>
              <w:pStyle w:val="ListParagraph"/>
              <w:numPr>
                <w:ilvl w:val="0"/>
                <w:numId w:val="37"/>
              </w:numPr>
              <w:spacing w:before="20" w:after="20" w:line="240" w:lineRule="auto"/>
              <w:rPr>
                <w:szCs w:val="22"/>
                <w:lang w:val="en-GB"/>
              </w:rPr>
            </w:pPr>
            <w:r w:rsidRPr="001B15DF">
              <w:rPr>
                <w:szCs w:val="22"/>
                <w:lang w:val="en-GB"/>
              </w:rPr>
              <w:t>where the need for the procedure is identified during the consultation, has not otherwise been scheduled, is performed on the same day as the attendance, and where the procedure has a schedule fee of $300 or more.</w:t>
            </w:r>
          </w:p>
        </w:tc>
        <w:tc>
          <w:tcPr>
            <w:tcW w:w="1553" w:type="dxa"/>
            <w:shd w:val="clear" w:color="auto" w:fill="auto"/>
          </w:tcPr>
          <w:p w14:paraId="2E558054" w14:textId="77777777" w:rsidR="000740B5" w:rsidRPr="00C33C0B" w:rsidRDefault="000740B5" w:rsidP="00C65B0C">
            <w:pPr>
              <w:spacing w:before="20" w:after="20" w:line="240" w:lineRule="auto"/>
              <w:rPr>
                <w:szCs w:val="22"/>
                <w:lang w:val="en-GB"/>
              </w:rPr>
            </w:pPr>
            <w:r w:rsidRPr="00C33C0B">
              <w:rPr>
                <w:szCs w:val="22"/>
                <w:lang w:val="en-GB"/>
              </w:rPr>
              <w:t>Attendance at consulting room or hospital</w:t>
            </w:r>
          </w:p>
        </w:tc>
        <w:tc>
          <w:tcPr>
            <w:tcW w:w="1319" w:type="dxa"/>
            <w:shd w:val="clear" w:color="auto" w:fill="auto"/>
          </w:tcPr>
          <w:p w14:paraId="2128D169" w14:textId="77777777" w:rsidR="000740B5" w:rsidRPr="00C33C0B" w:rsidRDefault="000740B5" w:rsidP="00C65B0C">
            <w:pPr>
              <w:spacing w:before="20" w:after="20" w:line="240" w:lineRule="auto"/>
              <w:rPr>
                <w:szCs w:val="22"/>
                <w:lang w:val="en-GB"/>
              </w:rPr>
            </w:pPr>
            <w:r>
              <w:rPr>
                <w:szCs w:val="22"/>
                <w:lang w:val="en-GB"/>
              </w:rPr>
              <w:t xml:space="preserve">More than 60 </w:t>
            </w:r>
            <w:r w:rsidRPr="00C33C0B">
              <w:rPr>
                <w:szCs w:val="22"/>
                <w:lang w:val="en-GB"/>
              </w:rPr>
              <w:t>min</w:t>
            </w:r>
            <w:r>
              <w:rPr>
                <w:szCs w:val="22"/>
                <w:lang w:val="en-GB"/>
              </w:rPr>
              <w:t>utes</w:t>
            </w:r>
          </w:p>
        </w:tc>
      </w:tr>
      <w:tr w:rsidR="000740B5" w:rsidRPr="00C33C0B" w14:paraId="5CAE00A1" w14:textId="77777777" w:rsidTr="00C65B0C">
        <w:tc>
          <w:tcPr>
            <w:tcW w:w="784" w:type="dxa"/>
            <w:shd w:val="clear" w:color="auto" w:fill="auto"/>
          </w:tcPr>
          <w:p w14:paraId="4BB89E7B" w14:textId="77777777" w:rsidR="000740B5" w:rsidRPr="00C33C0B" w:rsidRDefault="000740B5" w:rsidP="00C65B0C">
            <w:pPr>
              <w:spacing w:before="20" w:after="20" w:line="240" w:lineRule="auto"/>
              <w:rPr>
                <w:b/>
                <w:szCs w:val="22"/>
                <w:lang w:val="en-GB"/>
              </w:rPr>
            </w:pPr>
            <w:r w:rsidRPr="00C33C0B">
              <w:rPr>
                <w:b/>
                <w:szCs w:val="22"/>
                <w:lang w:val="en-GB"/>
              </w:rPr>
              <w:t>Level E</w:t>
            </w:r>
          </w:p>
          <w:p w14:paraId="04A4A1A4" w14:textId="77777777" w:rsidR="000740B5" w:rsidRPr="00C33C0B" w:rsidRDefault="000740B5" w:rsidP="00C65B0C">
            <w:pPr>
              <w:spacing w:before="20" w:after="20" w:line="240" w:lineRule="auto"/>
              <w:rPr>
                <w:szCs w:val="22"/>
                <w:lang w:val="en-GB"/>
              </w:rPr>
            </w:pPr>
            <w:r w:rsidRPr="00C33C0B">
              <w:rPr>
                <w:szCs w:val="22"/>
                <w:lang w:val="en-GB"/>
              </w:rPr>
              <w:t>(XX2E)</w:t>
            </w:r>
          </w:p>
        </w:tc>
        <w:tc>
          <w:tcPr>
            <w:tcW w:w="7243" w:type="dxa"/>
            <w:vMerge/>
            <w:shd w:val="clear" w:color="auto" w:fill="auto"/>
          </w:tcPr>
          <w:p w14:paraId="3AD9B299" w14:textId="77777777" w:rsidR="000740B5" w:rsidRPr="00C33C0B" w:rsidRDefault="000740B5" w:rsidP="00C65B0C">
            <w:pPr>
              <w:spacing w:before="20" w:after="20" w:line="240" w:lineRule="auto"/>
              <w:rPr>
                <w:szCs w:val="22"/>
                <w:lang w:val="en-GB"/>
              </w:rPr>
            </w:pPr>
          </w:p>
        </w:tc>
        <w:tc>
          <w:tcPr>
            <w:tcW w:w="1553" w:type="dxa"/>
            <w:shd w:val="clear" w:color="auto" w:fill="auto"/>
          </w:tcPr>
          <w:p w14:paraId="4CA55CE4" w14:textId="77777777" w:rsidR="000740B5" w:rsidRPr="00C33C0B" w:rsidRDefault="000740B5" w:rsidP="00C65B0C">
            <w:pPr>
              <w:spacing w:before="20" w:after="20" w:line="240" w:lineRule="auto"/>
              <w:rPr>
                <w:szCs w:val="22"/>
                <w:lang w:val="en-GB"/>
              </w:rPr>
            </w:pPr>
            <w:r w:rsidRPr="00C33C0B">
              <w:rPr>
                <w:szCs w:val="22"/>
                <w:lang w:val="en-GB"/>
              </w:rPr>
              <w:t>Attendance in a location other than consulting room or hospital</w:t>
            </w:r>
          </w:p>
        </w:tc>
        <w:tc>
          <w:tcPr>
            <w:tcW w:w="1319" w:type="dxa"/>
            <w:shd w:val="clear" w:color="auto" w:fill="auto"/>
          </w:tcPr>
          <w:p w14:paraId="7EE97157" w14:textId="77777777" w:rsidR="000740B5" w:rsidRPr="00C33C0B" w:rsidRDefault="000740B5" w:rsidP="00C65B0C">
            <w:pPr>
              <w:spacing w:before="20" w:after="20" w:line="240" w:lineRule="auto"/>
              <w:rPr>
                <w:szCs w:val="22"/>
                <w:lang w:val="en-GB"/>
              </w:rPr>
            </w:pPr>
            <w:r>
              <w:rPr>
                <w:szCs w:val="22"/>
                <w:lang w:val="en-GB"/>
              </w:rPr>
              <w:t xml:space="preserve">More than 60 </w:t>
            </w:r>
            <w:r w:rsidRPr="00C33C0B">
              <w:rPr>
                <w:szCs w:val="22"/>
                <w:lang w:val="en-GB"/>
              </w:rPr>
              <w:t>min</w:t>
            </w:r>
            <w:r>
              <w:rPr>
                <w:szCs w:val="22"/>
                <w:lang w:val="en-GB"/>
              </w:rPr>
              <w:t>utes</w:t>
            </w:r>
          </w:p>
        </w:tc>
      </w:tr>
    </w:tbl>
    <w:p w14:paraId="1A5AFB3B" w14:textId="77777777" w:rsidR="000740B5" w:rsidRPr="000740B5" w:rsidRDefault="000740B5" w:rsidP="000740B5">
      <w:pPr>
        <w:rPr>
          <w:b/>
          <w:bCs/>
          <w:iCs/>
          <w:lang w:val="en-US" w:eastAsia="en-US"/>
        </w:rPr>
      </w:pPr>
      <w:r w:rsidRPr="000740B5">
        <w:rPr>
          <w:b/>
          <w:bCs/>
          <w:iCs/>
          <w:lang w:val="en-US" w:eastAsia="en-US"/>
        </w:rPr>
        <w:t>Recommendation 2 – Introduce new attendance items for acute, urgent and unplanned attendances</w:t>
      </w:r>
    </w:p>
    <w:p w14:paraId="2F64B8A3" w14:textId="77777777" w:rsidR="000740B5" w:rsidRDefault="000740B5" w:rsidP="000740B5">
      <w:pPr>
        <w:pStyle w:val="Bullet-green"/>
        <w:numPr>
          <w:ilvl w:val="0"/>
          <w:numId w:val="0"/>
        </w:numPr>
        <w:ind w:left="431" w:hanging="431"/>
        <w:rPr>
          <w:lang w:val="en-GB"/>
        </w:rPr>
      </w:pPr>
      <w:r>
        <w:rPr>
          <w:lang w:val="en-GB"/>
        </w:rPr>
        <w:t>The Committee recommends:</w:t>
      </w:r>
    </w:p>
    <w:p w14:paraId="460C1384" w14:textId="77777777" w:rsidR="000740B5" w:rsidRDefault="000740B5" w:rsidP="000831A1">
      <w:pPr>
        <w:pStyle w:val="Bullet-green"/>
        <w:numPr>
          <w:ilvl w:val="0"/>
          <w:numId w:val="80"/>
        </w:numPr>
        <w:rPr>
          <w:lang w:val="en-GB"/>
        </w:rPr>
      </w:pPr>
      <w:r>
        <w:rPr>
          <w:lang w:val="en-GB"/>
        </w:rPr>
        <w:t>creating</w:t>
      </w:r>
      <w:r w:rsidRPr="00C33C0B">
        <w:rPr>
          <w:lang w:val="en-GB"/>
        </w:rPr>
        <w:t xml:space="preserve"> </w:t>
      </w:r>
      <w:r>
        <w:rPr>
          <w:lang w:val="en-GB"/>
        </w:rPr>
        <w:t xml:space="preserve">four </w:t>
      </w:r>
      <w:r w:rsidRPr="00C33C0B">
        <w:rPr>
          <w:lang w:val="en-GB"/>
        </w:rPr>
        <w:t xml:space="preserve">new </w:t>
      </w:r>
      <w:r>
        <w:rPr>
          <w:lang w:val="en-GB"/>
        </w:rPr>
        <w:t xml:space="preserve">time-tiered </w:t>
      </w:r>
      <w:r w:rsidRPr="00C33C0B">
        <w:rPr>
          <w:lang w:val="en-GB"/>
        </w:rPr>
        <w:t>attendance item</w:t>
      </w:r>
      <w:r>
        <w:rPr>
          <w:lang w:val="en-GB"/>
        </w:rPr>
        <w:t>s for acute, ur</w:t>
      </w:r>
      <w:r w:rsidR="006D683C">
        <w:rPr>
          <w:lang w:val="en-GB"/>
        </w:rPr>
        <w:t xml:space="preserve">gent, and unplanned attendances; </w:t>
      </w:r>
    </w:p>
    <w:p w14:paraId="585581AC" w14:textId="77777777" w:rsidR="000740B5" w:rsidRPr="00607BDA" w:rsidRDefault="000740B5" w:rsidP="000831A1">
      <w:pPr>
        <w:pStyle w:val="Bullet-green"/>
        <w:numPr>
          <w:ilvl w:val="0"/>
          <w:numId w:val="80"/>
        </w:numPr>
        <w:rPr>
          <w:lang w:val="en-GB"/>
        </w:rPr>
      </w:pPr>
      <w:r>
        <w:rPr>
          <w:lang w:val="en-GB"/>
        </w:rPr>
        <w:t>sp</w:t>
      </w:r>
      <w:r w:rsidRPr="00607BDA">
        <w:rPr>
          <w:lang w:val="en-GB"/>
        </w:rPr>
        <w:t>ecify</w:t>
      </w:r>
      <w:r>
        <w:rPr>
          <w:lang w:val="en-GB"/>
        </w:rPr>
        <w:t>ing</w:t>
      </w:r>
      <w:r w:rsidRPr="00607BDA">
        <w:rPr>
          <w:lang w:val="en-GB"/>
        </w:rPr>
        <w:t xml:space="preserve"> that these items are only to be used in specific situations where the attendance is acute, urgent, unplanned, and does not take place in the consultant specialist’s consulting rooms or in the emergency department of a public hospital</w:t>
      </w:r>
      <w:r w:rsidR="006D683C">
        <w:rPr>
          <w:lang w:val="en-GB"/>
        </w:rPr>
        <w:t>;</w:t>
      </w:r>
      <w:r w:rsidRPr="00607BDA">
        <w:rPr>
          <w:lang w:val="en-GB"/>
        </w:rPr>
        <w:t xml:space="preserve"> </w:t>
      </w:r>
    </w:p>
    <w:p w14:paraId="635C91B4" w14:textId="77777777" w:rsidR="000740B5" w:rsidRPr="00607BDA" w:rsidRDefault="000740B5" w:rsidP="000831A1">
      <w:pPr>
        <w:pStyle w:val="Bullet-green"/>
        <w:numPr>
          <w:ilvl w:val="0"/>
          <w:numId w:val="80"/>
        </w:numPr>
        <w:rPr>
          <w:lang w:val="en-GB"/>
        </w:rPr>
      </w:pPr>
      <w:r>
        <w:rPr>
          <w:lang w:val="en-GB"/>
        </w:rPr>
        <w:t>s</w:t>
      </w:r>
      <w:r w:rsidRPr="00607BDA">
        <w:rPr>
          <w:lang w:val="en-GB"/>
        </w:rPr>
        <w:t>pecify</w:t>
      </w:r>
      <w:r>
        <w:rPr>
          <w:lang w:val="en-GB"/>
        </w:rPr>
        <w:t>ing</w:t>
      </w:r>
      <w:r w:rsidRPr="00607BDA">
        <w:rPr>
          <w:lang w:val="en-GB"/>
        </w:rPr>
        <w:t xml:space="preserve"> that the duration of these time tiers should be the same as Levels B, C, D, and E used for standard attendance items (</w:t>
      </w:r>
      <w:r w:rsidRPr="00607BDA">
        <w:rPr>
          <w:i/>
          <w:lang w:val="en-GB"/>
        </w:rPr>
        <w:t>refer to Recommendation 1</w:t>
      </w:r>
      <w:r w:rsidRPr="00607BDA">
        <w:rPr>
          <w:lang w:val="en-GB"/>
        </w:rPr>
        <w:t>)</w:t>
      </w:r>
      <w:r w:rsidR="006D683C">
        <w:rPr>
          <w:lang w:val="en-GB"/>
        </w:rPr>
        <w:t>;</w:t>
      </w:r>
    </w:p>
    <w:p w14:paraId="714E87A5" w14:textId="77777777" w:rsidR="000740B5" w:rsidRPr="00C33C0B" w:rsidRDefault="000740B5" w:rsidP="000831A1">
      <w:pPr>
        <w:pStyle w:val="Bullet-green"/>
        <w:numPr>
          <w:ilvl w:val="0"/>
          <w:numId w:val="80"/>
        </w:numPr>
        <w:rPr>
          <w:lang w:val="en-GB"/>
        </w:rPr>
      </w:pPr>
      <w:r w:rsidRPr="00C33C0B">
        <w:rPr>
          <w:lang w:val="en-GB"/>
        </w:rPr>
        <w:t>a schedule fee</w:t>
      </w:r>
      <w:r>
        <w:rPr>
          <w:lang w:val="en-GB"/>
        </w:rPr>
        <w:t xml:space="preserve"> for these items that is higher than the schedule fee for standard time-tiered attendances of equivalent</w:t>
      </w:r>
      <w:r w:rsidR="006D683C">
        <w:rPr>
          <w:lang w:val="en-GB"/>
        </w:rPr>
        <w:t xml:space="preserve"> duration;</w:t>
      </w:r>
      <w:r>
        <w:rPr>
          <w:lang w:val="en-GB"/>
        </w:rPr>
        <w:t xml:space="preserve"> and </w:t>
      </w:r>
    </w:p>
    <w:p w14:paraId="6CB6BC4D" w14:textId="77777777" w:rsidR="000740B5" w:rsidRPr="00C33C0B" w:rsidRDefault="000740B5" w:rsidP="000831A1">
      <w:pPr>
        <w:pStyle w:val="Bullet-green"/>
        <w:numPr>
          <w:ilvl w:val="0"/>
          <w:numId w:val="80"/>
        </w:numPr>
        <w:rPr>
          <w:lang w:val="en-GB"/>
        </w:rPr>
      </w:pPr>
      <w:r>
        <w:rPr>
          <w:lang w:val="en-GB"/>
        </w:rPr>
        <w:t>that these items</w:t>
      </w:r>
      <w:r w:rsidRPr="00C33C0B">
        <w:rPr>
          <w:lang w:val="en-GB"/>
        </w:rPr>
        <w:t xml:space="preserve"> should </w:t>
      </w:r>
      <w:r>
        <w:rPr>
          <w:lang w:val="en-GB"/>
        </w:rPr>
        <w:t xml:space="preserve">be restricted from being </w:t>
      </w:r>
      <w:r w:rsidRPr="00C33C0B">
        <w:rPr>
          <w:lang w:val="en-GB"/>
        </w:rPr>
        <w:t xml:space="preserve">claimed </w:t>
      </w:r>
      <w:r>
        <w:rPr>
          <w:lang w:val="en-GB"/>
        </w:rPr>
        <w:t>alongside</w:t>
      </w:r>
      <w:r w:rsidRPr="00C33C0B">
        <w:rPr>
          <w:lang w:val="en-GB"/>
        </w:rPr>
        <w:t xml:space="preserve"> prolonged attendance item</w:t>
      </w:r>
      <w:r>
        <w:rPr>
          <w:lang w:val="en-GB"/>
        </w:rPr>
        <w:t xml:space="preserve">s 160-164 </w:t>
      </w:r>
      <w:r w:rsidRPr="00C33C0B">
        <w:rPr>
          <w:lang w:val="en-GB"/>
        </w:rPr>
        <w:t>where the patient is in imminent danger of death.</w:t>
      </w:r>
    </w:p>
    <w:p w14:paraId="3962BD73" w14:textId="77777777" w:rsidR="006E7930" w:rsidRDefault="006E7930" w:rsidP="00651006">
      <w:pPr>
        <w:rPr>
          <w:b/>
        </w:rPr>
      </w:pPr>
    </w:p>
    <w:p w14:paraId="1C0AB8C6" w14:textId="77777777" w:rsidR="000740B5" w:rsidRPr="00651006" w:rsidRDefault="002355E9" w:rsidP="00651006">
      <w:pPr>
        <w:rPr>
          <w:b/>
        </w:rPr>
      </w:pPr>
      <w:r>
        <w:rPr>
          <w:b/>
        </w:rPr>
        <w:t xml:space="preserve">Table </w:t>
      </w:r>
      <w:r w:rsidR="00C17B92">
        <w:rPr>
          <w:b/>
        </w:rPr>
        <w:t>B</w:t>
      </w:r>
      <w:r>
        <w:rPr>
          <w:b/>
        </w:rPr>
        <w:t>.</w:t>
      </w:r>
      <w:r w:rsidR="00C17B92">
        <w:rPr>
          <w:b/>
        </w:rPr>
        <w:t>2</w:t>
      </w:r>
      <w:r w:rsidR="004F0673">
        <w:rPr>
          <w:b/>
        </w:rPr>
        <w:t>:</w:t>
      </w:r>
      <w:r w:rsidR="000740B5" w:rsidRPr="00651006">
        <w:rPr>
          <w:b/>
        </w:rPr>
        <w:t xml:space="preserve"> Acute attendance item descriptors</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B - Table B.2: Acute attendance item descriptors"/>
        <w:tblDescription w:val="Table B.2 has 3 columns. Column 1 is the item. Column 2 is the duration of the item. Column 3 is the item descriptor. "/>
      </w:tblPr>
      <w:tblGrid>
        <w:gridCol w:w="613"/>
        <w:gridCol w:w="874"/>
        <w:gridCol w:w="6815"/>
      </w:tblGrid>
      <w:tr w:rsidR="000740B5" w:rsidRPr="00C33C0B" w14:paraId="4589E10F" w14:textId="77777777" w:rsidTr="00C65B0C">
        <w:trPr>
          <w:tblHeader/>
        </w:trPr>
        <w:tc>
          <w:tcPr>
            <w:tcW w:w="615" w:type="dxa"/>
            <w:shd w:val="clear" w:color="auto" w:fill="306244"/>
            <w:vAlign w:val="bottom"/>
          </w:tcPr>
          <w:p w14:paraId="625F4F28" w14:textId="77777777" w:rsidR="000740B5" w:rsidRPr="00C33C0B" w:rsidRDefault="000740B5" w:rsidP="00C65B0C">
            <w:pPr>
              <w:spacing w:before="20" w:after="20" w:line="240" w:lineRule="auto"/>
              <w:rPr>
                <w:b/>
                <w:bCs/>
                <w:color w:val="FFFFFF" w:themeColor="background1"/>
                <w:lang w:val="en-GB"/>
              </w:rPr>
            </w:pPr>
            <w:r w:rsidRPr="00C33C0B">
              <w:rPr>
                <w:b/>
                <w:bCs/>
                <w:color w:val="FFFFFF" w:themeColor="background1"/>
                <w:lang w:val="en-GB"/>
              </w:rPr>
              <w:t>Item</w:t>
            </w:r>
          </w:p>
        </w:tc>
        <w:tc>
          <w:tcPr>
            <w:tcW w:w="874" w:type="dxa"/>
            <w:shd w:val="clear" w:color="auto" w:fill="306244"/>
          </w:tcPr>
          <w:p w14:paraId="7D6C9974" w14:textId="77777777" w:rsidR="000740B5" w:rsidRPr="00C33C0B" w:rsidRDefault="000740B5" w:rsidP="00C65B0C">
            <w:pPr>
              <w:spacing w:before="20" w:after="20" w:line="240" w:lineRule="auto"/>
              <w:rPr>
                <w:b/>
                <w:bCs/>
                <w:color w:val="FFFFFF" w:themeColor="background1"/>
                <w:lang w:val="en-GB"/>
              </w:rPr>
            </w:pPr>
            <w:r>
              <w:rPr>
                <w:b/>
                <w:bCs/>
                <w:color w:val="FFFFFF" w:themeColor="background1"/>
                <w:lang w:val="en-GB"/>
              </w:rPr>
              <w:t>Duration</w:t>
            </w:r>
          </w:p>
        </w:tc>
        <w:tc>
          <w:tcPr>
            <w:tcW w:w="6879" w:type="dxa"/>
            <w:shd w:val="clear" w:color="auto" w:fill="306244"/>
            <w:vAlign w:val="bottom"/>
          </w:tcPr>
          <w:p w14:paraId="4A47F4DF" w14:textId="77777777" w:rsidR="000740B5" w:rsidRPr="00C33C0B" w:rsidRDefault="000740B5" w:rsidP="00C65B0C">
            <w:pPr>
              <w:spacing w:before="20" w:after="20" w:line="240" w:lineRule="auto"/>
              <w:rPr>
                <w:b/>
                <w:color w:val="FFFFFF" w:themeColor="background1"/>
                <w:lang w:val="en-GB"/>
              </w:rPr>
            </w:pPr>
            <w:r w:rsidRPr="00C33C0B">
              <w:rPr>
                <w:b/>
                <w:bCs/>
                <w:color w:val="FFFFFF" w:themeColor="background1"/>
                <w:lang w:val="en-GB"/>
              </w:rPr>
              <w:t xml:space="preserve">Item descriptor </w:t>
            </w:r>
          </w:p>
        </w:tc>
      </w:tr>
      <w:tr w:rsidR="000740B5" w:rsidRPr="00C33C0B" w14:paraId="50DE5F82" w14:textId="77777777" w:rsidTr="00C65B0C">
        <w:tc>
          <w:tcPr>
            <w:tcW w:w="615" w:type="dxa"/>
            <w:shd w:val="clear" w:color="auto" w:fill="auto"/>
          </w:tcPr>
          <w:p w14:paraId="558BD251" w14:textId="77777777" w:rsidR="000740B5" w:rsidRPr="00C33C0B" w:rsidRDefault="000740B5" w:rsidP="00C65B0C">
            <w:pPr>
              <w:spacing w:before="20" w:after="20" w:line="240" w:lineRule="auto"/>
              <w:rPr>
                <w:bCs/>
                <w:lang w:val="en-GB"/>
              </w:rPr>
            </w:pPr>
            <w:r w:rsidRPr="00C33C0B">
              <w:rPr>
                <w:bCs/>
                <w:lang w:val="en-GB"/>
              </w:rPr>
              <w:t>XY1</w:t>
            </w:r>
          </w:p>
        </w:tc>
        <w:tc>
          <w:tcPr>
            <w:tcW w:w="874" w:type="dxa"/>
          </w:tcPr>
          <w:p w14:paraId="70104D68" w14:textId="77777777" w:rsidR="000740B5" w:rsidRPr="00C33C0B" w:rsidRDefault="000740B5" w:rsidP="00C65B0C">
            <w:pPr>
              <w:spacing w:before="20" w:after="20" w:line="240" w:lineRule="auto"/>
              <w:rPr>
                <w:bCs/>
                <w:lang w:val="en-GB"/>
              </w:rPr>
            </w:pPr>
            <w:r>
              <w:rPr>
                <w:bCs/>
                <w:lang w:val="en-GB"/>
              </w:rPr>
              <w:t>5-20 minutes</w:t>
            </w:r>
          </w:p>
        </w:tc>
        <w:tc>
          <w:tcPr>
            <w:tcW w:w="6879" w:type="dxa"/>
            <w:shd w:val="clear" w:color="auto" w:fill="auto"/>
          </w:tcPr>
          <w:p w14:paraId="3C7682C5" w14:textId="77777777" w:rsidR="000740B5" w:rsidRPr="00C33C0B" w:rsidRDefault="000740B5" w:rsidP="00C65B0C">
            <w:pPr>
              <w:spacing w:before="20" w:after="20" w:line="240" w:lineRule="auto"/>
              <w:rPr>
                <w:bCs/>
                <w:lang w:val="en-GB"/>
              </w:rPr>
            </w:pPr>
            <w:r w:rsidRPr="00C33C0B">
              <w:rPr>
                <w:bCs/>
                <w:lang w:val="en-GB"/>
              </w:rPr>
              <w:t xml:space="preserve">Professional attendance </w:t>
            </w:r>
            <w:r>
              <w:rPr>
                <w:bCs/>
                <w:lang w:val="en-GB"/>
              </w:rPr>
              <w:t xml:space="preserve">of more than [X] minutes but not more than [X] minutes </w:t>
            </w:r>
            <w:r w:rsidRPr="00C33C0B">
              <w:rPr>
                <w:bCs/>
                <w:lang w:val="en-GB"/>
              </w:rPr>
              <w:t xml:space="preserve">by a </w:t>
            </w:r>
            <w:r>
              <w:rPr>
                <w:bCs/>
                <w:lang w:val="en-GB"/>
              </w:rPr>
              <w:t xml:space="preserve">consultant specialist that is acute, </w:t>
            </w:r>
            <w:r w:rsidRPr="00C33C0B">
              <w:rPr>
                <w:bCs/>
                <w:lang w:val="en-GB"/>
              </w:rPr>
              <w:t>urgent,</w:t>
            </w:r>
            <w:r>
              <w:rPr>
                <w:bCs/>
                <w:lang w:val="en-GB"/>
              </w:rPr>
              <w:t xml:space="preserve"> unplanned, and </w:t>
            </w:r>
            <w:r w:rsidRPr="002E7957">
              <w:rPr>
                <w:bCs/>
                <w:lang w:val="en-GB"/>
              </w:rPr>
              <w:t>does not take place in consulting rooms or in the emergency department of a public hospital</w:t>
            </w:r>
            <w:r>
              <w:rPr>
                <w:bCs/>
                <w:lang w:val="en-GB"/>
              </w:rPr>
              <w:t xml:space="preserve">, and where </w:t>
            </w:r>
            <w:r w:rsidRPr="00C33C0B">
              <w:rPr>
                <w:bCs/>
                <w:lang w:val="en-GB"/>
              </w:rPr>
              <w:t>the patient is:</w:t>
            </w:r>
          </w:p>
          <w:p w14:paraId="2983A04D" w14:textId="77777777" w:rsidR="000740B5" w:rsidRPr="00C33C0B" w:rsidRDefault="000740B5" w:rsidP="000831A1">
            <w:pPr>
              <w:pStyle w:val="ListParagraph"/>
              <w:numPr>
                <w:ilvl w:val="0"/>
                <w:numId w:val="21"/>
              </w:numPr>
              <w:spacing w:before="20" w:after="20" w:line="240" w:lineRule="auto"/>
              <w:rPr>
                <w:bCs/>
                <w:lang w:val="en-GB"/>
              </w:rPr>
            </w:pPr>
            <w:r w:rsidRPr="00C33C0B">
              <w:rPr>
                <w:bCs/>
                <w:lang w:val="en-GB"/>
              </w:rPr>
              <w:t>at risk of serious morbidity or mortality requiring urgent assessment and resuscitation; or</w:t>
            </w:r>
          </w:p>
          <w:p w14:paraId="39A9708E" w14:textId="77777777" w:rsidR="000740B5" w:rsidRPr="00C33C0B" w:rsidRDefault="000740B5" w:rsidP="000831A1">
            <w:pPr>
              <w:pStyle w:val="ListParagraph"/>
              <w:numPr>
                <w:ilvl w:val="0"/>
                <w:numId w:val="21"/>
              </w:numPr>
              <w:spacing w:before="20" w:after="20" w:line="240" w:lineRule="auto"/>
              <w:rPr>
                <w:bCs/>
                <w:lang w:val="en-GB"/>
              </w:rPr>
            </w:pPr>
            <w:r w:rsidRPr="00C33C0B">
              <w:rPr>
                <w:bCs/>
                <w:lang w:val="en-GB"/>
              </w:rPr>
              <w:t>suffering from suspected acute organ or system failure; or</w:t>
            </w:r>
          </w:p>
          <w:p w14:paraId="344FD579" w14:textId="77777777" w:rsidR="000740B5" w:rsidRPr="00C33C0B" w:rsidRDefault="000740B5" w:rsidP="000831A1">
            <w:pPr>
              <w:pStyle w:val="ListParagraph"/>
              <w:numPr>
                <w:ilvl w:val="0"/>
                <w:numId w:val="21"/>
              </w:numPr>
              <w:spacing w:before="20" w:after="20" w:line="240" w:lineRule="auto"/>
              <w:rPr>
                <w:bCs/>
                <w:lang w:val="en-GB"/>
              </w:rPr>
            </w:pPr>
            <w:r w:rsidRPr="00C33C0B">
              <w:rPr>
                <w:bCs/>
                <w:lang w:val="en-GB"/>
              </w:rPr>
              <w:t>suffering from an illness or injury where the viability or function of a body part or organ is acutely threatened; or</w:t>
            </w:r>
          </w:p>
          <w:p w14:paraId="75BD4D48" w14:textId="77777777" w:rsidR="000740B5" w:rsidRPr="00C33C0B" w:rsidRDefault="000740B5" w:rsidP="000831A1">
            <w:pPr>
              <w:pStyle w:val="ListParagraph"/>
              <w:numPr>
                <w:ilvl w:val="0"/>
                <w:numId w:val="21"/>
              </w:numPr>
              <w:spacing w:before="20" w:after="20" w:line="240" w:lineRule="auto"/>
              <w:rPr>
                <w:bCs/>
                <w:lang w:val="en-GB"/>
              </w:rPr>
            </w:pPr>
            <w:r w:rsidRPr="00C33C0B">
              <w:rPr>
                <w:bCs/>
                <w:lang w:val="en-GB"/>
              </w:rPr>
              <w:t>suffering from a potentially life-threatening complication of an infection (i.e., sepsis)</w:t>
            </w:r>
          </w:p>
          <w:p w14:paraId="7A4ACA8C" w14:textId="77777777" w:rsidR="000740B5" w:rsidRPr="00C33C0B" w:rsidRDefault="000740B5" w:rsidP="000831A1">
            <w:pPr>
              <w:pStyle w:val="ListParagraph"/>
              <w:numPr>
                <w:ilvl w:val="0"/>
                <w:numId w:val="21"/>
              </w:numPr>
              <w:spacing w:before="20" w:after="20" w:line="240" w:lineRule="auto"/>
              <w:rPr>
                <w:bCs/>
                <w:lang w:val="en-GB"/>
              </w:rPr>
            </w:pPr>
            <w:r w:rsidRPr="00C33C0B">
              <w:rPr>
                <w:bCs/>
                <w:lang w:val="en-GB"/>
              </w:rPr>
              <w:t>suffering from a drug overdose, toxic substance or toxin effect; or</w:t>
            </w:r>
          </w:p>
          <w:p w14:paraId="224965C1" w14:textId="77777777" w:rsidR="000740B5" w:rsidRPr="00C33C0B" w:rsidRDefault="000740B5" w:rsidP="000831A1">
            <w:pPr>
              <w:pStyle w:val="ListParagraph"/>
              <w:numPr>
                <w:ilvl w:val="0"/>
                <w:numId w:val="21"/>
              </w:numPr>
              <w:spacing w:before="20" w:after="20" w:line="240" w:lineRule="auto"/>
              <w:rPr>
                <w:bCs/>
                <w:lang w:val="en-GB"/>
              </w:rPr>
            </w:pPr>
            <w:r w:rsidRPr="00C33C0B">
              <w:rPr>
                <w:bCs/>
                <w:lang w:val="en-GB"/>
              </w:rPr>
              <w:t>experiencing severe psychiatric disturbance whereby the health of the patient or other people is at immediate risk; or</w:t>
            </w:r>
          </w:p>
          <w:p w14:paraId="74D1718E" w14:textId="77777777" w:rsidR="000740B5" w:rsidRPr="00C33C0B" w:rsidRDefault="000740B5" w:rsidP="000831A1">
            <w:pPr>
              <w:pStyle w:val="ListParagraph"/>
              <w:numPr>
                <w:ilvl w:val="0"/>
                <w:numId w:val="21"/>
              </w:numPr>
              <w:spacing w:before="20" w:after="20" w:line="240" w:lineRule="auto"/>
              <w:rPr>
                <w:bCs/>
                <w:lang w:val="en-GB"/>
              </w:rPr>
            </w:pPr>
            <w:r w:rsidRPr="00C33C0B">
              <w:rPr>
                <w:bCs/>
                <w:lang w:val="en-GB"/>
              </w:rPr>
              <w:t>suffering acute severe pain where the viability or function of a body part or organ is suspected to be acutely threatened; or</w:t>
            </w:r>
          </w:p>
          <w:p w14:paraId="21FE49A0" w14:textId="77777777" w:rsidR="000740B5" w:rsidRPr="00C33C0B" w:rsidRDefault="000740B5" w:rsidP="000831A1">
            <w:pPr>
              <w:pStyle w:val="ListParagraph"/>
              <w:numPr>
                <w:ilvl w:val="0"/>
                <w:numId w:val="21"/>
              </w:numPr>
              <w:spacing w:before="20" w:after="20" w:line="240" w:lineRule="auto"/>
              <w:rPr>
                <w:bCs/>
                <w:lang w:val="en-GB"/>
              </w:rPr>
            </w:pPr>
            <w:r w:rsidRPr="00C33C0B">
              <w:rPr>
                <w:bCs/>
                <w:lang w:val="en-GB"/>
              </w:rPr>
              <w:t>suffering acute significant haemorrhage requiring urgent assessment and treatment</w:t>
            </w:r>
          </w:p>
          <w:p w14:paraId="335B4E7A" w14:textId="77777777" w:rsidR="000740B5" w:rsidRPr="00C33C0B" w:rsidRDefault="000740B5" w:rsidP="00C65B0C">
            <w:pPr>
              <w:spacing w:before="20" w:after="20" w:line="240" w:lineRule="auto"/>
              <w:rPr>
                <w:bCs/>
                <w:lang w:val="en-GB"/>
              </w:rPr>
            </w:pPr>
            <w:r w:rsidRPr="00C33C0B">
              <w:rPr>
                <w:bCs/>
                <w:lang w:val="en-GB"/>
              </w:rPr>
              <w:t>Not to be claimed with prolonged attendance items 160, 161, 162, 163, or 164</w:t>
            </w:r>
            <w:r>
              <w:rPr>
                <w:bCs/>
                <w:lang w:val="en-GB"/>
              </w:rPr>
              <w:t xml:space="preserve"> </w:t>
            </w:r>
          </w:p>
        </w:tc>
      </w:tr>
    </w:tbl>
    <w:p w14:paraId="7E02D91C" w14:textId="77777777" w:rsidR="000740B5" w:rsidRPr="000740B5" w:rsidRDefault="000740B5" w:rsidP="000740B5">
      <w:pPr>
        <w:rPr>
          <w:b/>
          <w:bCs/>
          <w:iCs/>
          <w:lang w:val="en-US" w:eastAsia="en-US"/>
        </w:rPr>
      </w:pPr>
      <w:r w:rsidRPr="000740B5">
        <w:rPr>
          <w:b/>
          <w:bCs/>
          <w:iCs/>
          <w:lang w:val="en-US" w:eastAsia="en-US"/>
        </w:rPr>
        <w:t>Recommendation 3 - Further considerations when implementing time-tiering</w:t>
      </w:r>
    </w:p>
    <w:p w14:paraId="4E501409" w14:textId="77777777" w:rsidR="000740B5" w:rsidRPr="000740B5" w:rsidRDefault="000740B5" w:rsidP="00607BDA">
      <w:pPr>
        <w:rPr>
          <w:bCs/>
          <w:iCs/>
          <w:lang w:val="en-GB" w:eastAsia="en-US"/>
        </w:rPr>
      </w:pPr>
      <w:r w:rsidRPr="000740B5">
        <w:rPr>
          <w:bCs/>
          <w:iCs/>
          <w:lang w:val="en-GB" w:eastAsia="en-US"/>
        </w:rPr>
        <w:t>The Committee recommends the following be considered when moving towards implementation:</w:t>
      </w:r>
    </w:p>
    <w:p w14:paraId="711D89B0" w14:textId="77777777" w:rsidR="000740B5" w:rsidRPr="000740B5" w:rsidRDefault="00196C0C" w:rsidP="000831A1">
      <w:pPr>
        <w:numPr>
          <w:ilvl w:val="0"/>
          <w:numId w:val="75"/>
        </w:numPr>
        <w:rPr>
          <w:bCs/>
          <w:iCs/>
        </w:rPr>
      </w:pPr>
      <w:r>
        <w:rPr>
          <w:bCs/>
          <w:iCs/>
          <w:lang w:val="en-US" w:eastAsia="en-US"/>
        </w:rPr>
        <w:t>C</w:t>
      </w:r>
      <w:r w:rsidR="000740B5" w:rsidRPr="000740B5">
        <w:rPr>
          <w:bCs/>
          <w:iCs/>
          <w:lang w:val="en-US" w:eastAsia="en-US"/>
        </w:rPr>
        <w:t xml:space="preserve">ollecting data on the duration of attendances across specialties, and the activities performed during these attendances, similar to the data collected from GPs through the </w:t>
      </w:r>
      <w:r w:rsidR="000740B5" w:rsidRPr="000740B5">
        <w:rPr>
          <w:bCs/>
          <w:i/>
          <w:iCs/>
          <w:lang w:val="en-US" w:eastAsia="en-US"/>
        </w:rPr>
        <w:t>Bettering the Evaluation and Care of Health</w:t>
      </w:r>
      <w:r w:rsidR="000740B5" w:rsidRPr="000740B5">
        <w:rPr>
          <w:bCs/>
          <w:iCs/>
          <w:lang w:val="en-US" w:eastAsia="en-US"/>
        </w:rPr>
        <w:t xml:space="preserve"> program (BEACH data).</w:t>
      </w:r>
    </w:p>
    <w:p w14:paraId="15381EC6" w14:textId="77777777" w:rsidR="000740B5" w:rsidRPr="000740B5" w:rsidRDefault="00196C0C" w:rsidP="000831A1">
      <w:pPr>
        <w:numPr>
          <w:ilvl w:val="0"/>
          <w:numId w:val="75"/>
        </w:numPr>
        <w:rPr>
          <w:bCs/>
          <w:iCs/>
        </w:rPr>
      </w:pPr>
      <w:r>
        <w:rPr>
          <w:bCs/>
          <w:iCs/>
          <w:lang w:val="en-US" w:eastAsia="en-US"/>
        </w:rPr>
        <w:t>U</w:t>
      </w:r>
      <w:r w:rsidR="000740B5" w:rsidRPr="000740B5">
        <w:rPr>
          <w:bCs/>
          <w:iCs/>
          <w:lang w:val="en-US" w:eastAsia="en-US"/>
        </w:rPr>
        <w:t>sing the data to accurately model the impact of time-tiering on service volume and benefits.</w:t>
      </w:r>
    </w:p>
    <w:p w14:paraId="250152E5" w14:textId="77777777" w:rsidR="000740B5" w:rsidRPr="000740B5" w:rsidRDefault="00196C0C" w:rsidP="000831A1">
      <w:pPr>
        <w:numPr>
          <w:ilvl w:val="0"/>
          <w:numId w:val="75"/>
        </w:numPr>
        <w:rPr>
          <w:bCs/>
          <w:iCs/>
        </w:rPr>
      </w:pPr>
      <w:r>
        <w:rPr>
          <w:bCs/>
          <w:iCs/>
          <w:lang w:val="en-US" w:eastAsia="en-US"/>
        </w:rPr>
        <w:t>I</w:t>
      </w:r>
      <w:r w:rsidR="000740B5" w:rsidRPr="000740B5">
        <w:rPr>
          <w:bCs/>
          <w:iCs/>
          <w:lang w:val="en-US" w:eastAsia="en-US"/>
        </w:rPr>
        <w:t>nvesting in change management to facilitate the transition to the new items and build understanding of the benefits of the time-tiering model.</w:t>
      </w:r>
    </w:p>
    <w:p w14:paraId="3ED5E12D" w14:textId="77777777" w:rsidR="000740B5" w:rsidRPr="000740B5" w:rsidRDefault="00196C0C" w:rsidP="000831A1">
      <w:pPr>
        <w:numPr>
          <w:ilvl w:val="0"/>
          <w:numId w:val="75"/>
        </w:numPr>
        <w:rPr>
          <w:bCs/>
          <w:iCs/>
        </w:rPr>
      </w:pPr>
      <w:r>
        <w:rPr>
          <w:bCs/>
          <w:iCs/>
          <w:lang w:val="en-US" w:eastAsia="en-US"/>
        </w:rPr>
        <w:t>M</w:t>
      </w:r>
      <w:r w:rsidR="000740B5" w:rsidRPr="000740B5">
        <w:rPr>
          <w:bCs/>
          <w:iCs/>
          <w:lang w:val="en-US" w:eastAsia="en-US"/>
        </w:rPr>
        <w:t>aking the model simple to provide transparency and consistency for doctors and consumers.</w:t>
      </w:r>
    </w:p>
    <w:p w14:paraId="2E2C47DA" w14:textId="77777777" w:rsidR="000740B5" w:rsidRPr="000740B5" w:rsidRDefault="00196C0C" w:rsidP="000831A1">
      <w:pPr>
        <w:numPr>
          <w:ilvl w:val="0"/>
          <w:numId w:val="75"/>
        </w:numPr>
        <w:rPr>
          <w:bCs/>
          <w:iCs/>
        </w:rPr>
      </w:pPr>
      <w:r>
        <w:rPr>
          <w:bCs/>
          <w:iCs/>
          <w:lang w:val="en-US" w:eastAsia="en-US"/>
        </w:rPr>
        <w:t>A</w:t>
      </w:r>
      <w:r w:rsidR="000740B5" w:rsidRPr="000740B5">
        <w:rPr>
          <w:bCs/>
          <w:iCs/>
          <w:lang w:val="en-US" w:eastAsia="en-US"/>
        </w:rPr>
        <w:t>dding a longer time tier (i.e. Level F) should the need be identified. If introduced, this should accompany an estimate of services claimed through this tier.</w:t>
      </w:r>
    </w:p>
    <w:p w14:paraId="73CD3B20" w14:textId="77777777" w:rsidR="000740B5" w:rsidRPr="000740B5" w:rsidRDefault="00196C0C" w:rsidP="000831A1">
      <w:pPr>
        <w:numPr>
          <w:ilvl w:val="0"/>
          <w:numId w:val="75"/>
        </w:numPr>
        <w:rPr>
          <w:bCs/>
          <w:iCs/>
        </w:rPr>
      </w:pPr>
      <w:r>
        <w:rPr>
          <w:bCs/>
          <w:iCs/>
          <w:lang w:val="en-US" w:eastAsia="en-US"/>
        </w:rPr>
        <w:t>E</w:t>
      </w:r>
      <w:r w:rsidR="000740B5" w:rsidRPr="000740B5">
        <w:rPr>
          <w:bCs/>
          <w:iCs/>
          <w:lang w:val="en-US" w:eastAsia="en-US"/>
        </w:rPr>
        <w:t>nsuring early, active, and regular reviews of attendance items post implementation of time-tiering, including:</w:t>
      </w:r>
    </w:p>
    <w:p w14:paraId="23623F06" w14:textId="77777777" w:rsidR="000740B5" w:rsidRPr="000740B5" w:rsidRDefault="006D683C" w:rsidP="000831A1">
      <w:pPr>
        <w:numPr>
          <w:ilvl w:val="0"/>
          <w:numId w:val="76"/>
        </w:numPr>
        <w:rPr>
          <w:bCs/>
          <w:iCs/>
          <w:lang w:eastAsia="en-US"/>
        </w:rPr>
      </w:pPr>
      <w:r>
        <w:rPr>
          <w:bCs/>
          <w:iCs/>
          <w:lang w:eastAsia="en-US"/>
        </w:rPr>
        <w:t>p</w:t>
      </w:r>
      <w:r w:rsidR="000740B5" w:rsidRPr="000740B5">
        <w:rPr>
          <w:bCs/>
          <w:iCs/>
          <w:lang w:eastAsia="en-US"/>
        </w:rPr>
        <w:t>otential impac</w:t>
      </w:r>
      <w:r>
        <w:rPr>
          <w:bCs/>
          <w:iCs/>
          <w:lang w:eastAsia="en-US"/>
        </w:rPr>
        <w:t>t on out-of-pocket patient fees;</w:t>
      </w:r>
    </w:p>
    <w:p w14:paraId="0B18A186" w14:textId="77777777" w:rsidR="000740B5" w:rsidRPr="000740B5" w:rsidRDefault="006D683C" w:rsidP="000831A1">
      <w:pPr>
        <w:numPr>
          <w:ilvl w:val="0"/>
          <w:numId w:val="76"/>
        </w:numPr>
        <w:rPr>
          <w:bCs/>
          <w:iCs/>
          <w:lang w:eastAsia="en-US"/>
        </w:rPr>
      </w:pPr>
      <w:r>
        <w:rPr>
          <w:bCs/>
          <w:iCs/>
          <w:lang w:eastAsia="en-US"/>
        </w:rPr>
        <w:t>p</w:t>
      </w:r>
      <w:r w:rsidR="000740B5" w:rsidRPr="000740B5">
        <w:rPr>
          <w:bCs/>
          <w:iCs/>
          <w:lang w:eastAsia="en-US"/>
        </w:rPr>
        <w:t>otential impact on patient waiting lists, either as a result of longer attendances being performed or as a result of consultant specialists being less incen</w:t>
      </w:r>
      <w:r>
        <w:rPr>
          <w:bCs/>
          <w:iCs/>
          <w:lang w:eastAsia="en-US"/>
        </w:rPr>
        <w:t xml:space="preserve">tivised to take on new patients; and </w:t>
      </w:r>
    </w:p>
    <w:p w14:paraId="4AF94B13" w14:textId="77777777" w:rsidR="000740B5" w:rsidRPr="000740B5" w:rsidRDefault="006D683C" w:rsidP="000831A1">
      <w:pPr>
        <w:numPr>
          <w:ilvl w:val="0"/>
          <w:numId w:val="76"/>
        </w:numPr>
        <w:rPr>
          <w:bCs/>
          <w:iCs/>
          <w:lang w:eastAsia="en-US"/>
        </w:rPr>
      </w:pPr>
      <w:r>
        <w:rPr>
          <w:bCs/>
          <w:iCs/>
          <w:lang w:eastAsia="en-US"/>
        </w:rPr>
        <w:t>p</w:t>
      </w:r>
      <w:r w:rsidR="000740B5" w:rsidRPr="000740B5">
        <w:rPr>
          <w:bCs/>
          <w:iCs/>
          <w:lang w:eastAsia="en-US"/>
        </w:rPr>
        <w:t xml:space="preserve">atient-reported experience and outcomes. </w:t>
      </w:r>
    </w:p>
    <w:p w14:paraId="58C1F6FC" w14:textId="77777777" w:rsidR="000740B5" w:rsidRPr="000740B5" w:rsidRDefault="00196C0C" w:rsidP="000831A1">
      <w:pPr>
        <w:numPr>
          <w:ilvl w:val="0"/>
          <w:numId w:val="75"/>
        </w:numPr>
        <w:rPr>
          <w:bCs/>
          <w:iCs/>
        </w:rPr>
      </w:pPr>
      <w:r>
        <w:rPr>
          <w:bCs/>
          <w:iCs/>
          <w:lang w:val="en-US" w:eastAsia="en-US"/>
        </w:rPr>
        <w:t>M</w:t>
      </w:r>
      <w:r w:rsidR="000740B5" w:rsidRPr="000740B5">
        <w:rPr>
          <w:bCs/>
          <w:iCs/>
          <w:lang w:val="en-US" w:eastAsia="en-US"/>
        </w:rPr>
        <w:t xml:space="preserve">aking the item descriptors sufficiently detailed to enable auditing through the review of clinical notes, allowing verification that activities of sufficient complexity were performed, as stated in the descriptors. </w:t>
      </w:r>
    </w:p>
    <w:p w14:paraId="242D0EA5" w14:textId="77777777" w:rsidR="000740B5" w:rsidRPr="000740B5" w:rsidRDefault="00196C0C" w:rsidP="000831A1">
      <w:pPr>
        <w:numPr>
          <w:ilvl w:val="0"/>
          <w:numId w:val="75"/>
        </w:numPr>
        <w:rPr>
          <w:bCs/>
          <w:iCs/>
        </w:rPr>
      </w:pPr>
      <w:r>
        <w:rPr>
          <w:bCs/>
          <w:iCs/>
          <w:lang w:val="en-US" w:eastAsia="en-US"/>
        </w:rPr>
        <w:t>H</w:t>
      </w:r>
      <w:r w:rsidR="000740B5" w:rsidRPr="000740B5">
        <w:rPr>
          <w:bCs/>
          <w:iCs/>
          <w:lang w:val="en-US" w:eastAsia="en-US"/>
        </w:rPr>
        <w:t>armonising all attendance time tiers in the MBS that apply to other consultant specialists (including psychiatry, obstetrics, anaesthesia, intensive ca</w:t>
      </w:r>
      <w:r>
        <w:rPr>
          <w:bCs/>
          <w:iCs/>
          <w:lang w:val="en-US" w:eastAsia="en-US"/>
        </w:rPr>
        <w:t>re, and emergency medicine).</w:t>
      </w:r>
    </w:p>
    <w:p w14:paraId="6F979566" w14:textId="77777777" w:rsidR="000740B5" w:rsidRPr="000740B5" w:rsidRDefault="00196C0C" w:rsidP="000831A1">
      <w:pPr>
        <w:numPr>
          <w:ilvl w:val="0"/>
          <w:numId w:val="75"/>
        </w:numPr>
        <w:rPr>
          <w:bCs/>
          <w:iCs/>
        </w:rPr>
      </w:pPr>
      <w:r>
        <w:rPr>
          <w:bCs/>
          <w:iCs/>
          <w:lang w:val="en-US" w:eastAsia="en-US"/>
        </w:rPr>
        <w:t>S</w:t>
      </w:r>
      <w:r w:rsidR="000740B5" w:rsidRPr="000740B5">
        <w:rPr>
          <w:bCs/>
          <w:iCs/>
          <w:lang w:val="en-US" w:eastAsia="en-US"/>
        </w:rPr>
        <w:t>etting time-tiers that reduce the incentive for consultant specialists to claim a higher time-tier (for example, by having the most common attendance times fall near the middle of each tier).</w:t>
      </w:r>
    </w:p>
    <w:p w14:paraId="254B5282" w14:textId="77777777" w:rsidR="000740B5" w:rsidRPr="000740B5" w:rsidRDefault="000740B5" w:rsidP="000740B5">
      <w:pPr>
        <w:rPr>
          <w:b/>
          <w:bCs/>
          <w:iCs/>
          <w:lang w:val="en-US" w:eastAsia="en-US"/>
        </w:rPr>
      </w:pPr>
      <w:r w:rsidRPr="000740B5">
        <w:rPr>
          <w:b/>
          <w:bCs/>
          <w:iCs/>
          <w:lang w:val="en-US" w:eastAsia="en-US"/>
        </w:rPr>
        <w:t>Recommendation 4 – Approach to fee setting</w:t>
      </w:r>
    </w:p>
    <w:p w14:paraId="55A900CB" w14:textId="77777777" w:rsidR="000740B5" w:rsidRPr="000740B5" w:rsidRDefault="000740B5" w:rsidP="000740B5">
      <w:pPr>
        <w:rPr>
          <w:bCs/>
          <w:iCs/>
          <w:lang w:val="en-US" w:eastAsia="en-US"/>
        </w:rPr>
      </w:pPr>
      <w:r w:rsidRPr="000740B5">
        <w:rPr>
          <w:bCs/>
          <w:iCs/>
          <w:lang w:val="en-US" w:eastAsia="en-US"/>
        </w:rPr>
        <w:t>The Committee recommends consideration of the following with regard to schedule fees (recognising that fee-setting is out of the Committee’s scope):</w:t>
      </w:r>
    </w:p>
    <w:p w14:paraId="4F905518" w14:textId="77777777" w:rsidR="000740B5" w:rsidRPr="000740B5" w:rsidRDefault="000740B5" w:rsidP="000831A1">
      <w:pPr>
        <w:numPr>
          <w:ilvl w:val="0"/>
          <w:numId w:val="81"/>
        </w:numPr>
        <w:rPr>
          <w:bCs/>
          <w:iCs/>
          <w:lang w:val="en-US" w:eastAsia="en-US"/>
        </w:rPr>
      </w:pPr>
      <w:r w:rsidRPr="000740B5">
        <w:rPr>
          <w:bCs/>
          <w:iCs/>
          <w:lang w:val="en-US" w:eastAsia="en-US"/>
        </w:rPr>
        <w:t>building support among peak bodies, clinicians and consumers for the principles of time-tiering b</w:t>
      </w:r>
      <w:r w:rsidR="00196C0C">
        <w:rPr>
          <w:bCs/>
          <w:iCs/>
          <w:lang w:val="en-US" w:eastAsia="en-US"/>
        </w:rPr>
        <w:t>efore introducing schedule fees;</w:t>
      </w:r>
    </w:p>
    <w:p w14:paraId="6F1D6264" w14:textId="77777777" w:rsidR="000740B5" w:rsidRPr="000740B5" w:rsidRDefault="000740B5" w:rsidP="000831A1">
      <w:pPr>
        <w:numPr>
          <w:ilvl w:val="0"/>
          <w:numId w:val="81"/>
        </w:numPr>
        <w:rPr>
          <w:bCs/>
          <w:iCs/>
          <w:lang w:val="en-US" w:eastAsia="en-US"/>
        </w:rPr>
      </w:pPr>
      <w:r w:rsidRPr="000740B5">
        <w:rPr>
          <w:bCs/>
          <w:iCs/>
          <w:lang w:val="en-US" w:eastAsia="en-US"/>
        </w:rPr>
        <w:t>ensuring a linear relationship between attendance time tiers and</w:t>
      </w:r>
      <w:r w:rsidR="00196C0C">
        <w:rPr>
          <w:bCs/>
          <w:iCs/>
          <w:lang w:val="en-US" w:eastAsia="en-US"/>
        </w:rPr>
        <w:t xml:space="preserve"> schedule fees from the outset;</w:t>
      </w:r>
    </w:p>
    <w:p w14:paraId="55548D03" w14:textId="77777777" w:rsidR="000740B5" w:rsidRPr="000740B5" w:rsidRDefault="000740B5" w:rsidP="000831A1">
      <w:pPr>
        <w:numPr>
          <w:ilvl w:val="0"/>
          <w:numId w:val="81"/>
        </w:numPr>
        <w:rPr>
          <w:bCs/>
          <w:iCs/>
          <w:lang w:val="en-US" w:eastAsia="en-US"/>
        </w:rPr>
      </w:pPr>
      <w:r w:rsidRPr="000740B5">
        <w:rPr>
          <w:bCs/>
          <w:iCs/>
          <w:lang w:val="en-US" w:eastAsia="en-US"/>
        </w:rPr>
        <w:t>recognising that significant non-patient-facing t</w:t>
      </w:r>
      <w:r w:rsidR="00196C0C">
        <w:rPr>
          <w:bCs/>
          <w:iCs/>
          <w:lang w:val="en-US" w:eastAsia="en-US"/>
        </w:rPr>
        <w:t>ime is spent on each attendance;</w:t>
      </w:r>
      <w:r w:rsidRPr="000740B5">
        <w:rPr>
          <w:bCs/>
          <w:iCs/>
          <w:lang w:val="en-US" w:eastAsia="en-US"/>
        </w:rPr>
        <w:t xml:space="preserve"> and </w:t>
      </w:r>
    </w:p>
    <w:p w14:paraId="27B2A181" w14:textId="77777777" w:rsidR="00974578" w:rsidRPr="000740B5" w:rsidRDefault="000740B5" w:rsidP="000831A1">
      <w:pPr>
        <w:numPr>
          <w:ilvl w:val="0"/>
          <w:numId w:val="81"/>
        </w:numPr>
        <w:rPr>
          <w:bCs/>
          <w:iCs/>
          <w:lang w:val="en-US" w:eastAsia="en-US"/>
        </w:rPr>
      </w:pPr>
      <w:r w:rsidRPr="000740B5">
        <w:rPr>
          <w:bCs/>
          <w:iCs/>
          <w:lang w:val="en-US" w:eastAsia="en-US"/>
        </w:rPr>
        <w:t>recognising that there is a lack of data on the current duration of consultant specialist attendance times and the activities performed in these attendances.</w:t>
      </w:r>
    </w:p>
    <w:p w14:paraId="0AEA9D8B" w14:textId="77777777" w:rsidR="00FC6719" w:rsidRDefault="00FC6719" w:rsidP="00C035DF">
      <w:pPr>
        <w:keepNext/>
        <w:rPr>
          <w:b/>
          <w:bCs/>
          <w:iCs/>
          <w:lang w:val="en-US" w:eastAsia="en-US"/>
        </w:rPr>
      </w:pPr>
      <w:r w:rsidRPr="00761B02">
        <w:rPr>
          <w:b/>
          <w:bCs/>
          <w:iCs/>
          <w:lang w:val="en-US" w:eastAsia="en-US"/>
        </w:rPr>
        <w:t xml:space="preserve">Recommendation 5 – Impact </w:t>
      </w:r>
      <w:r w:rsidRPr="004A1AB0">
        <w:rPr>
          <w:b/>
          <w:bCs/>
          <w:iCs/>
          <w:lang w:val="en-US" w:eastAsia="en-US"/>
        </w:rPr>
        <w:t>on t</w:t>
      </w:r>
      <w:r w:rsidRPr="00761B02">
        <w:rPr>
          <w:b/>
          <w:bCs/>
          <w:iCs/>
          <w:lang w:val="en-US" w:eastAsia="en-US"/>
        </w:rPr>
        <w:t>im</w:t>
      </w:r>
      <w:r w:rsidRPr="004A1AB0">
        <w:rPr>
          <w:b/>
          <w:bCs/>
          <w:iCs/>
          <w:lang w:val="en-US" w:eastAsia="en-US"/>
        </w:rPr>
        <w:t>e-</w:t>
      </w:r>
      <w:r w:rsidRPr="00761B02">
        <w:rPr>
          <w:b/>
          <w:bCs/>
          <w:iCs/>
          <w:lang w:val="en-US" w:eastAsia="en-US"/>
        </w:rPr>
        <w:t>tiering on distant outreach services</w:t>
      </w:r>
    </w:p>
    <w:p w14:paraId="65AAA281" w14:textId="77777777" w:rsidR="00FC6719" w:rsidRDefault="00FC6719" w:rsidP="00C035DF">
      <w:pPr>
        <w:keepNext/>
      </w:pPr>
      <w:r>
        <w:t>The Committee recommends that to address the potential concerns of time-</w:t>
      </w:r>
      <w:r>
        <w:softHyphen/>
        <w:t>tiering on distant outreach services the following steps will need to be considered:</w:t>
      </w:r>
    </w:p>
    <w:p w14:paraId="5E2913DD" w14:textId="77777777" w:rsidR="00FC6719" w:rsidRDefault="00FC6719" w:rsidP="00FC6719">
      <w:pPr>
        <w:pStyle w:val="ListParagraph"/>
        <w:numPr>
          <w:ilvl w:val="0"/>
          <w:numId w:val="114"/>
        </w:numPr>
        <w:spacing w:before="0" w:after="160"/>
        <w:ind w:left="714" w:hanging="357"/>
      </w:pPr>
      <w:r>
        <w:t>Data will need to be collected if possible on the magnitude of this practice from MBS data or other sources;</w:t>
      </w:r>
    </w:p>
    <w:p w14:paraId="68EBFFCA" w14:textId="77777777" w:rsidR="00FC6719" w:rsidRDefault="00FC6719" w:rsidP="00FC6719">
      <w:pPr>
        <w:pStyle w:val="ListParagraph"/>
        <w:numPr>
          <w:ilvl w:val="0"/>
          <w:numId w:val="114"/>
        </w:numPr>
        <w:spacing w:before="0" w:after="160"/>
        <w:ind w:left="714" w:hanging="357"/>
      </w:pPr>
      <w:r>
        <w:t xml:space="preserve">If such a problem does exist, a non MBS process will need to be developed to address the issue; </w:t>
      </w:r>
    </w:p>
    <w:p w14:paraId="40C0E7E9" w14:textId="77777777" w:rsidR="00FC6719" w:rsidRDefault="00FC6719" w:rsidP="00FC6719">
      <w:pPr>
        <w:pStyle w:val="ListParagraph"/>
        <w:numPr>
          <w:ilvl w:val="0"/>
          <w:numId w:val="114"/>
        </w:numPr>
        <w:spacing w:before="0" w:after="160"/>
        <w:ind w:left="714" w:hanging="357"/>
      </w:pPr>
      <w:r>
        <w:t>Any such process should continue to support patient access to local services; and</w:t>
      </w:r>
    </w:p>
    <w:p w14:paraId="438DB554" w14:textId="77777777" w:rsidR="00FC6719" w:rsidRDefault="00FC6719" w:rsidP="00FC6719">
      <w:pPr>
        <w:pStyle w:val="ListParagraph"/>
        <w:numPr>
          <w:ilvl w:val="0"/>
          <w:numId w:val="114"/>
        </w:numPr>
        <w:spacing w:before="0" w:after="160"/>
        <w:ind w:left="714" w:hanging="357"/>
      </w:pPr>
      <w:r>
        <w:t xml:space="preserve">A community need must be demonstrated in order to justify a non-MBS solution. </w:t>
      </w:r>
    </w:p>
    <w:p w14:paraId="2E722FA2" w14:textId="77777777" w:rsidR="00974578" w:rsidRPr="00974578" w:rsidRDefault="00974578" w:rsidP="00974578">
      <w:pPr>
        <w:rPr>
          <w:b/>
          <w:bCs/>
          <w:iCs/>
          <w:lang w:val="en-US" w:eastAsia="en-US"/>
        </w:rPr>
      </w:pPr>
      <w:r w:rsidRPr="00974578">
        <w:rPr>
          <w:b/>
          <w:bCs/>
          <w:iCs/>
          <w:lang w:val="en-US" w:eastAsia="en-US"/>
        </w:rPr>
        <w:t xml:space="preserve">Recommendation </w:t>
      </w:r>
      <w:r w:rsidR="00FC6719">
        <w:rPr>
          <w:b/>
          <w:bCs/>
          <w:iCs/>
          <w:lang w:val="en-US" w:eastAsia="en-US"/>
        </w:rPr>
        <w:t>6</w:t>
      </w:r>
      <w:r w:rsidRPr="00974578">
        <w:rPr>
          <w:b/>
          <w:bCs/>
          <w:iCs/>
          <w:lang w:val="en-US" w:eastAsia="en-US"/>
        </w:rPr>
        <w:t xml:space="preserve"> - Removing consultant physician, addiction medicine, and sexual health medicine complex plan items</w:t>
      </w:r>
    </w:p>
    <w:p w14:paraId="6D9A24B4" w14:textId="77777777" w:rsidR="00974578" w:rsidRPr="00C33C0B" w:rsidRDefault="00974578" w:rsidP="00607BDA">
      <w:pPr>
        <w:pStyle w:val="Bullet-green"/>
        <w:numPr>
          <w:ilvl w:val="0"/>
          <w:numId w:val="0"/>
        </w:numPr>
      </w:pPr>
      <w:r>
        <w:t>The Committee recommends removing consultant physician, addiction medicine, and sexual health medicine complex plan items from the MBS (items 132, 133, 6023, 6024, 6057, and 6058).</w:t>
      </w:r>
    </w:p>
    <w:p w14:paraId="4D7EF8D6" w14:textId="77777777" w:rsidR="00974578" w:rsidRPr="00974578" w:rsidRDefault="00974578" w:rsidP="00974578">
      <w:pPr>
        <w:rPr>
          <w:b/>
          <w:bCs/>
          <w:iCs/>
          <w:lang w:val="en-US" w:eastAsia="en-US"/>
        </w:rPr>
      </w:pPr>
      <w:r w:rsidRPr="00974578">
        <w:rPr>
          <w:b/>
          <w:bCs/>
          <w:iCs/>
          <w:lang w:val="en-US" w:eastAsia="en-US"/>
        </w:rPr>
        <w:t xml:space="preserve">Recommendation </w:t>
      </w:r>
      <w:r w:rsidR="00FC6719">
        <w:rPr>
          <w:b/>
          <w:bCs/>
          <w:iCs/>
          <w:lang w:val="en-US" w:eastAsia="en-US"/>
        </w:rPr>
        <w:t>7</w:t>
      </w:r>
      <w:r w:rsidRPr="00974578">
        <w:rPr>
          <w:b/>
          <w:bCs/>
          <w:iCs/>
          <w:lang w:val="en-US" w:eastAsia="en-US"/>
        </w:rPr>
        <w:t xml:space="preserve"> </w:t>
      </w:r>
      <w:r w:rsidR="00FC6719">
        <w:rPr>
          <w:b/>
          <w:bCs/>
          <w:iCs/>
          <w:lang w:val="en-US" w:eastAsia="en-US"/>
        </w:rPr>
        <w:t>–</w:t>
      </w:r>
      <w:r w:rsidRPr="00974578">
        <w:rPr>
          <w:b/>
          <w:bCs/>
          <w:iCs/>
          <w:lang w:val="en-US" w:eastAsia="en-US"/>
        </w:rPr>
        <w:t xml:space="preserve"> </w:t>
      </w:r>
      <w:r w:rsidR="00FC6719">
        <w:rPr>
          <w:b/>
          <w:bCs/>
          <w:iCs/>
          <w:lang w:val="en-US" w:eastAsia="en-US"/>
        </w:rPr>
        <w:t xml:space="preserve">Retain </w:t>
      </w:r>
      <w:r w:rsidRPr="00974578">
        <w:rPr>
          <w:b/>
          <w:bCs/>
          <w:iCs/>
          <w:lang w:val="en-GB" w:eastAsia="en-US"/>
        </w:rPr>
        <w:t>access to paediatric complex plan items</w:t>
      </w:r>
      <w:r w:rsidR="00FC6719">
        <w:rPr>
          <w:b/>
          <w:bCs/>
          <w:iCs/>
          <w:lang w:val="en-GB" w:eastAsia="en-US"/>
        </w:rPr>
        <w:t xml:space="preserve"> with strengthened descriptor</w:t>
      </w:r>
    </w:p>
    <w:p w14:paraId="1B1D15DE" w14:textId="77777777" w:rsidR="00974578" w:rsidRPr="00974578" w:rsidRDefault="00974578" w:rsidP="00607BDA">
      <w:pPr>
        <w:rPr>
          <w:bCs/>
          <w:iCs/>
          <w:lang w:eastAsia="en-US"/>
        </w:rPr>
      </w:pPr>
      <w:r w:rsidRPr="00974578">
        <w:rPr>
          <w:bCs/>
          <w:iCs/>
          <w:lang w:eastAsia="en-US"/>
        </w:rPr>
        <w:t>The Committee recommends:</w:t>
      </w:r>
    </w:p>
    <w:p w14:paraId="45DC9D3F" w14:textId="77777777" w:rsidR="00974578" w:rsidRPr="00974578" w:rsidRDefault="00974578" w:rsidP="000831A1">
      <w:pPr>
        <w:numPr>
          <w:ilvl w:val="0"/>
          <w:numId w:val="73"/>
        </w:numPr>
        <w:rPr>
          <w:bCs/>
          <w:iCs/>
          <w:lang w:eastAsia="en-US"/>
        </w:rPr>
      </w:pPr>
      <w:r w:rsidRPr="00974578">
        <w:rPr>
          <w:bCs/>
          <w:iCs/>
          <w:lang w:eastAsia="en-US"/>
        </w:rPr>
        <w:t>item 289 to be referred to the Psychiatry Clinical Committee</w:t>
      </w:r>
      <w:r w:rsidR="00196C0C">
        <w:rPr>
          <w:bCs/>
          <w:iCs/>
          <w:lang w:eastAsia="en-US"/>
        </w:rPr>
        <w:t>;</w:t>
      </w:r>
    </w:p>
    <w:p w14:paraId="3B894B2F" w14:textId="22EB53AD" w:rsidR="00C17B92" w:rsidRPr="003134A5" w:rsidRDefault="00974578" w:rsidP="003134A5">
      <w:pPr>
        <w:numPr>
          <w:ilvl w:val="0"/>
          <w:numId w:val="73"/>
        </w:numPr>
        <w:rPr>
          <w:bCs/>
          <w:iCs/>
          <w:lang w:eastAsia="en-US"/>
        </w:rPr>
      </w:pPr>
      <w:r w:rsidRPr="00974578">
        <w:rPr>
          <w:bCs/>
          <w:iCs/>
          <w:noProof/>
        </w:rPr>
        <mc:AlternateContent>
          <mc:Choice Requires="wps">
            <w:drawing>
              <wp:inline distT="0" distB="0" distL="0" distR="0" wp14:anchorId="4F91F7F2" wp14:editId="22614E0E">
                <wp:extent cx="5057775" cy="6343015"/>
                <wp:effectExtent l="0" t="0" r="28575" b="20955"/>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6343015"/>
                        </a:xfrm>
                        <a:prstGeom prst="rect">
                          <a:avLst/>
                        </a:prstGeom>
                        <a:solidFill>
                          <a:srgbClr val="FFFFFF"/>
                        </a:solidFill>
                        <a:ln w="15875">
                          <a:solidFill>
                            <a:schemeClr val="accent6">
                              <a:lumMod val="75000"/>
                            </a:schemeClr>
                          </a:solidFill>
                          <a:miter lim="800000"/>
                          <a:headEnd/>
                          <a:tailEnd/>
                        </a:ln>
                      </wps:spPr>
                      <wps:txbx>
                        <w:txbxContent>
                          <w:p w14:paraId="147C44B0" w14:textId="77777777" w:rsidR="00B85D72" w:rsidRPr="00607BDA" w:rsidRDefault="00B85D72" w:rsidP="00974578">
                            <w:pPr>
                              <w:pStyle w:val="Bullet-green"/>
                              <w:numPr>
                                <w:ilvl w:val="0"/>
                                <w:numId w:val="0"/>
                              </w:numPr>
                              <w:rPr>
                                <w:b/>
                              </w:rPr>
                            </w:pPr>
                            <w:r w:rsidRPr="00607BDA">
                              <w:rPr>
                                <w:b/>
                              </w:rPr>
                              <w:t>Item 135</w:t>
                            </w:r>
                          </w:p>
                          <w:p w14:paraId="7E63CD8E" w14:textId="77777777" w:rsidR="00B85D72" w:rsidRPr="00997E71" w:rsidRDefault="00B85D72" w:rsidP="00607BDA">
                            <w:pPr>
                              <w:pStyle w:val="Bullet-green"/>
                              <w:numPr>
                                <w:ilvl w:val="0"/>
                                <w:numId w:val="0"/>
                              </w:numPr>
                            </w:pPr>
                            <w:r w:rsidRPr="00997E71">
                              <w:t xml:space="preserve">Professional attendance of at least </w:t>
                            </w:r>
                            <w:r w:rsidRPr="00C72AFF">
                              <w:t xml:space="preserve">60 minutes </w:t>
                            </w:r>
                            <w:r w:rsidRPr="00997E71">
                              <w:t xml:space="preserve">in duration at consulting rooms or hospital, by a consultant physician in the practice of his or her specialty of paediatrics, following referral of the patient to the consultant by a referring practitioner, for assessment, diagnosis and preparation of a treatment and management plan for a patient aged under 13 years with </w:t>
                            </w:r>
                            <w:r>
                              <w:t>a complex</w:t>
                            </w:r>
                            <w:r w:rsidRPr="00C72AFF">
                              <w:t xml:space="preserve"> neurodevelopmental</w:t>
                            </w:r>
                            <w:r w:rsidRPr="00997E71">
                              <w:t xml:space="preserve"> disorder, if the consultant paediatrician does all of the following:</w:t>
                            </w:r>
                          </w:p>
                          <w:p w14:paraId="55D1B493" w14:textId="77777777" w:rsidR="00B85D72" w:rsidRPr="00997E71" w:rsidRDefault="00B85D72" w:rsidP="003134A5">
                            <w:pPr>
                              <w:pStyle w:val="Bullet-green"/>
                              <w:numPr>
                                <w:ilvl w:val="0"/>
                                <w:numId w:val="118"/>
                              </w:numPr>
                            </w:pPr>
                            <w:r w:rsidRPr="00997E71">
                              <w:t xml:space="preserve">undertakes a comprehensive assessment </w:t>
                            </w:r>
                            <w:r w:rsidRPr="00607BDA">
                              <w:t>for the purposes of making a diagnosis</w:t>
                            </w:r>
                            <w:r w:rsidRPr="00997E71">
                              <w:t xml:space="preserve"> (if appropriate, using information provided by an eligible allied health provider)</w:t>
                            </w:r>
                            <w:r>
                              <w:t>,</w:t>
                            </w:r>
                          </w:p>
                          <w:p w14:paraId="69094C22" w14:textId="77777777" w:rsidR="00B85D72" w:rsidRPr="00997E71" w:rsidRDefault="00B85D72" w:rsidP="003134A5">
                            <w:pPr>
                              <w:pStyle w:val="Bullet-green"/>
                              <w:numPr>
                                <w:ilvl w:val="0"/>
                                <w:numId w:val="118"/>
                              </w:numPr>
                            </w:pPr>
                            <w:r w:rsidRPr="00997E71">
                              <w:t>develops a treatment and management plan, which must include the following:</w:t>
                            </w:r>
                          </w:p>
                          <w:p w14:paraId="24BAA14D" w14:textId="77777777" w:rsidR="00B85D72" w:rsidRPr="00997E71" w:rsidRDefault="00B85D72" w:rsidP="00607BDA">
                            <w:pPr>
                              <w:pStyle w:val="Bullet-green"/>
                              <w:numPr>
                                <w:ilvl w:val="0"/>
                                <w:numId w:val="0"/>
                              </w:numPr>
                              <w:ind w:left="1077"/>
                            </w:pPr>
                            <w:r w:rsidRPr="00997E71">
                              <w:t xml:space="preserve">(i) an assessment for the </w:t>
                            </w:r>
                            <w:r w:rsidRPr="00997E71">
                              <w:rPr>
                                <w:b/>
                                <w:bCs/>
                              </w:rPr>
                              <w:t>purposes of</w:t>
                            </w:r>
                            <w:r>
                              <w:rPr>
                                <w:b/>
                                <w:bCs/>
                              </w:rPr>
                              <w:t xml:space="preserve"> making a</w:t>
                            </w:r>
                            <w:r w:rsidRPr="00997E71">
                              <w:rPr>
                                <w:b/>
                                <w:bCs/>
                              </w:rPr>
                              <w:t xml:space="preserve"> diagnosis</w:t>
                            </w:r>
                            <w:r w:rsidRPr="00997E71">
                              <w:t xml:space="preserve"> of the patient's condition;</w:t>
                            </w:r>
                          </w:p>
                          <w:p w14:paraId="26CABE7F" w14:textId="77777777" w:rsidR="00B85D72" w:rsidRPr="00997E71" w:rsidRDefault="00B85D72" w:rsidP="00607BDA">
                            <w:pPr>
                              <w:pStyle w:val="Bullet-green"/>
                              <w:numPr>
                                <w:ilvl w:val="0"/>
                                <w:numId w:val="0"/>
                              </w:numPr>
                              <w:ind w:left="1077"/>
                            </w:pPr>
                            <w:r w:rsidRPr="00997E71">
                              <w:t>(ii) a risk assessment;</w:t>
                            </w:r>
                          </w:p>
                          <w:p w14:paraId="4AFAD877" w14:textId="77777777" w:rsidR="00B85D72" w:rsidRPr="00997E71" w:rsidRDefault="00B85D72" w:rsidP="00607BDA">
                            <w:pPr>
                              <w:pStyle w:val="Bullet-green"/>
                              <w:numPr>
                                <w:ilvl w:val="0"/>
                                <w:numId w:val="0"/>
                              </w:numPr>
                              <w:ind w:left="1077"/>
                            </w:pPr>
                            <w:r w:rsidRPr="00997E71">
                              <w:t>(iii) treatment options and decisions;</w:t>
                            </w:r>
                          </w:p>
                          <w:p w14:paraId="144F2E44" w14:textId="77777777" w:rsidR="00B85D72" w:rsidRPr="00997E71" w:rsidRDefault="00B85D72" w:rsidP="00607BDA">
                            <w:pPr>
                              <w:pStyle w:val="Bullet-green"/>
                              <w:numPr>
                                <w:ilvl w:val="0"/>
                                <w:numId w:val="0"/>
                              </w:numPr>
                              <w:ind w:left="1077"/>
                            </w:pPr>
                            <w:r w:rsidRPr="00997E71">
                              <w:t>(iv) if necessary-medical recommendations;</w:t>
                            </w:r>
                          </w:p>
                          <w:p w14:paraId="3CAEA2CC" w14:textId="77777777" w:rsidR="00B85D72" w:rsidRPr="00997E71" w:rsidRDefault="00B85D72" w:rsidP="003134A5">
                            <w:pPr>
                              <w:pStyle w:val="Bullet-green"/>
                              <w:numPr>
                                <w:ilvl w:val="0"/>
                                <w:numId w:val="118"/>
                              </w:numPr>
                            </w:pPr>
                            <w:r w:rsidRPr="00997E71">
                              <w:t>provides a copy of the treatment and management plan to:</w:t>
                            </w:r>
                          </w:p>
                          <w:p w14:paraId="12A83983" w14:textId="77777777" w:rsidR="00B85D72" w:rsidRPr="00997E71" w:rsidRDefault="00B85D72" w:rsidP="00607BDA">
                            <w:pPr>
                              <w:pStyle w:val="Bullet-green"/>
                              <w:numPr>
                                <w:ilvl w:val="0"/>
                                <w:numId w:val="0"/>
                              </w:numPr>
                              <w:ind w:left="1077"/>
                            </w:pPr>
                            <w:r w:rsidRPr="00997E71">
                              <w:t>(i) the referring practitioner; and</w:t>
                            </w:r>
                          </w:p>
                          <w:p w14:paraId="5AB3226A" w14:textId="77777777" w:rsidR="00B85D72" w:rsidRPr="00997E71" w:rsidRDefault="00B85D72" w:rsidP="00607BDA">
                            <w:pPr>
                              <w:pStyle w:val="Bullet-green"/>
                              <w:numPr>
                                <w:ilvl w:val="0"/>
                                <w:numId w:val="0"/>
                              </w:numPr>
                              <w:ind w:left="1077"/>
                            </w:pPr>
                            <w:r w:rsidRPr="00997E71">
                              <w:t>(ii) one or more allied health providers, if appropriate, for the treatment of the patient;</w:t>
                            </w:r>
                          </w:p>
                          <w:p w14:paraId="253C35D2" w14:textId="77777777" w:rsidR="00B85D72" w:rsidRDefault="00B85D72" w:rsidP="00974578">
                            <w:r w:rsidRPr="00997E71">
                              <w:t>(other than attendance on a patient for whom payment has previously been made under this item or item 137, 139 or 289)</w:t>
                            </w:r>
                            <w:r>
                              <w:t>”</w:t>
                            </w:r>
                          </w:p>
                        </w:txbxContent>
                      </wps:txbx>
                      <wps:bodyPr rot="0" vert="horz" wrap="square" lIns="91440" tIns="45720" rIns="91440" bIns="45720" anchor="t" anchorCtr="0">
                        <a:spAutoFit/>
                      </wps:bodyPr>
                    </wps:wsp>
                  </a:graphicData>
                </a:graphic>
              </wp:inline>
            </w:drawing>
          </mc:Choice>
          <mc:Fallback>
            <w:pict>
              <v:shape w14:anchorId="4F91F7F2" id="_x0000_s1029" type="#_x0000_t202" style="width:398.25pt;height:49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" strokecolor="#e36c0a [2409]" strokeweight="1.25pt">
                <v:textbox style="mso-fit-shape-to-text:t">
                  <w:txbxContent>
                    <w:p w14:paraId="147C44B0" w14:textId="77777777" w:rsidR="00B85D72" w:rsidRPr="00607BDA" w:rsidRDefault="00B85D72" w:rsidP="00974578">
                      <w:pPr>
                        <w:pStyle w:val="Bullet-green"/>
                        <w:numPr>
                          <w:ilvl w:val="0"/>
                          <w:numId w:val="0"/>
                        </w:numPr>
                        <w:rPr>
                          <w:b/>
                        </w:rPr>
                      </w:pPr>
                      <w:r w:rsidRPr="00607BDA">
                        <w:rPr>
                          <w:b/>
                        </w:rPr>
                        <w:t>Item 135</w:t>
                      </w:r>
                    </w:p>
                    <w:p w14:paraId="7E63CD8E" w14:textId="77777777" w:rsidR="00B85D72" w:rsidRPr="00997E71" w:rsidRDefault="00B85D72" w:rsidP="00607BDA">
                      <w:pPr>
                        <w:pStyle w:val="Bullet-green"/>
                        <w:numPr>
                          <w:ilvl w:val="0"/>
                          <w:numId w:val="0"/>
                        </w:numPr>
                      </w:pPr>
                      <w:r w:rsidRPr="00997E71">
                        <w:t xml:space="preserve">Professional attendance of at least </w:t>
                      </w:r>
                      <w:r w:rsidRPr="00C72AFF">
                        <w:t xml:space="preserve">60 minutes </w:t>
                      </w:r>
                      <w:r w:rsidRPr="00997E71">
                        <w:t xml:space="preserve">in duration at consulting rooms or hospital, by a consultant physician in the practice of his or her specialty of paediatrics, following referral of the patient to the consultant by a referring practitioner, for assessment, diagnosis and preparation of a treatment and management plan for a patient aged under 13 years with </w:t>
                      </w:r>
                      <w:r>
                        <w:t>a complex</w:t>
                      </w:r>
                      <w:r w:rsidRPr="00C72AFF">
                        <w:t xml:space="preserve"> neurodevelopmental</w:t>
                      </w:r>
                      <w:r w:rsidRPr="00997E71">
                        <w:t xml:space="preserve"> disorder, if the consultant paediatrician does all of the following:</w:t>
                      </w:r>
                    </w:p>
                    <w:p w14:paraId="55D1B493" w14:textId="77777777" w:rsidR="00B85D72" w:rsidRPr="00997E71" w:rsidRDefault="00B85D72" w:rsidP="003134A5">
                      <w:pPr>
                        <w:pStyle w:val="Bullet-green"/>
                        <w:numPr>
                          <w:ilvl w:val="0"/>
                          <w:numId w:val="118"/>
                        </w:numPr>
                      </w:pPr>
                      <w:r w:rsidRPr="00997E71">
                        <w:t xml:space="preserve">undertakes a comprehensive assessment </w:t>
                      </w:r>
                      <w:r w:rsidRPr="00607BDA">
                        <w:t>for the purposes of making a diagnosis</w:t>
                      </w:r>
                      <w:r w:rsidRPr="00997E71">
                        <w:t xml:space="preserve"> (if appropriate, using information provided by an eligible allied health provider)</w:t>
                      </w:r>
                      <w:r>
                        <w:t>,</w:t>
                      </w:r>
                    </w:p>
                    <w:p w14:paraId="69094C22" w14:textId="77777777" w:rsidR="00B85D72" w:rsidRPr="00997E71" w:rsidRDefault="00B85D72" w:rsidP="003134A5">
                      <w:pPr>
                        <w:pStyle w:val="Bullet-green"/>
                        <w:numPr>
                          <w:ilvl w:val="0"/>
                          <w:numId w:val="118"/>
                        </w:numPr>
                      </w:pPr>
                      <w:r w:rsidRPr="00997E71">
                        <w:t>develops a treatment and management plan, which must include the following:</w:t>
                      </w:r>
                    </w:p>
                    <w:p w14:paraId="24BAA14D" w14:textId="77777777" w:rsidR="00B85D72" w:rsidRPr="00997E71" w:rsidRDefault="00B85D72" w:rsidP="00607BDA">
                      <w:pPr>
                        <w:pStyle w:val="Bullet-green"/>
                        <w:numPr>
                          <w:ilvl w:val="0"/>
                          <w:numId w:val="0"/>
                        </w:numPr>
                        <w:ind w:left="1077"/>
                      </w:pPr>
                      <w:r w:rsidRPr="00997E71">
                        <w:t xml:space="preserve">(i) an assessment for the </w:t>
                      </w:r>
                      <w:r w:rsidRPr="00997E71">
                        <w:rPr>
                          <w:b/>
                          <w:bCs/>
                        </w:rPr>
                        <w:t>purposes of</w:t>
                      </w:r>
                      <w:r>
                        <w:rPr>
                          <w:b/>
                          <w:bCs/>
                        </w:rPr>
                        <w:t xml:space="preserve"> making a</w:t>
                      </w:r>
                      <w:r w:rsidRPr="00997E71">
                        <w:rPr>
                          <w:b/>
                          <w:bCs/>
                        </w:rPr>
                        <w:t xml:space="preserve"> diagnosis</w:t>
                      </w:r>
                      <w:r w:rsidRPr="00997E71">
                        <w:t xml:space="preserve"> of the patient's condition;</w:t>
                      </w:r>
                    </w:p>
                    <w:p w14:paraId="26CABE7F" w14:textId="77777777" w:rsidR="00B85D72" w:rsidRPr="00997E71" w:rsidRDefault="00B85D72" w:rsidP="00607BDA">
                      <w:pPr>
                        <w:pStyle w:val="Bullet-green"/>
                        <w:numPr>
                          <w:ilvl w:val="0"/>
                          <w:numId w:val="0"/>
                        </w:numPr>
                        <w:ind w:left="1077"/>
                      </w:pPr>
                      <w:r w:rsidRPr="00997E71">
                        <w:t>(ii) a risk assessment;</w:t>
                      </w:r>
                    </w:p>
                    <w:p w14:paraId="4AFAD877" w14:textId="77777777" w:rsidR="00B85D72" w:rsidRPr="00997E71" w:rsidRDefault="00B85D72" w:rsidP="00607BDA">
                      <w:pPr>
                        <w:pStyle w:val="Bullet-green"/>
                        <w:numPr>
                          <w:ilvl w:val="0"/>
                          <w:numId w:val="0"/>
                        </w:numPr>
                        <w:ind w:left="1077"/>
                      </w:pPr>
                      <w:r w:rsidRPr="00997E71">
                        <w:t>(iii) treatment options and decisions;</w:t>
                      </w:r>
                    </w:p>
                    <w:p w14:paraId="144F2E44" w14:textId="77777777" w:rsidR="00B85D72" w:rsidRPr="00997E71" w:rsidRDefault="00B85D72" w:rsidP="00607BDA">
                      <w:pPr>
                        <w:pStyle w:val="Bullet-green"/>
                        <w:numPr>
                          <w:ilvl w:val="0"/>
                          <w:numId w:val="0"/>
                        </w:numPr>
                        <w:ind w:left="1077"/>
                      </w:pPr>
                      <w:r w:rsidRPr="00997E71">
                        <w:t>(iv) if necessary-medical recommendations;</w:t>
                      </w:r>
                    </w:p>
                    <w:p w14:paraId="3CAEA2CC" w14:textId="77777777" w:rsidR="00B85D72" w:rsidRPr="00997E71" w:rsidRDefault="00B85D72" w:rsidP="003134A5">
                      <w:pPr>
                        <w:pStyle w:val="Bullet-green"/>
                        <w:numPr>
                          <w:ilvl w:val="0"/>
                          <w:numId w:val="118"/>
                        </w:numPr>
                      </w:pPr>
                      <w:r w:rsidRPr="00997E71">
                        <w:t>provides a copy of the treatment and management plan to:</w:t>
                      </w:r>
                    </w:p>
                    <w:p w14:paraId="12A83983" w14:textId="77777777" w:rsidR="00B85D72" w:rsidRPr="00997E71" w:rsidRDefault="00B85D72" w:rsidP="00607BDA">
                      <w:pPr>
                        <w:pStyle w:val="Bullet-green"/>
                        <w:numPr>
                          <w:ilvl w:val="0"/>
                          <w:numId w:val="0"/>
                        </w:numPr>
                        <w:ind w:left="1077"/>
                      </w:pPr>
                      <w:r w:rsidRPr="00997E71">
                        <w:t>(i) the referring practitioner; and</w:t>
                      </w:r>
                    </w:p>
                    <w:p w14:paraId="5AB3226A" w14:textId="77777777" w:rsidR="00B85D72" w:rsidRPr="00997E71" w:rsidRDefault="00B85D72" w:rsidP="00607BDA">
                      <w:pPr>
                        <w:pStyle w:val="Bullet-green"/>
                        <w:numPr>
                          <w:ilvl w:val="0"/>
                          <w:numId w:val="0"/>
                        </w:numPr>
                        <w:ind w:left="1077"/>
                      </w:pPr>
                      <w:r w:rsidRPr="00997E71">
                        <w:t>(ii) one or more allied health providers, if appropriate, for the treatment of the patient;</w:t>
                      </w:r>
                    </w:p>
                    <w:p w14:paraId="253C35D2" w14:textId="77777777" w:rsidR="00B85D72" w:rsidRDefault="00B85D72" w:rsidP="00974578">
                      <w:r w:rsidRPr="00997E71">
                        <w:t>(other than attendance on a patient for whom payment has previously been made under this item or item 137, 139 or 289)</w:t>
                      </w:r>
                      <w:r>
                        <w:t>”</w:t>
                      </w:r>
                    </w:p>
                  </w:txbxContent>
                </v:textbox>
                <w10:anchorlock/>
              </v:shape>
            </w:pict>
          </mc:Fallback>
        </mc:AlternateContent>
      </w:r>
      <w:r w:rsidRPr="00974578">
        <w:rPr>
          <w:bCs/>
          <w:iCs/>
          <w:lang w:eastAsia="en-US"/>
        </w:rPr>
        <w:t>amend item 135 descriptor for paediatric complex plan (changes in bold) to:</w:t>
      </w:r>
      <w:r w:rsidR="00C17B92" w:rsidRPr="003134A5">
        <w:rPr>
          <w:bCs/>
          <w:iCs/>
          <w:lang w:eastAsia="en-US"/>
        </w:rPr>
        <w:br w:type="page"/>
      </w:r>
    </w:p>
    <w:p w14:paraId="75E27460" w14:textId="77777777" w:rsidR="00974578" w:rsidRPr="00974578" w:rsidRDefault="00974578" w:rsidP="000831A1">
      <w:pPr>
        <w:numPr>
          <w:ilvl w:val="0"/>
          <w:numId w:val="73"/>
        </w:numPr>
        <w:rPr>
          <w:bCs/>
          <w:iCs/>
          <w:lang w:eastAsia="en-US"/>
        </w:rPr>
      </w:pPr>
      <w:r w:rsidRPr="00974578">
        <w:rPr>
          <w:bCs/>
          <w:iCs/>
          <w:lang w:eastAsia="en-US"/>
        </w:rPr>
        <w:t>amend the explanatory notes to include the following:</w:t>
      </w:r>
    </w:p>
    <w:p w14:paraId="0B97771F" w14:textId="77777777" w:rsidR="00974578" w:rsidRPr="00974578" w:rsidRDefault="00974578" w:rsidP="00607BDA">
      <w:pPr>
        <w:rPr>
          <w:b/>
          <w:bCs/>
          <w:iCs/>
          <w:lang w:eastAsia="en-US"/>
        </w:rPr>
      </w:pPr>
      <w:r w:rsidRPr="00974578">
        <w:rPr>
          <w:b/>
          <w:bCs/>
          <w:iCs/>
          <w:noProof/>
        </w:rPr>
        <mc:AlternateContent>
          <mc:Choice Requires="wps">
            <w:drawing>
              <wp:inline distT="0" distB="0" distL="0" distR="0" wp14:anchorId="4F16B553" wp14:editId="35370BF7">
                <wp:extent cx="5058000" cy="2329200"/>
                <wp:effectExtent l="0" t="0" r="28575" b="1206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000" cy="2329200"/>
                        </a:xfrm>
                        <a:prstGeom prst="rect">
                          <a:avLst/>
                        </a:prstGeom>
                        <a:solidFill>
                          <a:srgbClr val="FFFFFF"/>
                        </a:solidFill>
                        <a:ln w="15875">
                          <a:solidFill>
                            <a:srgbClr val="F79646">
                              <a:lumMod val="75000"/>
                            </a:srgbClr>
                          </a:solidFill>
                          <a:miter lim="800000"/>
                          <a:headEnd/>
                          <a:tailEnd/>
                        </a:ln>
                      </wps:spPr>
                      <wps:txbx>
                        <w:txbxContent>
                          <w:p w14:paraId="436E87D5" w14:textId="77777777" w:rsidR="00B85D72" w:rsidRPr="00607BDA" w:rsidRDefault="00B85D72" w:rsidP="00974578">
                            <w:pPr>
                              <w:pStyle w:val="Bullet-green"/>
                              <w:numPr>
                                <w:ilvl w:val="0"/>
                                <w:numId w:val="0"/>
                              </w:numPr>
                              <w:rPr>
                                <w:b/>
                              </w:rPr>
                            </w:pPr>
                            <w:r>
                              <w:rPr>
                                <w:b/>
                              </w:rPr>
                              <w:t>Explanatory Note – Item 135</w:t>
                            </w:r>
                          </w:p>
                          <w:p w14:paraId="025DC881" w14:textId="77777777" w:rsidR="00B85D72" w:rsidRPr="006F41C3" w:rsidRDefault="00B85D72" w:rsidP="00974578">
                            <w:pPr>
                              <w:pStyle w:val="Bullet-green"/>
                              <w:ind w:left="0"/>
                            </w:pPr>
                            <w:r w:rsidRPr="006F41C3">
                              <w:t>The item is intended for the initial assessment of patients where by the complexity of the condition is characterised by severe multi-domain cognitive and functional disabilities, delay or impairment”</w:t>
                            </w:r>
                          </w:p>
                          <w:p w14:paraId="62E1B356" w14:textId="77777777" w:rsidR="00B85D72" w:rsidRPr="006F41C3" w:rsidRDefault="00B85D72" w:rsidP="00607BDA">
                            <w:pPr>
                              <w:pStyle w:val="Bullet-green"/>
                              <w:numPr>
                                <w:ilvl w:val="0"/>
                                <w:numId w:val="0"/>
                              </w:numPr>
                            </w:pPr>
                            <w:r w:rsidRPr="006F41C3">
                              <w:t xml:space="preserve">The following conditions are examples of neurodevelopment disorders for which the item is intended (but not limited to): </w:t>
                            </w:r>
                          </w:p>
                          <w:p w14:paraId="07A9C61C" w14:textId="77777777" w:rsidR="00B85D72" w:rsidRDefault="00B85D72" w:rsidP="000831A1">
                            <w:pPr>
                              <w:pStyle w:val="Bullet-green"/>
                              <w:numPr>
                                <w:ilvl w:val="0"/>
                                <w:numId w:val="38"/>
                              </w:numPr>
                            </w:pPr>
                            <w:r>
                              <w:t>Autism Spectrum Disorder</w:t>
                            </w:r>
                          </w:p>
                          <w:p w14:paraId="1721DED1" w14:textId="77777777" w:rsidR="00B85D72" w:rsidRPr="006F41C3" w:rsidRDefault="00B85D72" w:rsidP="000831A1">
                            <w:pPr>
                              <w:pStyle w:val="Bullet-green"/>
                              <w:numPr>
                                <w:ilvl w:val="0"/>
                                <w:numId w:val="38"/>
                              </w:numPr>
                            </w:pPr>
                            <w:r w:rsidRPr="006F41C3">
                              <w:t>Fetal Alcohol Syndrome Disorder (FASD)</w:t>
                            </w:r>
                          </w:p>
                          <w:p w14:paraId="096DA5B6" w14:textId="77777777" w:rsidR="00B85D72" w:rsidRPr="006F41C3" w:rsidRDefault="00B85D72" w:rsidP="000831A1">
                            <w:pPr>
                              <w:pStyle w:val="Bullet-green"/>
                              <w:numPr>
                                <w:ilvl w:val="0"/>
                                <w:numId w:val="38"/>
                              </w:numPr>
                            </w:pPr>
                            <w:r w:rsidRPr="006F41C3">
                              <w:t xml:space="preserve">Fragile X Syndrome </w:t>
                            </w:r>
                          </w:p>
                          <w:p w14:paraId="4E7AE9EB" w14:textId="77777777" w:rsidR="00B85D72" w:rsidRPr="006F41C3" w:rsidRDefault="00B85D72" w:rsidP="000831A1">
                            <w:pPr>
                              <w:pStyle w:val="Bullet-green"/>
                              <w:numPr>
                                <w:ilvl w:val="0"/>
                                <w:numId w:val="38"/>
                              </w:numPr>
                            </w:pPr>
                            <w:r w:rsidRPr="006F41C3">
                              <w:t>Rett’s Syndrome</w:t>
                            </w:r>
                          </w:p>
                          <w:p w14:paraId="5C6CBC0E" w14:textId="77777777" w:rsidR="00B85D72" w:rsidRPr="006F41C3" w:rsidRDefault="00B85D72" w:rsidP="000831A1">
                            <w:pPr>
                              <w:pStyle w:val="Bullet-green"/>
                              <w:numPr>
                                <w:ilvl w:val="0"/>
                                <w:numId w:val="38"/>
                              </w:numPr>
                            </w:pPr>
                            <w:r w:rsidRPr="006F41C3">
                              <w:t xml:space="preserve">Lesch-Nyhan Syndrome </w:t>
                            </w:r>
                          </w:p>
                          <w:p w14:paraId="52773D33" w14:textId="77777777" w:rsidR="00B85D72" w:rsidRPr="006F41C3" w:rsidRDefault="00B85D72" w:rsidP="000831A1">
                            <w:pPr>
                              <w:pStyle w:val="Bullet-green"/>
                              <w:numPr>
                                <w:ilvl w:val="0"/>
                                <w:numId w:val="38"/>
                              </w:numPr>
                            </w:pPr>
                            <w:r w:rsidRPr="006F41C3">
                              <w:t xml:space="preserve">Cornelia de Lange Syndrome </w:t>
                            </w:r>
                          </w:p>
                          <w:p w14:paraId="4373BEBE" w14:textId="77777777" w:rsidR="00B85D72" w:rsidRPr="006F41C3" w:rsidRDefault="00B85D72" w:rsidP="000831A1">
                            <w:pPr>
                              <w:pStyle w:val="Bullet-green"/>
                              <w:numPr>
                                <w:ilvl w:val="0"/>
                                <w:numId w:val="38"/>
                              </w:numPr>
                            </w:pPr>
                            <w:r w:rsidRPr="006F41C3">
                              <w:t>Prader-Willi Syndrome</w:t>
                            </w:r>
                          </w:p>
                          <w:p w14:paraId="4A696A78" w14:textId="77777777" w:rsidR="00B85D72" w:rsidRPr="006F41C3" w:rsidRDefault="00B85D72" w:rsidP="000831A1">
                            <w:pPr>
                              <w:pStyle w:val="Bullet-green"/>
                              <w:numPr>
                                <w:ilvl w:val="0"/>
                                <w:numId w:val="38"/>
                              </w:numPr>
                            </w:pPr>
                            <w:r w:rsidRPr="006F41C3">
                              <w:t>Angelman Syndrome</w:t>
                            </w:r>
                          </w:p>
                          <w:p w14:paraId="49266991" w14:textId="77777777" w:rsidR="00B85D72" w:rsidRPr="006F41C3" w:rsidRDefault="00B85D72" w:rsidP="000831A1">
                            <w:pPr>
                              <w:pStyle w:val="Bullet-green"/>
                              <w:numPr>
                                <w:ilvl w:val="0"/>
                                <w:numId w:val="38"/>
                              </w:numPr>
                            </w:pPr>
                            <w:r w:rsidRPr="006F41C3">
                              <w:t>22 q deletion Syndrome (previously Velocardiofacial Syndrome)</w:t>
                            </w:r>
                          </w:p>
                          <w:p w14:paraId="61ACAFB3" w14:textId="77777777" w:rsidR="00B85D72" w:rsidRPr="006F41C3" w:rsidRDefault="00B85D72" w:rsidP="000831A1">
                            <w:pPr>
                              <w:pStyle w:val="Bullet-green"/>
                              <w:numPr>
                                <w:ilvl w:val="0"/>
                                <w:numId w:val="38"/>
                              </w:numPr>
                            </w:pPr>
                            <w:r w:rsidRPr="006F41C3">
                              <w:t>Smith-Magenis Syndrome</w:t>
                            </w:r>
                          </w:p>
                          <w:p w14:paraId="38DD3F91" w14:textId="77777777" w:rsidR="00B85D72" w:rsidRPr="006F41C3" w:rsidRDefault="00B85D72" w:rsidP="000831A1">
                            <w:pPr>
                              <w:pStyle w:val="Bullet-green"/>
                              <w:numPr>
                                <w:ilvl w:val="0"/>
                                <w:numId w:val="38"/>
                              </w:numPr>
                            </w:pPr>
                            <w:r w:rsidRPr="006F41C3">
                              <w:t>Williams Syndrome</w:t>
                            </w:r>
                          </w:p>
                          <w:p w14:paraId="1ADC79D7" w14:textId="77777777" w:rsidR="00B85D72" w:rsidRPr="006F41C3" w:rsidRDefault="00B85D72" w:rsidP="00607BDA">
                            <w:pPr>
                              <w:pStyle w:val="Bullet-green"/>
                              <w:numPr>
                                <w:ilvl w:val="0"/>
                                <w:numId w:val="0"/>
                              </w:numPr>
                            </w:pPr>
                            <w:r w:rsidRPr="006F41C3">
                              <w:t>The following conditions are examples of conditions for which the item is not intended, as they can be assessed with a standard paediatric consultation:</w:t>
                            </w:r>
                          </w:p>
                          <w:p w14:paraId="173AF09E" w14:textId="77777777" w:rsidR="00B85D72" w:rsidRDefault="00B85D72" w:rsidP="003134A5">
                            <w:pPr>
                              <w:pStyle w:val="Bullet-green"/>
                              <w:numPr>
                                <w:ilvl w:val="0"/>
                                <w:numId w:val="119"/>
                              </w:numPr>
                            </w:pPr>
                            <w:r w:rsidRPr="006F41C3">
                              <w:t>Stand-alone diagnosis of Attention Deficit Hyperactivity Disorder without other severe neurodevelopmental co-morbidities or co-existing multi-domain disabilities</w:t>
                            </w:r>
                            <w:r>
                              <w:t>.</w:t>
                            </w:r>
                          </w:p>
                        </w:txbxContent>
                      </wps:txbx>
                      <wps:bodyPr rot="0" vert="horz" wrap="square" lIns="91440" tIns="45720" rIns="91440" bIns="45720" anchor="t" anchorCtr="0">
                        <a:spAutoFit/>
                      </wps:bodyPr>
                    </wps:wsp>
                  </a:graphicData>
                </a:graphic>
              </wp:inline>
            </w:drawing>
          </mc:Choice>
          <mc:Fallback>
            <w:pict>
              <v:shape w14:anchorId="4F16B553" id="Text Box 4" o:spid="_x0000_s1030" type="#_x0000_t202" style="width:398.25pt;height:18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" strokecolor="#e46c0a" strokeweight="1.25pt">
                <v:textbox style="mso-fit-shape-to-text:t">
                  <w:txbxContent>
                    <w:p w14:paraId="436E87D5" w14:textId="77777777" w:rsidR="00B85D72" w:rsidRPr="00607BDA" w:rsidRDefault="00B85D72" w:rsidP="00974578">
                      <w:pPr>
                        <w:pStyle w:val="Bullet-green"/>
                        <w:numPr>
                          <w:ilvl w:val="0"/>
                          <w:numId w:val="0"/>
                        </w:numPr>
                        <w:rPr>
                          <w:b/>
                        </w:rPr>
                      </w:pPr>
                      <w:r>
                        <w:rPr>
                          <w:b/>
                        </w:rPr>
                        <w:t>Explanatory Note – Item 135</w:t>
                      </w:r>
                    </w:p>
                    <w:p w14:paraId="025DC881" w14:textId="77777777" w:rsidR="00B85D72" w:rsidRPr="006F41C3" w:rsidRDefault="00B85D72" w:rsidP="00974578">
                      <w:pPr>
                        <w:pStyle w:val="Bullet-green"/>
                        <w:ind w:left="0"/>
                      </w:pPr>
                      <w:r w:rsidRPr="006F41C3">
                        <w:t xml:space="preserve">The item is intended for the initial assessment of patients </w:t>
                      </w:r>
                      <w:proofErr w:type="gramStart"/>
                      <w:r w:rsidRPr="006F41C3">
                        <w:t>where by</w:t>
                      </w:r>
                      <w:proofErr w:type="gramEnd"/>
                      <w:r w:rsidRPr="006F41C3">
                        <w:t xml:space="preserve"> the complexity of the condition is characterised by severe multi-domain cognitive and functional disabilities, delay or impairment”</w:t>
                      </w:r>
                    </w:p>
                    <w:p w14:paraId="62E1B356" w14:textId="77777777" w:rsidR="00B85D72" w:rsidRPr="006F41C3" w:rsidRDefault="00B85D72" w:rsidP="00607BDA">
                      <w:pPr>
                        <w:pStyle w:val="Bullet-green"/>
                        <w:numPr>
                          <w:ilvl w:val="0"/>
                          <w:numId w:val="0"/>
                        </w:numPr>
                      </w:pPr>
                      <w:r w:rsidRPr="006F41C3">
                        <w:t xml:space="preserve">The following conditions are examples of neurodevelopment disorders for which the item is intended (but not limited to): </w:t>
                      </w:r>
                    </w:p>
                    <w:p w14:paraId="07A9C61C" w14:textId="77777777" w:rsidR="00B85D72" w:rsidRDefault="00B85D72" w:rsidP="000831A1">
                      <w:pPr>
                        <w:pStyle w:val="Bullet-green"/>
                        <w:numPr>
                          <w:ilvl w:val="0"/>
                          <w:numId w:val="38"/>
                        </w:numPr>
                      </w:pPr>
                      <w:r>
                        <w:t>Autism Spectrum Disorder</w:t>
                      </w:r>
                    </w:p>
                    <w:p w14:paraId="1721DED1" w14:textId="77777777" w:rsidR="00B85D72" w:rsidRPr="006F41C3" w:rsidRDefault="00B85D72" w:rsidP="000831A1">
                      <w:pPr>
                        <w:pStyle w:val="Bullet-green"/>
                        <w:numPr>
                          <w:ilvl w:val="0"/>
                          <w:numId w:val="38"/>
                        </w:numPr>
                      </w:pPr>
                      <w:proofErr w:type="spellStart"/>
                      <w:r w:rsidRPr="006F41C3">
                        <w:t>Fetal</w:t>
                      </w:r>
                      <w:proofErr w:type="spellEnd"/>
                      <w:r w:rsidRPr="006F41C3">
                        <w:t xml:space="preserve"> Alcohol Syndrome Disorder (FASD)</w:t>
                      </w:r>
                    </w:p>
                    <w:p w14:paraId="096DA5B6" w14:textId="77777777" w:rsidR="00B85D72" w:rsidRPr="006F41C3" w:rsidRDefault="00B85D72" w:rsidP="000831A1">
                      <w:pPr>
                        <w:pStyle w:val="Bullet-green"/>
                        <w:numPr>
                          <w:ilvl w:val="0"/>
                          <w:numId w:val="38"/>
                        </w:numPr>
                      </w:pPr>
                      <w:r w:rsidRPr="006F41C3">
                        <w:t xml:space="preserve">Fragile X Syndrome </w:t>
                      </w:r>
                    </w:p>
                    <w:p w14:paraId="4E7AE9EB" w14:textId="77777777" w:rsidR="00B85D72" w:rsidRPr="006F41C3" w:rsidRDefault="00B85D72" w:rsidP="000831A1">
                      <w:pPr>
                        <w:pStyle w:val="Bullet-green"/>
                        <w:numPr>
                          <w:ilvl w:val="0"/>
                          <w:numId w:val="38"/>
                        </w:numPr>
                      </w:pPr>
                      <w:r w:rsidRPr="006F41C3">
                        <w:t>Rett’s Syndrome</w:t>
                      </w:r>
                    </w:p>
                    <w:p w14:paraId="5C6CBC0E" w14:textId="77777777" w:rsidR="00B85D72" w:rsidRPr="006F41C3" w:rsidRDefault="00B85D72" w:rsidP="000831A1">
                      <w:pPr>
                        <w:pStyle w:val="Bullet-green"/>
                        <w:numPr>
                          <w:ilvl w:val="0"/>
                          <w:numId w:val="38"/>
                        </w:numPr>
                      </w:pPr>
                      <w:proofErr w:type="spellStart"/>
                      <w:r w:rsidRPr="006F41C3">
                        <w:t>Lesch-Nyhan</w:t>
                      </w:r>
                      <w:proofErr w:type="spellEnd"/>
                      <w:r w:rsidRPr="006F41C3">
                        <w:t xml:space="preserve"> Syndrome </w:t>
                      </w:r>
                    </w:p>
                    <w:p w14:paraId="52773D33" w14:textId="77777777" w:rsidR="00B85D72" w:rsidRPr="006F41C3" w:rsidRDefault="00B85D72" w:rsidP="000831A1">
                      <w:pPr>
                        <w:pStyle w:val="Bullet-green"/>
                        <w:numPr>
                          <w:ilvl w:val="0"/>
                          <w:numId w:val="38"/>
                        </w:numPr>
                      </w:pPr>
                      <w:r w:rsidRPr="006F41C3">
                        <w:t xml:space="preserve">Cornelia de Lange Syndrome </w:t>
                      </w:r>
                    </w:p>
                    <w:p w14:paraId="4373BEBE" w14:textId="77777777" w:rsidR="00B85D72" w:rsidRPr="006F41C3" w:rsidRDefault="00B85D72" w:rsidP="000831A1">
                      <w:pPr>
                        <w:pStyle w:val="Bullet-green"/>
                        <w:numPr>
                          <w:ilvl w:val="0"/>
                          <w:numId w:val="38"/>
                        </w:numPr>
                      </w:pPr>
                      <w:r w:rsidRPr="006F41C3">
                        <w:t>Prader-Willi Syndrome</w:t>
                      </w:r>
                    </w:p>
                    <w:p w14:paraId="4A696A78" w14:textId="77777777" w:rsidR="00B85D72" w:rsidRPr="006F41C3" w:rsidRDefault="00B85D72" w:rsidP="000831A1">
                      <w:pPr>
                        <w:pStyle w:val="Bullet-green"/>
                        <w:numPr>
                          <w:ilvl w:val="0"/>
                          <w:numId w:val="38"/>
                        </w:numPr>
                      </w:pPr>
                      <w:r w:rsidRPr="006F41C3">
                        <w:t>Angelman Syndrome</w:t>
                      </w:r>
                    </w:p>
                    <w:p w14:paraId="49266991" w14:textId="77777777" w:rsidR="00B85D72" w:rsidRPr="006F41C3" w:rsidRDefault="00B85D72" w:rsidP="000831A1">
                      <w:pPr>
                        <w:pStyle w:val="Bullet-green"/>
                        <w:numPr>
                          <w:ilvl w:val="0"/>
                          <w:numId w:val="38"/>
                        </w:numPr>
                      </w:pPr>
                      <w:r w:rsidRPr="006F41C3">
                        <w:t xml:space="preserve">22 q deletion Syndrome (previously </w:t>
                      </w:r>
                      <w:proofErr w:type="spellStart"/>
                      <w:r w:rsidRPr="006F41C3">
                        <w:t>Velocardiofacial</w:t>
                      </w:r>
                      <w:proofErr w:type="spellEnd"/>
                      <w:r w:rsidRPr="006F41C3">
                        <w:t xml:space="preserve"> Syndrome)</w:t>
                      </w:r>
                    </w:p>
                    <w:p w14:paraId="61ACAFB3" w14:textId="77777777" w:rsidR="00B85D72" w:rsidRPr="006F41C3" w:rsidRDefault="00B85D72" w:rsidP="000831A1">
                      <w:pPr>
                        <w:pStyle w:val="Bullet-green"/>
                        <w:numPr>
                          <w:ilvl w:val="0"/>
                          <w:numId w:val="38"/>
                        </w:numPr>
                      </w:pPr>
                      <w:r w:rsidRPr="006F41C3">
                        <w:t>Smith-</w:t>
                      </w:r>
                      <w:proofErr w:type="spellStart"/>
                      <w:r w:rsidRPr="006F41C3">
                        <w:t>Magenis</w:t>
                      </w:r>
                      <w:proofErr w:type="spellEnd"/>
                      <w:r w:rsidRPr="006F41C3">
                        <w:t xml:space="preserve"> Syndrome</w:t>
                      </w:r>
                    </w:p>
                    <w:p w14:paraId="38DD3F91" w14:textId="77777777" w:rsidR="00B85D72" w:rsidRPr="006F41C3" w:rsidRDefault="00B85D72" w:rsidP="000831A1">
                      <w:pPr>
                        <w:pStyle w:val="Bullet-green"/>
                        <w:numPr>
                          <w:ilvl w:val="0"/>
                          <w:numId w:val="38"/>
                        </w:numPr>
                      </w:pPr>
                      <w:r w:rsidRPr="006F41C3">
                        <w:t>Williams Syndrome</w:t>
                      </w:r>
                    </w:p>
                    <w:p w14:paraId="1ADC79D7" w14:textId="77777777" w:rsidR="00B85D72" w:rsidRPr="006F41C3" w:rsidRDefault="00B85D72" w:rsidP="00607BDA">
                      <w:pPr>
                        <w:pStyle w:val="Bullet-green"/>
                        <w:numPr>
                          <w:ilvl w:val="0"/>
                          <w:numId w:val="0"/>
                        </w:numPr>
                      </w:pPr>
                      <w:r w:rsidRPr="006F41C3">
                        <w:t>The following conditions are examples of conditions for which the item is not intended, as they can be assessed with a standard paediatric consultation:</w:t>
                      </w:r>
                    </w:p>
                    <w:p w14:paraId="173AF09E" w14:textId="77777777" w:rsidR="00B85D72" w:rsidRDefault="00B85D72" w:rsidP="003134A5">
                      <w:pPr>
                        <w:pStyle w:val="Bullet-green"/>
                        <w:numPr>
                          <w:ilvl w:val="0"/>
                          <w:numId w:val="119"/>
                        </w:numPr>
                      </w:pPr>
                      <w:r w:rsidRPr="006F41C3">
                        <w:t>Stand-alone diagnosis of Attention Deficit Hyperactivity Disorder without other severe neurodevelopmental co-morbidities or co-existing multi-domain disabilities</w:t>
                      </w:r>
                      <w:r>
                        <w:t>.</w:t>
                      </w:r>
                    </w:p>
                  </w:txbxContent>
                </v:textbox>
                <w10:anchorlock/>
              </v:shape>
            </w:pict>
          </mc:Fallback>
        </mc:AlternateContent>
      </w:r>
    </w:p>
    <w:p w14:paraId="4CC197A2" w14:textId="77777777" w:rsidR="00974578" w:rsidRDefault="00974578" w:rsidP="000831A1">
      <w:pPr>
        <w:numPr>
          <w:ilvl w:val="0"/>
          <w:numId w:val="73"/>
        </w:numPr>
        <w:rPr>
          <w:bCs/>
          <w:iCs/>
          <w:lang w:eastAsia="en-US"/>
        </w:rPr>
      </w:pPr>
      <w:r w:rsidRPr="00974578">
        <w:rPr>
          <w:bCs/>
          <w:iCs/>
          <w:lang w:eastAsia="en-US"/>
        </w:rPr>
        <w:t>that expert bodies are consulted to agree on an appropriate definition of complexity and severity, and which domains of cognitive and functional impairment should be considered.</w:t>
      </w:r>
    </w:p>
    <w:p w14:paraId="39E3049C" w14:textId="77777777" w:rsidR="00FC6719" w:rsidRPr="00974578" w:rsidRDefault="00FC6719" w:rsidP="000831A1">
      <w:pPr>
        <w:numPr>
          <w:ilvl w:val="0"/>
          <w:numId w:val="73"/>
        </w:numPr>
        <w:rPr>
          <w:bCs/>
          <w:iCs/>
          <w:lang w:eastAsia="en-US"/>
        </w:rPr>
      </w:pPr>
      <w:r>
        <w:rPr>
          <w:bCs/>
          <w:iCs/>
          <w:lang w:eastAsia="en-US"/>
        </w:rPr>
        <w:t xml:space="preserve">that </w:t>
      </w:r>
      <w:r>
        <w:t>the inequity of patient rebates for paediatric complex plans and geriatric complex plans be addressed over time.</w:t>
      </w:r>
    </w:p>
    <w:p w14:paraId="55349795" w14:textId="77777777" w:rsidR="00FC6719" w:rsidRPr="00C035DF" w:rsidRDefault="00FC6719" w:rsidP="00C035DF">
      <w:pPr>
        <w:keepNext/>
        <w:rPr>
          <w:b/>
          <w:bCs/>
          <w:iCs/>
          <w:lang w:val="en-US" w:eastAsia="en-US"/>
        </w:rPr>
      </w:pPr>
      <w:r w:rsidRPr="00C035DF">
        <w:rPr>
          <w:b/>
          <w:bCs/>
          <w:iCs/>
          <w:lang w:val="en-US" w:eastAsia="en-US"/>
        </w:rPr>
        <w:t>Recommendation 8 – Retain the geriatrician specific consultation items</w:t>
      </w:r>
    </w:p>
    <w:p w14:paraId="5DA810D5" w14:textId="77777777" w:rsidR="00FC6719" w:rsidRPr="004A1AB0" w:rsidRDefault="00FC6719" w:rsidP="00C035DF">
      <w:pPr>
        <w:pStyle w:val="Bullet-green"/>
        <w:keepNext/>
        <w:numPr>
          <w:ilvl w:val="0"/>
          <w:numId w:val="73"/>
        </w:numPr>
      </w:pPr>
      <w:r>
        <w:t>The Committee recommends retaining items 141, 143, 145 and 147 and not including under time</w:t>
      </w:r>
      <w:r>
        <w:noBreakHyphen/>
        <w:t>tiering.</w:t>
      </w:r>
    </w:p>
    <w:p w14:paraId="139AB630" w14:textId="77777777" w:rsidR="00974578" w:rsidRPr="00974578" w:rsidRDefault="00974578" w:rsidP="00974578">
      <w:pPr>
        <w:rPr>
          <w:b/>
          <w:bCs/>
          <w:iCs/>
          <w:lang w:val="en-US" w:eastAsia="en-US"/>
        </w:rPr>
      </w:pPr>
      <w:r w:rsidRPr="00974578">
        <w:rPr>
          <w:b/>
          <w:bCs/>
          <w:iCs/>
          <w:lang w:val="en-US" w:eastAsia="en-US"/>
        </w:rPr>
        <w:t xml:space="preserve">Recommendation </w:t>
      </w:r>
      <w:r w:rsidR="00FC6719">
        <w:rPr>
          <w:b/>
          <w:bCs/>
          <w:iCs/>
          <w:lang w:val="en-US" w:eastAsia="en-US"/>
        </w:rPr>
        <w:t>9</w:t>
      </w:r>
      <w:r w:rsidRPr="00974578">
        <w:rPr>
          <w:b/>
          <w:bCs/>
          <w:iCs/>
          <w:lang w:val="en-US" w:eastAsia="en-US"/>
        </w:rPr>
        <w:t xml:space="preserve"> – A new framework for telehealth</w:t>
      </w:r>
    </w:p>
    <w:p w14:paraId="314C1E1D" w14:textId="77777777" w:rsidR="00974578" w:rsidRDefault="00974578" w:rsidP="00607BDA">
      <w:pPr>
        <w:pStyle w:val="Bullet-green"/>
        <w:numPr>
          <w:ilvl w:val="0"/>
          <w:numId w:val="0"/>
        </w:numPr>
      </w:pPr>
      <w:r>
        <w:t>The Committee recommends:</w:t>
      </w:r>
    </w:p>
    <w:p w14:paraId="502C0DBC" w14:textId="77777777" w:rsidR="00974578" w:rsidRDefault="00B32B5F" w:rsidP="000831A1">
      <w:pPr>
        <w:pStyle w:val="Bullet-green"/>
        <w:numPr>
          <w:ilvl w:val="0"/>
          <w:numId w:val="74"/>
        </w:numPr>
      </w:pPr>
      <w:r>
        <w:t>r</w:t>
      </w:r>
      <w:r w:rsidR="00974578">
        <w:t>emoving the eight specialty-specific telehealth attendance items (items 113, 114, 384, 2799, 3003, 6004, 6025, an</w:t>
      </w:r>
      <w:r w:rsidR="00196C0C">
        <w:t>d 6059) from the MBS;</w:t>
      </w:r>
    </w:p>
    <w:p w14:paraId="4517BEE9" w14:textId="77777777" w:rsidR="00974578" w:rsidRPr="00607BDA" w:rsidRDefault="00974578" w:rsidP="000831A1">
      <w:pPr>
        <w:pStyle w:val="Bullet-green"/>
        <w:numPr>
          <w:ilvl w:val="0"/>
          <w:numId w:val="74"/>
        </w:numPr>
      </w:pPr>
      <w:r>
        <w:rPr>
          <w:lang w:val="en-GB"/>
        </w:rPr>
        <w:t>incrementally reducing</w:t>
      </w:r>
      <w:r w:rsidRPr="00C33C0B">
        <w:rPr>
          <w:lang w:val="en-GB"/>
        </w:rPr>
        <w:t xml:space="preserve"> </w:t>
      </w:r>
      <w:r w:rsidRPr="00971319">
        <w:rPr>
          <w:lang w:val="en-GB"/>
        </w:rPr>
        <w:t>the derived fee for th</w:t>
      </w:r>
      <w:r>
        <w:rPr>
          <w:lang w:val="en-GB"/>
        </w:rPr>
        <w:t xml:space="preserve">e nine telehealth loading items </w:t>
      </w:r>
      <w:r>
        <w:t>loading items (items 99, 112, 149, 389, 2820, 3015, 6016, 6026, and 6060)</w:t>
      </w:r>
      <w:r>
        <w:rPr>
          <w:lang w:val="en-GB"/>
        </w:rPr>
        <w:t xml:space="preserve"> to zero</w:t>
      </w:r>
      <w:r w:rsidR="00196C0C">
        <w:rPr>
          <w:lang w:val="en-GB"/>
        </w:rPr>
        <w:t>;</w:t>
      </w:r>
    </w:p>
    <w:p w14:paraId="3B03D3C6" w14:textId="77777777" w:rsidR="00974578" w:rsidRDefault="00974578" w:rsidP="000831A1">
      <w:pPr>
        <w:pStyle w:val="Bullet-green"/>
        <w:numPr>
          <w:ilvl w:val="0"/>
          <w:numId w:val="74"/>
        </w:numPr>
      </w:pPr>
      <w:r>
        <w:t xml:space="preserve">undertaking </w:t>
      </w:r>
      <w:r w:rsidRPr="00C33C0B">
        <w:t xml:space="preserve">annual analysis of </w:t>
      </w:r>
      <w:r>
        <w:t xml:space="preserve">the phase out </w:t>
      </w:r>
      <w:r w:rsidRPr="00C33C0B">
        <w:t xml:space="preserve">so </w:t>
      </w:r>
      <w:r>
        <w:t>to identify</w:t>
      </w:r>
      <w:r w:rsidRPr="00C33C0B">
        <w:t xml:space="preserve"> p</w:t>
      </w:r>
      <w:r>
        <w:t>o</w:t>
      </w:r>
      <w:r w:rsidR="00196C0C">
        <w:t>tential unintended consequences;</w:t>
      </w:r>
      <w:r>
        <w:t xml:space="preserve"> and</w:t>
      </w:r>
    </w:p>
    <w:p w14:paraId="1CE038AF" w14:textId="77777777" w:rsidR="00974578" w:rsidRDefault="00974578" w:rsidP="000831A1">
      <w:pPr>
        <w:pStyle w:val="Bullet-green"/>
        <w:numPr>
          <w:ilvl w:val="0"/>
          <w:numId w:val="74"/>
        </w:numPr>
      </w:pPr>
      <w:r>
        <w:t>introducing new telehealth-specific attendance items (after the nine loading items have been removed) that mirror the standard time-tiered attendance items, with the same fees, and with item descriptors that describe recommended activities to be performed in each tier.</w:t>
      </w:r>
    </w:p>
    <w:p w14:paraId="60EB5EAC" w14:textId="77777777" w:rsidR="00974578" w:rsidRPr="00651006" w:rsidRDefault="002355E9" w:rsidP="00651006">
      <w:pPr>
        <w:rPr>
          <w:b/>
        </w:rPr>
      </w:pPr>
      <w:r>
        <w:rPr>
          <w:b/>
        </w:rPr>
        <w:t>Table B.</w:t>
      </w:r>
      <w:r w:rsidR="00C17B92">
        <w:rPr>
          <w:b/>
        </w:rPr>
        <w:t>3</w:t>
      </w:r>
      <w:r w:rsidR="00974578" w:rsidRPr="00651006">
        <w:rPr>
          <w:b/>
        </w:rPr>
        <w:t>: Telehealth attendance item descriptors</w:t>
      </w:r>
    </w:p>
    <w:tbl>
      <w:tblPr>
        <w:tblStyle w:val="TableGrid"/>
        <w:tblW w:w="503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Caption w:val="Appendix B - Table B.3: Telehealth attendance item descriptors"/>
        <w:tblDescription w:val="Table B.3 has 3 columns. Column 1 is the item level. Column 2 is the duration of the item. Column 3 is the item descriptor. "/>
      </w:tblPr>
      <w:tblGrid>
        <w:gridCol w:w="704"/>
        <w:gridCol w:w="992"/>
        <w:gridCol w:w="6662"/>
      </w:tblGrid>
      <w:tr w:rsidR="00974578" w:rsidRPr="00C33C0B" w14:paraId="7463EB35" w14:textId="77777777" w:rsidTr="00C65B0C">
        <w:trPr>
          <w:tblHeader/>
        </w:trPr>
        <w:tc>
          <w:tcPr>
            <w:tcW w:w="709" w:type="dxa"/>
            <w:shd w:val="clear" w:color="auto" w:fill="01653F"/>
            <w:vAlign w:val="bottom"/>
          </w:tcPr>
          <w:p w14:paraId="409BE92A" w14:textId="77777777" w:rsidR="00974578" w:rsidRPr="00C33C0B" w:rsidRDefault="00974578" w:rsidP="00C65B0C">
            <w:pPr>
              <w:spacing w:before="20" w:after="20" w:line="240" w:lineRule="auto"/>
              <w:rPr>
                <w:b/>
                <w:bCs/>
                <w:color w:val="FFFFFF" w:themeColor="background1"/>
                <w:szCs w:val="22"/>
                <w:lang w:val="en-GB"/>
              </w:rPr>
            </w:pPr>
            <w:r w:rsidRPr="00C33C0B">
              <w:rPr>
                <w:b/>
                <w:bCs/>
                <w:color w:val="FFFFFF" w:themeColor="background1"/>
                <w:szCs w:val="22"/>
                <w:lang w:val="en-GB"/>
              </w:rPr>
              <w:t>Level (</w:t>
            </w:r>
            <w:r>
              <w:rPr>
                <w:b/>
                <w:bCs/>
                <w:color w:val="FFFFFF" w:themeColor="background1"/>
                <w:szCs w:val="22"/>
                <w:lang w:val="en-GB"/>
              </w:rPr>
              <w:t>i</w:t>
            </w:r>
            <w:r w:rsidRPr="00C33C0B">
              <w:rPr>
                <w:b/>
                <w:bCs/>
                <w:color w:val="FFFFFF" w:themeColor="background1"/>
                <w:szCs w:val="22"/>
                <w:lang w:val="en-GB"/>
              </w:rPr>
              <w:t>tem</w:t>
            </w:r>
            <w:r>
              <w:rPr>
                <w:b/>
                <w:bCs/>
                <w:color w:val="FFFFFF" w:themeColor="background1"/>
                <w:szCs w:val="22"/>
                <w:lang w:val="en-GB"/>
              </w:rPr>
              <w:t>)</w:t>
            </w:r>
            <w:r w:rsidRPr="00C33C0B">
              <w:rPr>
                <w:rStyle w:val="FootnoteReference"/>
                <w:b/>
                <w:bCs/>
                <w:color w:val="FFFFFF" w:themeColor="background1"/>
                <w:szCs w:val="22"/>
                <w:lang w:val="en-GB"/>
              </w:rPr>
              <w:footnoteReference w:id="15"/>
            </w:r>
          </w:p>
        </w:tc>
        <w:tc>
          <w:tcPr>
            <w:tcW w:w="1000" w:type="dxa"/>
            <w:shd w:val="clear" w:color="auto" w:fill="01653F"/>
            <w:vAlign w:val="bottom"/>
          </w:tcPr>
          <w:p w14:paraId="384CD3B0" w14:textId="77777777" w:rsidR="00974578" w:rsidRPr="00C33C0B" w:rsidRDefault="00974578" w:rsidP="00C65B0C">
            <w:pPr>
              <w:spacing w:before="20" w:after="20" w:line="240" w:lineRule="auto"/>
              <w:rPr>
                <w:b/>
                <w:bCs/>
                <w:color w:val="FFFFFF" w:themeColor="background1"/>
                <w:szCs w:val="22"/>
                <w:lang w:val="en-GB"/>
              </w:rPr>
            </w:pPr>
            <w:r w:rsidRPr="00C33C0B">
              <w:rPr>
                <w:b/>
                <w:bCs/>
                <w:color w:val="FFFFFF" w:themeColor="background1"/>
                <w:szCs w:val="22"/>
                <w:lang w:val="en-GB"/>
              </w:rPr>
              <w:t>Duration</w:t>
            </w:r>
          </w:p>
        </w:tc>
        <w:tc>
          <w:tcPr>
            <w:tcW w:w="6716" w:type="dxa"/>
            <w:shd w:val="clear" w:color="auto" w:fill="01653F"/>
          </w:tcPr>
          <w:p w14:paraId="7661E232" w14:textId="77777777" w:rsidR="00974578" w:rsidRDefault="00974578" w:rsidP="00C65B0C">
            <w:pPr>
              <w:spacing w:before="20" w:after="20" w:line="240" w:lineRule="auto"/>
              <w:rPr>
                <w:b/>
                <w:bCs/>
                <w:color w:val="FFFFFF" w:themeColor="background1"/>
                <w:szCs w:val="22"/>
                <w:lang w:val="en-GB"/>
              </w:rPr>
            </w:pPr>
          </w:p>
          <w:p w14:paraId="242FA182" w14:textId="77777777" w:rsidR="00974578" w:rsidRDefault="00974578" w:rsidP="00C65B0C">
            <w:pPr>
              <w:spacing w:before="20" w:after="20" w:line="240" w:lineRule="auto"/>
              <w:rPr>
                <w:b/>
                <w:bCs/>
                <w:color w:val="FFFFFF" w:themeColor="background1"/>
                <w:szCs w:val="22"/>
                <w:lang w:val="en-GB"/>
              </w:rPr>
            </w:pPr>
          </w:p>
          <w:p w14:paraId="5253D01E" w14:textId="77777777" w:rsidR="00974578" w:rsidRPr="00C33C0B" w:rsidRDefault="00974578" w:rsidP="00C65B0C">
            <w:pPr>
              <w:spacing w:before="20" w:after="20" w:line="240" w:lineRule="auto"/>
              <w:rPr>
                <w:b/>
                <w:bCs/>
                <w:color w:val="FFFFFF" w:themeColor="background1"/>
                <w:szCs w:val="22"/>
                <w:lang w:val="en-GB"/>
              </w:rPr>
            </w:pPr>
            <w:r w:rsidRPr="00C33C0B">
              <w:rPr>
                <w:b/>
                <w:bCs/>
                <w:color w:val="FFFFFF" w:themeColor="background1"/>
                <w:szCs w:val="22"/>
                <w:lang w:val="en-GB"/>
              </w:rPr>
              <w:t>Item descriptor</w:t>
            </w:r>
          </w:p>
        </w:tc>
      </w:tr>
      <w:tr w:rsidR="00974578" w:rsidRPr="00C33C0B" w14:paraId="63ACF4F2" w14:textId="77777777" w:rsidTr="00C65B0C">
        <w:tc>
          <w:tcPr>
            <w:tcW w:w="709" w:type="dxa"/>
            <w:shd w:val="clear" w:color="auto" w:fill="auto"/>
          </w:tcPr>
          <w:p w14:paraId="38434811" w14:textId="77777777" w:rsidR="00974578" w:rsidRPr="00C33C0B" w:rsidRDefault="00974578" w:rsidP="00C65B0C">
            <w:pPr>
              <w:spacing w:before="20" w:after="20" w:line="240" w:lineRule="auto"/>
              <w:rPr>
                <w:b/>
                <w:szCs w:val="22"/>
                <w:lang w:val="en-GB"/>
              </w:rPr>
            </w:pPr>
            <w:r>
              <w:rPr>
                <w:b/>
                <w:szCs w:val="22"/>
                <w:lang w:val="en-GB"/>
              </w:rPr>
              <w:t>Level B</w:t>
            </w:r>
          </w:p>
          <w:p w14:paraId="083078BD" w14:textId="77777777" w:rsidR="00974578" w:rsidRPr="00C33C0B" w:rsidRDefault="00974578" w:rsidP="00C65B0C">
            <w:pPr>
              <w:spacing w:before="20" w:after="20" w:line="240" w:lineRule="auto"/>
              <w:rPr>
                <w:szCs w:val="22"/>
                <w:lang w:val="en-GB"/>
              </w:rPr>
            </w:pPr>
            <w:r>
              <w:rPr>
                <w:szCs w:val="22"/>
                <w:lang w:val="en-GB"/>
              </w:rPr>
              <w:t>(THB</w:t>
            </w:r>
            <w:r w:rsidRPr="00C33C0B">
              <w:rPr>
                <w:szCs w:val="22"/>
                <w:lang w:val="en-GB"/>
              </w:rPr>
              <w:t>)</w:t>
            </w:r>
          </w:p>
          <w:p w14:paraId="4694A5DA" w14:textId="77777777" w:rsidR="00974578" w:rsidRPr="00C33C0B" w:rsidRDefault="00974578" w:rsidP="00C65B0C">
            <w:pPr>
              <w:spacing w:before="20" w:after="20" w:line="240" w:lineRule="auto"/>
              <w:rPr>
                <w:szCs w:val="22"/>
                <w:lang w:val="en-GB"/>
              </w:rPr>
            </w:pPr>
          </w:p>
        </w:tc>
        <w:tc>
          <w:tcPr>
            <w:tcW w:w="1000" w:type="dxa"/>
            <w:shd w:val="clear" w:color="auto" w:fill="auto"/>
          </w:tcPr>
          <w:p w14:paraId="4FAB8911" w14:textId="77777777" w:rsidR="00974578" w:rsidRPr="00C33C0B" w:rsidRDefault="00974578" w:rsidP="00C65B0C">
            <w:pPr>
              <w:spacing w:before="20" w:after="20" w:line="240" w:lineRule="auto"/>
              <w:rPr>
                <w:szCs w:val="22"/>
                <w:lang w:val="en-GB"/>
              </w:rPr>
            </w:pPr>
            <w:r>
              <w:rPr>
                <w:szCs w:val="22"/>
                <w:lang w:val="en-GB"/>
              </w:rPr>
              <w:t>6-20 minutes</w:t>
            </w:r>
          </w:p>
        </w:tc>
        <w:tc>
          <w:tcPr>
            <w:tcW w:w="6716" w:type="dxa"/>
          </w:tcPr>
          <w:p w14:paraId="02B62819" w14:textId="77777777" w:rsidR="00974578" w:rsidRDefault="00974578" w:rsidP="00C65B0C">
            <w:pPr>
              <w:spacing w:before="20" w:after="20" w:line="240" w:lineRule="auto"/>
              <w:rPr>
                <w:szCs w:val="22"/>
                <w:lang w:val="en-GB"/>
              </w:rPr>
            </w:pPr>
            <w:r w:rsidRPr="00C33C0B">
              <w:rPr>
                <w:szCs w:val="22"/>
                <w:lang w:val="en-GB"/>
              </w:rPr>
              <w:t xml:space="preserve">Professional attendance of </w:t>
            </w:r>
            <w:r>
              <w:rPr>
                <w:b/>
                <w:szCs w:val="22"/>
                <w:lang w:val="en-GB"/>
              </w:rPr>
              <w:t xml:space="preserve">more than 5 </w:t>
            </w:r>
            <w:r w:rsidRPr="00C33C0B">
              <w:rPr>
                <w:b/>
                <w:szCs w:val="22"/>
                <w:lang w:val="en-GB"/>
              </w:rPr>
              <w:t>minutes</w:t>
            </w:r>
            <w:r w:rsidRPr="00C33C0B">
              <w:rPr>
                <w:szCs w:val="22"/>
                <w:lang w:val="en-GB"/>
              </w:rPr>
              <w:t xml:space="preserve"> </w:t>
            </w:r>
            <w:r>
              <w:rPr>
                <w:b/>
                <w:szCs w:val="22"/>
                <w:lang w:val="en-GB"/>
              </w:rPr>
              <w:t xml:space="preserve">but not more than 20 minutes </w:t>
            </w:r>
            <w:r w:rsidRPr="00C33C0B">
              <w:rPr>
                <w:szCs w:val="22"/>
                <w:lang w:val="en-GB"/>
              </w:rPr>
              <w:t xml:space="preserve">by a </w:t>
            </w:r>
            <w:r>
              <w:rPr>
                <w:szCs w:val="22"/>
                <w:lang w:val="en-GB"/>
              </w:rPr>
              <w:t>consultant specialist</w:t>
            </w:r>
            <w:r w:rsidRPr="00C33C0B">
              <w:rPr>
                <w:szCs w:val="22"/>
                <w:lang w:val="en-GB"/>
              </w:rPr>
              <w:t xml:space="preserve"> in the practice of his or her speciality </w:t>
            </w:r>
            <w:r w:rsidRPr="00176294">
              <w:rPr>
                <w:szCs w:val="22"/>
                <w:lang w:val="en-GB"/>
              </w:rPr>
              <w:t xml:space="preserve">if: </w:t>
            </w:r>
          </w:p>
          <w:p w14:paraId="212CEF2C" w14:textId="77777777" w:rsidR="00974578" w:rsidRPr="0010767D" w:rsidRDefault="00974578" w:rsidP="000831A1">
            <w:pPr>
              <w:pStyle w:val="ListParagraph"/>
              <w:numPr>
                <w:ilvl w:val="1"/>
                <w:numId w:val="28"/>
              </w:numPr>
              <w:spacing w:before="20" w:after="20" w:line="240" w:lineRule="auto"/>
              <w:ind w:left="360"/>
              <w:rPr>
                <w:szCs w:val="22"/>
                <w:lang w:val="en-GB"/>
              </w:rPr>
            </w:pPr>
            <w:r w:rsidRPr="0010767D">
              <w:rPr>
                <w:szCs w:val="22"/>
                <w:lang w:val="en-GB"/>
              </w:rPr>
              <w:t xml:space="preserve">the attendance is by video conference; and </w:t>
            </w:r>
          </w:p>
          <w:p w14:paraId="53E02548" w14:textId="77777777" w:rsidR="00974578" w:rsidRPr="0010767D" w:rsidRDefault="00974578" w:rsidP="000831A1">
            <w:pPr>
              <w:pStyle w:val="ListParagraph"/>
              <w:numPr>
                <w:ilvl w:val="1"/>
                <w:numId w:val="28"/>
              </w:numPr>
              <w:spacing w:before="20" w:after="20" w:line="240" w:lineRule="auto"/>
              <w:ind w:left="360"/>
              <w:rPr>
                <w:szCs w:val="22"/>
                <w:lang w:val="en-GB"/>
              </w:rPr>
            </w:pPr>
            <w:r w:rsidRPr="0010767D">
              <w:rPr>
                <w:szCs w:val="22"/>
                <w:lang w:val="en-GB"/>
              </w:rPr>
              <w:t xml:space="preserve">the patient is not an admitted patient; and </w:t>
            </w:r>
          </w:p>
          <w:p w14:paraId="590311C6" w14:textId="77777777" w:rsidR="00974578" w:rsidRPr="0010767D" w:rsidRDefault="00974578" w:rsidP="000831A1">
            <w:pPr>
              <w:pStyle w:val="ListParagraph"/>
              <w:numPr>
                <w:ilvl w:val="1"/>
                <w:numId w:val="28"/>
              </w:numPr>
              <w:spacing w:before="20" w:after="20" w:line="240" w:lineRule="auto"/>
              <w:ind w:left="360"/>
              <w:rPr>
                <w:szCs w:val="22"/>
                <w:lang w:val="en-GB"/>
              </w:rPr>
            </w:pPr>
            <w:r w:rsidRPr="0010767D">
              <w:rPr>
                <w:szCs w:val="22"/>
                <w:lang w:val="en-GB"/>
              </w:rPr>
              <w:t xml:space="preserve">the patient: </w:t>
            </w:r>
          </w:p>
          <w:p w14:paraId="65CDB1DE" w14:textId="77777777" w:rsidR="00974578" w:rsidRPr="0010767D" w:rsidRDefault="00974578" w:rsidP="000831A1">
            <w:pPr>
              <w:pStyle w:val="ListParagraph"/>
              <w:numPr>
                <w:ilvl w:val="0"/>
                <w:numId w:val="29"/>
              </w:numPr>
              <w:spacing w:before="20" w:after="20" w:line="240" w:lineRule="auto"/>
              <w:rPr>
                <w:szCs w:val="22"/>
                <w:lang w:val="en-GB"/>
              </w:rPr>
            </w:pPr>
            <w:r w:rsidRPr="0010767D">
              <w:rPr>
                <w:szCs w:val="22"/>
                <w:lang w:val="en-GB"/>
              </w:rPr>
              <w:t xml:space="preserve">is located both: (a) within a telehealth eligible area; and (b) at the time of the attendance--at least 15 km by road from the </w:t>
            </w:r>
            <w:r>
              <w:rPr>
                <w:szCs w:val="22"/>
                <w:lang w:val="en-GB"/>
              </w:rPr>
              <w:t xml:space="preserve">consultant </w:t>
            </w:r>
            <w:r w:rsidRPr="0010767D">
              <w:rPr>
                <w:szCs w:val="22"/>
                <w:lang w:val="en-GB"/>
              </w:rPr>
              <w:t xml:space="preserve">specialist; or </w:t>
            </w:r>
          </w:p>
          <w:p w14:paraId="1F2D82CB" w14:textId="77777777" w:rsidR="00974578" w:rsidRPr="0010767D" w:rsidRDefault="00974578" w:rsidP="000831A1">
            <w:pPr>
              <w:pStyle w:val="ListParagraph"/>
              <w:numPr>
                <w:ilvl w:val="0"/>
                <w:numId w:val="29"/>
              </w:numPr>
              <w:spacing w:before="20" w:after="20" w:line="240" w:lineRule="auto"/>
              <w:rPr>
                <w:szCs w:val="22"/>
                <w:lang w:val="en-GB"/>
              </w:rPr>
            </w:pPr>
            <w:r w:rsidRPr="0010767D">
              <w:rPr>
                <w:szCs w:val="22"/>
                <w:lang w:val="en-GB"/>
              </w:rPr>
              <w:t xml:space="preserve">is a care recipient in a residential care service; or </w:t>
            </w:r>
          </w:p>
          <w:p w14:paraId="2FFF63DD" w14:textId="77777777" w:rsidR="00974578" w:rsidRPr="0010767D" w:rsidRDefault="00974578" w:rsidP="000831A1">
            <w:pPr>
              <w:pStyle w:val="ListParagraph"/>
              <w:numPr>
                <w:ilvl w:val="0"/>
                <w:numId w:val="29"/>
              </w:numPr>
              <w:spacing w:before="20" w:after="20" w:line="240" w:lineRule="auto"/>
              <w:rPr>
                <w:szCs w:val="22"/>
                <w:lang w:val="en-GB"/>
              </w:rPr>
            </w:pPr>
            <w:r w:rsidRPr="0010767D">
              <w:rPr>
                <w:szCs w:val="22"/>
                <w:lang w:val="en-GB"/>
              </w:rPr>
              <w:t>is a patient of: (a) an aboriginal medical service; or (b) an aboriginal community controlled health service; for which a direction made under subsection 19(2) of the act applies.</w:t>
            </w:r>
          </w:p>
          <w:p w14:paraId="73A6DF03" w14:textId="77777777" w:rsidR="00974578" w:rsidRDefault="00974578" w:rsidP="00C65B0C">
            <w:pPr>
              <w:spacing w:before="20" w:after="20" w:line="240" w:lineRule="auto"/>
              <w:rPr>
                <w:szCs w:val="22"/>
                <w:lang w:val="en-GB"/>
              </w:rPr>
            </w:pPr>
          </w:p>
          <w:p w14:paraId="63C66C1A" w14:textId="77777777" w:rsidR="00974578" w:rsidRPr="00C33C0B" w:rsidRDefault="00974578" w:rsidP="00C65B0C">
            <w:pPr>
              <w:spacing w:before="20" w:after="20" w:line="240" w:lineRule="auto"/>
              <w:rPr>
                <w:szCs w:val="22"/>
                <w:lang w:val="en-GB"/>
              </w:rPr>
            </w:pPr>
            <w:r>
              <w:rPr>
                <w:szCs w:val="22"/>
                <w:lang w:val="en-GB"/>
              </w:rPr>
              <w:t xml:space="preserve">An attendance </w:t>
            </w:r>
            <w:r w:rsidRPr="00C33C0B">
              <w:rPr>
                <w:szCs w:val="22"/>
                <w:lang w:val="en-GB"/>
              </w:rPr>
              <w:t>including any of the following that are clinically relevant:</w:t>
            </w:r>
          </w:p>
          <w:p w14:paraId="4E2DFE95" w14:textId="77777777" w:rsidR="00974578" w:rsidRDefault="00974578" w:rsidP="000831A1">
            <w:pPr>
              <w:pStyle w:val="ListParagraph"/>
              <w:numPr>
                <w:ilvl w:val="0"/>
                <w:numId w:val="27"/>
              </w:numPr>
              <w:spacing w:before="20" w:after="20" w:line="240" w:lineRule="auto"/>
              <w:ind w:left="360"/>
              <w:rPr>
                <w:szCs w:val="22"/>
                <w:lang w:val="en-GB"/>
              </w:rPr>
            </w:pPr>
            <w:r w:rsidRPr="00C33C0B">
              <w:rPr>
                <w:szCs w:val="22"/>
                <w:lang w:val="en-GB"/>
              </w:rPr>
              <w:t xml:space="preserve">a </w:t>
            </w:r>
            <w:r>
              <w:rPr>
                <w:szCs w:val="22"/>
                <w:lang w:val="en-GB"/>
              </w:rPr>
              <w:t>focused</w:t>
            </w:r>
            <w:r w:rsidRPr="00C33C0B">
              <w:rPr>
                <w:szCs w:val="22"/>
                <w:lang w:val="en-GB"/>
              </w:rPr>
              <w:t xml:space="preserve"> patient history </w:t>
            </w:r>
          </w:p>
          <w:p w14:paraId="558C6B80" w14:textId="77777777" w:rsidR="00974578" w:rsidRPr="00C33C0B" w:rsidRDefault="00974578" w:rsidP="000831A1">
            <w:pPr>
              <w:pStyle w:val="ListParagraph"/>
              <w:numPr>
                <w:ilvl w:val="0"/>
                <w:numId w:val="27"/>
              </w:numPr>
              <w:spacing w:before="20" w:after="20" w:line="240" w:lineRule="auto"/>
              <w:ind w:left="357" w:hanging="357"/>
              <w:rPr>
                <w:szCs w:val="22"/>
                <w:lang w:val="en-GB"/>
              </w:rPr>
            </w:pPr>
            <w:r>
              <w:rPr>
                <w:szCs w:val="22"/>
                <w:lang w:val="en-GB"/>
              </w:rPr>
              <w:t>implementing a management plan</w:t>
            </w:r>
          </w:p>
          <w:p w14:paraId="0704F162" w14:textId="77777777" w:rsidR="00974578" w:rsidRPr="0010767D" w:rsidRDefault="00974578" w:rsidP="000831A1">
            <w:pPr>
              <w:pStyle w:val="ListParagraph"/>
              <w:numPr>
                <w:ilvl w:val="0"/>
                <w:numId w:val="27"/>
              </w:numPr>
              <w:spacing w:before="20" w:after="20" w:line="240" w:lineRule="auto"/>
              <w:ind w:left="357" w:hanging="357"/>
              <w:rPr>
                <w:szCs w:val="22"/>
                <w:lang w:val="en-GB"/>
              </w:rPr>
            </w:pPr>
            <w:r w:rsidRPr="00C33C0B">
              <w:rPr>
                <w:szCs w:val="22"/>
                <w:lang w:val="en-GB"/>
              </w:rPr>
              <w:t>outcomes documented and communicated in writing to the referring practitioner</w:t>
            </w:r>
          </w:p>
        </w:tc>
      </w:tr>
      <w:tr w:rsidR="00974578" w:rsidRPr="00C33C0B" w14:paraId="56E4DAF2" w14:textId="77777777" w:rsidTr="00C65B0C">
        <w:tc>
          <w:tcPr>
            <w:tcW w:w="709" w:type="dxa"/>
            <w:shd w:val="clear" w:color="auto" w:fill="auto"/>
          </w:tcPr>
          <w:p w14:paraId="7D3DD887" w14:textId="77777777" w:rsidR="00974578" w:rsidRPr="00C33C0B" w:rsidRDefault="00974578" w:rsidP="00C65B0C">
            <w:pPr>
              <w:spacing w:before="20" w:after="20" w:line="240" w:lineRule="auto"/>
              <w:rPr>
                <w:b/>
                <w:szCs w:val="22"/>
                <w:lang w:val="en-GB"/>
              </w:rPr>
            </w:pPr>
            <w:r>
              <w:rPr>
                <w:b/>
                <w:szCs w:val="22"/>
                <w:lang w:val="en-GB"/>
              </w:rPr>
              <w:t>Level C</w:t>
            </w:r>
          </w:p>
          <w:p w14:paraId="48A8B378" w14:textId="77777777" w:rsidR="00974578" w:rsidRPr="0006272C" w:rsidRDefault="00974578" w:rsidP="00C65B0C">
            <w:pPr>
              <w:spacing w:before="20" w:after="20" w:line="240" w:lineRule="auto"/>
              <w:rPr>
                <w:szCs w:val="22"/>
                <w:lang w:val="en-GB"/>
              </w:rPr>
            </w:pPr>
            <w:r>
              <w:rPr>
                <w:szCs w:val="22"/>
                <w:lang w:val="en-GB"/>
              </w:rPr>
              <w:t>(THC</w:t>
            </w:r>
            <w:r w:rsidRPr="00C33C0B">
              <w:rPr>
                <w:szCs w:val="22"/>
                <w:lang w:val="en-GB"/>
              </w:rPr>
              <w:t>)</w:t>
            </w:r>
          </w:p>
        </w:tc>
        <w:tc>
          <w:tcPr>
            <w:tcW w:w="1000" w:type="dxa"/>
            <w:shd w:val="clear" w:color="auto" w:fill="auto"/>
          </w:tcPr>
          <w:p w14:paraId="0AF9E953" w14:textId="77777777" w:rsidR="00974578" w:rsidRDefault="00974578" w:rsidP="00C65B0C">
            <w:pPr>
              <w:spacing w:before="20" w:after="20" w:line="240" w:lineRule="auto"/>
              <w:rPr>
                <w:szCs w:val="22"/>
                <w:lang w:val="en-GB"/>
              </w:rPr>
            </w:pPr>
            <w:r>
              <w:rPr>
                <w:szCs w:val="22"/>
                <w:lang w:val="en-GB"/>
              </w:rPr>
              <w:t>21-40 minutes</w:t>
            </w:r>
          </w:p>
        </w:tc>
        <w:tc>
          <w:tcPr>
            <w:tcW w:w="6716" w:type="dxa"/>
          </w:tcPr>
          <w:p w14:paraId="3078C9C1" w14:textId="77777777" w:rsidR="00974578" w:rsidRDefault="00974578" w:rsidP="00C65B0C">
            <w:pPr>
              <w:spacing w:before="20" w:after="20" w:line="240" w:lineRule="auto"/>
              <w:rPr>
                <w:szCs w:val="22"/>
                <w:lang w:val="en-GB"/>
              </w:rPr>
            </w:pPr>
            <w:r w:rsidRPr="00C33C0B">
              <w:rPr>
                <w:szCs w:val="22"/>
                <w:lang w:val="en-GB"/>
              </w:rPr>
              <w:t xml:space="preserve">Professional attendance of </w:t>
            </w:r>
            <w:r>
              <w:rPr>
                <w:b/>
                <w:szCs w:val="22"/>
                <w:lang w:val="en-GB"/>
              </w:rPr>
              <w:t xml:space="preserve">more than 20 </w:t>
            </w:r>
            <w:r w:rsidRPr="00C33C0B">
              <w:rPr>
                <w:b/>
                <w:szCs w:val="22"/>
                <w:lang w:val="en-GB"/>
              </w:rPr>
              <w:t>minutes</w:t>
            </w:r>
            <w:r w:rsidRPr="00C33C0B">
              <w:rPr>
                <w:szCs w:val="22"/>
                <w:lang w:val="en-GB"/>
              </w:rPr>
              <w:t xml:space="preserve"> </w:t>
            </w:r>
            <w:r>
              <w:rPr>
                <w:b/>
                <w:szCs w:val="22"/>
                <w:lang w:val="en-GB"/>
              </w:rPr>
              <w:t xml:space="preserve">but not more than 40 minutes </w:t>
            </w:r>
            <w:r w:rsidRPr="00C33C0B">
              <w:rPr>
                <w:szCs w:val="22"/>
                <w:lang w:val="en-GB"/>
              </w:rPr>
              <w:t xml:space="preserve">by a </w:t>
            </w:r>
            <w:r>
              <w:rPr>
                <w:szCs w:val="22"/>
                <w:lang w:val="en-GB"/>
              </w:rPr>
              <w:t>consultant specialist</w:t>
            </w:r>
            <w:r w:rsidRPr="00C33C0B">
              <w:rPr>
                <w:szCs w:val="22"/>
                <w:lang w:val="en-GB"/>
              </w:rPr>
              <w:t xml:space="preserve"> in the practice of his or her speciality </w:t>
            </w:r>
            <w:r w:rsidRPr="00176294">
              <w:rPr>
                <w:szCs w:val="22"/>
                <w:lang w:val="en-GB"/>
              </w:rPr>
              <w:t xml:space="preserve">if: </w:t>
            </w:r>
          </w:p>
          <w:p w14:paraId="24E0B839" w14:textId="77777777" w:rsidR="00974578" w:rsidRPr="0010767D" w:rsidRDefault="00974578" w:rsidP="000831A1">
            <w:pPr>
              <w:pStyle w:val="ListParagraph"/>
              <w:numPr>
                <w:ilvl w:val="1"/>
                <w:numId w:val="28"/>
              </w:numPr>
              <w:spacing w:before="20" w:after="20" w:line="240" w:lineRule="auto"/>
              <w:ind w:left="360"/>
              <w:rPr>
                <w:szCs w:val="22"/>
                <w:lang w:val="en-GB"/>
              </w:rPr>
            </w:pPr>
            <w:r w:rsidRPr="0010767D">
              <w:rPr>
                <w:szCs w:val="22"/>
                <w:lang w:val="en-GB"/>
              </w:rPr>
              <w:t xml:space="preserve">the attendance is by video conference; and </w:t>
            </w:r>
          </w:p>
          <w:p w14:paraId="5C0824A4" w14:textId="77777777" w:rsidR="00974578" w:rsidRPr="0010767D" w:rsidRDefault="00974578" w:rsidP="000831A1">
            <w:pPr>
              <w:pStyle w:val="ListParagraph"/>
              <w:numPr>
                <w:ilvl w:val="1"/>
                <w:numId w:val="28"/>
              </w:numPr>
              <w:spacing w:before="20" w:after="20" w:line="240" w:lineRule="auto"/>
              <w:ind w:left="360"/>
              <w:rPr>
                <w:szCs w:val="22"/>
                <w:lang w:val="en-GB"/>
              </w:rPr>
            </w:pPr>
            <w:r w:rsidRPr="0010767D">
              <w:rPr>
                <w:szCs w:val="22"/>
                <w:lang w:val="en-GB"/>
              </w:rPr>
              <w:t xml:space="preserve">the patient is not an admitted patient; and </w:t>
            </w:r>
          </w:p>
          <w:p w14:paraId="3F72A1C9" w14:textId="77777777" w:rsidR="00974578" w:rsidRPr="0010767D" w:rsidRDefault="00974578" w:rsidP="000831A1">
            <w:pPr>
              <w:pStyle w:val="ListParagraph"/>
              <w:numPr>
                <w:ilvl w:val="1"/>
                <w:numId w:val="28"/>
              </w:numPr>
              <w:spacing w:before="20" w:after="20" w:line="240" w:lineRule="auto"/>
              <w:ind w:left="360"/>
              <w:rPr>
                <w:szCs w:val="22"/>
                <w:lang w:val="en-GB"/>
              </w:rPr>
            </w:pPr>
            <w:r w:rsidRPr="0010767D">
              <w:rPr>
                <w:szCs w:val="22"/>
                <w:lang w:val="en-GB"/>
              </w:rPr>
              <w:t xml:space="preserve">the patient: </w:t>
            </w:r>
          </w:p>
          <w:p w14:paraId="2BB57FAD" w14:textId="77777777" w:rsidR="00974578" w:rsidRPr="0010767D" w:rsidRDefault="00974578" w:rsidP="000831A1">
            <w:pPr>
              <w:pStyle w:val="ListParagraph"/>
              <w:numPr>
                <w:ilvl w:val="0"/>
                <w:numId w:val="29"/>
              </w:numPr>
              <w:spacing w:before="20" w:after="20" w:line="240" w:lineRule="auto"/>
              <w:rPr>
                <w:szCs w:val="22"/>
                <w:lang w:val="en-GB"/>
              </w:rPr>
            </w:pPr>
            <w:r w:rsidRPr="0010767D">
              <w:rPr>
                <w:szCs w:val="22"/>
                <w:lang w:val="en-GB"/>
              </w:rPr>
              <w:t xml:space="preserve">is located both: (a) within a telehealth eligible area; and (b) at the time of the attendance--at least 15 km by road from the </w:t>
            </w:r>
            <w:r>
              <w:rPr>
                <w:szCs w:val="22"/>
                <w:lang w:val="en-GB"/>
              </w:rPr>
              <w:t xml:space="preserve">consultant </w:t>
            </w:r>
            <w:r w:rsidRPr="0010767D">
              <w:rPr>
                <w:szCs w:val="22"/>
                <w:lang w:val="en-GB"/>
              </w:rPr>
              <w:t xml:space="preserve">specialist; or </w:t>
            </w:r>
          </w:p>
          <w:p w14:paraId="6CEFD9A6" w14:textId="77777777" w:rsidR="00974578" w:rsidRPr="0010767D" w:rsidRDefault="00974578" w:rsidP="000831A1">
            <w:pPr>
              <w:pStyle w:val="ListParagraph"/>
              <w:numPr>
                <w:ilvl w:val="0"/>
                <w:numId w:val="29"/>
              </w:numPr>
              <w:spacing w:before="20" w:after="20" w:line="240" w:lineRule="auto"/>
              <w:rPr>
                <w:szCs w:val="22"/>
                <w:lang w:val="en-GB"/>
              </w:rPr>
            </w:pPr>
            <w:r w:rsidRPr="0010767D">
              <w:rPr>
                <w:szCs w:val="22"/>
                <w:lang w:val="en-GB"/>
              </w:rPr>
              <w:t xml:space="preserve">is a care recipient in a residential care service; or </w:t>
            </w:r>
          </w:p>
          <w:p w14:paraId="487DB249" w14:textId="77777777" w:rsidR="00974578" w:rsidRPr="0010767D" w:rsidRDefault="00974578" w:rsidP="000831A1">
            <w:pPr>
              <w:pStyle w:val="ListParagraph"/>
              <w:numPr>
                <w:ilvl w:val="0"/>
                <w:numId w:val="29"/>
              </w:numPr>
              <w:spacing w:before="20" w:after="20" w:line="240" w:lineRule="auto"/>
              <w:rPr>
                <w:szCs w:val="22"/>
                <w:lang w:val="en-GB"/>
              </w:rPr>
            </w:pPr>
            <w:r w:rsidRPr="0010767D">
              <w:rPr>
                <w:szCs w:val="22"/>
                <w:lang w:val="en-GB"/>
              </w:rPr>
              <w:t>is a patient of: (a) an aboriginal medical service; or (b) an aboriginal community controlled health service; for which a direction made under subsection 19(2) of the act applies.</w:t>
            </w:r>
          </w:p>
          <w:p w14:paraId="192D7376" w14:textId="77777777" w:rsidR="00974578" w:rsidRDefault="00974578" w:rsidP="00C65B0C">
            <w:pPr>
              <w:spacing w:before="20" w:after="20" w:line="240" w:lineRule="auto"/>
              <w:rPr>
                <w:szCs w:val="22"/>
                <w:lang w:val="en-GB"/>
              </w:rPr>
            </w:pPr>
          </w:p>
          <w:p w14:paraId="7FB340A4" w14:textId="77777777" w:rsidR="00974578" w:rsidRPr="00C33C0B" w:rsidRDefault="00974578" w:rsidP="00C65B0C">
            <w:pPr>
              <w:spacing w:before="20" w:after="20" w:line="240" w:lineRule="auto"/>
              <w:rPr>
                <w:szCs w:val="22"/>
                <w:lang w:val="en-GB"/>
              </w:rPr>
            </w:pPr>
            <w:r>
              <w:rPr>
                <w:szCs w:val="22"/>
                <w:lang w:val="en-GB"/>
              </w:rPr>
              <w:t xml:space="preserve">An attendance </w:t>
            </w:r>
            <w:r w:rsidRPr="00C33C0B">
              <w:rPr>
                <w:szCs w:val="22"/>
                <w:lang w:val="en-GB"/>
              </w:rPr>
              <w:t>including any of the following that are clinically relevant:</w:t>
            </w:r>
          </w:p>
          <w:p w14:paraId="1AC3DE6C" w14:textId="77777777" w:rsidR="00974578" w:rsidRPr="0010767D" w:rsidRDefault="00974578" w:rsidP="000831A1">
            <w:pPr>
              <w:pStyle w:val="ListParagraph"/>
              <w:numPr>
                <w:ilvl w:val="0"/>
                <w:numId w:val="30"/>
              </w:numPr>
              <w:spacing w:before="20" w:after="20" w:line="240" w:lineRule="auto"/>
              <w:rPr>
                <w:szCs w:val="22"/>
                <w:lang w:val="en-GB"/>
              </w:rPr>
            </w:pPr>
            <w:r w:rsidRPr="0010767D">
              <w:rPr>
                <w:szCs w:val="22"/>
                <w:lang w:val="en-GB"/>
              </w:rPr>
              <w:t>detailed patient history of a major single or multiple minor conditions</w:t>
            </w:r>
          </w:p>
          <w:p w14:paraId="67389F09" w14:textId="77777777" w:rsidR="00974578" w:rsidRPr="0010767D" w:rsidRDefault="00974578" w:rsidP="000831A1">
            <w:pPr>
              <w:pStyle w:val="ListParagraph"/>
              <w:numPr>
                <w:ilvl w:val="0"/>
                <w:numId w:val="30"/>
              </w:numPr>
              <w:spacing w:before="20" w:after="20" w:line="240" w:lineRule="auto"/>
              <w:rPr>
                <w:szCs w:val="22"/>
                <w:lang w:val="en-GB"/>
              </w:rPr>
            </w:pPr>
            <w:r w:rsidRPr="0010767D">
              <w:rPr>
                <w:szCs w:val="22"/>
                <w:lang w:val="en-GB"/>
              </w:rPr>
              <w:t>single or multiple minor diagnostic problems considered</w:t>
            </w:r>
          </w:p>
          <w:p w14:paraId="023A1941" w14:textId="77777777" w:rsidR="00974578" w:rsidRPr="001969CC" w:rsidRDefault="00974578" w:rsidP="000831A1">
            <w:pPr>
              <w:pStyle w:val="ListParagraph"/>
              <w:numPr>
                <w:ilvl w:val="0"/>
                <w:numId w:val="30"/>
              </w:numPr>
              <w:spacing w:before="20" w:after="20" w:line="240" w:lineRule="auto"/>
              <w:rPr>
                <w:szCs w:val="22"/>
                <w:lang w:val="en-GB"/>
              </w:rPr>
            </w:pPr>
            <w:r w:rsidRPr="0010767D">
              <w:rPr>
                <w:szCs w:val="22"/>
                <w:lang w:val="en-GB"/>
              </w:rPr>
              <w:t>a non-complex management plan</w:t>
            </w:r>
            <w:r>
              <w:rPr>
                <w:szCs w:val="22"/>
                <w:lang w:val="en-GB"/>
              </w:rPr>
              <w:t xml:space="preserve"> </w:t>
            </w:r>
            <w:r w:rsidRPr="001969CC">
              <w:rPr>
                <w:szCs w:val="22"/>
                <w:lang w:val="en-GB"/>
              </w:rPr>
              <w:t>and, if required;</w:t>
            </w:r>
          </w:p>
          <w:p w14:paraId="09E78532" w14:textId="77777777" w:rsidR="00974578" w:rsidRPr="0010767D" w:rsidRDefault="00974578" w:rsidP="000831A1">
            <w:pPr>
              <w:pStyle w:val="ListParagraph"/>
              <w:numPr>
                <w:ilvl w:val="0"/>
                <w:numId w:val="30"/>
              </w:numPr>
              <w:spacing w:before="20" w:after="20" w:line="240" w:lineRule="auto"/>
              <w:rPr>
                <w:szCs w:val="22"/>
                <w:lang w:val="en-GB"/>
              </w:rPr>
            </w:pPr>
            <w:r w:rsidRPr="0010767D">
              <w:rPr>
                <w:szCs w:val="22"/>
                <w:lang w:val="en-GB"/>
              </w:rPr>
              <w:t>discussion of multiple treatment options available, including;</w:t>
            </w:r>
          </w:p>
          <w:p w14:paraId="11ED7396" w14:textId="77777777" w:rsidR="00974578" w:rsidRPr="0010767D" w:rsidRDefault="00974578" w:rsidP="00C65B0C">
            <w:pPr>
              <w:pStyle w:val="02dash"/>
              <w:spacing w:before="0" w:after="0" w:line="240" w:lineRule="auto"/>
              <w:ind w:left="567"/>
            </w:pPr>
            <w:r w:rsidRPr="0010767D">
              <w:t>i. Discussion of treatment options to assess pros and cons of each option given patient characteristics and medical history</w:t>
            </w:r>
          </w:p>
          <w:p w14:paraId="5D77F03D" w14:textId="77777777" w:rsidR="00974578" w:rsidRPr="0010767D" w:rsidRDefault="00974578" w:rsidP="00C65B0C">
            <w:pPr>
              <w:pStyle w:val="02dash"/>
              <w:spacing w:before="0" w:after="0" w:line="240" w:lineRule="auto"/>
              <w:ind w:left="567"/>
            </w:pPr>
            <w:r w:rsidRPr="0010767D">
              <w:t>ii. Consideration and discussion of necessary referrals to other health professionals</w:t>
            </w:r>
          </w:p>
          <w:p w14:paraId="5D482BF0" w14:textId="77777777" w:rsidR="00974578" w:rsidRDefault="00974578" w:rsidP="00C65B0C">
            <w:pPr>
              <w:pStyle w:val="02dash"/>
              <w:spacing w:before="0" w:after="0" w:line="240" w:lineRule="auto"/>
              <w:ind w:left="567"/>
            </w:pPr>
            <w:r w:rsidRPr="0010767D">
              <w:t>iii. Written documentation made available for the patient and/or carer that outlines treatment options and information on associated risks and benefits</w:t>
            </w:r>
          </w:p>
          <w:p w14:paraId="34CA7B31" w14:textId="77777777" w:rsidR="00974578" w:rsidRPr="00C33C0B" w:rsidRDefault="00974578" w:rsidP="000831A1">
            <w:pPr>
              <w:numPr>
                <w:ilvl w:val="0"/>
                <w:numId w:val="30"/>
              </w:numPr>
              <w:spacing w:before="20" w:after="20" w:line="240" w:lineRule="auto"/>
              <w:rPr>
                <w:szCs w:val="22"/>
                <w:lang w:val="en-GB"/>
              </w:rPr>
            </w:pPr>
            <w:r w:rsidRPr="00C33C0B">
              <w:rPr>
                <w:szCs w:val="22"/>
                <w:lang w:val="en-GB"/>
              </w:rPr>
              <w:t xml:space="preserve">outcomes documented and communicated in writing to the referring practitioner </w:t>
            </w:r>
            <w:r w:rsidRPr="0010767D">
              <w:rPr>
                <w:szCs w:val="22"/>
                <w:lang w:val="en-GB"/>
              </w:rPr>
              <w:t xml:space="preserve"> </w:t>
            </w:r>
          </w:p>
        </w:tc>
      </w:tr>
      <w:tr w:rsidR="00974578" w:rsidRPr="00C33C0B" w14:paraId="17686EDE" w14:textId="77777777" w:rsidTr="00C65B0C">
        <w:tc>
          <w:tcPr>
            <w:tcW w:w="709" w:type="dxa"/>
            <w:shd w:val="clear" w:color="auto" w:fill="auto"/>
          </w:tcPr>
          <w:p w14:paraId="24B04F15" w14:textId="77777777" w:rsidR="00974578" w:rsidRPr="00C33C0B" w:rsidRDefault="00974578" w:rsidP="00C65B0C">
            <w:pPr>
              <w:spacing w:before="20" w:after="20" w:line="240" w:lineRule="auto"/>
              <w:rPr>
                <w:b/>
                <w:szCs w:val="22"/>
                <w:lang w:val="en-GB"/>
              </w:rPr>
            </w:pPr>
            <w:r>
              <w:rPr>
                <w:b/>
                <w:szCs w:val="22"/>
                <w:lang w:val="en-GB"/>
              </w:rPr>
              <w:t xml:space="preserve">Level D </w:t>
            </w:r>
            <w:r w:rsidRPr="0006272C">
              <w:rPr>
                <w:szCs w:val="22"/>
                <w:lang w:val="en-GB"/>
              </w:rPr>
              <w:t>(THC)</w:t>
            </w:r>
          </w:p>
        </w:tc>
        <w:tc>
          <w:tcPr>
            <w:tcW w:w="1000" w:type="dxa"/>
            <w:shd w:val="clear" w:color="auto" w:fill="auto"/>
          </w:tcPr>
          <w:p w14:paraId="1AD691F4" w14:textId="77777777" w:rsidR="00974578" w:rsidRDefault="00974578" w:rsidP="00C65B0C">
            <w:pPr>
              <w:spacing w:before="20" w:after="20" w:line="240" w:lineRule="auto"/>
              <w:rPr>
                <w:szCs w:val="22"/>
                <w:lang w:val="en-GB"/>
              </w:rPr>
            </w:pPr>
            <w:r>
              <w:rPr>
                <w:szCs w:val="22"/>
                <w:lang w:val="en-GB"/>
              </w:rPr>
              <w:t>41-60 minutes</w:t>
            </w:r>
          </w:p>
        </w:tc>
        <w:tc>
          <w:tcPr>
            <w:tcW w:w="6716" w:type="dxa"/>
          </w:tcPr>
          <w:p w14:paraId="34A9EF65" w14:textId="77777777" w:rsidR="00974578" w:rsidRDefault="00974578" w:rsidP="00C65B0C">
            <w:pPr>
              <w:spacing w:before="20" w:after="20" w:line="240" w:lineRule="auto"/>
              <w:rPr>
                <w:szCs w:val="22"/>
                <w:lang w:val="en-GB"/>
              </w:rPr>
            </w:pPr>
            <w:r w:rsidRPr="00C33C0B">
              <w:rPr>
                <w:szCs w:val="22"/>
                <w:lang w:val="en-GB"/>
              </w:rPr>
              <w:t xml:space="preserve">Professional attendance of </w:t>
            </w:r>
            <w:r>
              <w:rPr>
                <w:b/>
                <w:szCs w:val="22"/>
                <w:lang w:val="en-GB"/>
              </w:rPr>
              <w:t xml:space="preserve">more than 40 </w:t>
            </w:r>
            <w:r w:rsidRPr="00C33C0B">
              <w:rPr>
                <w:b/>
                <w:szCs w:val="22"/>
                <w:lang w:val="en-GB"/>
              </w:rPr>
              <w:t>minutes</w:t>
            </w:r>
            <w:r w:rsidRPr="00C33C0B">
              <w:rPr>
                <w:szCs w:val="22"/>
                <w:lang w:val="en-GB"/>
              </w:rPr>
              <w:t xml:space="preserve"> </w:t>
            </w:r>
            <w:r>
              <w:rPr>
                <w:b/>
                <w:szCs w:val="22"/>
                <w:lang w:val="en-GB"/>
              </w:rPr>
              <w:t xml:space="preserve">but not more than 60 minutes </w:t>
            </w:r>
            <w:r w:rsidRPr="00C33C0B">
              <w:rPr>
                <w:szCs w:val="22"/>
                <w:lang w:val="en-GB"/>
              </w:rPr>
              <w:t xml:space="preserve">by a </w:t>
            </w:r>
            <w:r>
              <w:rPr>
                <w:szCs w:val="22"/>
                <w:lang w:val="en-GB"/>
              </w:rPr>
              <w:t>consultant specialist</w:t>
            </w:r>
            <w:r w:rsidRPr="00C33C0B">
              <w:rPr>
                <w:szCs w:val="22"/>
                <w:lang w:val="en-GB"/>
              </w:rPr>
              <w:t xml:space="preserve"> in the practice of his or her speciality </w:t>
            </w:r>
            <w:r w:rsidRPr="00176294">
              <w:rPr>
                <w:szCs w:val="22"/>
                <w:lang w:val="en-GB"/>
              </w:rPr>
              <w:t xml:space="preserve">if: </w:t>
            </w:r>
          </w:p>
          <w:p w14:paraId="7651C08B" w14:textId="77777777" w:rsidR="00974578" w:rsidRPr="0010767D" w:rsidRDefault="00974578" w:rsidP="000831A1">
            <w:pPr>
              <w:pStyle w:val="ListParagraph"/>
              <w:numPr>
                <w:ilvl w:val="1"/>
                <w:numId w:val="28"/>
              </w:numPr>
              <w:spacing w:before="20" w:after="20" w:line="240" w:lineRule="auto"/>
              <w:ind w:left="360"/>
              <w:rPr>
                <w:szCs w:val="22"/>
                <w:lang w:val="en-GB"/>
              </w:rPr>
            </w:pPr>
            <w:r w:rsidRPr="0010767D">
              <w:rPr>
                <w:szCs w:val="22"/>
                <w:lang w:val="en-GB"/>
              </w:rPr>
              <w:t xml:space="preserve">the attendance is by video conference; and </w:t>
            </w:r>
          </w:p>
          <w:p w14:paraId="39547FF2" w14:textId="77777777" w:rsidR="00974578" w:rsidRPr="0010767D" w:rsidRDefault="00974578" w:rsidP="000831A1">
            <w:pPr>
              <w:pStyle w:val="ListParagraph"/>
              <w:numPr>
                <w:ilvl w:val="1"/>
                <w:numId w:val="28"/>
              </w:numPr>
              <w:spacing w:before="20" w:after="20" w:line="240" w:lineRule="auto"/>
              <w:ind w:left="360"/>
              <w:rPr>
                <w:szCs w:val="22"/>
                <w:lang w:val="en-GB"/>
              </w:rPr>
            </w:pPr>
            <w:r w:rsidRPr="0010767D">
              <w:rPr>
                <w:szCs w:val="22"/>
                <w:lang w:val="en-GB"/>
              </w:rPr>
              <w:t xml:space="preserve">the patient is not an admitted patient; and </w:t>
            </w:r>
          </w:p>
          <w:p w14:paraId="79BD2CAB" w14:textId="77777777" w:rsidR="00974578" w:rsidRPr="0010767D" w:rsidRDefault="00974578" w:rsidP="000831A1">
            <w:pPr>
              <w:pStyle w:val="ListParagraph"/>
              <w:numPr>
                <w:ilvl w:val="1"/>
                <w:numId w:val="28"/>
              </w:numPr>
              <w:spacing w:before="20" w:after="20" w:line="240" w:lineRule="auto"/>
              <w:ind w:left="360"/>
              <w:rPr>
                <w:szCs w:val="22"/>
                <w:lang w:val="en-GB"/>
              </w:rPr>
            </w:pPr>
            <w:r w:rsidRPr="0010767D">
              <w:rPr>
                <w:szCs w:val="22"/>
                <w:lang w:val="en-GB"/>
              </w:rPr>
              <w:t xml:space="preserve">the patient: </w:t>
            </w:r>
          </w:p>
          <w:p w14:paraId="6967A071" w14:textId="77777777" w:rsidR="00974578" w:rsidRPr="0010767D" w:rsidRDefault="00974578" w:rsidP="000831A1">
            <w:pPr>
              <w:pStyle w:val="ListParagraph"/>
              <w:numPr>
                <w:ilvl w:val="0"/>
                <w:numId w:val="29"/>
              </w:numPr>
              <w:spacing w:before="20" w:after="20" w:line="240" w:lineRule="auto"/>
              <w:rPr>
                <w:szCs w:val="22"/>
                <w:lang w:val="en-GB"/>
              </w:rPr>
            </w:pPr>
            <w:r w:rsidRPr="0010767D">
              <w:rPr>
                <w:szCs w:val="22"/>
                <w:lang w:val="en-GB"/>
              </w:rPr>
              <w:t xml:space="preserve">is located both: (a) within a telehealth eligible area; and (b) at the time of the attendance--at least 15 km by road from the </w:t>
            </w:r>
            <w:r>
              <w:rPr>
                <w:szCs w:val="22"/>
                <w:lang w:val="en-GB"/>
              </w:rPr>
              <w:t xml:space="preserve">consultant </w:t>
            </w:r>
            <w:r w:rsidRPr="0010767D">
              <w:rPr>
                <w:szCs w:val="22"/>
                <w:lang w:val="en-GB"/>
              </w:rPr>
              <w:t xml:space="preserve">specialist; or </w:t>
            </w:r>
          </w:p>
          <w:p w14:paraId="478306DC" w14:textId="77777777" w:rsidR="00974578" w:rsidRPr="0010767D" w:rsidRDefault="00974578" w:rsidP="000831A1">
            <w:pPr>
              <w:pStyle w:val="ListParagraph"/>
              <w:numPr>
                <w:ilvl w:val="0"/>
                <w:numId w:val="29"/>
              </w:numPr>
              <w:spacing w:before="20" w:after="20" w:line="240" w:lineRule="auto"/>
              <w:rPr>
                <w:szCs w:val="22"/>
                <w:lang w:val="en-GB"/>
              </w:rPr>
            </w:pPr>
            <w:r w:rsidRPr="0010767D">
              <w:rPr>
                <w:szCs w:val="22"/>
                <w:lang w:val="en-GB"/>
              </w:rPr>
              <w:t xml:space="preserve">is a care recipient in a residential care service; or </w:t>
            </w:r>
          </w:p>
          <w:p w14:paraId="08AB10C6" w14:textId="77777777" w:rsidR="00974578" w:rsidRPr="0010767D" w:rsidRDefault="00974578" w:rsidP="000831A1">
            <w:pPr>
              <w:pStyle w:val="ListParagraph"/>
              <w:numPr>
                <w:ilvl w:val="0"/>
                <w:numId w:val="29"/>
              </w:numPr>
              <w:spacing w:before="20" w:after="20" w:line="240" w:lineRule="auto"/>
              <w:rPr>
                <w:szCs w:val="22"/>
                <w:lang w:val="en-GB"/>
              </w:rPr>
            </w:pPr>
            <w:r w:rsidRPr="0010767D">
              <w:rPr>
                <w:szCs w:val="22"/>
                <w:lang w:val="en-GB"/>
              </w:rPr>
              <w:t>is a patient of: (a) an aboriginal medical service; or (b) an aboriginal community controlled health service; for which a direction made under subsection 19(2) of the act applies.</w:t>
            </w:r>
          </w:p>
          <w:p w14:paraId="25AF3028" w14:textId="77777777" w:rsidR="00974578" w:rsidRDefault="00974578" w:rsidP="00C65B0C">
            <w:pPr>
              <w:spacing w:before="20" w:after="20" w:line="240" w:lineRule="auto"/>
              <w:rPr>
                <w:szCs w:val="22"/>
                <w:lang w:val="en-GB"/>
              </w:rPr>
            </w:pPr>
          </w:p>
          <w:p w14:paraId="4CD73929" w14:textId="77777777" w:rsidR="00974578" w:rsidRPr="00C33C0B" w:rsidRDefault="00974578" w:rsidP="00C65B0C">
            <w:pPr>
              <w:spacing w:before="20" w:after="20" w:line="240" w:lineRule="auto"/>
              <w:rPr>
                <w:szCs w:val="22"/>
                <w:lang w:val="en-GB"/>
              </w:rPr>
            </w:pPr>
            <w:r>
              <w:rPr>
                <w:szCs w:val="22"/>
                <w:lang w:val="en-GB"/>
              </w:rPr>
              <w:t xml:space="preserve">An attendance </w:t>
            </w:r>
            <w:r w:rsidRPr="00C33C0B">
              <w:rPr>
                <w:szCs w:val="22"/>
                <w:lang w:val="en-GB"/>
              </w:rPr>
              <w:t>including any of the following that are clinically relevant:</w:t>
            </w:r>
          </w:p>
          <w:p w14:paraId="77B8B06F" w14:textId="77777777" w:rsidR="00974578" w:rsidRPr="00ED4E4E" w:rsidRDefault="00974578" w:rsidP="000831A1">
            <w:pPr>
              <w:pStyle w:val="ListParagraph"/>
              <w:numPr>
                <w:ilvl w:val="0"/>
                <w:numId w:val="31"/>
              </w:numPr>
              <w:spacing w:before="20" w:after="20" w:line="240" w:lineRule="auto"/>
              <w:rPr>
                <w:szCs w:val="22"/>
                <w:lang w:val="en-GB"/>
              </w:rPr>
            </w:pPr>
            <w:r w:rsidRPr="001969CC">
              <w:rPr>
                <w:szCs w:val="22"/>
                <w:lang w:val="en-GB"/>
              </w:rPr>
              <w:t>comprehensive patient history of multiple conditions or a complex single condition</w:t>
            </w:r>
            <w:r w:rsidRPr="00ED4E4E">
              <w:rPr>
                <w:szCs w:val="22"/>
                <w:lang w:val="en-GB"/>
              </w:rPr>
              <w:t xml:space="preserve"> </w:t>
            </w:r>
          </w:p>
          <w:p w14:paraId="03558AAA" w14:textId="77777777" w:rsidR="00974578" w:rsidRPr="001969CC" w:rsidRDefault="00974578" w:rsidP="000831A1">
            <w:pPr>
              <w:pStyle w:val="ListParagraph"/>
              <w:numPr>
                <w:ilvl w:val="0"/>
                <w:numId w:val="31"/>
              </w:numPr>
              <w:spacing w:before="20" w:after="20" w:line="240" w:lineRule="auto"/>
              <w:rPr>
                <w:szCs w:val="22"/>
                <w:lang w:val="en-GB"/>
              </w:rPr>
            </w:pPr>
            <w:r w:rsidRPr="001969CC">
              <w:rPr>
                <w:szCs w:val="22"/>
                <w:lang w:val="en-GB"/>
              </w:rPr>
              <w:t>multiple diagnostic problems considered</w:t>
            </w:r>
          </w:p>
          <w:p w14:paraId="03B54473" w14:textId="77777777" w:rsidR="00974578" w:rsidRPr="001969CC" w:rsidRDefault="00974578" w:rsidP="000831A1">
            <w:pPr>
              <w:pStyle w:val="ListParagraph"/>
              <w:numPr>
                <w:ilvl w:val="0"/>
                <w:numId w:val="31"/>
              </w:numPr>
              <w:spacing w:before="20" w:after="20" w:line="240" w:lineRule="auto"/>
              <w:rPr>
                <w:szCs w:val="22"/>
                <w:lang w:val="en-GB"/>
              </w:rPr>
            </w:pPr>
            <w:r w:rsidRPr="001969CC">
              <w:rPr>
                <w:szCs w:val="22"/>
                <w:lang w:val="en-GB"/>
              </w:rPr>
              <w:t>a comprehensive management plan</w:t>
            </w:r>
            <w:r>
              <w:rPr>
                <w:szCs w:val="22"/>
                <w:lang w:val="en-GB"/>
              </w:rPr>
              <w:t xml:space="preserve"> </w:t>
            </w:r>
            <w:r w:rsidRPr="001969CC">
              <w:rPr>
                <w:szCs w:val="22"/>
                <w:lang w:val="en-GB"/>
              </w:rPr>
              <w:t>and, if required;</w:t>
            </w:r>
          </w:p>
          <w:p w14:paraId="5C0F9517" w14:textId="77777777" w:rsidR="00974578" w:rsidRPr="0010767D" w:rsidRDefault="00974578" w:rsidP="000831A1">
            <w:pPr>
              <w:pStyle w:val="ListParagraph"/>
              <w:numPr>
                <w:ilvl w:val="0"/>
                <w:numId w:val="31"/>
              </w:numPr>
              <w:spacing w:before="20" w:after="20" w:line="240" w:lineRule="auto"/>
              <w:rPr>
                <w:szCs w:val="22"/>
                <w:lang w:val="en-GB"/>
              </w:rPr>
            </w:pPr>
            <w:r w:rsidRPr="0010767D">
              <w:rPr>
                <w:szCs w:val="22"/>
                <w:lang w:val="en-GB"/>
              </w:rPr>
              <w:t>discussion of multiple treatment options available, including;</w:t>
            </w:r>
          </w:p>
          <w:p w14:paraId="5CD77EBA" w14:textId="77777777" w:rsidR="00974578" w:rsidRPr="0010767D" w:rsidRDefault="00974578" w:rsidP="00C65B0C">
            <w:pPr>
              <w:pStyle w:val="02dash"/>
              <w:spacing w:before="0" w:after="0" w:line="240" w:lineRule="auto"/>
              <w:ind w:left="567"/>
            </w:pPr>
            <w:r w:rsidRPr="0010767D">
              <w:t>i. Discussion of treatment options to assess pros and cons of each option given patient characteristics and medical history</w:t>
            </w:r>
          </w:p>
          <w:p w14:paraId="52258A93" w14:textId="77777777" w:rsidR="00974578" w:rsidRPr="0010767D" w:rsidRDefault="00974578" w:rsidP="00C65B0C">
            <w:pPr>
              <w:pStyle w:val="02dash"/>
              <w:spacing w:before="0" w:after="0" w:line="240" w:lineRule="auto"/>
              <w:ind w:left="567"/>
            </w:pPr>
            <w:r w:rsidRPr="0010767D">
              <w:t>ii. Consideration and discussion of necessary referrals to other health professionals</w:t>
            </w:r>
          </w:p>
          <w:p w14:paraId="0541FD8D" w14:textId="77777777" w:rsidR="00974578" w:rsidRDefault="00974578" w:rsidP="00C65B0C">
            <w:pPr>
              <w:pStyle w:val="02dash"/>
              <w:spacing w:before="0" w:after="0" w:line="240" w:lineRule="auto"/>
              <w:ind w:left="567"/>
            </w:pPr>
            <w:r w:rsidRPr="0010767D">
              <w:t>iii. Written documentation made available for the patient and/or carer that outlines treatment options and information on associated risks and benefits</w:t>
            </w:r>
          </w:p>
          <w:p w14:paraId="4FA8BD06" w14:textId="77777777" w:rsidR="00974578" w:rsidRPr="00ED4E4E" w:rsidRDefault="00974578" w:rsidP="000831A1">
            <w:pPr>
              <w:pStyle w:val="02dash"/>
              <w:numPr>
                <w:ilvl w:val="0"/>
                <w:numId w:val="31"/>
              </w:numPr>
              <w:spacing w:before="0" w:after="0" w:line="240" w:lineRule="auto"/>
            </w:pPr>
            <w:r>
              <w:rPr>
                <w:szCs w:val="22"/>
                <w:lang w:val="en-GB"/>
              </w:rPr>
              <w:t>O</w:t>
            </w:r>
            <w:r w:rsidRPr="00C33C0B">
              <w:rPr>
                <w:szCs w:val="22"/>
                <w:lang w:val="en-GB"/>
              </w:rPr>
              <w:t xml:space="preserve">utcomes documented and communicated in writing to the referring practitioner </w:t>
            </w:r>
            <w:r w:rsidRPr="0010767D">
              <w:rPr>
                <w:szCs w:val="22"/>
                <w:lang w:val="en-GB"/>
              </w:rPr>
              <w:t xml:space="preserve"> </w:t>
            </w:r>
          </w:p>
        </w:tc>
      </w:tr>
      <w:tr w:rsidR="00974578" w:rsidRPr="00C33C0B" w14:paraId="2C412819" w14:textId="77777777" w:rsidTr="00C65B0C">
        <w:tc>
          <w:tcPr>
            <w:tcW w:w="709" w:type="dxa"/>
            <w:shd w:val="clear" w:color="auto" w:fill="auto"/>
          </w:tcPr>
          <w:p w14:paraId="1C71EC67" w14:textId="77777777" w:rsidR="00974578" w:rsidRPr="0006272C" w:rsidRDefault="00974578" w:rsidP="00C65B0C">
            <w:pPr>
              <w:spacing w:before="20" w:after="20" w:line="240" w:lineRule="auto"/>
              <w:rPr>
                <w:szCs w:val="22"/>
                <w:lang w:val="en-GB"/>
              </w:rPr>
            </w:pPr>
            <w:r>
              <w:rPr>
                <w:b/>
                <w:szCs w:val="22"/>
                <w:lang w:val="en-GB"/>
              </w:rPr>
              <w:t xml:space="preserve">Level E </w:t>
            </w:r>
            <w:r>
              <w:rPr>
                <w:szCs w:val="22"/>
                <w:lang w:val="en-GB"/>
              </w:rPr>
              <w:t>(THE)</w:t>
            </w:r>
          </w:p>
        </w:tc>
        <w:tc>
          <w:tcPr>
            <w:tcW w:w="1000" w:type="dxa"/>
            <w:shd w:val="clear" w:color="auto" w:fill="auto"/>
          </w:tcPr>
          <w:p w14:paraId="5986F645" w14:textId="77777777" w:rsidR="00974578" w:rsidRDefault="00974578" w:rsidP="00C65B0C">
            <w:pPr>
              <w:spacing w:before="20" w:after="20" w:line="240" w:lineRule="auto"/>
              <w:rPr>
                <w:szCs w:val="22"/>
                <w:lang w:val="en-GB"/>
              </w:rPr>
            </w:pPr>
            <w:r>
              <w:rPr>
                <w:szCs w:val="22"/>
                <w:lang w:val="en-GB"/>
              </w:rPr>
              <w:t>More than 60 minutes</w:t>
            </w:r>
          </w:p>
        </w:tc>
        <w:tc>
          <w:tcPr>
            <w:tcW w:w="6716" w:type="dxa"/>
          </w:tcPr>
          <w:p w14:paraId="29A2A084" w14:textId="77777777" w:rsidR="00974578" w:rsidRDefault="00974578" w:rsidP="00C65B0C">
            <w:pPr>
              <w:spacing w:before="20" w:after="20" w:line="240" w:lineRule="auto"/>
              <w:rPr>
                <w:szCs w:val="22"/>
                <w:lang w:val="en-GB"/>
              </w:rPr>
            </w:pPr>
            <w:r w:rsidRPr="00C33C0B">
              <w:rPr>
                <w:szCs w:val="22"/>
                <w:lang w:val="en-GB"/>
              </w:rPr>
              <w:t xml:space="preserve">Professional attendance of </w:t>
            </w:r>
            <w:r>
              <w:rPr>
                <w:b/>
                <w:szCs w:val="22"/>
                <w:lang w:val="en-GB"/>
              </w:rPr>
              <w:t xml:space="preserve">more than 60 </w:t>
            </w:r>
            <w:r w:rsidRPr="00C33C0B">
              <w:rPr>
                <w:b/>
                <w:szCs w:val="22"/>
                <w:lang w:val="en-GB"/>
              </w:rPr>
              <w:t>minutes</w:t>
            </w:r>
            <w:r w:rsidRPr="00C33C0B">
              <w:rPr>
                <w:szCs w:val="22"/>
                <w:lang w:val="en-GB"/>
              </w:rPr>
              <w:t xml:space="preserve"> by a </w:t>
            </w:r>
            <w:r>
              <w:rPr>
                <w:szCs w:val="22"/>
                <w:lang w:val="en-GB"/>
              </w:rPr>
              <w:t>consultant specialist</w:t>
            </w:r>
            <w:r w:rsidRPr="00C33C0B">
              <w:rPr>
                <w:szCs w:val="22"/>
                <w:lang w:val="en-GB"/>
              </w:rPr>
              <w:t xml:space="preserve"> in the practice of his or her speciality </w:t>
            </w:r>
            <w:r w:rsidRPr="00176294">
              <w:rPr>
                <w:szCs w:val="22"/>
                <w:lang w:val="en-GB"/>
              </w:rPr>
              <w:t xml:space="preserve">if: </w:t>
            </w:r>
          </w:p>
          <w:p w14:paraId="5EF4AD8F" w14:textId="77777777" w:rsidR="00974578" w:rsidRPr="0010767D" w:rsidRDefault="00974578" w:rsidP="000831A1">
            <w:pPr>
              <w:pStyle w:val="ListParagraph"/>
              <w:numPr>
                <w:ilvl w:val="1"/>
                <w:numId w:val="28"/>
              </w:numPr>
              <w:spacing w:before="20" w:after="20" w:line="240" w:lineRule="auto"/>
              <w:ind w:left="360"/>
              <w:rPr>
                <w:szCs w:val="22"/>
                <w:lang w:val="en-GB"/>
              </w:rPr>
            </w:pPr>
            <w:r w:rsidRPr="0010767D">
              <w:rPr>
                <w:szCs w:val="22"/>
                <w:lang w:val="en-GB"/>
              </w:rPr>
              <w:t xml:space="preserve">the attendance is by video conference; and </w:t>
            </w:r>
          </w:p>
          <w:p w14:paraId="6BB33D55" w14:textId="77777777" w:rsidR="00974578" w:rsidRPr="0010767D" w:rsidRDefault="00974578" w:rsidP="000831A1">
            <w:pPr>
              <w:pStyle w:val="ListParagraph"/>
              <w:numPr>
                <w:ilvl w:val="1"/>
                <w:numId w:val="28"/>
              </w:numPr>
              <w:spacing w:before="20" w:after="20" w:line="240" w:lineRule="auto"/>
              <w:ind w:left="360"/>
              <w:rPr>
                <w:szCs w:val="22"/>
                <w:lang w:val="en-GB"/>
              </w:rPr>
            </w:pPr>
            <w:r w:rsidRPr="0010767D">
              <w:rPr>
                <w:szCs w:val="22"/>
                <w:lang w:val="en-GB"/>
              </w:rPr>
              <w:t xml:space="preserve">the patient is not an admitted patient; and </w:t>
            </w:r>
          </w:p>
          <w:p w14:paraId="5644E5C8" w14:textId="77777777" w:rsidR="00974578" w:rsidRPr="0010767D" w:rsidRDefault="00974578" w:rsidP="000831A1">
            <w:pPr>
              <w:pStyle w:val="ListParagraph"/>
              <w:numPr>
                <w:ilvl w:val="1"/>
                <w:numId w:val="28"/>
              </w:numPr>
              <w:spacing w:before="20" w:after="20" w:line="240" w:lineRule="auto"/>
              <w:ind w:left="360"/>
              <w:rPr>
                <w:szCs w:val="22"/>
                <w:lang w:val="en-GB"/>
              </w:rPr>
            </w:pPr>
            <w:r w:rsidRPr="0010767D">
              <w:rPr>
                <w:szCs w:val="22"/>
                <w:lang w:val="en-GB"/>
              </w:rPr>
              <w:t xml:space="preserve">the patient: </w:t>
            </w:r>
          </w:p>
          <w:p w14:paraId="2C3005E5" w14:textId="77777777" w:rsidR="00974578" w:rsidRPr="0010767D" w:rsidRDefault="00974578" w:rsidP="000831A1">
            <w:pPr>
              <w:pStyle w:val="ListParagraph"/>
              <w:numPr>
                <w:ilvl w:val="0"/>
                <w:numId w:val="29"/>
              </w:numPr>
              <w:spacing w:before="20" w:after="20" w:line="240" w:lineRule="auto"/>
              <w:rPr>
                <w:szCs w:val="22"/>
                <w:lang w:val="en-GB"/>
              </w:rPr>
            </w:pPr>
            <w:r w:rsidRPr="0010767D">
              <w:rPr>
                <w:szCs w:val="22"/>
                <w:lang w:val="en-GB"/>
              </w:rPr>
              <w:t xml:space="preserve">is located both: (a) within a telehealth eligible area; and (b) at the time of the attendance--at least 15 km by road from </w:t>
            </w:r>
            <w:r>
              <w:rPr>
                <w:szCs w:val="22"/>
                <w:lang w:val="en-GB"/>
              </w:rPr>
              <w:t xml:space="preserve">consultant </w:t>
            </w:r>
            <w:r w:rsidRPr="0010767D">
              <w:rPr>
                <w:szCs w:val="22"/>
                <w:lang w:val="en-GB"/>
              </w:rPr>
              <w:t xml:space="preserve">specialist; or </w:t>
            </w:r>
          </w:p>
          <w:p w14:paraId="495EECAB" w14:textId="77777777" w:rsidR="00974578" w:rsidRPr="0010767D" w:rsidRDefault="00974578" w:rsidP="000831A1">
            <w:pPr>
              <w:pStyle w:val="ListParagraph"/>
              <w:numPr>
                <w:ilvl w:val="0"/>
                <w:numId w:val="29"/>
              </w:numPr>
              <w:spacing w:before="20" w:after="20" w:line="240" w:lineRule="auto"/>
              <w:rPr>
                <w:szCs w:val="22"/>
                <w:lang w:val="en-GB"/>
              </w:rPr>
            </w:pPr>
            <w:r w:rsidRPr="0010767D">
              <w:rPr>
                <w:szCs w:val="22"/>
                <w:lang w:val="en-GB"/>
              </w:rPr>
              <w:t xml:space="preserve">is a care recipient in a residential care service; or </w:t>
            </w:r>
          </w:p>
          <w:p w14:paraId="59AA4B17" w14:textId="77777777" w:rsidR="00974578" w:rsidRPr="0010767D" w:rsidRDefault="00974578" w:rsidP="000831A1">
            <w:pPr>
              <w:pStyle w:val="ListParagraph"/>
              <w:numPr>
                <w:ilvl w:val="0"/>
                <w:numId w:val="29"/>
              </w:numPr>
              <w:spacing w:before="20" w:after="20" w:line="240" w:lineRule="auto"/>
              <w:rPr>
                <w:szCs w:val="22"/>
                <w:lang w:val="en-GB"/>
              </w:rPr>
            </w:pPr>
            <w:r w:rsidRPr="0010767D">
              <w:rPr>
                <w:szCs w:val="22"/>
                <w:lang w:val="en-GB"/>
              </w:rPr>
              <w:t>is a patient of: (a) an aboriginal medical service; or (b) an aboriginal community controlled health service; for which a direction made under subsection 19(2) of the act applies.</w:t>
            </w:r>
          </w:p>
          <w:p w14:paraId="750F8B91" w14:textId="77777777" w:rsidR="00974578" w:rsidRDefault="00974578" w:rsidP="00C65B0C">
            <w:pPr>
              <w:spacing w:before="20" w:after="20" w:line="240" w:lineRule="auto"/>
              <w:rPr>
                <w:szCs w:val="22"/>
                <w:lang w:val="en-GB"/>
              </w:rPr>
            </w:pPr>
          </w:p>
          <w:p w14:paraId="706A2E30" w14:textId="77777777" w:rsidR="00974578" w:rsidRPr="00C33C0B" w:rsidRDefault="00974578" w:rsidP="00C65B0C">
            <w:pPr>
              <w:spacing w:before="20" w:after="20" w:line="240" w:lineRule="auto"/>
              <w:rPr>
                <w:szCs w:val="22"/>
                <w:lang w:val="en-GB"/>
              </w:rPr>
            </w:pPr>
            <w:r>
              <w:rPr>
                <w:szCs w:val="22"/>
                <w:lang w:val="en-GB"/>
              </w:rPr>
              <w:t xml:space="preserve">An attendance </w:t>
            </w:r>
            <w:r w:rsidRPr="00C33C0B">
              <w:rPr>
                <w:szCs w:val="22"/>
                <w:lang w:val="en-GB"/>
              </w:rPr>
              <w:t>including any of the following that are clinically relevant:</w:t>
            </w:r>
          </w:p>
          <w:p w14:paraId="347AD2A9" w14:textId="77777777" w:rsidR="00974578" w:rsidRPr="00ED4E4E" w:rsidRDefault="00974578" w:rsidP="000831A1">
            <w:pPr>
              <w:pStyle w:val="ListParagraph"/>
              <w:numPr>
                <w:ilvl w:val="0"/>
                <w:numId w:val="32"/>
              </w:numPr>
              <w:spacing w:before="20" w:after="20" w:line="240" w:lineRule="auto"/>
              <w:rPr>
                <w:szCs w:val="22"/>
                <w:lang w:val="en-GB"/>
              </w:rPr>
            </w:pPr>
            <w:r w:rsidRPr="00ED4E4E">
              <w:rPr>
                <w:szCs w:val="22"/>
                <w:lang w:val="en-GB"/>
              </w:rPr>
              <w:t xml:space="preserve">extensive history of multiple complex conditions </w:t>
            </w:r>
          </w:p>
          <w:p w14:paraId="66F07489" w14:textId="77777777" w:rsidR="00974578" w:rsidRPr="00ED4E4E" w:rsidRDefault="00974578" w:rsidP="000831A1">
            <w:pPr>
              <w:pStyle w:val="ListParagraph"/>
              <w:numPr>
                <w:ilvl w:val="0"/>
                <w:numId w:val="32"/>
              </w:numPr>
              <w:spacing w:before="20" w:after="20" w:line="240" w:lineRule="auto"/>
              <w:rPr>
                <w:szCs w:val="22"/>
                <w:lang w:val="en-GB"/>
              </w:rPr>
            </w:pPr>
            <w:r w:rsidRPr="00ED4E4E">
              <w:rPr>
                <w:szCs w:val="22"/>
                <w:lang w:val="en-GB"/>
              </w:rPr>
              <w:t>multiple complex diagnoses considered</w:t>
            </w:r>
          </w:p>
          <w:p w14:paraId="31B38F20" w14:textId="77777777" w:rsidR="00974578" w:rsidRPr="0006272C" w:rsidRDefault="00974578" w:rsidP="000831A1">
            <w:pPr>
              <w:pStyle w:val="ListParagraph"/>
              <w:numPr>
                <w:ilvl w:val="0"/>
                <w:numId w:val="32"/>
              </w:numPr>
              <w:spacing w:before="20" w:after="20" w:line="240" w:lineRule="auto"/>
              <w:rPr>
                <w:szCs w:val="22"/>
                <w:lang w:val="en-GB"/>
              </w:rPr>
            </w:pPr>
            <w:r w:rsidRPr="0006272C">
              <w:rPr>
                <w:szCs w:val="22"/>
                <w:lang w:val="en-GB"/>
              </w:rPr>
              <w:t>a comprehensive management plan and, if required;</w:t>
            </w:r>
          </w:p>
          <w:p w14:paraId="508692EB" w14:textId="77777777" w:rsidR="00974578" w:rsidRPr="0010767D" w:rsidRDefault="00974578" w:rsidP="000831A1">
            <w:pPr>
              <w:pStyle w:val="ListParagraph"/>
              <w:numPr>
                <w:ilvl w:val="0"/>
                <w:numId w:val="32"/>
              </w:numPr>
              <w:spacing w:before="20" w:after="20" w:line="240" w:lineRule="auto"/>
              <w:rPr>
                <w:szCs w:val="22"/>
                <w:lang w:val="en-GB"/>
              </w:rPr>
            </w:pPr>
            <w:r w:rsidRPr="0010767D">
              <w:rPr>
                <w:szCs w:val="22"/>
                <w:lang w:val="en-GB"/>
              </w:rPr>
              <w:t>discussion of multiple treatment options available, including;</w:t>
            </w:r>
          </w:p>
          <w:p w14:paraId="55BF2879" w14:textId="77777777" w:rsidR="00974578" w:rsidRPr="0010767D" w:rsidRDefault="00974578" w:rsidP="00C65B0C">
            <w:pPr>
              <w:pStyle w:val="02dash"/>
              <w:spacing w:before="0" w:after="0" w:line="240" w:lineRule="auto"/>
              <w:ind w:left="567"/>
            </w:pPr>
            <w:r w:rsidRPr="0010767D">
              <w:t>i. Discussion of treatment options to assess pros and cons of each option given patient characteristics and medical history</w:t>
            </w:r>
          </w:p>
          <w:p w14:paraId="21808167" w14:textId="77777777" w:rsidR="00974578" w:rsidRPr="0010767D" w:rsidRDefault="00974578" w:rsidP="00C65B0C">
            <w:pPr>
              <w:pStyle w:val="02dash"/>
              <w:spacing w:before="0" w:after="0" w:line="240" w:lineRule="auto"/>
              <w:ind w:left="567"/>
            </w:pPr>
            <w:r w:rsidRPr="0010767D">
              <w:t>ii. Consideration and discussion of necessary referrals to other health professionals</w:t>
            </w:r>
          </w:p>
          <w:p w14:paraId="59F0FEEB" w14:textId="77777777" w:rsidR="00974578" w:rsidRDefault="00974578" w:rsidP="00C65B0C">
            <w:pPr>
              <w:pStyle w:val="02dash"/>
              <w:spacing w:before="0" w:after="0" w:line="240" w:lineRule="auto"/>
              <w:ind w:left="567"/>
            </w:pPr>
            <w:r w:rsidRPr="0010767D">
              <w:t>iii. Written documentation made available for the patient and/or carer that outlines treatment options and information on associated risks and benefits</w:t>
            </w:r>
          </w:p>
          <w:p w14:paraId="0D70678C" w14:textId="77777777" w:rsidR="00974578" w:rsidRPr="0006272C" w:rsidRDefault="00974578" w:rsidP="000831A1">
            <w:pPr>
              <w:pStyle w:val="ListParagraph"/>
              <w:numPr>
                <w:ilvl w:val="0"/>
                <w:numId w:val="32"/>
              </w:numPr>
              <w:spacing w:before="20" w:after="20" w:line="240" w:lineRule="auto"/>
              <w:rPr>
                <w:szCs w:val="22"/>
                <w:lang w:val="en-GB"/>
              </w:rPr>
            </w:pPr>
            <w:r w:rsidRPr="0006272C">
              <w:rPr>
                <w:szCs w:val="22"/>
                <w:lang w:val="en-GB"/>
              </w:rPr>
              <w:t xml:space="preserve">Outcomes documented and communicated in writing to the referring practitioner  </w:t>
            </w:r>
          </w:p>
        </w:tc>
      </w:tr>
    </w:tbl>
    <w:p w14:paraId="5AAC106F" w14:textId="77777777" w:rsidR="00940D6E" w:rsidRPr="00940D6E" w:rsidRDefault="00940D6E" w:rsidP="00C035DF">
      <w:pPr>
        <w:keepNext/>
        <w:rPr>
          <w:b/>
          <w:bCs/>
          <w:iCs/>
          <w:lang w:val="en-US" w:eastAsia="en-US"/>
        </w:rPr>
      </w:pPr>
      <w:r w:rsidRPr="00940D6E">
        <w:rPr>
          <w:b/>
          <w:bCs/>
          <w:iCs/>
          <w:lang w:val="en-US" w:eastAsia="en-US"/>
        </w:rPr>
        <w:t xml:space="preserve">Recommendation </w:t>
      </w:r>
      <w:r w:rsidR="00FC6719">
        <w:rPr>
          <w:b/>
          <w:bCs/>
          <w:iCs/>
          <w:lang w:val="en-US" w:eastAsia="en-US"/>
        </w:rPr>
        <w:t>10</w:t>
      </w:r>
      <w:r w:rsidRPr="00940D6E">
        <w:rPr>
          <w:b/>
          <w:bCs/>
          <w:iCs/>
          <w:lang w:val="en-US" w:eastAsia="en-US"/>
        </w:rPr>
        <w:t xml:space="preserve"> – Reinvest in telehealth</w:t>
      </w:r>
    </w:p>
    <w:p w14:paraId="15FF6BDC" w14:textId="77777777" w:rsidR="00E3287D" w:rsidRPr="00C33C0B" w:rsidRDefault="00E3287D" w:rsidP="00C035DF">
      <w:pPr>
        <w:pStyle w:val="Bullet-green"/>
        <w:keepNext/>
        <w:numPr>
          <w:ilvl w:val="0"/>
          <w:numId w:val="0"/>
        </w:numPr>
      </w:pPr>
      <w:r>
        <w:t>The Committee recommends reinvesting</w:t>
      </w:r>
      <w:r w:rsidRPr="00C33C0B">
        <w:t xml:space="preserve"> </w:t>
      </w:r>
      <w:r>
        <w:t xml:space="preserve">all </w:t>
      </w:r>
      <w:r w:rsidRPr="00C33C0B">
        <w:t xml:space="preserve">savings from </w:t>
      </w:r>
      <w:r>
        <w:t xml:space="preserve">removing the telehealth loading </w:t>
      </w:r>
      <w:r w:rsidR="00FC6719">
        <w:t>towards</w:t>
      </w:r>
      <w:r w:rsidR="00FC6719" w:rsidRPr="00C33C0B">
        <w:t xml:space="preserve"> mechanisms </w:t>
      </w:r>
      <w:r w:rsidR="00FC6719">
        <w:t>designed to increase uptake of telehealth services in Australia. Both MBS and non-MBS mechanisms should be considered, and options could include the following:</w:t>
      </w:r>
      <w:r w:rsidR="00FC6719" w:rsidRPr="00C33C0B">
        <w:t xml:space="preserve"> </w:t>
      </w:r>
    </w:p>
    <w:p w14:paraId="02D9A23B" w14:textId="77777777" w:rsidR="00E3287D" w:rsidRPr="00C33C0B" w:rsidRDefault="00E3287D" w:rsidP="000831A1">
      <w:pPr>
        <w:pStyle w:val="Bullet2"/>
        <w:numPr>
          <w:ilvl w:val="0"/>
          <w:numId w:val="84"/>
        </w:numPr>
      </w:pPr>
      <w:r w:rsidRPr="00C33C0B">
        <w:t xml:space="preserve">Increase </w:t>
      </w:r>
      <w:r>
        <w:t>utilisation of</w:t>
      </w:r>
      <w:r w:rsidRPr="00C33C0B">
        <w:t xml:space="preserve"> telehealth services </w:t>
      </w:r>
      <w:r>
        <w:t>among</w:t>
      </w:r>
      <w:r w:rsidRPr="00C33C0B">
        <w:t xml:space="preserve"> consumers, </w:t>
      </w:r>
      <w:r>
        <w:t>GPs</w:t>
      </w:r>
      <w:r w:rsidRPr="00C33C0B">
        <w:t xml:space="preserve"> and PHNs</w:t>
      </w:r>
      <w:r w:rsidRPr="005021F3">
        <w:t>,</w:t>
      </w:r>
      <w:r w:rsidRPr="00C33C0B">
        <w:t xml:space="preserve"> by:</w:t>
      </w:r>
    </w:p>
    <w:p w14:paraId="72315399" w14:textId="77777777" w:rsidR="00E3287D" w:rsidRPr="00C33C0B" w:rsidRDefault="00B32B5F" w:rsidP="000831A1">
      <w:pPr>
        <w:pStyle w:val="BulletStyle3"/>
        <w:numPr>
          <w:ilvl w:val="0"/>
          <w:numId w:val="85"/>
        </w:numPr>
        <w:rPr>
          <w:lang w:val="en-GB"/>
        </w:rPr>
      </w:pPr>
      <w:r>
        <w:rPr>
          <w:lang w:val="en-GB"/>
        </w:rPr>
        <w:t>d</w:t>
      </w:r>
      <w:r w:rsidR="00E3287D" w:rsidRPr="00C33C0B">
        <w:rPr>
          <w:lang w:val="en-GB"/>
        </w:rPr>
        <w:t xml:space="preserve">eveloping and sharing the value proposition of telehealth </w:t>
      </w:r>
      <w:r w:rsidR="00E3287D">
        <w:rPr>
          <w:lang w:val="en-GB"/>
        </w:rPr>
        <w:t>with</w:t>
      </w:r>
      <w:r w:rsidR="00E3287D" w:rsidRPr="00C33C0B">
        <w:rPr>
          <w:lang w:val="en-GB"/>
        </w:rPr>
        <w:t xml:space="preserve"> consumers, including the potential savings in time and travel costs</w:t>
      </w:r>
      <w:r w:rsidR="00196C0C">
        <w:rPr>
          <w:lang w:val="en-GB"/>
        </w:rPr>
        <w:t>;</w:t>
      </w:r>
      <w:r w:rsidR="00E3287D" w:rsidRPr="00C33C0B">
        <w:rPr>
          <w:lang w:val="en-GB"/>
        </w:rPr>
        <w:t xml:space="preserve"> </w:t>
      </w:r>
    </w:p>
    <w:p w14:paraId="69610E31" w14:textId="77777777" w:rsidR="00E3287D" w:rsidRPr="00C33C0B" w:rsidRDefault="00B32B5F" w:rsidP="000831A1">
      <w:pPr>
        <w:pStyle w:val="BulletStyle3"/>
        <w:numPr>
          <w:ilvl w:val="0"/>
          <w:numId w:val="85"/>
        </w:numPr>
        <w:rPr>
          <w:lang w:val="en-GB"/>
        </w:rPr>
      </w:pPr>
      <w:r>
        <w:rPr>
          <w:lang w:val="en-GB"/>
        </w:rPr>
        <w:t>f</w:t>
      </w:r>
      <w:r w:rsidR="00E3287D" w:rsidRPr="00C33C0B">
        <w:rPr>
          <w:lang w:val="en-GB"/>
        </w:rPr>
        <w:t>unding PHNs and consumer representatives (community champions) to carry out telehealth education and awareness building in targeted communities (</w:t>
      </w:r>
      <w:r w:rsidR="00E3287D">
        <w:rPr>
          <w:lang w:val="en-GB"/>
        </w:rPr>
        <w:t>for example,</w:t>
      </w:r>
      <w:r w:rsidR="00E3287D" w:rsidRPr="00C33C0B">
        <w:rPr>
          <w:lang w:val="en-GB"/>
        </w:rPr>
        <w:t xml:space="preserve"> where GPs already provide telehealth)</w:t>
      </w:r>
      <w:r w:rsidR="00196C0C">
        <w:rPr>
          <w:lang w:val="en-GB"/>
        </w:rPr>
        <w:t>;</w:t>
      </w:r>
      <w:r w:rsidR="00E3287D" w:rsidRPr="00C33C0B">
        <w:rPr>
          <w:lang w:val="en-GB"/>
        </w:rPr>
        <w:t xml:space="preserve"> </w:t>
      </w:r>
    </w:p>
    <w:p w14:paraId="4B6A5713" w14:textId="77777777" w:rsidR="00E3287D" w:rsidRPr="00C33C0B" w:rsidRDefault="00B32B5F" w:rsidP="000831A1">
      <w:pPr>
        <w:pStyle w:val="BulletStyle3"/>
        <w:numPr>
          <w:ilvl w:val="0"/>
          <w:numId w:val="85"/>
        </w:numPr>
        <w:rPr>
          <w:lang w:val="en-GB"/>
        </w:rPr>
      </w:pPr>
      <w:r>
        <w:rPr>
          <w:lang w:val="en-GB"/>
        </w:rPr>
        <w:t>e</w:t>
      </w:r>
      <w:r w:rsidR="00E3287D" w:rsidRPr="00C33C0B">
        <w:rPr>
          <w:lang w:val="en-GB"/>
        </w:rPr>
        <w:t>ducating GPs and PHNs to identify and promote telehealth to patient population groups that would most benefit from telehealth attendances</w:t>
      </w:r>
      <w:r w:rsidR="00E3287D">
        <w:rPr>
          <w:lang w:val="en-GB"/>
        </w:rPr>
        <w:t>—both those</w:t>
      </w:r>
      <w:r w:rsidR="00E3287D" w:rsidRPr="00C33C0B">
        <w:rPr>
          <w:lang w:val="en-GB"/>
        </w:rPr>
        <w:t xml:space="preserve"> </w:t>
      </w:r>
      <w:r w:rsidR="00E3287D">
        <w:rPr>
          <w:lang w:val="en-GB"/>
        </w:rPr>
        <w:t>held directly with the specialist (for example, follow-up care) and those supported by a health professional (for example, more complex cases or where health literacy may be a challenge)</w:t>
      </w:r>
      <w:r w:rsidR="00196C0C">
        <w:rPr>
          <w:lang w:val="en-GB"/>
        </w:rPr>
        <w:t>;</w:t>
      </w:r>
    </w:p>
    <w:p w14:paraId="499B559C" w14:textId="77777777" w:rsidR="00E3287D" w:rsidRPr="00C33C0B" w:rsidRDefault="00B32B5F" w:rsidP="000831A1">
      <w:pPr>
        <w:pStyle w:val="BulletStyle3"/>
        <w:numPr>
          <w:ilvl w:val="0"/>
          <w:numId w:val="85"/>
        </w:numPr>
        <w:rPr>
          <w:lang w:val="en-GB"/>
        </w:rPr>
      </w:pPr>
      <w:r>
        <w:rPr>
          <w:lang w:val="en-GB"/>
        </w:rPr>
        <w:t>i</w:t>
      </w:r>
      <w:r w:rsidR="00E3287D" w:rsidRPr="00C33C0B">
        <w:rPr>
          <w:lang w:val="en-GB"/>
        </w:rPr>
        <w:t>nvesting in education and training of primary care workers, including telehealth training days and the development of training material (</w:t>
      </w:r>
      <w:r w:rsidR="00E3287D">
        <w:rPr>
          <w:lang w:val="en-GB"/>
        </w:rPr>
        <w:t>for example</w:t>
      </w:r>
      <w:r w:rsidR="00E3287D" w:rsidRPr="00C33C0B">
        <w:rPr>
          <w:lang w:val="en-GB"/>
        </w:rPr>
        <w:t>, online modules)</w:t>
      </w:r>
      <w:r w:rsidR="00196C0C">
        <w:rPr>
          <w:lang w:val="en-GB"/>
        </w:rPr>
        <w:t>;</w:t>
      </w:r>
      <w:r w:rsidR="00E3287D">
        <w:rPr>
          <w:lang w:val="en-GB"/>
        </w:rPr>
        <w:t xml:space="preserve"> and</w:t>
      </w:r>
    </w:p>
    <w:p w14:paraId="6730161D" w14:textId="77777777" w:rsidR="00E3287D" w:rsidRPr="00C33C0B" w:rsidRDefault="00B32B5F" w:rsidP="000831A1">
      <w:pPr>
        <w:pStyle w:val="BulletStyle3"/>
        <w:numPr>
          <w:ilvl w:val="0"/>
          <w:numId w:val="85"/>
        </w:numPr>
        <w:rPr>
          <w:lang w:val="en-GB"/>
        </w:rPr>
      </w:pPr>
      <w:r>
        <w:rPr>
          <w:lang w:val="en-GB"/>
        </w:rPr>
        <w:t>p</w:t>
      </w:r>
      <w:r w:rsidR="00E3287D" w:rsidRPr="00C33C0B">
        <w:rPr>
          <w:lang w:val="en-GB"/>
        </w:rPr>
        <w:t xml:space="preserve">romoting the use of MBS items </w:t>
      </w:r>
      <w:r w:rsidR="00E3287D">
        <w:rPr>
          <w:lang w:val="en-GB"/>
        </w:rPr>
        <w:t xml:space="preserve">that already exist </w:t>
      </w:r>
      <w:r w:rsidR="00E3287D" w:rsidRPr="00C33C0B">
        <w:rPr>
          <w:lang w:val="en-GB"/>
        </w:rPr>
        <w:t xml:space="preserve"> for primary care workers to provide clinical support to patients participating in </w:t>
      </w:r>
      <w:r w:rsidR="00E3287D">
        <w:rPr>
          <w:lang w:val="en-GB"/>
        </w:rPr>
        <w:t xml:space="preserve">consultant </w:t>
      </w:r>
      <w:r w:rsidR="00E3287D" w:rsidRPr="00C33C0B">
        <w:rPr>
          <w:lang w:val="en-GB"/>
        </w:rPr>
        <w:t>specialist telehealth attendances</w:t>
      </w:r>
      <w:r w:rsidR="00E3287D">
        <w:rPr>
          <w:lang w:val="en-GB"/>
        </w:rPr>
        <w:t xml:space="preserve"> (</w:t>
      </w:r>
      <w:r w:rsidR="00E3287D">
        <w:t>Category 8 of the MBS, Groups M12, M13, and M14).</w:t>
      </w:r>
    </w:p>
    <w:p w14:paraId="3ACD4B93" w14:textId="77777777" w:rsidR="00E3287D" w:rsidRPr="00C33C0B" w:rsidRDefault="00E3287D" w:rsidP="000831A1">
      <w:pPr>
        <w:pStyle w:val="Bullet2"/>
        <w:numPr>
          <w:ilvl w:val="0"/>
          <w:numId w:val="84"/>
        </w:numPr>
      </w:pPr>
      <w:r w:rsidRPr="00C33C0B">
        <w:t>Increas</w:t>
      </w:r>
      <w:r>
        <w:t>ing</w:t>
      </w:r>
      <w:r w:rsidRPr="00C33C0B">
        <w:t xml:space="preserve"> </w:t>
      </w:r>
      <w:r>
        <w:t xml:space="preserve">the </w:t>
      </w:r>
      <w:r w:rsidRPr="00C33C0B">
        <w:t xml:space="preserve">supply of telehealth services offered by </w:t>
      </w:r>
      <w:r>
        <w:t xml:space="preserve">consultant </w:t>
      </w:r>
      <w:r w:rsidRPr="00C33C0B">
        <w:t>specialists, by:</w:t>
      </w:r>
    </w:p>
    <w:p w14:paraId="70D91599" w14:textId="77777777" w:rsidR="00E3287D" w:rsidRPr="00C33C0B" w:rsidRDefault="00B32B5F" w:rsidP="000831A1">
      <w:pPr>
        <w:pStyle w:val="BulletStyle3"/>
        <w:numPr>
          <w:ilvl w:val="0"/>
          <w:numId w:val="86"/>
        </w:numPr>
        <w:rPr>
          <w:lang w:val="en-GB"/>
        </w:rPr>
      </w:pPr>
      <w:r>
        <w:rPr>
          <w:lang w:val="en-GB"/>
        </w:rPr>
        <w:t>d</w:t>
      </w:r>
      <w:r w:rsidR="00E3287D" w:rsidRPr="00C33C0B">
        <w:rPr>
          <w:lang w:val="en-GB"/>
        </w:rPr>
        <w:t xml:space="preserve">eveloping the value proposition of telehealth </w:t>
      </w:r>
      <w:r w:rsidR="00E3287D">
        <w:rPr>
          <w:lang w:val="en-GB"/>
        </w:rPr>
        <w:t>for</w:t>
      </w:r>
      <w:r w:rsidR="00E3287D" w:rsidRPr="00C33C0B">
        <w:rPr>
          <w:lang w:val="en-GB"/>
        </w:rPr>
        <w:t xml:space="preserve"> providers and sharing this with provider population groups that are most likely to offer telehealth services</w:t>
      </w:r>
      <w:r w:rsidR="00196C0C">
        <w:rPr>
          <w:lang w:val="en-GB"/>
        </w:rPr>
        <w:t>;</w:t>
      </w:r>
    </w:p>
    <w:p w14:paraId="531E8E8F" w14:textId="77777777" w:rsidR="00E3287D" w:rsidRPr="00C33C0B" w:rsidRDefault="00B32B5F" w:rsidP="000831A1">
      <w:pPr>
        <w:pStyle w:val="BulletStyle3"/>
        <w:numPr>
          <w:ilvl w:val="0"/>
          <w:numId w:val="86"/>
        </w:numPr>
        <w:rPr>
          <w:lang w:val="en-GB"/>
        </w:rPr>
      </w:pPr>
      <w:r>
        <w:rPr>
          <w:lang w:val="en-GB"/>
        </w:rPr>
        <w:t>e</w:t>
      </w:r>
      <w:r w:rsidR="00E3287D" w:rsidRPr="00C33C0B">
        <w:rPr>
          <w:lang w:val="en-GB"/>
        </w:rPr>
        <w:t xml:space="preserve">ducating </w:t>
      </w:r>
      <w:r w:rsidR="00E3287D">
        <w:rPr>
          <w:lang w:val="en-GB"/>
        </w:rPr>
        <w:t xml:space="preserve">consultant </w:t>
      </w:r>
      <w:r w:rsidR="00E3287D" w:rsidRPr="00C33C0B">
        <w:rPr>
          <w:lang w:val="en-GB"/>
        </w:rPr>
        <w:t>specialists to identify and promote telehealth to patient population groups that would most benefit from telehealth attendances</w:t>
      </w:r>
      <w:r w:rsidR="00196C0C">
        <w:rPr>
          <w:lang w:val="en-GB"/>
        </w:rPr>
        <w:t>;</w:t>
      </w:r>
    </w:p>
    <w:p w14:paraId="564FE714" w14:textId="77777777" w:rsidR="00E3287D" w:rsidRPr="00C33C0B" w:rsidRDefault="00B32B5F" w:rsidP="000831A1">
      <w:pPr>
        <w:pStyle w:val="BulletStyle3"/>
        <w:numPr>
          <w:ilvl w:val="0"/>
          <w:numId w:val="86"/>
        </w:numPr>
        <w:rPr>
          <w:lang w:val="en-GB"/>
        </w:rPr>
      </w:pPr>
      <w:r>
        <w:rPr>
          <w:lang w:val="en-GB"/>
        </w:rPr>
        <w:t>d</w:t>
      </w:r>
      <w:r w:rsidR="00E3287D" w:rsidRPr="00C33C0B">
        <w:rPr>
          <w:lang w:val="en-GB"/>
        </w:rPr>
        <w:t>eveloping materials on how to set up and run telehealth services</w:t>
      </w:r>
      <w:r w:rsidR="00196C0C">
        <w:rPr>
          <w:lang w:val="en-GB"/>
        </w:rPr>
        <w:t>;</w:t>
      </w:r>
    </w:p>
    <w:p w14:paraId="5260D004" w14:textId="77777777" w:rsidR="00E3287D" w:rsidRPr="00C33C0B" w:rsidRDefault="00B32B5F" w:rsidP="000831A1">
      <w:pPr>
        <w:pStyle w:val="BulletStyle3"/>
        <w:numPr>
          <w:ilvl w:val="0"/>
          <w:numId w:val="86"/>
        </w:numPr>
        <w:rPr>
          <w:lang w:val="en-GB"/>
        </w:rPr>
      </w:pPr>
      <w:r>
        <w:rPr>
          <w:lang w:val="en-GB"/>
        </w:rPr>
        <w:t>c</w:t>
      </w:r>
      <w:r w:rsidR="00E3287D" w:rsidRPr="00C33C0B">
        <w:rPr>
          <w:lang w:val="en-GB"/>
        </w:rPr>
        <w:t xml:space="preserve">oordinating with </w:t>
      </w:r>
      <w:r w:rsidR="00E3287D">
        <w:rPr>
          <w:lang w:val="en-GB"/>
        </w:rPr>
        <w:t>C</w:t>
      </w:r>
      <w:r w:rsidR="00E3287D" w:rsidRPr="00C33C0B">
        <w:rPr>
          <w:lang w:val="en-GB"/>
        </w:rPr>
        <w:t>olleges to promote telehealth education and training</w:t>
      </w:r>
      <w:r w:rsidR="00E3287D">
        <w:rPr>
          <w:lang w:val="en-GB"/>
        </w:rPr>
        <w:t>, including awarding CPD points for telehealth training</w:t>
      </w:r>
      <w:r w:rsidR="00196C0C">
        <w:rPr>
          <w:lang w:val="en-GB"/>
        </w:rPr>
        <w:t>;</w:t>
      </w:r>
    </w:p>
    <w:p w14:paraId="67191CEA" w14:textId="77777777" w:rsidR="00E3287D" w:rsidRPr="00C33C0B" w:rsidRDefault="00B32B5F" w:rsidP="000831A1">
      <w:pPr>
        <w:pStyle w:val="BulletStyle3"/>
        <w:numPr>
          <w:ilvl w:val="0"/>
          <w:numId w:val="86"/>
        </w:numPr>
        <w:rPr>
          <w:lang w:val="en-GB"/>
        </w:rPr>
      </w:pPr>
      <w:r>
        <w:rPr>
          <w:lang w:val="en-GB"/>
        </w:rPr>
        <w:t>e</w:t>
      </w:r>
      <w:r w:rsidR="00E3287D" w:rsidRPr="00C33C0B">
        <w:rPr>
          <w:lang w:val="en-GB"/>
        </w:rPr>
        <w:t xml:space="preserve">ncouraging </w:t>
      </w:r>
      <w:r w:rsidR="00E3287D">
        <w:rPr>
          <w:lang w:val="en-GB"/>
        </w:rPr>
        <w:t>C</w:t>
      </w:r>
      <w:r w:rsidR="00E3287D" w:rsidRPr="00C33C0B">
        <w:rPr>
          <w:lang w:val="en-GB"/>
        </w:rPr>
        <w:t>olleges to</w:t>
      </w:r>
      <w:r w:rsidR="00E3287D">
        <w:rPr>
          <w:lang w:val="en-GB"/>
        </w:rPr>
        <w:t xml:space="preserve"> educate consultant </w:t>
      </w:r>
      <w:r w:rsidR="00E3287D" w:rsidRPr="00C33C0B">
        <w:rPr>
          <w:lang w:val="en-GB"/>
        </w:rPr>
        <w:t xml:space="preserve">specialists </w:t>
      </w:r>
      <w:r w:rsidR="00E3287D">
        <w:rPr>
          <w:lang w:val="en-GB"/>
        </w:rPr>
        <w:t xml:space="preserve">on the benefits of </w:t>
      </w:r>
      <w:r w:rsidR="00E3287D" w:rsidRPr="00C33C0B">
        <w:rPr>
          <w:lang w:val="en-GB"/>
        </w:rPr>
        <w:t>telehealth</w:t>
      </w:r>
      <w:r w:rsidR="00E3287D">
        <w:rPr>
          <w:lang w:val="en-GB"/>
        </w:rPr>
        <w:t>, how to set it up,</w:t>
      </w:r>
      <w:r w:rsidR="00E3287D" w:rsidRPr="00C33C0B">
        <w:rPr>
          <w:lang w:val="en-GB"/>
        </w:rPr>
        <w:t xml:space="preserve"> </w:t>
      </w:r>
      <w:r w:rsidR="00196C0C">
        <w:rPr>
          <w:lang w:val="en-GB"/>
        </w:rPr>
        <w:t>and when it should be used;</w:t>
      </w:r>
      <w:r w:rsidR="00E3287D">
        <w:rPr>
          <w:lang w:val="en-GB"/>
        </w:rPr>
        <w:t xml:space="preserve"> and</w:t>
      </w:r>
    </w:p>
    <w:p w14:paraId="497739B0" w14:textId="77777777" w:rsidR="00E3287D" w:rsidRPr="00540CE4" w:rsidRDefault="00B32B5F" w:rsidP="000831A1">
      <w:pPr>
        <w:pStyle w:val="BulletStyle3"/>
        <w:numPr>
          <w:ilvl w:val="0"/>
          <w:numId w:val="86"/>
        </w:numPr>
        <w:rPr>
          <w:lang w:val="en-GB"/>
        </w:rPr>
      </w:pPr>
      <w:r>
        <w:rPr>
          <w:lang w:val="en-GB"/>
        </w:rPr>
        <w:t>d</w:t>
      </w:r>
      <w:r w:rsidR="00E3287D" w:rsidRPr="00C33C0B">
        <w:rPr>
          <w:lang w:val="en-GB"/>
        </w:rPr>
        <w:t>eveloping guidelines and tools to determine and resolve clinical governance issues</w:t>
      </w:r>
      <w:r w:rsidR="00E3287D">
        <w:rPr>
          <w:lang w:val="en-GB"/>
        </w:rPr>
        <w:t>.</w:t>
      </w:r>
    </w:p>
    <w:p w14:paraId="7DECF85D" w14:textId="77777777" w:rsidR="00940D6E" w:rsidRPr="00940D6E" w:rsidRDefault="00940D6E" w:rsidP="00940D6E">
      <w:pPr>
        <w:rPr>
          <w:b/>
          <w:bCs/>
          <w:iCs/>
          <w:lang w:val="en-US" w:eastAsia="en-US"/>
        </w:rPr>
      </w:pPr>
      <w:r w:rsidRPr="00940D6E">
        <w:rPr>
          <w:b/>
          <w:bCs/>
          <w:iCs/>
          <w:lang w:val="en-US" w:eastAsia="en-US"/>
        </w:rPr>
        <w:t xml:space="preserve">Recommendation </w:t>
      </w:r>
      <w:r w:rsidR="00FC6719">
        <w:rPr>
          <w:b/>
          <w:bCs/>
          <w:iCs/>
          <w:lang w:val="en-US" w:eastAsia="en-US"/>
        </w:rPr>
        <w:t>11</w:t>
      </w:r>
      <w:r w:rsidRPr="00940D6E">
        <w:rPr>
          <w:b/>
          <w:bCs/>
          <w:iCs/>
          <w:lang w:val="en-US" w:eastAsia="en-US"/>
        </w:rPr>
        <w:t xml:space="preserve"> - Introduce a new framework of case conference items and allow access to all consultant specialists</w:t>
      </w:r>
    </w:p>
    <w:p w14:paraId="0701096A" w14:textId="77777777" w:rsidR="00E3287D" w:rsidRDefault="00E3287D" w:rsidP="00607BDA">
      <w:pPr>
        <w:pStyle w:val="Bullet-green"/>
        <w:numPr>
          <w:ilvl w:val="0"/>
          <w:numId w:val="0"/>
        </w:numPr>
        <w:rPr>
          <w:lang w:val="en-GB"/>
        </w:rPr>
      </w:pPr>
      <w:r>
        <w:rPr>
          <w:lang w:val="en-GB"/>
        </w:rPr>
        <w:t>The Committee recommends:</w:t>
      </w:r>
    </w:p>
    <w:p w14:paraId="4DD2E446" w14:textId="77777777" w:rsidR="00E3287D" w:rsidRPr="00C33C0B" w:rsidRDefault="00E3287D" w:rsidP="000831A1">
      <w:pPr>
        <w:pStyle w:val="Bullet-green"/>
        <w:numPr>
          <w:ilvl w:val="0"/>
          <w:numId w:val="87"/>
        </w:numPr>
        <w:rPr>
          <w:lang w:val="en-GB"/>
        </w:rPr>
      </w:pPr>
      <w:r>
        <w:rPr>
          <w:lang w:val="en-GB"/>
        </w:rPr>
        <w:t>introducing a new simplified f</w:t>
      </w:r>
      <w:r w:rsidRPr="00C33C0B">
        <w:rPr>
          <w:lang w:val="en-GB"/>
        </w:rPr>
        <w:t>ramework of case conference items</w:t>
      </w:r>
      <w:r>
        <w:rPr>
          <w:lang w:val="en-GB"/>
        </w:rPr>
        <w:t>, featuring three types:</w:t>
      </w:r>
    </w:p>
    <w:p w14:paraId="2E8C372F" w14:textId="77777777" w:rsidR="00E3287D" w:rsidRPr="00C33C0B" w:rsidRDefault="00B32B5F" w:rsidP="000831A1">
      <w:pPr>
        <w:pStyle w:val="Bullet2"/>
        <w:numPr>
          <w:ilvl w:val="0"/>
          <w:numId w:val="88"/>
        </w:numPr>
      </w:pPr>
      <w:r>
        <w:t>d</w:t>
      </w:r>
      <w:r w:rsidR="00E3287D" w:rsidRPr="00C33C0B">
        <w:t>ischarge planning case conferences</w:t>
      </w:r>
      <w:r w:rsidR="00E3287D">
        <w:t xml:space="preserve"> </w:t>
      </w:r>
      <w:r w:rsidR="00E3287D">
        <w:rPr>
          <w:lang w:val="en-GB"/>
        </w:rPr>
        <w:t>- a case conference to facilitate better post-discharge care and communication</w:t>
      </w:r>
      <w:r w:rsidR="00196C0C">
        <w:rPr>
          <w:lang w:val="en-GB"/>
        </w:rPr>
        <w:t>;</w:t>
      </w:r>
    </w:p>
    <w:p w14:paraId="542DD32D" w14:textId="77777777" w:rsidR="00E3287D" w:rsidRPr="00C33C0B" w:rsidRDefault="00B32B5F" w:rsidP="000831A1">
      <w:pPr>
        <w:pStyle w:val="Bullet2"/>
        <w:numPr>
          <w:ilvl w:val="0"/>
          <w:numId w:val="88"/>
        </w:numPr>
      </w:pPr>
      <w:r>
        <w:t>c</w:t>
      </w:r>
      <w:r w:rsidR="00E3287D" w:rsidRPr="00C33C0B">
        <w:t>ommunity case conferences</w:t>
      </w:r>
      <w:r w:rsidR="00E3287D">
        <w:t xml:space="preserve"> </w:t>
      </w:r>
      <w:r w:rsidR="00E3287D">
        <w:rPr>
          <w:lang w:val="en-GB"/>
        </w:rPr>
        <w:t>- a case conference to facilitate the provision of better multidisciplinary care</w:t>
      </w:r>
      <w:r w:rsidR="00196C0C">
        <w:t>;</w:t>
      </w:r>
      <w:r w:rsidR="00E3287D">
        <w:t xml:space="preserve"> and</w:t>
      </w:r>
    </w:p>
    <w:p w14:paraId="7D0B3BA9" w14:textId="77777777" w:rsidR="00E3287D" w:rsidRPr="00C33C0B" w:rsidRDefault="00B32B5F" w:rsidP="000831A1">
      <w:pPr>
        <w:pStyle w:val="Bullet2"/>
        <w:numPr>
          <w:ilvl w:val="0"/>
          <w:numId w:val="88"/>
        </w:numPr>
      </w:pPr>
      <w:r>
        <w:t>t</w:t>
      </w:r>
      <w:r w:rsidR="00E3287D" w:rsidRPr="00C33C0B">
        <w:t>reatment planning case conferences (new)</w:t>
      </w:r>
      <w:r w:rsidR="00E3287D">
        <w:t xml:space="preserve"> </w:t>
      </w:r>
      <w:r w:rsidR="00E3287D">
        <w:rPr>
          <w:lang w:val="en-GB"/>
        </w:rPr>
        <w:t>- a case conference that explores and analyses potential treatment options and their respective benefits</w:t>
      </w:r>
      <w:r w:rsidR="00E3287D">
        <w:t>.</w:t>
      </w:r>
    </w:p>
    <w:p w14:paraId="32FCCC30" w14:textId="77777777" w:rsidR="00E3287D" w:rsidRPr="00607BDA" w:rsidRDefault="00E3287D" w:rsidP="000831A1">
      <w:pPr>
        <w:pStyle w:val="Bullet-green"/>
        <w:numPr>
          <w:ilvl w:val="0"/>
          <w:numId w:val="87"/>
        </w:numPr>
        <w:rPr>
          <w:lang w:val="en-GB"/>
        </w:rPr>
      </w:pPr>
      <w:r>
        <w:rPr>
          <w:lang w:val="en-GB"/>
        </w:rPr>
        <w:t>r</w:t>
      </w:r>
      <w:r w:rsidRPr="00607BDA">
        <w:rPr>
          <w:lang w:val="en-GB"/>
        </w:rPr>
        <w:t>estructur</w:t>
      </w:r>
      <w:r>
        <w:rPr>
          <w:lang w:val="en-GB"/>
        </w:rPr>
        <w:t>ing</w:t>
      </w:r>
      <w:r w:rsidRPr="00607BDA">
        <w:rPr>
          <w:lang w:val="en-GB"/>
        </w:rPr>
        <w:t xml:space="preserve"> current case conference items</w:t>
      </w:r>
      <w:r>
        <w:rPr>
          <w:lang w:val="en-GB"/>
        </w:rPr>
        <w:t>, by:</w:t>
      </w:r>
    </w:p>
    <w:p w14:paraId="273228C7" w14:textId="77777777" w:rsidR="00E3287D" w:rsidRPr="00C33C0B" w:rsidRDefault="00E3287D" w:rsidP="000831A1">
      <w:pPr>
        <w:pStyle w:val="BulletStyle3"/>
        <w:numPr>
          <w:ilvl w:val="0"/>
          <w:numId w:val="89"/>
        </w:numPr>
        <w:rPr>
          <w:lang w:val="en-GB"/>
        </w:rPr>
      </w:pPr>
      <w:r>
        <w:rPr>
          <w:lang w:val="en-GB"/>
        </w:rPr>
        <w:t xml:space="preserve">Replacing </w:t>
      </w:r>
      <w:r w:rsidRPr="00C33C0B">
        <w:rPr>
          <w:lang w:val="en-GB"/>
        </w:rPr>
        <w:t>“</w:t>
      </w:r>
      <w:r>
        <w:rPr>
          <w:lang w:val="en-GB"/>
        </w:rPr>
        <w:t>C</w:t>
      </w:r>
      <w:r w:rsidRPr="00C33C0B">
        <w:rPr>
          <w:lang w:val="en-GB"/>
        </w:rPr>
        <w:t xml:space="preserve">ancer planning” conferences </w:t>
      </w:r>
      <w:r>
        <w:rPr>
          <w:lang w:val="en-GB"/>
        </w:rPr>
        <w:t>with</w:t>
      </w:r>
      <w:r w:rsidRPr="00C33C0B">
        <w:rPr>
          <w:lang w:val="en-GB"/>
        </w:rPr>
        <w:t xml:space="preserve"> “treatment planning” conferences, broadening use of these items to other conditions that require treatment planning with peer medical practitioners but are not cancer diagnoses</w:t>
      </w:r>
      <w:r>
        <w:rPr>
          <w:lang w:val="en-GB"/>
        </w:rPr>
        <w:t>.</w:t>
      </w:r>
    </w:p>
    <w:p w14:paraId="4A531DE1" w14:textId="77777777" w:rsidR="00E3287D" w:rsidRPr="00C33C0B" w:rsidRDefault="00E3287D" w:rsidP="000831A1">
      <w:pPr>
        <w:pStyle w:val="BulletStyle3"/>
        <w:numPr>
          <w:ilvl w:val="0"/>
          <w:numId w:val="89"/>
        </w:numPr>
        <w:rPr>
          <w:lang w:val="en-GB"/>
        </w:rPr>
      </w:pPr>
      <w:r>
        <w:rPr>
          <w:lang w:val="en-GB"/>
        </w:rPr>
        <w:t>Removing s</w:t>
      </w:r>
      <w:r w:rsidRPr="00C33C0B">
        <w:rPr>
          <w:lang w:val="en-GB"/>
        </w:rPr>
        <w:t>pecialty-specific case conference items</w:t>
      </w:r>
      <w:r>
        <w:rPr>
          <w:lang w:val="en-GB"/>
        </w:rPr>
        <w:t xml:space="preserve"> - with the exception of item 880 for geriatrics and rehabilitation medicine – will be removed, with consultant specialist</w:t>
      </w:r>
      <w:r w:rsidRPr="00C33C0B">
        <w:rPr>
          <w:lang w:val="en-GB"/>
        </w:rPr>
        <w:t xml:space="preserve">s </w:t>
      </w:r>
      <w:r>
        <w:rPr>
          <w:lang w:val="en-GB"/>
        </w:rPr>
        <w:t xml:space="preserve">instead accessing the </w:t>
      </w:r>
      <w:r w:rsidRPr="00C33C0B">
        <w:rPr>
          <w:lang w:val="en-GB"/>
        </w:rPr>
        <w:t xml:space="preserve">three </w:t>
      </w:r>
      <w:r>
        <w:rPr>
          <w:lang w:val="en-GB"/>
        </w:rPr>
        <w:t xml:space="preserve">case conference </w:t>
      </w:r>
      <w:r w:rsidRPr="00C33C0B">
        <w:rPr>
          <w:lang w:val="en-GB"/>
        </w:rPr>
        <w:t>categories</w:t>
      </w:r>
      <w:r>
        <w:rPr>
          <w:lang w:val="en-GB"/>
        </w:rPr>
        <w:t xml:space="preserve"> listed</w:t>
      </w:r>
      <w:r w:rsidRPr="00C33C0B">
        <w:rPr>
          <w:lang w:val="en-GB"/>
        </w:rPr>
        <w:t xml:space="preserve"> above</w:t>
      </w:r>
      <w:r>
        <w:rPr>
          <w:lang w:val="en-GB"/>
        </w:rPr>
        <w:t>.</w:t>
      </w:r>
    </w:p>
    <w:p w14:paraId="71AE146E" w14:textId="77777777" w:rsidR="00E3287D" w:rsidRPr="00607BDA" w:rsidRDefault="00E3287D" w:rsidP="000831A1">
      <w:pPr>
        <w:pStyle w:val="Bullet-green"/>
        <w:numPr>
          <w:ilvl w:val="0"/>
          <w:numId w:val="87"/>
        </w:numPr>
        <w:rPr>
          <w:lang w:val="en-GB"/>
        </w:rPr>
      </w:pPr>
      <w:r>
        <w:rPr>
          <w:lang w:val="en-GB"/>
        </w:rPr>
        <w:t>u</w:t>
      </w:r>
      <w:r w:rsidRPr="00607BDA">
        <w:rPr>
          <w:lang w:val="en-GB"/>
        </w:rPr>
        <w:t>pdat</w:t>
      </w:r>
      <w:r>
        <w:rPr>
          <w:lang w:val="en-GB"/>
        </w:rPr>
        <w:t>ing</w:t>
      </w:r>
      <w:r w:rsidRPr="00607BDA">
        <w:rPr>
          <w:lang w:val="en-GB"/>
        </w:rPr>
        <w:t xml:space="preserve"> existing discharge and community case conference item</w:t>
      </w:r>
      <w:r>
        <w:rPr>
          <w:lang w:val="en-GB"/>
        </w:rPr>
        <w:t>s (</w:t>
      </w:r>
      <w:r>
        <w:t>i</w:t>
      </w:r>
      <w:r w:rsidRPr="009834BE">
        <w:t>tems 820, 822, 823, 825, 826</w:t>
      </w:r>
      <w:r>
        <w:t xml:space="preserve"> and</w:t>
      </w:r>
      <w:r w:rsidRPr="009834BE">
        <w:t xml:space="preserve"> 828</w:t>
      </w:r>
      <w:r>
        <w:t>,</w:t>
      </w:r>
      <w:r w:rsidRPr="009834BE">
        <w:t xml:space="preserve"> and items</w:t>
      </w:r>
      <w:r>
        <w:t xml:space="preserve"> 830, 832, 834, 835, 837 and 838) descriptors to:</w:t>
      </w:r>
    </w:p>
    <w:p w14:paraId="3E52BC0B" w14:textId="77777777" w:rsidR="00E3287D" w:rsidRDefault="00E3287D" w:rsidP="000831A1">
      <w:pPr>
        <w:pStyle w:val="BulletStyle3"/>
        <w:numPr>
          <w:ilvl w:val="0"/>
          <w:numId w:val="89"/>
        </w:numPr>
        <w:rPr>
          <w:lang w:val="en-GB"/>
        </w:rPr>
      </w:pPr>
      <w:r>
        <w:rPr>
          <w:lang w:val="en-GB"/>
        </w:rPr>
        <w:t xml:space="preserve">Allow </w:t>
      </w:r>
      <w:r w:rsidRPr="00607BDA">
        <w:rPr>
          <w:lang w:val="en-GB"/>
        </w:rPr>
        <w:t>all consultant specialists to claim these items</w:t>
      </w:r>
      <w:r w:rsidR="00196C0C">
        <w:rPr>
          <w:lang w:val="en-GB"/>
        </w:rPr>
        <w:t>.</w:t>
      </w:r>
    </w:p>
    <w:p w14:paraId="0704C40C" w14:textId="77777777" w:rsidR="00E3287D" w:rsidRDefault="00E3287D" w:rsidP="000831A1">
      <w:pPr>
        <w:pStyle w:val="BulletStyle3"/>
        <w:numPr>
          <w:ilvl w:val="0"/>
          <w:numId w:val="89"/>
        </w:numPr>
        <w:rPr>
          <w:lang w:val="en-GB"/>
        </w:rPr>
      </w:pPr>
      <w:r>
        <w:rPr>
          <w:lang w:val="en-GB"/>
        </w:rPr>
        <w:t>R</w:t>
      </w:r>
      <w:r w:rsidRPr="000A7018">
        <w:rPr>
          <w:lang w:val="en-GB"/>
        </w:rPr>
        <w:t>equire</w:t>
      </w:r>
      <w:r>
        <w:rPr>
          <w:lang w:val="en-GB"/>
        </w:rPr>
        <w:t>:</w:t>
      </w:r>
    </w:p>
    <w:p w14:paraId="5CE1AFDD" w14:textId="77777777" w:rsidR="00E3287D" w:rsidRDefault="00E3287D" w:rsidP="000831A1">
      <w:pPr>
        <w:pStyle w:val="Bullet-green"/>
        <w:numPr>
          <w:ilvl w:val="1"/>
          <w:numId w:val="58"/>
        </w:numPr>
        <w:rPr>
          <w:lang w:val="en-GB"/>
        </w:rPr>
      </w:pPr>
      <w:r w:rsidRPr="000A7018">
        <w:rPr>
          <w:lang w:val="en-GB"/>
        </w:rPr>
        <w:t xml:space="preserve">mandatory GP (or delegate) participation </w:t>
      </w:r>
    </w:p>
    <w:p w14:paraId="59249144" w14:textId="77777777" w:rsidR="00E3287D" w:rsidRPr="00607BDA" w:rsidRDefault="00E3287D" w:rsidP="00607BDA">
      <w:pPr>
        <w:pStyle w:val="Bullet-green"/>
        <w:numPr>
          <w:ilvl w:val="0"/>
          <w:numId w:val="0"/>
        </w:numPr>
        <w:ind w:left="1437"/>
        <w:rPr>
          <w:i/>
          <w:lang w:val="en-GB"/>
        </w:rPr>
      </w:pPr>
      <w:r w:rsidRPr="00607BDA">
        <w:rPr>
          <w:i/>
          <w:lang w:val="en-GB"/>
        </w:rPr>
        <w:t xml:space="preserve">OR </w:t>
      </w:r>
    </w:p>
    <w:p w14:paraId="6AE5D1B1" w14:textId="77777777" w:rsidR="00E3287D" w:rsidRDefault="00E3287D" w:rsidP="000831A1">
      <w:pPr>
        <w:pStyle w:val="Bullet-green"/>
        <w:numPr>
          <w:ilvl w:val="1"/>
          <w:numId w:val="58"/>
        </w:numPr>
        <w:rPr>
          <w:lang w:val="en-GB"/>
        </w:rPr>
      </w:pPr>
      <w:r>
        <w:rPr>
          <w:lang w:val="en-GB"/>
        </w:rPr>
        <w:t xml:space="preserve">mandatory </w:t>
      </w:r>
      <w:r w:rsidRPr="000A7018">
        <w:rPr>
          <w:lang w:val="en-GB"/>
        </w:rPr>
        <w:t>review of outcomes and communication of any proposed changes to the patient and to the case conference organiser</w:t>
      </w:r>
    </w:p>
    <w:p w14:paraId="0DAA5409" w14:textId="77777777" w:rsidR="00E3287D" w:rsidRPr="00C33C0B" w:rsidRDefault="00E3287D" w:rsidP="000831A1">
      <w:pPr>
        <w:pStyle w:val="Bullet-green"/>
        <w:numPr>
          <w:ilvl w:val="0"/>
          <w:numId w:val="58"/>
        </w:numPr>
        <w:rPr>
          <w:lang w:val="en-GB"/>
        </w:rPr>
      </w:pPr>
      <w:r>
        <w:rPr>
          <w:lang w:val="en-GB"/>
        </w:rPr>
        <w:t>Require m</w:t>
      </w:r>
      <w:r w:rsidRPr="00C33C0B">
        <w:rPr>
          <w:lang w:val="en-GB"/>
        </w:rPr>
        <w:t>andatory</w:t>
      </w:r>
      <w:r w:rsidR="00FC6719">
        <w:rPr>
          <w:lang w:val="en-GB"/>
        </w:rPr>
        <w:t xml:space="preserve"> invitation of the</w:t>
      </w:r>
      <w:r w:rsidRPr="00C33C0B">
        <w:rPr>
          <w:lang w:val="en-GB"/>
        </w:rPr>
        <w:t xml:space="preserve"> patient (or delegate)</w:t>
      </w:r>
      <w:r>
        <w:rPr>
          <w:lang w:val="en-GB"/>
        </w:rPr>
        <w:t xml:space="preserve"> to participate.</w:t>
      </w:r>
      <w:r w:rsidRPr="00C33C0B">
        <w:rPr>
          <w:lang w:val="en-GB"/>
        </w:rPr>
        <w:t xml:space="preserve"> </w:t>
      </w:r>
      <w:r>
        <w:rPr>
          <w:lang w:val="en-GB"/>
        </w:rPr>
        <w:t>Their attendance should be made</w:t>
      </w:r>
      <w:r w:rsidRPr="00C33C0B">
        <w:rPr>
          <w:lang w:val="en-GB"/>
        </w:rPr>
        <w:t xml:space="preserve"> possible </w:t>
      </w:r>
      <w:r>
        <w:rPr>
          <w:lang w:val="en-GB"/>
        </w:rPr>
        <w:t>if</w:t>
      </w:r>
      <w:r w:rsidRPr="00C33C0B">
        <w:rPr>
          <w:lang w:val="en-GB"/>
        </w:rPr>
        <w:t xml:space="preserve"> </w:t>
      </w:r>
      <w:r>
        <w:rPr>
          <w:lang w:val="en-GB"/>
        </w:rPr>
        <w:t xml:space="preserve">the </w:t>
      </w:r>
      <w:r w:rsidRPr="00C33C0B">
        <w:rPr>
          <w:lang w:val="en-GB"/>
        </w:rPr>
        <w:t xml:space="preserve">patient </w:t>
      </w:r>
      <w:r>
        <w:rPr>
          <w:lang w:val="en-GB"/>
        </w:rPr>
        <w:t>chooses to do so.</w:t>
      </w:r>
    </w:p>
    <w:p w14:paraId="5A66A3ED" w14:textId="77777777" w:rsidR="00E3287D" w:rsidRDefault="00E3287D" w:rsidP="000831A1">
      <w:pPr>
        <w:pStyle w:val="Bullet-green"/>
        <w:numPr>
          <w:ilvl w:val="0"/>
          <w:numId w:val="58"/>
        </w:numPr>
        <w:rPr>
          <w:lang w:val="en-GB"/>
        </w:rPr>
      </w:pPr>
      <w:r>
        <w:rPr>
          <w:lang w:val="en-GB"/>
        </w:rPr>
        <w:t>Require o</w:t>
      </w:r>
      <w:r w:rsidRPr="00C33C0B">
        <w:rPr>
          <w:lang w:val="en-GB"/>
        </w:rPr>
        <w:t xml:space="preserve">utcomes </w:t>
      </w:r>
      <w:r>
        <w:rPr>
          <w:lang w:val="en-GB"/>
        </w:rPr>
        <w:t xml:space="preserve">to </w:t>
      </w:r>
      <w:r w:rsidRPr="00C33C0B">
        <w:rPr>
          <w:lang w:val="en-GB"/>
        </w:rPr>
        <w:t>be documented in writing, including agreed, shared decisions and informed consent</w:t>
      </w:r>
      <w:r>
        <w:rPr>
          <w:lang w:val="en-GB"/>
        </w:rPr>
        <w:t>.</w:t>
      </w:r>
      <w:r w:rsidRPr="00C33C0B">
        <w:rPr>
          <w:lang w:val="en-GB"/>
        </w:rPr>
        <w:t xml:space="preserve"> </w:t>
      </w:r>
    </w:p>
    <w:p w14:paraId="2EAB9FF4" w14:textId="77777777" w:rsidR="00E3287D" w:rsidRPr="00C33C0B" w:rsidRDefault="00E3287D" w:rsidP="000831A1">
      <w:pPr>
        <w:pStyle w:val="Bullet-green"/>
        <w:numPr>
          <w:ilvl w:val="0"/>
          <w:numId w:val="58"/>
        </w:numPr>
        <w:rPr>
          <w:lang w:val="en-GB"/>
        </w:rPr>
      </w:pPr>
      <w:r>
        <w:rPr>
          <w:lang w:val="en-GB"/>
        </w:rPr>
        <w:t>Stipulate that participants have the option</w:t>
      </w:r>
      <w:r w:rsidRPr="00C33C0B">
        <w:rPr>
          <w:lang w:val="en-GB"/>
        </w:rPr>
        <w:t xml:space="preserve"> to attend face</w:t>
      </w:r>
      <w:r>
        <w:rPr>
          <w:lang w:val="en-GB"/>
        </w:rPr>
        <w:t xml:space="preserve"> </w:t>
      </w:r>
      <w:r w:rsidRPr="00C33C0B">
        <w:rPr>
          <w:lang w:val="en-GB"/>
        </w:rPr>
        <w:t>to face, by videoconference</w:t>
      </w:r>
      <w:r>
        <w:rPr>
          <w:lang w:val="en-GB"/>
        </w:rPr>
        <w:t>,</w:t>
      </w:r>
      <w:r w:rsidRPr="00C33C0B">
        <w:rPr>
          <w:lang w:val="en-GB"/>
        </w:rPr>
        <w:t xml:space="preserve"> or over the telephone</w:t>
      </w:r>
      <w:r>
        <w:rPr>
          <w:lang w:val="en-GB"/>
        </w:rPr>
        <w:t>.</w:t>
      </w:r>
      <w:r w:rsidRPr="00C33C0B">
        <w:rPr>
          <w:lang w:val="en-GB"/>
        </w:rPr>
        <w:t xml:space="preserve"> </w:t>
      </w:r>
    </w:p>
    <w:p w14:paraId="092419DA" w14:textId="77777777" w:rsidR="00E3287D" w:rsidRPr="00C33C0B" w:rsidRDefault="00E3287D" w:rsidP="000831A1">
      <w:pPr>
        <w:pStyle w:val="Bullet-green"/>
        <w:numPr>
          <w:ilvl w:val="0"/>
          <w:numId w:val="58"/>
        </w:numPr>
        <w:rPr>
          <w:lang w:val="en-GB"/>
        </w:rPr>
      </w:pPr>
      <w:r>
        <w:rPr>
          <w:lang w:val="en-GB"/>
        </w:rPr>
        <w:t xml:space="preserve">Recommend that outcomes be uploaded to My Health </w:t>
      </w:r>
      <w:r w:rsidR="00196C0C">
        <w:rPr>
          <w:lang w:val="en-GB"/>
        </w:rPr>
        <w:t>Record by the GP (or delegate).</w:t>
      </w:r>
    </w:p>
    <w:p w14:paraId="49007B3D" w14:textId="77777777" w:rsidR="00E3287D" w:rsidRDefault="00E3287D" w:rsidP="000831A1">
      <w:pPr>
        <w:pStyle w:val="Bullet-green"/>
        <w:numPr>
          <w:ilvl w:val="0"/>
          <w:numId w:val="87"/>
        </w:numPr>
        <w:rPr>
          <w:lang w:val="en-GB"/>
        </w:rPr>
      </w:pPr>
      <w:r>
        <w:rPr>
          <w:lang w:val="en-GB"/>
        </w:rPr>
        <w:t>update</w:t>
      </w:r>
      <w:r w:rsidRPr="003C4FE3">
        <w:rPr>
          <w:lang w:val="en-GB"/>
        </w:rPr>
        <w:t xml:space="preserve"> explanatory notes</w:t>
      </w:r>
      <w:r>
        <w:rPr>
          <w:lang w:val="en-GB"/>
        </w:rPr>
        <w:t xml:space="preserve"> to:</w:t>
      </w:r>
    </w:p>
    <w:p w14:paraId="3284B218" w14:textId="77777777" w:rsidR="00E3287D" w:rsidRPr="00607BDA" w:rsidRDefault="00E3287D" w:rsidP="000831A1">
      <w:pPr>
        <w:pStyle w:val="Bullet-green"/>
        <w:numPr>
          <w:ilvl w:val="0"/>
          <w:numId w:val="90"/>
        </w:numPr>
        <w:rPr>
          <w:lang w:val="en-GB"/>
        </w:rPr>
      </w:pPr>
      <w:r>
        <w:rPr>
          <w:lang w:val="en-GB"/>
        </w:rPr>
        <w:t xml:space="preserve">include </w:t>
      </w:r>
      <w:r w:rsidRPr="003C4FE3">
        <w:rPr>
          <w:lang w:val="en-GB"/>
        </w:rPr>
        <w:t>that the GP may not always be the clinician who is the primary care provider for the patient</w:t>
      </w:r>
      <w:r>
        <w:rPr>
          <w:lang w:val="en-GB"/>
        </w:rPr>
        <w:t xml:space="preserve"> (e.g.</w:t>
      </w:r>
      <w:r w:rsidRPr="003C4FE3">
        <w:rPr>
          <w:lang w:val="en-GB"/>
        </w:rPr>
        <w:t xml:space="preserve"> complex paediatric patients are sometimes managed by a general or community</w:t>
      </w:r>
      <w:r w:rsidRPr="00607BDA">
        <w:rPr>
          <w:lang w:val="en-GB"/>
        </w:rPr>
        <w:t xml:space="preserve"> </w:t>
      </w:r>
      <w:r w:rsidRPr="007E6567">
        <w:rPr>
          <w:lang w:val="en-GB"/>
        </w:rPr>
        <w:t>paediatrician</w:t>
      </w:r>
      <w:r>
        <w:rPr>
          <w:lang w:val="en-GB"/>
        </w:rPr>
        <w:t>) and that in</w:t>
      </w:r>
      <w:r w:rsidRPr="007E6567">
        <w:rPr>
          <w:lang w:val="en-GB"/>
        </w:rPr>
        <w:t xml:space="preserve"> such cases,</w:t>
      </w:r>
      <w:r>
        <w:rPr>
          <w:lang w:val="en-GB"/>
        </w:rPr>
        <w:t xml:space="preserve"> </w:t>
      </w:r>
      <w:r w:rsidRPr="00607BDA">
        <w:rPr>
          <w:lang w:val="en-GB"/>
        </w:rPr>
        <w:t xml:space="preserve">there should be mandatory participation of the patient’s </w:t>
      </w:r>
      <w:r w:rsidRPr="007E6567">
        <w:rPr>
          <w:lang w:val="en-GB"/>
        </w:rPr>
        <w:t>primary care provider</w:t>
      </w:r>
      <w:r w:rsidR="00196C0C">
        <w:rPr>
          <w:lang w:val="en-GB"/>
        </w:rPr>
        <w:t>;</w:t>
      </w:r>
      <w:r>
        <w:rPr>
          <w:lang w:val="en-GB"/>
        </w:rPr>
        <w:t xml:space="preserve"> and</w:t>
      </w:r>
    </w:p>
    <w:p w14:paraId="27B121E1" w14:textId="77777777" w:rsidR="00E3287D" w:rsidRPr="007E6567" w:rsidRDefault="00E3287D" w:rsidP="000831A1">
      <w:pPr>
        <w:pStyle w:val="Bullet-green"/>
        <w:numPr>
          <w:ilvl w:val="0"/>
          <w:numId w:val="90"/>
        </w:numPr>
        <w:rPr>
          <w:lang w:val="en-GB"/>
        </w:rPr>
      </w:pPr>
      <w:r>
        <w:rPr>
          <w:lang w:val="en-GB"/>
        </w:rPr>
        <w:t xml:space="preserve">clarify that </w:t>
      </w:r>
      <w:r w:rsidRPr="007E6567">
        <w:rPr>
          <w:lang w:val="en-GB"/>
        </w:rPr>
        <w:t>GP participation or review of outcomes should not be a pre-requisite for the item being claimed by other participants</w:t>
      </w:r>
      <w:r w:rsidR="00196C0C">
        <w:rPr>
          <w:lang w:val="en-GB"/>
        </w:rPr>
        <w:t>.</w:t>
      </w:r>
    </w:p>
    <w:p w14:paraId="516D8270" w14:textId="77777777" w:rsidR="00E3287D" w:rsidRPr="00607BDA" w:rsidRDefault="00E3287D" w:rsidP="000831A1">
      <w:pPr>
        <w:pStyle w:val="Bullet-green"/>
        <w:numPr>
          <w:ilvl w:val="0"/>
          <w:numId w:val="87"/>
        </w:numPr>
        <w:rPr>
          <w:lang w:val="en-GB"/>
        </w:rPr>
      </w:pPr>
      <w:r>
        <w:rPr>
          <w:lang w:val="en-GB"/>
        </w:rPr>
        <w:t>i</w:t>
      </w:r>
      <w:r w:rsidRPr="00607BDA">
        <w:rPr>
          <w:lang w:val="en-GB"/>
        </w:rPr>
        <w:t>ntroduce six new treatment planning case conference items to discuss available treatment options with peer medical practitioners</w:t>
      </w:r>
      <w:r>
        <w:rPr>
          <w:lang w:val="en-GB"/>
        </w:rPr>
        <w:t>, to</w:t>
      </w:r>
      <w:r w:rsidRPr="00607BDA">
        <w:rPr>
          <w:lang w:val="en-GB"/>
        </w:rPr>
        <w:t>:</w:t>
      </w:r>
    </w:p>
    <w:p w14:paraId="7131EA63" w14:textId="77777777" w:rsidR="00E3287D" w:rsidRPr="00C33C0B" w:rsidRDefault="00E3287D" w:rsidP="000831A1">
      <w:pPr>
        <w:pStyle w:val="BulletStyle3"/>
        <w:numPr>
          <w:ilvl w:val="0"/>
          <w:numId w:val="91"/>
        </w:numPr>
        <w:rPr>
          <w:lang w:val="en-GB"/>
        </w:rPr>
      </w:pPr>
      <w:r>
        <w:rPr>
          <w:lang w:val="en-GB"/>
        </w:rPr>
        <w:t>Require</w:t>
      </w:r>
      <w:r w:rsidRPr="00C33C0B">
        <w:rPr>
          <w:lang w:val="en-GB"/>
        </w:rPr>
        <w:t xml:space="preserve"> the </w:t>
      </w:r>
      <w:r>
        <w:rPr>
          <w:lang w:val="en-GB"/>
        </w:rPr>
        <w:t>organiser</w:t>
      </w:r>
      <w:r w:rsidRPr="00C33C0B">
        <w:rPr>
          <w:lang w:val="en-GB"/>
        </w:rPr>
        <w:t xml:space="preserve"> to send pre-briefing material to participants prior to the conference, and </w:t>
      </w:r>
      <w:r>
        <w:rPr>
          <w:lang w:val="en-GB"/>
        </w:rPr>
        <w:t>to prepare</w:t>
      </w:r>
      <w:r w:rsidRPr="00C33C0B">
        <w:rPr>
          <w:lang w:val="en-GB"/>
        </w:rPr>
        <w:t xml:space="preserve"> a written document for the conference that outlines treatment options</w:t>
      </w:r>
      <w:r>
        <w:rPr>
          <w:lang w:val="en-GB"/>
        </w:rPr>
        <w:t>.</w:t>
      </w:r>
    </w:p>
    <w:p w14:paraId="22F9C0CB" w14:textId="77777777" w:rsidR="00E3287D" w:rsidRPr="00C33C0B" w:rsidRDefault="00E3287D" w:rsidP="000831A1">
      <w:pPr>
        <w:pStyle w:val="BulletStyle3"/>
        <w:numPr>
          <w:ilvl w:val="0"/>
          <w:numId w:val="91"/>
        </w:numPr>
        <w:rPr>
          <w:lang w:val="en-GB"/>
        </w:rPr>
      </w:pPr>
      <w:r w:rsidRPr="00C33C0B">
        <w:rPr>
          <w:lang w:val="en-GB"/>
        </w:rPr>
        <w:t>Encourage GP participation (either face</w:t>
      </w:r>
      <w:r>
        <w:rPr>
          <w:lang w:val="en-GB"/>
        </w:rPr>
        <w:t xml:space="preserve"> </w:t>
      </w:r>
      <w:r w:rsidRPr="00C33C0B">
        <w:rPr>
          <w:lang w:val="en-GB"/>
        </w:rPr>
        <w:t>to</w:t>
      </w:r>
      <w:r>
        <w:rPr>
          <w:lang w:val="en-GB"/>
        </w:rPr>
        <w:t xml:space="preserve"> </w:t>
      </w:r>
      <w:r w:rsidRPr="00C33C0B">
        <w:rPr>
          <w:lang w:val="en-GB"/>
        </w:rPr>
        <w:t>face, over the phone or by videoconference)</w:t>
      </w:r>
      <w:r>
        <w:rPr>
          <w:lang w:val="en-GB"/>
        </w:rPr>
        <w:t>.</w:t>
      </w:r>
    </w:p>
    <w:p w14:paraId="6265E3B7" w14:textId="77777777" w:rsidR="00E3287D" w:rsidRPr="00A93435" w:rsidRDefault="00E3287D" w:rsidP="000831A1">
      <w:pPr>
        <w:pStyle w:val="BulletStyle3"/>
        <w:numPr>
          <w:ilvl w:val="0"/>
          <w:numId w:val="91"/>
        </w:numPr>
        <w:rPr>
          <w:lang w:val="en-GB"/>
        </w:rPr>
      </w:pPr>
      <w:r w:rsidRPr="00C33C0B">
        <w:rPr>
          <w:lang w:val="en-GB"/>
        </w:rPr>
        <w:t>Stipulate that</w:t>
      </w:r>
      <w:r>
        <w:rPr>
          <w:lang w:val="en-GB"/>
        </w:rPr>
        <w:t xml:space="preserve"> while</w:t>
      </w:r>
      <w:r w:rsidRPr="00C33C0B">
        <w:rPr>
          <w:lang w:val="en-GB"/>
        </w:rPr>
        <w:t xml:space="preserve"> final treatment decisions </w:t>
      </w:r>
      <w:r>
        <w:rPr>
          <w:lang w:val="en-GB"/>
        </w:rPr>
        <w:t xml:space="preserve">must be </w:t>
      </w:r>
      <w:r w:rsidRPr="00C33C0B">
        <w:rPr>
          <w:lang w:val="en-GB"/>
        </w:rPr>
        <w:t>made together with the patient (unless there are exceptional circumstances)</w:t>
      </w:r>
      <w:r>
        <w:rPr>
          <w:lang w:val="en-GB"/>
        </w:rPr>
        <w:t>,</w:t>
      </w:r>
      <w:r w:rsidRPr="00C33C0B">
        <w:rPr>
          <w:lang w:val="en-GB"/>
        </w:rPr>
        <w:t xml:space="preserve"> patient participation</w:t>
      </w:r>
      <w:r>
        <w:rPr>
          <w:lang w:val="en-GB"/>
        </w:rPr>
        <w:t xml:space="preserve"> in initial treatment option discussion</w:t>
      </w:r>
      <w:r w:rsidRPr="00C33C0B">
        <w:rPr>
          <w:lang w:val="en-GB"/>
        </w:rPr>
        <w:t xml:space="preserve"> </w:t>
      </w:r>
      <w:r>
        <w:rPr>
          <w:lang w:val="en-GB"/>
        </w:rPr>
        <w:t xml:space="preserve">is not </w:t>
      </w:r>
      <w:r w:rsidRPr="00C33C0B">
        <w:rPr>
          <w:lang w:val="en-GB"/>
        </w:rPr>
        <w:t>mandatory</w:t>
      </w:r>
      <w:r>
        <w:rPr>
          <w:lang w:val="en-GB"/>
        </w:rPr>
        <w:t>.</w:t>
      </w:r>
    </w:p>
    <w:p w14:paraId="79DDD79E" w14:textId="77777777" w:rsidR="00E3287D" w:rsidRPr="00B806E3" w:rsidRDefault="00E3287D" w:rsidP="000831A1">
      <w:pPr>
        <w:pStyle w:val="BulletStyle3"/>
        <w:numPr>
          <w:ilvl w:val="0"/>
          <w:numId w:val="91"/>
        </w:numPr>
        <w:rPr>
          <w:lang w:val="en-GB"/>
        </w:rPr>
      </w:pPr>
      <w:r>
        <w:t>Recommend that outcomes be uploaded to My Health Records, with the responsibility for uploading resting with the case conference organiser (</w:t>
      </w:r>
      <w:r w:rsidRPr="00607BDA">
        <w:rPr>
          <w:i/>
        </w:rPr>
        <w:t>refer to Recommendation 13</w:t>
      </w:r>
      <w:r>
        <w:t>).</w:t>
      </w:r>
    </w:p>
    <w:p w14:paraId="4EA5B711" w14:textId="77777777" w:rsidR="00E3287D" w:rsidRPr="00607BDA" w:rsidRDefault="00E3287D" w:rsidP="000831A1">
      <w:pPr>
        <w:pStyle w:val="Bullet-green"/>
        <w:numPr>
          <w:ilvl w:val="0"/>
          <w:numId w:val="87"/>
        </w:numPr>
        <w:rPr>
          <w:lang w:val="en-GB"/>
        </w:rPr>
      </w:pPr>
      <w:r>
        <w:rPr>
          <w:lang w:val="en-GB"/>
        </w:rPr>
        <w:t>m</w:t>
      </w:r>
      <w:r w:rsidRPr="00607BDA">
        <w:rPr>
          <w:lang w:val="en-GB"/>
        </w:rPr>
        <w:t>aintain the current distinction between organiser/coordinator and participant roles</w:t>
      </w:r>
      <w:r w:rsidR="00196C0C">
        <w:rPr>
          <w:lang w:val="en-GB"/>
        </w:rPr>
        <w:t>;</w:t>
      </w:r>
    </w:p>
    <w:p w14:paraId="466CEBF4" w14:textId="77777777" w:rsidR="00E3287D" w:rsidRPr="00607BDA" w:rsidRDefault="00E3287D" w:rsidP="000831A1">
      <w:pPr>
        <w:pStyle w:val="Bullet-green"/>
        <w:numPr>
          <w:ilvl w:val="0"/>
          <w:numId w:val="87"/>
        </w:numPr>
        <w:rPr>
          <w:lang w:val="en-GB"/>
        </w:rPr>
      </w:pPr>
      <w:r>
        <w:rPr>
          <w:lang w:val="en-GB"/>
        </w:rPr>
        <w:t>i</w:t>
      </w:r>
      <w:r w:rsidRPr="00047796">
        <w:rPr>
          <w:lang w:val="en-GB"/>
        </w:rPr>
        <w:t>ntroduce a new time tier for less than 15 minutes for each of the three categories</w:t>
      </w:r>
      <w:r w:rsidR="00196C0C">
        <w:rPr>
          <w:lang w:val="en-GB"/>
        </w:rPr>
        <w:t>;</w:t>
      </w:r>
      <w:r>
        <w:rPr>
          <w:lang w:val="en-GB"/>
        </w:rPr>
        <w:t xml:space="preserve"> and</w:t>
      </w:r>
    </w:p>
    <w:p w14:paraId="5BA4D53E" w14:textId="77777777" w:rsidR="00E3287D" w:rsidRPr="00607BDA" w:rsidRDefault="00E3287D" w:rsidP="000831A1">
      <w:pPr>
        <w:pStyle w:val="Bullet-green"/>
        <w:numPr>
          <w:ilvl w:val="0"/>
          <w:numId w:val="87"/>
        </w:numPr>
        <w:rPr>
          <w:lang w:val="en-GB"/>
        </w:rPr>
      </w:pPr>
      <w:r>
        <w:rPr>
          <w:lang w:val="en-GB"/>
        </w:rPr>
        <w:t>stipulate a minimum of 3 attendees of different disciplines at each case conference, which c</w:t>
      </w:r>
      <w:r>
        <w:rPr>
          <w:lang w:val="en-US"/>
        </w:rPr>
        <w:t>an include consultant specialists, GPs, AHPs, and nurse practitioners (</w:t>
      </w:r>
      <w:r w:rsidRPr="00607BDA">
        <w:rPr>
          <w:i/>
          <w:lang w:val="en-US"/>
        </w:rPr>
        <w:t>refer to Recommendation 8</w:t>
      </w:r>
      <w:r>
        <w:rPr>
          <w:lang w:val="en-US"/>
        </w:rPr>
        <w:t>) but should not include patients or carers.</w:t>
      </w:r>
    </w:p>
    <w:p w14:paraId="5D95910D" w14:textId="77777777" w:rsidR="00B32B5F" w:rsidRDefault="00E3287D" w:rsidP="00E3287D">
      <w:pPr>
        <w:rPr>
          <w:lang w:val="en-US"/>
        </w:rPr>
      </w:pPr>
      <w:r>
        <w:rPr>
          <w:lang w:val="en-US"/>
        </w:rPr>
        <w:t xml:space="preserve">To assist in interpreting this recommendation the Committee has provided new item descriptors in Table </w:t>
      </w:r>
      <w:r w:rsidR="002355E9">
        <w:rPr>
          <w:lang w:val="en-US"/>
        </w:rPr>
        <w:t>B.4</w:t>
      </w:r>
      <w:r>
        <w:rPr>
          <w:lang w:val="en-US"/>
        </w:rPr>
        <w:t>.</w:t>
      </w:r>
    </w:p>
    <w:p w14:paraId="4DEA7E48" w14:textId="77777777" w:rsidR="00E3287D" w:rsidRPr="00651006" w:rsidRDefault="002355E9" w:rsidP="00651006">
      <w:pPr>
        <w:rPr>
          <w:b/>
        </w:rPr>
      </w:pPr>
      <w:r>
        <w:rPr>
          <w:b/>
        </w:rPr>
        <w:t xml:space="preserve">Table </w:t>
      </w:r>
      <w:r w:rsidR="00C17B92">
        <w:rPr>
          <w:b/>
        </w:rPr>
        <w:t>B</w:t>
      </w:r>
      <w:r>
        <w:rPr>
          <w:b/>
        </w:rPr>
        <w:t>.</w:t>
      </w:r>
      <w:r w:rsidR="00C17B92">
        <w:rPr>
          <w:b/>
        </w:rPr>
        <w:t>4</w:t>
      </w:r>
      <w:r w:rsidR="004F0673">
        <w:rPr>
          <w:b/>
        </w:rPr>
        <w:t>:</w:t>
      </w:r>
      <w:r w:rsidR="00E3287D" w:rsidRPr="00651006">
        <w:rPr>
          <w:b/>
        </w:rPr>
        <w:t xml:space="preserve"> </w:t>
      </w:r>
      <w:r w:rsidR="00E3287D" w:rsidRPr="00651006">
        <w:rPr>
          <w:b/>
          <w:lang w:val="en-GB"/>
        </w:rPr>
        <w:t>Case conference item descriptors</w:t>
      </w:r>
    </w:p>
    <w:tbl>
      <w:tblPr>
        <w:tblStyle w:val="TableGrid"/>
        <w:tblW w:w="5034"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B - Table B.4: Case conference item descriptors"/>
        <w:tblDescription w:val="Table B.4 has 4 columns. Column 1 is the item. Column 3 is the duration of the item. Column 3 is the role of the item. Column 4 is the new item descriptor. "/>
      </w:tblPr>
      <w:tblGrid>
        <w:gridCol w:w="590"/>
        <w:gridCol w:w="1808"/>
        <w:gridCol w:w="1036"/>
        <w:gridCol w:w="4924"/>
      </w:tblGrid>
      <w:tr w:rsidR="00E3287D" w:rsidRPr="00C33C0B" w14:paraId="31BEB66D" w14:textId="77777777" w:rsidTr="00C65B0C">
        <w:trPr>
          <w:tblHeader/>
        </w:trPr>
        <w:tc>
          <w:tcPr>
            <w:tcW w:w="590" w:type="dxa"/>
            <w:shd w:val="clear" w:color="auto" w:fill="01653F"/>
            <w:vAlign w:val="bottom"/>
          </w:tcPr>
          <w:p w14:paraId="37FB72D6" w14:textId="77777777" w:rsidR="00E3287D" w:rsidRPr="00C33C0B" w:rsidRDefault="00E3287D" w:rsidP="00C65B0C">
            <w:pPr>
              <w:spacing w:before="20" w:after="20" w:line="240" w:lineRule="auto"/>
              <w:rPr>
                <w:b/>
                <w:bCs/>
                <w:color w:val="FFFFFF" w:themeColor="background1"/>
                <w:szCs w:val="22"/>
                <w:lang w:val="en-GB"/>
              </w:rPr>
            </w:pPr>
            <w:r w:rsidRPr="00C33C0B">
              <w:rPr>
                <w:b/>
                <w:bCs/>
                <w:color w:val="FFFFFF" w:themeColor="background1"/>
                <w:szCs w:val="22"/>
                <w:lang w:val="en-GB"/>
              </w:rPr>
              <w:t>Item</w:t>
            </w:r>
          </w:p>
        </w:tc>
        <w:tc>
          <w:tcPr>
            <w:tcW w:w="1825" w:type="dxa"/>
            <w:shd w:val="clear" w:color="auto" w:fill="01653F"/>
          </w:tcPr>
          <w:p w14:paraId="44715E0C" w14:textId="77777777" w:rsidR="00E3287D" w:rsidRPr="00C33C0B" w:rsidRDefault="00E3287D" w:rsidP="00C65B0C">
            <w:pPr>
              <w:spacing w:before="20" w:after="20" w:line="240" w:lineRule="auto"/>
              <w:rPr>
                <w:b/>
                <w:bCs/>
                <w:color w:val="FFFFFF" w:themeColor="background1"/>
                <w:szCs w:val="22"/>
                <w:lang w:val="en-GB"/>
              </w:rPr>
            </w:pPr>
            <w:r w:rsidRPr="00C33C0B">
              <w:rPr>
                <w:b/>
                <w:bCs/>
                <w:color w:val="FFFFFF" w:themeColor="background1"/>
                <w:szCs w:val="22"/>
                <w:lang w:val="en-GB"/>
              </w:rPr>
              <w:t>Duration</w:t>
            </w:r>
          </w:p>
        </w:tc>
        <w:tc>
          <w:tcPr>
            <w:tcW w:w="1036" w:type="dxa"/>
            <w:shd w:val="clear" w:color="auto" w:fill="01653F"/>
            <w:vAlign w:val="bottom"/>
          </w:tcPr>
          <w:p w14:paraId="4C31D830" w14:textId="77777777" w:rsidR="00E3287D" w:rsidRPr="00C33C0B" w:rsidRDefault="00E3287D" w:rsidP="00C65B0C">
            <w:pPr>
              <w:spacing w:before="20" w:after="20" w:line="240" w:lineRule="auto"/>
              <w:rPr>
                <w:b/>
                <w:bCs/>
                <w:color w:val="FFFFFF" w:themeColor="background1"/>
                <w:szCs w:val="22"/>
                <w:lang w:val="en-GB"/>
              </w:rPr>
            </w:pPr>
            <w:r w:rsidRPr="00C33C0B">
              <w:rPr>
                <w:b/>
                <w:bCs/>
                <w:color w:val="FFFFFF" w:themeColor="background1"/>
                <w:szCs w:val="22"/>
                <w:lang w:val="en-GB"/>
              </w:rPr>
              <w:t>Role</w:t>
            </w:r>
          </w:p>
        </w:tc>
        <w:tc>
          <w:tcPr>
            <w:tcW w:w="4974" w:type="dxa"/>
            <w:shd w:val="clear" w:color="auto" w:fill="01653F"/>
            <w:vAlign w:val="bottom"/>
          </w:tcPr>
          <w:p w14:paraId="2F3F7D82" w14:textId="77777777" w:rsidR="00E3287D" w:rsidRPr="00C33C0B" w:rsidRDefault="00E3287D" w:rsidP="00C65B0C">
            <w:pPr>
              <w:spacing w:before="20" w:after="20" w:line="240" w:lineRule="auto"/>
              <w:rPr>
                <w:b/>
                <w:bCs/>
                <w:color w:val="FFFFFF" w:themeColor="background1"/>
                <w:szCs w:val="22"/>
                <w:lang w:val="en-GB"/>
              </w:rPr>
            </w:pPr>
            <w:r w:rsidRPr="00C33C0B">
              <w:rPr>
                <w:b/>
                <w:bCs/>
                <w:color w:val="FFFFFF" w:themeColor="background1"/>
                <w:szCs w:val="22"/>
                <w:lang w:val="en-GB"/>
              </w:rPr>
              <w:t>New item descriptor</w:t>
            </w:r>
          </w:p>
        </w:tc>
      </w:tr>
      <w:tr w:rsidR="00E3287D" w:rsidRPr="00C33C0B" w14:paraId="64539401" w14:textId="77777777" w:rsidTr="00C65B0C">
        <w:tc>
          <w:tcPr>
            <w:tcW w:w="590" w:type="dxa"/>
            <w:shd w:val="clear" w:color="auto" w:fill="auto"/>
          </w:tcPr>
          <w:p w14:paraId="7C693109" w14:textId="77777777" w:rsidR="00E3287D" w:rsidRPr="000F6B85" w:rsidRDefault="00E3287D" w:rsidP="00C65B0C">
            <w:pPr>
              <w:spacing w:before="20" w:after="20" w:line="240" w:lineRule="auto"/>
              <w:rPr>
                <w:b/>
                <w:szCs w:val="22"/>
                <w:lang w:val="en-GB"/>
              </w:rPr>
            </w:pPr>
            <w:r>
              <w:rPr>
                <w:szCs w:val="22"/>
                <w:lang w:val="en-GB"/>
              </w:rPr>
              <w:t>82X</w:t>
            </w:r>
            <w:r>
              <w:rPr>
                <w:b/>
                <w:szCs w:val="22"/>
                <w:lang w:val="en-GB"/>
              </w:rPr>
              <w:t xml:space="preserve"> (new)</w:t>
            </w:r>
          </w:p>
        </w:tc>
        <w:tc>
          <w:tcPr>
            <w:tcW w:w="1825" w:type="dxa"/>
          </w:tcPr>
          <w:p w14:paraId="6A8B245F" w14:textId="77777777" w:rsidR="00E3287D" w:rsidRPr="00C33C0B" w:rsidRDefault="00E3287D" w:rsidP="00C65B0C">
            <w:pPr>
              <w:spacing w:before="20" w:after="20" w:line="240" w:lineRule="auto"/>
              <w:rPr>
                <w:szCs w:val="22"/>
                <w:lang w:val="en-GB"/>
              </w:rPr>
            </w:pPr>
            <w:r>
              <w:rPr>
                <w:szCs w:val="22"/>
                <w:lang w:val="en-GB"/>
              </w:rPr>
              <w:t>&lt;15 minutes</w:t>
            </w:r>
          </w:p>
        </w:tc>
        <w:tc>
          <w:tcPr>
            <w:tcW w:w="1036" w:type="dxa"/>
            <w:vMerge w:val="restart"/>
            <w:shd w:val="clear" w:color="auto" w:fill="auto"/>
          </w:tcPr>
          <w:p w14:paraId="76FF4552" w14:textId="77777777" w:rsidR="00E3287D" w:rsidRPr="00C33C0B" w:rsidRDefault="00E3287D" w:rsidP="00C65B0C">
            <w:pPr>
              <w:spacing w:before="20" w:after="20" w:line="240" w:lineRule="auto"/>
              <w:rPr>
                <w:szCs w:val="22"/>
                <w:lang w:val="en-GB"/>
              </w:rPr>
            </w:pPr>
            <w:r w:rsidRPr="00C33C0B">
              <w:rPr>
                <w:szCs w:val="22"/>
                <w:lang w:val="en-GB"/>
              </w:rPr>
              <w:t>Organise and coordinate</w:t>
            </w:r>
          </w:p>
          <w:p w14:paraId="3A1361CF" w14:textId="77777777" w:rsidR="00E3287D" w:rsidRPr="00C33C0B" w:rsidRDefault="00E3287D" w:rsidP="00C65B0C">
            <w:pPr>
              <w:spacing w:before="20" w:after="20" w:line="240" w:lineRule="auto"/>
              <w:rPr>
                <w:szCs w:val="22"/>
                <w:lang w:val="en-GB"/>
              </w:rPr>
            </w:pPr>
          </w:p>
        </w:tc>
        <w:tc>
          <w:tcPr>
            <w:tcW w:w="4974" w:type="dxa"/>
            <w:vMerge w:val="restart"/>
            <w:shd w:val="clear" w:color="auto" w:fill="auto"/>
          </w:tcPr>
          <w:p w14:paraId="149C2854" w14:textId="77777777" w:rsidR="00E3287D" w:rsidRPr="00C33C0B" w:rsidRDefault="00E3287D" w:rsidP="00C65B0C">
            <w:pPr>
              <w:spacing w:before="20" w:after="20" w:line="240" w:lineRule="auto"/>
              <w:rPr>
                <w:szCs w:val="22"/>
                <w:lang w:val="en-GB"/>
              </w:rPr>
            </w:pPr>
            <w:r w:rsidRPr="00C33C0B">
              <w:rPr>
                <w:szCs w:val="22"/>
                <w:lang w:val="en-GB"/>
              </w:rPr>
              <w:t xml:space="preserve">Attendance by a </w:t>
            </w:r>
            <w:r>
              <w:rPr>
                <w:szCs w:val="22"/>
                <w:lang w:val="en-GB"/>
              </w:rPr>
              <w:t>consultant specialist</w:t>
            </w:r>
            <w:r w:rsidRPr="00C33C0B">
              <w:rPr>
                <w:szCs w:val="22"/>
                <w:lang w:val="en-GB"/>
              </w:rPr>
              <w:t xml:space="preserve"> in the practice of his or her specialty to </w:t>
            </w:r>
            <w:r>
              <w:rPr>
                <w:szCs w:val="22"/>
                <w:lang w:val="en-GB"/>
              </w:rPr>
              <w:t>[insert role]</w:t>
            </w:r>
            <w:r w:rsidRPr="00C33C0B">
              <w:rPr>
                <w:szCs w:val="22"/>
                <w:lang w:val="en-GB"/>
              </w:rPr>
              <w:t xml:space="preserve"> a</w:t>
            </w:r>
            <w:r w:rsidRPr="00C33C0B">
              <w:rPr>
                <w:b/>
                <w:szCs w:val="22"/>
                <w:lang w:val="en-GB"/>
              </w:rPr>
              <w:t xml:space="preserve"> community case conference</w:t>
            </w:r>
            <w:r w:rsidRPr="00C33C0B">
              <w:rPr>
                <w:szCs w:val="22"/>
                <w:lang w:val="en-GB"/>
              </w:rPr>
              <w:t xml:space="preserve"> of at least [X] minutes but less than [X] minutes, requiring:</w:t>
            </w:r>
          </w:p>
          <w:p w14:paraId="45C3E818" w14:textId="77777777" w:rsidR="00E3287D" w:rsidRDefault="00E3287D" w:rsidP="000831A1">
            <w:pPr>
              <w:pStyle w:val="ListParagraph"/>
              <w:numPr>
                <w:ilvl w:val="0"/>
                <w:numId w:val="22"/>
              </w:numPr>
              <w:spacing w:before="20" w:after="20" w:line="240" w:lineRule="auto"/>
              <w:rPr>
                <w:szCs w:val="22"/>
                <w:lang w:val="en-GB"/>
              </w:rPr>
            </w:pPr>
            <w:r w:rsidRPr="00C33C0B">
              <w:rPr>
                <w:szCs w:val="22"/>
                <w:lang w:val="en-GB"/>
              </w:rPr>
              <w:t>Specialist input to the management of a complex patient in the community; and</w:t>
            </w:r>
          </w:p>
          <w:p w14:paraId="07ABC8CC" w14:textId="77777777" w:rsidR="00E3287D" w:rsidRDefault="00E3287D" w:rsidP="000831A1">
            <w:pPr>
              <w:pStyle w:val="ListParagraph"/>
              <w:numPr>
                <w:ilvl w:val="0"/>
                <w:numId w:val="22"/>
              </w:numPr>
              <w:spacing w:before="20" w:after="20" w:line="240" w:lineRule="auto"/>
              <w:rPr>
                <w:szCs w:val="22"/>
                <w:lang w:val="en-GB"/>
              </w:rPr>
            </w:pPr>
            <w:r w:rsidRPr="00B25708">
              <w:rPr>
                <w:szCs w:val="22"/>
                <w:lang w:val="en-GB"/>
              </w:rPr>
              <w:t xml:space="preserve">Mandatory GP (or delegate) </w:t>
            </w:r>
            <w:r>
              <w:rPr>
                <w:szCs w:val="22"/>
                <w:lang w:val="en-GB"/>
              </w:rPr>
              <w:t>invitation and</w:t>
            </w:r>
          </w:p>
          <w:p w14:paraId="6442F90C" w14:textId="77777777" w:rsidR="00E3287D" w:rsidRPr="00B25708" w:rsidRDefault="00E3287D" w:rsidP="00C65B0C">
            <w:pPr>
              <w:pStyle w:val="ListParagraph"/>
              <w:spacing w:before="20" w:after="20" w:line="240" w:lineRule="auto"/>
              <w:ind w:left="773"/>
              <w:rPr>
                <w:szCs w:val="22"/>
                <w:lang w:val="en-GB"/>
              </w:rPr>
            </w:pPr>
            <w:r>
              <w:rPr>
                <w:szCs w:val="22"/>
                <w:lang w:val="en-GB"/>
              </w:rPr>
              <w:t>i) participation, or ii)</w:t>
            </w:r>
            <w:r w:rsidRPr="00B25708">
              <w:rPr>
                <w:szCs w:val="22"/>
                <w:lang w:val="en-GB"/>
              </w:rPr>
              <w:t xml:space="preserve"> review of outcomes and</w:t>
            </w:r>
            <w:r>
              <w:rPr>
                <w:szCs w:val="22"/>
                <w:lang w:val="en-GB"/>
              </w:rPr>
              <w:t xml:space="preserve"> </w:t>
            </w:r>
            <w:r w:rsidRPr="00B25708">
              <w:rPr>
                <w:szCs w:val="22"/>
                <w:lang w:val="en-GB"/>
              </w:rPr>
              <w:t>communication of any proposed changes to the patient and to the case conference organiser; and</w:t>
            </w:r>
          </w:p>
          <w:p w14:paraId="78593160" w14:textId="77777777" w:rsidR="00E3287D" w:rsidRPr="00C33C0B" w:rsidRDefault="00E3287D" w:rsidP="000831A1">
            <w:pPr>
              <w:pStyle w:val="ListParagraph"/>
              <w:numPr>
                <w:ilvl w:val="0"/>
                <w:numId w:val="22"/>
              </w:numPr>
              <w:spacing w:before="20" w:after="20" w:line="240" w:lineRule="auto"/>
              <w:rPr>
                <w:szCs w:val="22"/>
                <w:lang w:val="en-GB"/>
              </w:rPr>
            </w:pPr>
            <w:r w:rsidRPr="00C33C0B">
              <w:rPr>
                <w:szCs w:val="22"/>
                <w:lang w:val="en-GB"/>
              </w:rPr>
              <w:t xml:space="preserve">Mandatory patient (or delegate) </w:t>
            </w:r>
            <w:r>
              <w:rPr>
                <w:szCs w:val="22"/>
                <w:lang w:val="en-GB"/>
              </w:rPr>
              <w:t xml:space="preserve">invitation </w:t>
            </w:r>
            <w:r w:rsidRPr="00C33C0B">
              <w:rPr>
                <w:szCs w:val="22"/>
                <w:lang w:val="en-GB"/>
              </w:rPr>
              <w:t>and to make it possible for them to attend; and</w:t>
            </w:r>
          </w:p>
          <w:p w14:paraId="10C81EEC" w14:textId="77777777" w:rsidR="00E3287D" w:rsidRPr="00C33C0B" w:rsidRDefault="00E3287D" w:rsidP="000831A1">
            <w:pPr>
              <w:pStyle w:val="ListParagraph"/>
              <w:numPr>
                <w:ilvl w:val="0"/>
                <w:numId w:val="22"/>
              </w:numPr>
              <w:spacing w:before="20" w:after="20" w:line="240" w:lineRule="auto"/>
              <w:rPr>
                <w:szCs w:val="22"/>
                <w:lang w:val="en-GB"/>
              </w:rPr>
            </w:pPr>
            <w:r w:rsidRPr="00C33C0B">
              <w:rPr>
                <w:szCs w:val="22"/>
                <w:lang w:val="en-GB"/>
              </w:rPr>
              <w:t>A</w:t>
            </w:r>
            <w:r>
              <w:rPr>
                <w:szCs w:val="22"/>
                <w:lang w:val="en-GB"/>
              </w:rPr>
              <w:t>t least 2</w:t>
            </w:r>
            <w:r w:rsidRPr="00C33C0B">
              <w:rPr>
                <w:szCs w:val="22"/>
                <w:lang w:val="en-GB"/>
              </w:rPr>
              <w:t xml:space="preserve"> other formal care providers of different disciplines to be present; and</w:t>
            </w:r>
          </w:p>
          <w:p w14:paraId="6856FEB3" w14:textId="77777777" w:rsidR="00E3287D" w:rsidRDefault="00E3287D" w:rsidP="000831A1">
            <w:pPr>
              <w:pStyle w:val="ListParagraph"/>
              <w:numPr>
                <w:ilvl w:val="0"/>
                <w:numId w:val="22"/>
              </w:numPr>
              <w:spacing w:before="20" w:after="20" w:line="240" w:lineRule="auto"/>
              <w:rPr>
                <w:szCs w:val="22"/>
                <w:lang w:val="en-GB"/>
              </w:rPr>
            </w:pPr>
            <w:r w:rsidRPr="00C33C0B">
              <w:rPr>
                <w:szCs w:val="22"/>
                <w:lang w:val="en-GB"/>
              </w:rPr>
              <w:t>Outcomes to be documented in writing, including shared decisions made and informed consent sought</w:t>
            </w:r>
            <w:r>
              <w:rPr>
                <w:szCs w:val="22"/>
                <w:lang w:val="en-GB"/>
              </w:rPr>
              <w:t>; and</w:t>
            </w:r>
          </w:p>
          <w:p w14:paraId="6C76175B" w14:textId="77777777" w:rsidR="00E3287D" w:rsidRPr="00C33C0B" w:rsidRDefault="00E3287D" w:rsidP="000831A1">
            <w:pPr>
              <w:pStyle w:val="ListParagraph"/>
              <w:numPr>
                <w:ilvl w:val="0"/>
                <w:numId w:val="22"/>
              </w:numPr>
              <w:spacing w:before="20" w:after="20" w:line="240" w:lineRule="auto"/>
              <w:rPr>
                <w:szCs w:val="22"/>
                <w:lang w:val="en-GB"/>
              </w:rPr>
            </w:pPr>
            <w:r w:rsidRPr="00C474A8">
              <w:rPr>
                <w:szCs w:val="22"/>
                <w:lang w:val="en-GB"/>
              </w:rPr>
              <w:t>A copy of the case conference outcomes to be uploaded to My Health Record, unless patient consent is withdrawn, a</w:t>
            </w:r>
            <w:r>
              <w:rPr>
                <w:szCs w:val="22"/>
                <w:lang w:val="en-GB"/>
              </w:rPr>
              <w:t>nd where reasonably achievable.</w:t>
            </w:r>
          </w:p>
          <w:p w14:paraId="096AE158" w14:textId="77777777" w:rsidR="00E3287D" w:rsidRPr="00C33C0B" w:rsidRDefault="00E3287D" w:rsidP="00C65B0C">
            <w:pPr>
              <w:spacing w:before="20" w:after="20" w:line="240" w:lineRule="auto"/>
              <w:rPr>
                <w:szCs w:val="22"/>
                <w:lang w:val="en-GB"/>
              </w:rPr>
            </w:pPr>
            <w:r w:rsidRPr="00C33C0B">
              <w:rPr>
                <w:szCs w:val="22"/>
                <w:lang w:val="en-GB"/>
              </w:rPr>
              <w:t>All participants must be in communication with each other throughout the conference, either face-to-face, by telephone or by videoconference, or a combination of these</w:t>
            </w:r>
          </w:p>
        </w:tc>
      </w:tr>
      <w:tr w:rsidR="00E3287D" w:rsidRPr="00C33C0B" w14:paraId="516C09F1" w14:textId="77777777" w:rsidTr="00C65B0C">
        <w:tc>
          <w:tcPr>
            <w:tcW w:w="590" w:type="dxa"/>
            <w:shd w:val="clear" w:color="auto" w:fill="auto"/>
          </w:tcPr>
          <w:p w14:paraId="7561DC8D" w14:textId="77777777" w:rsidR="00E3287D" w:rsidRPr="00C33C0B" w:rsidRDefault="00E3287D" w:rsidP="00C65B0C">
            <w:pPr>
              <w:spacing w:before="20" w:after="20" w:line="240" w:lineRule="auto"/>
              <w:rPr>
                <w:szCs w:val="22"/>
                <w:lang w:val="en-GB"/>
              </w:rPr>
            </w:pPr>
            <w:r w:rsidRPr="00C33C0B">
              <w:rPr>
                <w:szCs w:val="22"/>
                <w:lang w:val="en-GB"/>
              </w:rPr>
              <w:t>820</w:t>
            </w:r>
          </w:p>
        </w:tc>
        <w:tc>
          <w:tcPr>
            <w:tcW w:w="1825" w:type="dxa"/>
          </w:tcPr>
          <w:p w14:paraId="46570688" w14:textId="77777777" w:rsidR="00E3287D" w:rsidRPr="00C33C0B" w:rsidRDefault="00E3287D" w:rsidP="00C65B0C">
            <w:pPr>
              <w:spacing w:before="20" w:after="20" w:line="240" w:lineRule="auto"/>
              <w:rPr>
                <w:szCs w:val="22"/>
                <w:lang w:val="en-GB"/>
              </w:rPr>
            </w:pPr>
            <w:r w:rsidRPr="00C33C0B">
              <w:rPr>
                <w:szCs w:val="22"/>
                <w:lang w:val="en-GB"/>
              </w:rPr>
              <w:t>15</w:t>
            </w:r>
            <w:r>
              <w:rPr>
                <w:szCs w:val="22"/>
                <w:lang w:val="en-GB"/>
              </w:rPr>
              <w:t>–</w:t>
            </w:r>
            <w:r w:rsidRPr="00C33C0B">
              <w:rPr>
                <w:szCs w:val="22"/>
                <w:lang w:val="en-GB"/>
              </w:rPr>
              <w:t>30</w:t>
            </w:r>
            <w:r>
              <w:rPr>
                <w:szCs w:val="22"/>
                <w:lang w:val="en-GB"/>
              </w:rPr>
              <w:t xml:space="preserve"> </w:t>
            </w:r>
            <w:r w:rsidRPr="00C33C0B">
              <w:rPr>
                <w:szCs w:val="22"/>
                <w:lang w:val="en-GB"/>
              </w:rPr>
              <w:t>min</w:t>
            </w:r>
            <w:r>
              <w:rPr>
                <w:szCs w:val="22"/>
                <w:lang w:val="en-GB"/>
              </w:rPr>
              <w:t>ute</w:t>
            </w:r>
            <w:r w:rsidRPr="00C33C0B">
              <w:rPr>
                <w:szCs w:val="22"/>
                <w:lang w:val="en-GB"/>
              </w:rPr>
              <w:t>s</w:t>
            </w:r>
          </w:p>
          <w:p w14:paraId="13A26C3F" w14:textId="77777777" w:rsidR="00E3287D" w:rsidRPr="00C33C0B" w:rsidRDefault="00E3287D" w:rsidP="00C65B0C">
            <w:pPr>
              <w:spacing w:before="20" w:after="20" w:line="240" w:lineRule="auto"/>
              <w:rPr>
                <w:szCs w:val="22"/>
                <w:lang w:val="en-GB"/>
              </w:rPr>
            </w:pPr>
          </w:p>
        </w:tc>
        <w:tc>
          <w:tcPr>
            <w:tcW w:w="1036" w:type="dxa"/>
            <w:vMerge/>
            <w:shd w:val="clear" w:color="auto" w:fill="auto"/>
          </w:tcPr>
          <w:p w14:paraId="591F6262" w14:textId="77777777" w:rsidR="00E3287D" w:rsidRPr="00C33C0B" w:rsidRDefault="00E3287D" w:rsidP="00C65B0C">
            <w:pPr>
              <w:spacing w:before="20" w:after="20" w:line="240" w:lineRule="auto"/>
              <w:rPr>
                <w:szCs w:val="22"/>
                <w:lang w:val="en-GB"/>
              </w:rPr>
            </w:pPr>
          </w:p>
        </w:tc>
        <w:tc>
          <w:tcPr>
            <w:tcW w:w="4974" w:type="dxa"/>
            <w:vMerge/>
            <w:shd w:val="clear" w:color="auto" w:fill="auto"/>
          </w:tcPr>
          <w:p w14:paraId="240E3DF8" w14:textId="77777777" w:rsidR="00E3287D" w:rsidRPr="00C33C0B" w:rsidRDefault="00E3287D" w:rsidP="00C65B0C">
            <w:pPr>
              <w:spacing w:before="20" w:after="20" w:line="240" w:lineRule="auto"/>
              <w:rPr>
                <w:szCs w:val="22"/>
                <w:lang w:val="en-GB"/>
              </w:rPr>
            </w:pPr>
          </w:p>
        </w:tc>
      </w:tr>
      <w:tr w:rsidR="00E3287D" w:rsidRPr="00C33C0B" w14:paraId="49361374" w14:textId="77777777" w:rsidTr="00C65B0C">
        <w:tc>
          <w:tcPr>
            <w:tcW w:w="590" w:type="dxa"/>
            <w:shd w:val="clear" w:color="auto" w:fill="auto"/>
          </w:tcPr>
          <w:p w14:paraId="38C63AE4" w14:textId="77777777" w:rsidR="00E3287D" w:rsidRPr="00C33C0B" w:rsidRDefault="00E3287D" w:rsidP="00C65B0C">
            <w:pPr>
              <w:spacing w:before="20" w:after="20" w:line="240" w:lineRule="auto"/>
              <w:rPr>
                <w:szCs w:val="22"/>
                <w:lang w:val="en-GB"/>
              </w:rPr>
            </w:pPr>
            <w:r w:rsidRPr="00C33C0B">
              <w:rPr>
                <w:szCs w:val="22"/>
                <w:lang w:val="en-GB"/>
              </w:rPr>
              <w:t>822</w:t>
            </w:r>
          </w:p>
        </w:tc>
        <w:tc>
          <w:tcPr>
            <w:tcW w:w="1825" w:type="dxa"/>
          </w:tcPr>
          <w:p w14:paraId="27CE1C97" w14:textId="77777777" w:rsidR="00E3287D" w:rsidRPr="00C33C0B" w:rsidRDefault="00E3287D" w:rsidP="00C65B0C">
            <w:pPr>
              <w:spacing w:before="20" w:after="20" w:line="240" w:lineRule="auto"/>
              <w:rPr>
                <w:szCs w:val="22"/>
                <w:lang w:val="en-GB"/>
              </w:rPr>
            </w:pPr>
            <w:r w:rsidRPr="00C33C0B">
              <w:rPr>
                <w:szCs w:val="22"/>
                <w:lang w:val="en-GB"/>
              </w:rPr>
              <w:t>30</w:t>
            </w:r>
            <w:r>
              <w:rPr>
                <w:szCs w:val="22"/>
                <w:lang w:val="en-GB"/>
              </w:rPr>
              <w:t>–</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p w14:paraId="292B8594" w14:textId="77777777" w:rsidR="00E3287D" w:rsidRPr="00C33C0B" w:rsidRDefault="00E3287D" w:rsidP="00C65B0C">
            <w:pPr>
              <w:spacing w:before="20" w:after="20" w:line="240" w:lineRule="auto"/>
              <w:rPr>
                <w:szCs w:val="22"/>
                <w:lang w:val="en-GB"/>
              </w:rPr>
            </w:pPr>
          </w:p>
        </w:tc>
        <w:tc>
          <w:tcPr>
            <w:tcW w:w="1036" w:type="dxa"/>
            <w:vMerge/>
            <w:shd w:val="clear" w:color="auto" w:fill="auto"/>
          </w:tcPr>
          <w:p w14:paraId="05B04580" w14:textId="77777777" w:rsidR="00E3287D" w:rsidRPr="00C33C0B" w:rsidRDefault="00E3287D" w:rsidP="00C65B0C">
            <w:pPr>
              <w:spacing w:before="20" w:after="20" w:line="240" w:lineRule="auto"/>
              <w:rPr>
                <w:szCs w:val="22"/>
                <w:lang w:val="en-GB"/>
              </w:rPr>
            </w:pPr>
          </w:p>
        </w:tc>
        <w:tc>
          <w:tcPr>
            <w:tcW w:w="4974" w:type="dxa"/>
            <w:vMerge/>
            <w:shd w:val="clear" w:color="auto" w:fill="auto"/>
          </w:tcPr>
          <w:p w14:paraId="566704F5" w14:textId="77777777" w:rsidR="00E3287D" w:rsidRPr="00C33C0B" w:rsidRDefault="00E3287D" w:rsidP="00C65B0C">
            <w:pPr>
              <w:spacing w:before="20" w:after="20" w:line="240" w:lineRule="auto"/>
              <w:rPr>
                <w:szCs w:val="22"/>
                <w:lang w:val="en-GB"/>
              </w:rPr>
            </w:pPr>
          </w:p>
        </w:tc>
      </w:tr>
      <w:tr w:rsidR="00E3287D" w:rsidRPr="00C33C0B" w14:paraId="1B0F5F89" w14:textId="77777777" w:rsidTr="00C65B0C">
        <w:tc>
          <w:tcPr>
            <w:tcW w:w="590" w:type="dxa"/>
            <w:shd w:val="clear" w:color="auto" w:fill="auto"/>
          </w:tcPr>
          <w:p w14:paraId="3A952AEC" w14:textId="77777777" w:rsidR="00E3287D" w:rsidRPr="00C33C0B" w:rsidRDefault="00E3287D" w:rsidP="00C65B0C">
            <w:pPr>
              <w:spacing w:before="20" w:after="20" w:line="240" w:lineRule="auto"/>
              <w:rPr>
                <w:szCs w:val="22"/>
                <w:lang w:val="en-GB"/>
              </w:rPr>
            </w:pPr>
            <w:r w:rsidRPr="00C33C0B">
              <w:rPr>
                <w:szCs w:val="22"/>
                <w:lang w:val="en-GB"/>
              </w:rPr>
              <w:t>823</w:t>
            </w:r>
          </w:p>
        </w:tc>
        <w:tc>
          <w:tcPr>
            <w:tcW w:w="1825" w:type="dxa"/>
          </w:tcPr>
          <w:p w14:paraId="079C7B27" w14:textId="77777777" w:rsidR="00E3287D" w:rsidRPr="00C33C0B" w:rsidRDefault="00E3287D" w:rsidP="00C65B0C">
            <w:pPr>
              <w:spacing w:before="20" w:after="20" w:line="240" w:lineRule="auto"/>
              <w:rPr>
                <w:szCs w:val="22"/>
                <w:lang w:val="en-GB"/>
              </w:rPr>
            </w:pPr>
            <w:r>
              <w:rPr>
                <w:szCs w:val="22"/>
                <w:lang w:val="en-GB"/>
              </w:rPr>
              <w:t xml:space="preserve">&gt; </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p w14:paraId="192D2B5C" w14:textId="77777777" w:rsidR="00E3287D" w:rsidRPr="00C33C0B" w:rsidRDefault="00E3287D" w:rsidP="00C65B0C">
            <w:pPr>
              <w:spacing w:before="20" w:after="20" w:line="240" w:lineRule="auto"/>
              <w:rPr>
                <w:szCs w:val="22"/>
                <w:lang w:val="en-GB"/>
              </w:rPr>
            </w:pPr>
          </w:p>
        </w:tc>
        <w:tc>
          <w:tcPr>
            <w:tcW w:w="1036" w:type="dxa"/>
            <w:vMerge/>
            <w:shd w:val="clear" w:color="auto" w:fill="auto"/>
          </w:tcPr>
          <w:p w14:paraId="74E537FE" w14:textId="77777777" w:rsidR="00E3287D" w:rsidRPr="00C33C0B" w:rsidRDefault="00E3287D" w:rsidP="00C65B0C">
            <w:pPr>
              <w:spacing w:before="20" w:after="20" w:line="240" w:lineRule="auto"/>
              <w:rPr>
                <w:szCs w:val="22"/>
                <w:lang w:val="en-GB"/>
              </w:rPr>
            </w:pPr>
          </w:p>
        </w:tc>
        <w:tc>
          <w:tcPr>
            <w:tcW w:w="4974" w:type="dxa"/>
            <w:vMerge/>
            <w:shd w:val="clear" w:color="auto" w:fill="auto"/>
          </w:tcPr>
          <w:p w14:paraId="18A207BB" w14:textId="77777777" w:rsidR="00E3287D" w:rsidRPr="00C33C0B" w:rsidRDefault="00E3287D" w:rsidP="00C65B0C">
            <w:pPr>
              <w:spacing w:before="20" w:after="20" w:line="240" w:lineRule="auto"/>
              <w:rPr>
                <w:szCs w:val="22"/>
                <w:lang w:val="en-GB"/>
              </w:rPr>
            </w:pPr>
          </w:p>
        </w:tc>
      </w:tr>
      <w:tr w:rsidR="00E3287D" w:rsidRPr="00C33C0B" w14:paraId="29B40258" w14:textId="77777777" w:rsidTr="00C65B0C">
        <w:tc>
          <w:tcPr>
            <w:tcW w:w="590" w:type="dxa"/>
            <w:shd w:val="clear" w:color="auto" w:fill="auto"/>
          </w:tcPr>
          <w:p w14:paraId="37D0D300" w14:textId="77777777" w:rsidR="00E3287D" w:rsidRPr="000F6B85" w:rsidRDefault="00E3287D" w:rsidP="00C65B0C">
            <w:pPr>
              <w:spacing w:before="20" w:after="20" w:line="240" w:lineRule="auto"/>
              <w:rPr>
                <w:b/>
                <w:szCs w:val="22"/>
                <w:lang w:val="en-GB"/>
              </w:rPr>
            </w:pPr>
            <w:r>
              <w:rPr>
                <w:szCs w:val="22"/>
                <w:lang w:val="en-GB"/>
              </w:rPr>
              <w:t>82Y</w:t>
            </w:r>
            <w:r>
              <w:rPr>
                <w:b/>
                <w:szCs w:val="22"/>
                <w:lang w:val="en-GB"/>
              </w:rPr>
              <w:t xml:space="preserve"> (new)</w:t>
            </w:r>
          </w:p>
        </w:tc>
        <w:tc>
          <w:tcPr>
            <w:tcW w:w="1825" w:type="dxa"/>
          </w:tcPr>
          <w:p w14:paraId="613B84BC" w14:textId="77777777" w:rsidR="00E3287D" w:rsidRPr="00C33C0B" w:rsidRDefault="00E3287D" w:rsidP="00C65B0C">
            <w:pPr>
              <w:spacing w:before="20" w:after="20" w:line="240" w:lineRule="auto"/>
              <w:rPr>
                <w:szCs w:val="22"/>
                <w:lang w:val="en-GB"/>
              </w:rPr>
            </w:pPr>
            <w:r>
              <w:rPr>
                <w:szCs w:val="22"/>
                <w:lang w:val="en-GB"/>
              </w:rPr>
              <w:t>&lt;15 minutes</w:t>
            </w:r>
          </w:p>
        </w:tc>
        <w:tc>
          <w:tcPr>
            <w:tcW w:w="1036" w:type="dxa"/>
            <w:vMerge w:val="restart"/>
            <w:shd w:val="clear" w:color="auto" w:fill="auto"/>
          </w:tcPr>
          <w:p w14:paraId="4360030D" w14:textId="77777777" w:rsidR="00E3287D" w:rsidRPr="00C33C0B" w:rsidRDefault="00E3287D" w:rsidP="00C65B0C">
            <w:pPr>
              <w:spacing w:before="20" w:after="20" w:line="240" w:lineRule="auto"/>
              <w:rPr>
                <w:szCs w:val="22"/>
                <w:lang w:val="en-GB"/>
              </w:rPr>
            </w:pPr>
            <w:r w:rsidRPr="00C33C0B">
              <w:rPr>
                <w:szCs w:val="22"/>
                <w:lang w:val="en-GB"/>
              </w:rPr>
              <w:t>Participate</w:t>
            </w:r>
          </w:p>
        </w:tc>
        <w:tc>
          <w:tcPr>
            <w:tcW w:w="4974" w:type="dxa"/>
            <w:vMerge/>
            <w:shd w:val="clear" w:color="auto" w:fill="auto"/>
          </w:tcPr>
          <w:p w14:paraId="5561F2FF" w14:textId="77777777" w:rsidR="00E3287D" w:rsidRPr="00C33C0B" w:rsidRDefault="00E3287D" w:rsidP="00C65B0C">
            <w:pPr>
              <w:spacing w:before="20" w:after="20" w:line="240" w:lineRule="auto"/>
              <w:rPr>
                <w:szCs w:val="22"/>
                <w:lang w:val="en-GB"/>
              </w:rPr>
            </w:pPr>
          </w:p>
        </w:tc>
      </w:tr>
      <w:tr w:rsidR="00E3287D" w:rsidRPr="00C33C0B" w14:paraId="43AD78AD" w14:textId="77777777" w:rsidTr="00C65B0C">
        <w:tc>
          <w:tcPr>
            <w:tcW w:w="590" w:type="dxa"/>
            <w:shd w:val="clear" w:color="auto" w:fill="auto"/>
          </w:tcPr>
          <w:p w14:paraId="79CABE69" w14:textId="77777777" w:rsidR="00E3287D" w:rsidRPr="00C33C0B" w:rsidRDefault="00E3287D" w:rsidP="00C65B0C">
            <w:pPr>
              <w:spacing w:before="20" w:after="20" w:line="240" w:lineRule="auto"/>
              <w:rPr>
                <w:szCs w:val="22"/>
                <w:lang w:val="en-GB"/>
              </w:rPr>
            </w:pPr>
            <w:r w:rsidRPr="00C33C0B">
              <w:rPr>
                <w:szCs w:val="22"/>
                <w:lang w:val="en-GB"/>
              </w:rPr>
              <w:t>825</w:t>
            </w:r>
          </w:p>
        </w:tc>
        <w:tc>
          <w:tcPr>
            <w:tcW w:w="1825" w:type="dxa"/>
          </w:tcPr>
          <w:p w14:paraId="71F7B72E" w14:textId="77777777" w:rsidR="00E3287D" w:rsidRPr="00C33C0B" w:rsidRDefault="00E3287D" w:rsidP="00C65B0C">
            <w:pPr>
              <w:spacing w:before="20" w:after="20" w:line="240" w:lineRule="auto"/>
              <w:rPr>
                <w:szCs w:val="22"/>
                <w:lang w:val="en-GB"/>
              </w:rPr>
            </w:pPr>
            <w:r w:rsidRPr="00C33C0B">
              <w:rPr>
                <w:szCs w:val="22"/>
                <w:lang w:val="en-GB"/>
              </w:rPr>
              <w:t>15</w:t>
            </w:r>
            <w:r>
              <w:rPr>
                <w:szCs w:val="22"/>
                <w:lang w:val="en-GB"/>
              </w:rPr>
              <w:t>–</w:t>
            </w:r>
            <w:r w:rsidRPr="00C33C0B">
              <w:rPr>
                <w:szCs w:val="22"/>
                <w:lang w:val="en-GB"/>
              </w:rPr>
              <w:t>30</w:t>
            </w:r>
            <w:r>
              <w:rPr>
                <w:szCs w:val="22"/>
                <w:lang w:val="en-GB"/>
              </w:rPr>
              <w:t xml:space="preserve"> </w:t>
            </w:r>
            <w:r w:rsidRPr="00C33C0B">
              <w:rPr>
                <w:szCs w:val="22"/>
                <w:lang w:val="en-GB"/>
              </w:rPr>
              <w:t>min</w:t>
            </w:r>
            <w:r>
              <w:rPr>
                <w:szCs w:val="22"/>
                <w:lang w:val="en-GB"/>
              </w:rPr>
              <w:t>ute</w:t>
            </w:r>
            <w:r w:rsidRPr="00C33C0B">
              <w:rPr>
                <w:szCs w:val="22"/>
                <w:lang w:val="en-GB"/>
              </w:rPr>
              <w:t>s</w:t>
            </w:r>
          </w:p>
          <w:p w14:paraId="473B556C" w14:textId="77777777" w:rsidR="00E3287D" w:rsidRPr="00C33C0B" w:rsidRDefault="00E3287D" w:rsidP="00C65B0C">
            <w:pPr>
              <w:spacing w:before="20" w:after="20" w:line="240" w:lineRule="auto"/>
              <w:rPr>
                <w:szCs w:val="22"/>
                <w:lang w:val="en-GB"/>
              </w:rPr>
            </w:pPr>
          </w:p>
        </w:tc>
        <w:tc>
          <w:tcPr>
            <w:tcW w:w="1036" w:type="dxa"/>
            <w:vMerge/>
            <w:shd w:val="clear" w:color="auto" w:fill="auto"/>
          </w:tcPr>
          <w:p w14:paraId="4A48F7DC" w14:textId="77777777" w:rsidR="00E3287D" w:rsidRPr="00C33C0B" w:rsidRDefault="00E3287D" w:rsidP="00C65B0C">
            <w:pPr>
              <w:spacing w:before="20" w:after="20" w:line="240" w:lineRule="auto"/>
              <w:rPr>
                <w:szCs w:val="22"/>
                <w:lang w:val="en-GB"/>
              </w:rPr>
            </w:pPr>
          </w:p>
        </w:tc>
        <w:tc>
          <w:tcPr>
            <w:tcW w:w="4974" w:type="dxa"/>
            <w:vMerge/>
            <w:shd w:val="clear" w:color="auto" w:fill="auto"/>
          </w:tcPr>
          <w:p w14:paraId="6C5994C7" w14:textId="77777777" w:rsidR="00E3287D" w:rsidRPr="00C33C0B" w:rsidRDefault="00E3287D" w:rsidP="00C65B0C">
            <w:pPr>
              <w:spacing w:before="20" w:after="20" w:line="240" w:lineRule="auto"/>
              <w:rPr>
                <w:szCs w:val="22"/>
                <w:lang w:val="en-GB"/>
              </w:rPr>
            </w:pPr>
          </w:p>
        </w:tc>
      </w:tr>
      <w:tr w:rsidR="00E3287D" w:rsidRPr="00C33C0B" w14:paraId="1272D9F9" w14:textId="77777777" w:rsidTr="00C65B0C">
        <w:tc>
          <w:tcPr>
            <w:tcW w:w="590" w:type="dxa"/>
            <w:shd w:val="clear" w:color="auto" w:fill="auto"/>
          </w:tcPr>
          <w:p w14:paraId="70FB4B5A" w14:textId="77777777" w:rsidR="00E3287D" w:rsidRPr="00C33C0B" w:rsidRDefault="00E3287D" w:rsidP="00C65B0C">
            <w:pPr>
              <w:spacing w:before="20" w:after="20" w:line="240" w:lineRule="auto"/>
              <w:rPr>
                <w:szCs w:val="22"/>
                <w:lang w:val="en-GB"/>
              </w:rPr>
            </w:pPr>
            <w:r w:rsidRPr="00C33C0B">
              <w:rPr>
                <w:szCs w:val="22"/>
                <w:lang w:val="en-GB"/>
              </w:rPr>
              <w:t>826</w:t>
            </w:r>
          </w:p>
        </w:tc>
        <w:tc>
          <w:tcPr>
            <w:tcW w:w="1825" w:type="dxa"/>
          </w:tcPr>
          <w:p w14:paraId="7386B8F9" w14:textId="77777777" w:rsidR="00E3287D" w:rsidRPr="00C33C0B" w:rsidRDefault="00E3287D" w:rsidP="00C65B0C">
            <w:pPr>
              <w:spacing w:before="20" w:after="20" w:line="240" w:lineRule="auto"/>
              <w:rPr>
                <w:szCs w:val="22"/>
                <w:lang w:val="en-GB"/>
              </w:rPr>
            </w:pPr>
            <w:r w:rsidRPr="00C33C0B">
              <w:rPr>
                <w:szCs w:val="22"/>
                <w:lang w:val="en-GB"/>
              </w:rPr>
              <w:t>30</w:t>
            </w:r>
            <w:r>
              <w:rPr>
                <w:szCs w:val="22"/>
                <w:lang w:val="en-GB"/>
              </w:rPr>
              <w:t>–</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p w14:paraId="12731D46" w14:textId="77777777" w:rsidR="00E3287D" w:rsidRPr="00C33C0B" w:rsidRDefault="00E3287D" w:rsidP="00C65B0C">
            <w:pPr>
              <w:spacing w:before="20" w:after="20" w:line="240" w:lineRule="auto"/>
              <w:rPr>
                <w:szCs w:val="22"/>
                <w:lang w:val="en-GB"/>
              </w:rPr>
            </w:pPr>
          </w:p>
        </w:tc>
        <w:tc>
          <w:tcPr>
            <w:tcW w:w="1036" w:type="dxa"/>
            <w:vMerge/>
            <w:shd w:val="clear" w:color="auto" w:fill="auto"/>
          </w:tcPr>
          <w:p w14:paraId="6536C0CC" w14:textId="77777777" w:rsidR="00E3287D" w:rsidRPr="00C33C0B" w:rsidRDefault="00E3287D" w:rsidP="00C65B0C">
            <w:pPr>
              <w:spacing w:before="20" w:after="20" w:line="240" w:lineRule="auto"/>
              <w:rPr>
                <w:szCs w:val="22"/>
                <w:lang w:val="en-GB"/>
              </w:rPr>
            </w:pPr>
          </w:p>
        </w:tc>
        <w:tc>
          <w:tcPr>
            <w:tcW w:w="4974" w:type="dxa"/>
            <w:vMerge/>
            <w:shd w:val="clear" w:color="auto" w:fill="auto"/>
          </w:tcPr>
          <w:p w14:paraId="008F3F0F" w14:textId="77777777" w:rsidR="00E3287D" w:rsidRPr="00C33C0B" w:rsidRDefault="00E3287D" w:rsidP="00C65B0C">
            <w:pPr>
              <w:spacing w:before="20" w:after="20" w:line="240" w:lineRule="auto"/>
              <w:rPr>
                <w:szCs w:val="22"/>
                <w:lang w:val="en-GB"/>
              </w:rPr>
            </w:pPr>
          </w:p>
        </w:tc>
      </w:tr>
      <w:tr w:rsidR="00E3287D" w:rsidRPr="00C33C0B" w14:paraId="78734FF8" w14:textId="77777777" w:rsidTr="00C65B0C">
        <w:tc>
          <w:tcPr>
            <w:tcW w:w="590" w:type="dxa"/>
            <w:shd w:val="clear" w:color="auto" w:fill="auto"/>
          </w:tcPr>
          <w:p w14:paraId="5B20EFC9" w14:textId="77777777" w:rsidR="00E3287D" w:rsidRPr="00C33C0B" w:rsidRDefault="00E3287D" w:rsidP="00C65B0C">
            <w:pPr>
              <w:spacing w:before="20" w:after="20" w:line="240" w:lineRule="auto"/>
              <w:rPr>
                <w:szCs w:val="22"/>
                <w:lang w:val="en-GB"/>
              </w:rPr>
            </w:pPr>
            <w:r w:rsidRPr="00C33C0B">
              <w:rPr>
                <w:szCs w:val="22"/>
                <w:lang w:val="en-GB"/>
              </w:rPr>
              <w:t>828</w:t>
            </w:r>
          </w:p>
        </w:tc>
        <w:tc>
          <w:tcPr>
            <w:tcW w:w="1825" w:type="dxa"/>
          </w:tcPr>
          <w:p w14:paraId="199BDE8E" w14:textId="77777777" w:rsidR="00E3287D" w:rsidRPr="00C33C0B" w:rsidRDefault="00E3287D" w:rsidP="00C65B0C">
            <w:pPr>
              <w:spacing w:before="20" w:after="20" w:line="240" w:lineRule="auto"/>
              <w:rPr>
                <w:szCs w:val="22"/>
                <w:lang w:val="en-GB"/>
              </w:rPr>
            </w:pPr>
            <w:r>
              <w:rPr>
                <w:szCs w:val="22"/>
                <w:lang w:val="en-GB"/>
              </w:rPr>
              <w:t>&gt;</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p w14:paraId="0BB5B85E" w14:textId="77777777" w:rsidR="00E3287D" w:rsidRPr="00C33C0B" w:rsidRDefault="00E3287D" w:rsidP="00C65B0C">
            <w:pPr>
              <w:spacing w:before="20" w:after="20" w:line="240" w:lineRule="auto"/>
              <w:rPr>
                <w:szCs w:val="22"/>
                <w:lang w:val="en-GB"/>
              </w:rPr>
            </w:pPr>
          </w:p>
        </w:tc>
        <w:tc>
          <w:tcPr>
            <w:tcW w:w="1036" w:type="dxa"/>
            <w:vMerge/>
            <w:shd w:val="clear" w:color="auto" w:fill="auto"/>
          </w:tcPr>
          <w:p w14:paraId="556EAC43" w14:textId="77777777" w:rsidR="00E3287D" w:rsidRPr="00C33C0B" w:rsidRDefault="00E3287D" w:rsidP="00C65B0C">
            <w:pPr>
              <w:spacing w:before="20" w:after="20" w:line="240" w:lineRule="auto"/>
              <w:rPr>
                <w:szCs w:val="22"/>
                <w:lang w:val="en-GB"/>
              </w:rPr>
            </w:pPr>
          </w:p>
        </w:tc>
        <w:tc>
          <w:tcPr>
            <w:tcW w:w="4974" w:type="dxa"/>
            <w:vMerge/>
            <w:shd w:val="clear" w:color="auto" w:fill="auto"/>
          </w:tcPr>
          <w:p w14:paraId="11D37670" w14:textId="77777777" w:rsidR="00E3287D" w:rsidRPr="00C33C0B" w:rsidRDefault="00E3287D" w:rsidP="00C65B0C">
            <w:pPr>
              <w:spacing w:before="20" w:after="20" w:line="240" w:lineRule="auto"/>
              <w:rPr>
                <w:szCs w:val="22"/>
                <w:lang w:val="en-GB"/>
              </w:rPr>
            </w:pPr>
          </w:p>
        </w:tc>
      </w:tr>
      <w:tr w:rsidR="00E3287D" w:rsidRPr="00C33C0B" w14:paraId="70271827" w14:textId="77777777" w:rsidTr="00C65B0C">
        <w:tc>
          <w:tcPr>
            <w:tcW w:w="590" w:type="dxa"/>
            <w:shd w:val="clear" w:color="auto" w:fill="auto"/>
          </w:tcPr>
          <w:p w14:paraId="7ACFE084" w14:textId="77777777" w:rsidR="00E3287D" w:rsidRPr="00154B2C" w:rsidRDefault="00E3287D" w:rsidP="00C65B0C">
            <w:pPr>
              <w:spacing w:before="20" w:after="20" w:line="240" w:lineRule="auto"/>
              <w:rPr>
                <w:b/>
                <w:szCs w:val="22"/>
                <w:lang w:val="en-GB"/>
              </w:rPr>
            </w:pPr>
            <w:r>
              <w:rPr>
                <w:szCs w:val="22"/>
                <w:lang w:val="en-GB"/>
              </w:rPr>
              <w:t>83X</w:t>
            </w:r>
            <w:r>
              <w:rPr>
                <w:b/>
                <w:szCs w:val="22"/>
                <w:lang w:val="en-GB"/>
              </w:rPr>
              <w:t xml:space="preserve"> (new)</w:t>
            </w:r>
          </w:p>
        </w:tc>
        <w:tc>
          <w:tcPr>
            <w:tcW w:w="1825" w:type="dxa"/>
          </w:tcPr>
          <w:p w14:paraId="13E518E0" w14:textId="77777777" w:rsidR="00E3287D" w:rsidRPr="00C33C0B" w:rsidRDefault="00E3287D" w:rsidP="00C65B0C">
            <w:pPr>
              <w:spacing w:before="20" w:after="20" w:line="240" w:lineRule="auto"/>
              <w:rPr>
                <w:szCs w:val="22"/>
                <w:lang w:val="en-GB"/>
              </w:rPr>
            </w:pPr>
            <w:r>
              <w:rPr>
                <w:szCs w:val="22"/>
                <w:lang w:val="en-GB"/>
              </w:rPr>
              <w:t>&lt;15 minutes</w:t>
            </w:r>
          </w:p>
        </w:tc>
        <w:tc>
          <w:tcPr>
            <w:tcW w:w="1036" w:type="dxa"/>
            <w:vMerge w:val="restart"/>
            <w:shd w:val="clear" w:color="auto" w:fill="auto"/>
          </w:tcPr>
          <w:p w14:paraId="56F7F2A9" w14:textId="77777777" w:rsidR="00E3287D" w:rsidRPr="00C33C0B" w:rsidRDefault="00E3287D" w:rsidP="00C65B0C">
            <w:pPr>
              <w:spacing w:before="20" w:after="20" w:line="240" w:lineRule="auto"/>
              <w:rPr>
                <w:szCs w:val="22"/>
                <w:lang w:val="en-GB"/>
              </w:rPr>
            </w:pPr>
            <w:r w:rsidRPr="00C33C0B">
              <w:rPr>
                <w:szCs w:val="22"/>
                <w:lang w:val="en-GB"/>
              </w:rPr>
              <w:t>Organise and coordinate</w:t>
            </w:r>
          </w:p>
          <w:p w14:paraId="01251A76" w14:textId="77777777" w:rsidR="00E3287D" w:rsidRPr="00C33C0B" w:rsidRDefault="00E3287D" w:rsidP="00C65B0C">
            <w:pPr>
              <w:spacing w:before="20" w:after="20" w:line="240" w:lineRule="auto"/>
              <w:rPr>
                <w:szCs w:val="22"/>
                <w:lang w:val="en-GB"/>
              </w:rPr>
            </w:pPr>
          </w:p>
        </w:tc>
        <w:tc>
          <w:tcPr>
            <w:tcW w:w="4974" w:type="dxa"/>
            <w:vMerge w:val="restart"/>
            <w:shd w:val="clear" w:color="auto" w:fill="auto"/>
          </w:tcPr>
          <w:p w14:paraId="0774C4E9" w14:textId="77777777" w:rsidR="00E3287D" w:rsidRPr="00C33C0B" w:rsidRDefault="00E3287D" w:rsidP="00C65B0C">
            <w:pPr>
              <w:spacing w:before="20" w:after="20" w:line="240" w:lineRule="auto"/>
              <w:rPr>
                <w:szCs w:val="22"/>
                <w:lang w:val="en-GB"/>
              </w:rPr>
            </w:pPr>
            <w:r w:rsidRPr="00C33C0B">
              <w:rPr>
                <w:szCs w:val="22"/>
                <w:lang w:val="en-GB"/>
              </w:rPr>
              <w:t xml:space="preserve">Attendance by a </w:t>
            </w:r>
            <w:r>
              <w:rPr>
                <w:szCs w:val="22"/>
                <w:lang w:val="en-GB"/>
              </w:rPr>
              <w:t>consultant specialist</w:t>
            </w:r>
            <w:r w:rsidRPr="00C33C0B">
              <w:rPr>
                <w:szCs w:val="22"/>
                <w:lang w:val="en-GB"/>
              </w:rPr>
              <w:t xml:space="preserve"> in the practice of his or her specialty to </w:t>
            </w:r>
            <w:r>
              <w:rPr>
                <w:szCs w:val="22"/>
                <w:lang w:val="en-GB"/>
              </w:rPr>
              <w:t>[insert role]</w:t>
            </w:r>
            <w:r w:rsidRPr="00C33C0B">
              <w:rPr>
                <w:szCs w:val="22"/>
                <w:lang w:val="en-GB"/>
              </w:rPr>
              <w:t xml:space="preserve"> a</w:t>
            </w:r>
            <w:r w:rsidRPr="00C33C0B">
              <w:rPr>
                <w:b/>
                <w:szCs w:val="22"/>
                <w:lang w:val="en-GB"/>
              </w:rPr>
              <w:t xml:space="preserve"> discharge case conference</w:t>
            </w:r>
            <w:r w:rsidRPr="00C33C0B">
              <w:rPr>
                <w:szCs w:val="22"/>
                <w:lang w:val="en-GB"/>
              </w:rPr>
              <w:t xml:space="preserve"> of at least [X] minutes but less than [X] minutes, requiring:</w:t>
            </w:r>
          </w:p>
          <w:p w14:paraId="25B2E049" w14:textId="77777777" w:rsidR="00E3287D" w:rsidRPr="00C33C0B" w:rsidRDefault="00E3287D" w:rsidP="000831A1">
            <w:pPr>
              <w:pStyle w:val="ListParagraph"/>
              <w:numPr>
                <w:ilvl w:val="0"/>
                <w:numId w:val="23"/>
              </w:numPr>
              <w:spacing w:before="20" w:after="20" w:line="240" w:lineRule="auto"/>
              <w:rPr>
                <w:szCs w:val="22"/>
                <w:lang w:val="en-GB"/>
              </w:rPr>
            </w:pPr>
            <w:r w:rsidRPr="00C33C0B">
              <w:rPr>
                <w:szCs w:val="22"/>
                <w:lang w:val="en-GB"/>
              </w:rPr>
              <w:t>The development and approval of a discharge management plan for transfer of care to the community setting and self-management; and</w:t>
            </w:r>
          </w:p>
          <w:p w14:paraId="5A5313FE" w14:textId="77777777" w:rsidR="00E3287D" w:rsidRDefault="00E3287D" w:rsidP="000831A1">
            <w:pPr>
              <w:pStyle w:val="ListParagraph"/>
              <w:numPr>
                <w:ilvl w:val="0"/>
                <w:numId w:val="23"/>
              </w:numPr>
              <w:spacing w:before="20" w:after="20" w:line="240" w:lineRule="auto"/>
              <w:rPr>
                <w:szCs w:val="22"/>
                <w:lang w:val="en-GB"/>
              </w:rPr>
            </w:pPr>
            <w:r w:rsidRPr="00B25708">
              <w:rPr>
                <w:szCs w:val="22"/>
                <w:lang w:val="en-GB"/>
              </w:rPr>
              <w:t xml:space="preserve">Mandatory GP (or delegate) </w:t>
            </w:r>
            <w:r>
              <w:rPr>
                <w:szCs w:val="22"/>
                <w:lang w:val="en-GB"/>
              </w:rPr>
              <w:t>invitation and</w:t>
            </w:r>
          </w:p>
          <w:p w14:paraId="4032D3B3" w14:textId="77777777" w:rsidR="00E3287D" w:rsidRPr="00B25708" w:rsidRDefault="00E3287D" w:rsidP="00C65B0C">
            <w:pPr>
              <w:pStyle w:val="ListParagraph"/>
              <w:spacing w:before="20" w:after="20" w:line="240" w:lineRule="auto"/>
              <w:ind w:left="773"/>
              <w:rPr>
                <w:szCs w:val="22"/>
                <w:lang w:val="en-GB"/>
              </w:rPr>
            </w:pPr>
            <w:r>
              <w:rPr>
                <w:szCs w:val="22"/>
                <w:lang w:val="en-GB"/>
              </w:rPr>
              <w:t>i) participation, or ii)</w:t>
            </w:r>
            <w:r w:rsidRPr="00B25708">
              <w:rPr>
                <w:szCs w:val="22"/>
                <w:lang w:val="en-GB"/>
              </w:rPr>
              <w:t xml:space="preserve"> review of outcomes and</w:t>
            </w:r>
            <w:r>
              <w:rPr>
                <w:szCs w:val="22"/>
                <w:lang w:val="en-GB"/>
              </w:rPr>
              <w:t xml:space="preserve"> </w:t>
            </w:r>
            <w:r w:rsidRPr="00B25708">
              <w:rPr>
                <w:szCs w:val="22"/>
                <w:lang w:val="en-GB"/>
              </w:rPr>
              <w:t>communication of any proposed changes to the patient and to the case conference organiser; and</w:t>
            </w:r>
          </w:p>
          <w:p w14:paraId="78F042B4" w14:textId="77777777" w:rsidR="00E3287D" w:rsidRDefault="00E3287D" w:rsidP="000831A1">
            <w:pPr>
              <w:pStyle w:val="ListParagraph"/>
              <w:numPr>
                <w:ilvl w:val="0"/>
                <w:numId w:val="23"/>
              </w:numPr>
              <w:spacing w:before="20" w:after="20" w:line="240" w:lineRule="auto"/>
              <w:rPr>
                <w:szCs w:val="22"/>
                <w:lang w:val="en-GB"/>
              </w:rPr>
            </w:pPr>
            <w:r w:rsidRPr="00C33C0B">
              <w:rPr>
                <w:szCs w:val="22"/>
                <w:lang w:val="en-GB"/>
              </w:rPr>
              <w:t xml:space="preserve">Mandatory patient (or delegate) </w:t>
            </w:r>
            <w:r>
              <w:rPr>
                <w:szCs w:val="22"/>
                <w:lang w:val="en-GB"/>
              </w:rPr>
              <w:t xml:space="preserve">invitation </w:t>
            </w:r>
            <w:r w:rsidRPr="00C33C0B">
              <w:rPr>
                <w:szCs w:val="22"/>
                <w:lang w:val="en-GB"/>
              </w:rPr>
              <w:t>and to make it possible for them to attend; and</w:t>
            </w:r>
          </w:p>
          <w:p w14:paraId="343BFAF0" w14:textId="77777777" w:rsidR="00E3287D" w:rsidRPr="00C33C0B" w:rsidRDefault="00E3287D" w:rsidP="000831A1">
            <w:pPr>
              <w:pStyle w:val="ListParagraph"/>
              <w:numPr>
                <w:ilvl w:val="0"/>
                <w:numId w:val="23"/>
              </w:numPr>
              <w:spacing w:before="20" w:after="20" w:line="240" w:lineRule="auto"/>
              <w:rPr>
                <w:szCs w:val="22"/>
                <w:lang w:val="en-GB"/>
              </w:rPr>
            </w:pPr>
            <w:r w:rsidRPr="00C33C0B">
              <w:rPr>
                <w:szCs w:val="22"/>
                <w:lang w:val="en-GB"/>
              </w:rPr>
              <w:t>A</w:t>
            </w:r>
            <w:r>
              <w:rPr>
                <w:szCs w:val="22"/>
                <w:lang w:val="en-GB"/>
              </w:rPr>
              <w:t>t least 2</w:t>
            </w:r>
            <w:r w:rsidRPr="00C33C0B">
              <w:rPr>
                <w:szCs w:val="22"/>
                <w:lang w:val="en-GB"/>
              </w:rPr>
              <w:t xml:space="preserve"> other formal care providers of different disciplines; and</w:t>
            </w:r>
          </w:p>
          <w:p w14:paraId="7C16934A" w14:textId="77777777" w:rsidR="00E3287D" w:rsidRDefault="00E3287D" w:rsidP="000831A1">
            <w:pPr>
              <w:pStyle w:val="ListParagraph"/>
              <w:numPr>
                <w:ilvl w:val="0"/>
                <w:numId w:val="23"/>
              </w:numPr>
              <w:spacing w:before="20" w:after="20" w:line="240" w:lineRule="auto"/>
              <w:rPr>
                <w:szCs w:val="22"/>
                <w:lang w:val="en-GB"/>
              </w:rPr>
            </w:pPr>
            <w:r w:rsidRPr="00C33C0B">
              <w:rPr>
                <w:szCs w:val="22"/>
                <w:lang w:val="en-GB"/>
              </w:rPr>
              <w:t>Outcomes to be documented in writing, including shared decisions made and informed consent sought</w:t>
            </w:r>
            <w:r>
              <w:rPr>
                <w:szCs w:val="22"/>
                <w:lang w:val="en-GB"/>
              </w:rPr>
              <w:t>; and</w:t>
            </w:r>
          </w:p>
          <w:p w14:paraId="091D7060" w14:textId="77777777" w:rsidR="00E3287D" w:rsidRPr="00794929" w:rsidRDefault="00E3287D" w:rsidP="000831A1">
            <w:pPr>
              <w:pStyle w:val="ListParagraph"/>
              <w:numPr>
                <w:ilvl w:val="0"/>
                <w:numId w:val="23"/>
              </w:numPr>
              <w:spacing w:before="20" w:after="20" w:line="240" w:lineRule="auto"/>
              <w:rPr>
                <w:szCs w:val="22"/>
                <w:lang w:val="en-GB"/>
              </w:rPr>
            </w:pPr>
            <w:r w:rsidRPr="00C474A8">
              <w:rPr>
                <w:szCs w:val="22"/>
                <w:lang w:val="en-GB"/>
              </w:rPr>
              <w:t>A copy of the case conference outcomes to be uploaded to My Health Record, unless patient consent is withdrawn, a</w:t>
            </w:r>
            <w:r>
              <w:rPr>
                <w:szCs w:val="22"/>
                <w:lang w:val="en-GB"/>
              </w:rPr>
              <w:t>nd where reasonably achievable.</w:t>
            </w:r>
          </w:p>
          <w:p w14:paraId="496CDB55" w14:textId="77777777" w:rsidR="00E3287D" w:rsidRPr="00C33C0B" w:rsidRDefault="00E3287D" w:rsidP="00C65B0C">
            <w:pPr>
              <w:spacing w:before="20" w:after="20" w:line="240" w:lineRule="auto"/>
              <w:rPr>
                <w:szCs w:val="22"/>
                <w:lang w:val="en-GB"/>
              </w:rPr>
            </w:pPr>
            <w:r w:rsidRPr="00C33C0B">
              <w:rPr>
                <w:szCs w:val="22"/>
                <w:lang w:val="en-GB"/>
              </w:rPr>
              <w:t>All participants must be in communication with each other throughout the conference, either face-to-face, by telephone or by videoconference, or a combination of these</w:t>
            </w:r>
          </w:p>
        </w:tc>
      </w:tr>
      <w:tr w:rsidR="00E3287D" w:rsidRPr="00C33C0B" w14:paraId="27DB1280" w14:textId="77777777" w:rsidTr="00C65B0C">
        <w:tc>
          <w:tcPr>
            <w:tcW w:w="590" w:type="dxa"/>
            <w:shd w:val="clear" w:color="auto" w:fill="auto"/>
          </w:tcPr>
          <w:p w14:paraId="26D68CED" w14:textId="77777777" w:rsidR="00E3287D" w:rsidRPr="00C33C0B" w:rsidRDefault="00E3287D" w:rsidP="00C65B0C">
            <w:pPr>
              <w:spacing w:before="20" w:after="20" w:line="240" w:lineRule="auto"/>
              <w:rPr>
                <w:szCs w:val="22"/>
                <w:lang w:val="en-GB"/>
              </w:rPr>
            </w:pPr>
            <w:r w:rsidRPr="00C33C0B">
              <w:rPr>
                <w:szCs w:val="22"/>
                <w:lang w:val="en-GB"/>
              </w:rPr>
              <w:t>830</w:t>
            </w:r>
          </w:p>
        </w:tc>
        <w:tc>
          <w:tcPr>
            <w:tcW w:w="1825" w:type="dxa"/>
          </w:tcPr>
          <w:p w14:paraId="0FE92436" w14:textId="77777777" w:rsidR="00E3287D" w:rsidRPr="00C33C0B" w:rsidRDefault="00E3287D" w:rsidP="00C65B0C">
            <w:pPr>
              <w:spacing w:before="20" w:after="20" w:line="240" w:lineRule="auto"/>
              <w:rPr>
                <w:szCs w:val="22"/>
                <w:lang w:val="en-GB"/>
              </w:rPr>
            </w:pPr>
            <w:r w:rsidRPr="00C33C0B">
              <w:rPr>
                <w:szCs w:val="22"/>
                <w:lang w:val="en-GB"/>
              </w:rPr>
              <w:t>15</w:t>
            </w:r>
            <w:r>
              <w:rPr>
                <w:szCs w:val="22"/>
                <w:lang w:val="en-GB"/>
              </w:rPr>
              <w:t>–</w:t>
            </w:r>
            <w:r w:rsidRPr="00C33C0B">
              <w:rPr>
                <w:szCs w:val="22"/>
                <w:lang w:val="en-GB"/>
              </w:rPr>
              <w:t>30</w:t>
            </w:r>
            <w:r>
              <w:rPr>
                <w:szCs w:val="22"/>
                <w:lang w:val="en-GB"/>
              </w:rPr>
              <w:t xml:space="preserve"> </w:t>
            </w:r>
            <w:r w:rsidRPr="00C33C0B">
              <w:rPr>
                <w:szCs w:val="22"/>
                <w:lang w:val="en-GB"/>
              </w:rPr>
              <w:t>min</w:t>
            </w:r>
            <w:r>
              <w:rPr>
                <w:szCs w:val="22"/>
                <w:lang w:val="en-GB"/>
              </w:rPr>
              <w:t>ute</w:t>
            </w:r>
            <w:r w:rsidRPr="00C33C0B">
              <w:rPr>
                <w:szCs w:val="22"/>
                <w:lang w:val="en-GB"/>
              </w:rPr>
              <w:t>s</w:t>
            </w:r>
          </w:p>
          <w:p w14:paraId="7E1EE35C" w14:textId="77777777" w:rsidR="00E3287D" w:rsidRPr="00C33C0B" w:rsidRDefault="00E3287D" w:rsidP="00C65B0C">
            <w:pPr>
              <w:spacing w:before="20" w:after="20" w:line="240" w:lineRule="auto"/>
              <w:rPr>
                <w:szCs w:val="22"/>
                <w:lang w:val="en-GB"/>
              </w:rPr>
            </w:pPr>
          </w:p>
        </w:tc>
        <w:tc>
          <w:tcPr>
            <w:tcW w:w="1036" w:type="dxa"/>
            <w:vMerge/>
            <w:shd w:val="clear" w:color="auto" w:fill="auto"/>
          </w:tcPr>
          <w:p w14:paraId="02054606" w14:textId="77777777" w:rsidR="00E3287D" w:rsidRPr="00C33C0B" w:rsidRDefault="00E3287D" w:rsidP="00C65B0C">
            <w:pPr>
              <w:spacing w:before="20" w:after="20" w:line="240" w:lineRule="auto"/>
              <w:rPr>
                <w:szCs w:val="22"/>
                <w:lang w:val="en-GB"/>
              </w:rPr>
            </w:pPr>
          </w:p>
        </w:tc>
        <w:tc>
          <w:tcPr>
            <w:tcW w:w="4974" w:type="dxa"/>
            <w:vMerge/>
            <w:shd w:val="clear" w:color="auto" w:fill="auto"/>
          </w:tcPr>
          <w:p w14:paraId="1F5C0290" w14:textId="77777777" w:rsidR="00E3287D" w:rsidRPr="00C33C0B" w:rsidRDefault="00E3287D" w:rsidP="00C65B0C">
            <w:pPr>
              <w:spacing w:before="20" w:after="20" w:line="240" w:lineRule="auto"/>
              <w:rPr>
                <w:szCs w:val="22"/>
                <w:lang w:val="en-GB"/>
              </w:rPr>
            </w:pPr>
          </w:p>
        </w:tc>
      </w:tr>
      <w:tr w:rsidR="00E3287D" w:rsidRPr="00C33C0B" w14:paraId="7151F3B1" w14:textId="77777777" w:rsidTr="00C65B0C">
        <w:tc>
          <w:tcPr>
            <w:tcW w:w="590" w:type="dxa"/>
            <w:shd w:val="clear" w:color="auto" w:fill="auto"/>
          </w:tcPr>
          <w:p w14:paraId="1A618E38" w14:textId="77777777" w:rsidR="00E3287D" w:rsidRPr="00C33C0B" w:rsidRDefault="00E3287D" w:rsidP="00C65B0C">
            <w:pPr>
              <w:spacing w:before="20" w:after="20" w:line="240" w:lineRule="auto"/>
              <w:rPr>
                <w:szCs w:val="22"/>
                <w:lang w:val="en-GB"/>
              </w:rPr>
            </w:pPr>
            <w:r w:rsidRPr="00C33C0B">
              <w:rPr>
                <w:szCs w:val="22"/>
                <w:lang w:val="en-GB"/>
              </w:rPr>
              <w:t>832</w:t>
            </w:r>
          </w:p>
        </w:tc>
        <w:tc>
          <w:tcPr>
            <w:tcW w:w="1825" w:type="dxa"/>
          </w:tcPr>
          <w:p w14:paraId="2B99CC64" w14:textId="77777777" w:rsidR="00E3287D" w:rsidRPr="00C33C0B" w:rsidRDefault="00E3287D" w:rsidP="00C65B0C">
            <w:pPr>
              <w:spacing w:before="20" w:after="20" w:line="240" w:lineRule="auto"/>
              <w:rPr>
                <w:szCs w:val="22"/>
                <w:lang w:val="en-GB"/>
              </w:rPr>
            </w:pPr>
            <w:r w:rsidRPr="00C33C0B">
              <w:rPr>
                <w:szCs w:val="22"/>
                <w:lang w:val="en-GB"/>
              </w:rPr>
              <w:t>30</w:t>
            </w:r>
            <w:r>
              <w:rPr>
                <w:szCs w:val="22"/>
                <w:lang w:val="en-GB"/>
              </w:rPr>
              <w:t>–</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p w14:paraId="4642EE32" w14:textId="77777777" w:rsidR="00E3287D" w:rsidRPr="00C33C0B" w:rsidRDefault="00E3287D" w:rsidP="00C65B0C">
            <w:pPr>
              <w:spacing w:before="20" w:after="20" w:line="240" w:lineRule="auto"/>
              <w:rPr>
                <w:szCs w:val="22"/>
                <w:lang w:val="en-GB"/>
              </w:rPr>
            </w:pPr>
          </w:p>
        </w:tc>
        <w:tc>
          <w:tcPr>
            <w:tcW w:w="1036" w:type="dxa"/>
            <w:vMerge/>
            <w:shd w:val="clear" w:color="auto" w:fill="auto"/>
          </w:tcPr>
          <w:p w14:paraId="10B8D427" w14:textId="77777777" w:rsidR="00E3287D" w:rsidRPr="00C33C0B" w:rsidRDefault="00E3287D" w:rsidP="00C65B0C">
            <w:pPr>
              <w:spacing w:before="20" w:after="20" w:line="240" w:lineRule="auto"/>
              <w:rPr>
                <w:szCs w:val="22"/>
                <w:lang w:val="en-GB"/>
              </w:rPr>
            </w:pPr>
          </w:p>
        </w:tc>
        <w:tc>
          <w:tcPr>
            <w:tcW w:w="4974" w:type="dxa"/>
            <w:vMerge/>
            <w:shd w:val="clear" w:color="auto" w:fill="auto"/>
          </w:tcPr>
          <w:p w14:paraId="1DAF836F" w14:textId="77777777" w:rsidR="00E3287D" w:rsidRPr="00C33C0B" w:rsidRDefault="00E3287D" w:rsidP="00C65B0C">
            <w:pPr>
              <w:spacing w:before="20" w:after="20" w:line="240" w:lineRule="auto"/>
              <w:rPr>
                <w:szCs w:val="22"/>
                <w:lang w:val="en-GB"/>
              </w:rPr>
            </w:pPr>
          </w:p>
        </w:tc>
      </w:tr>
      <w:tr w:rsidR="00E3287D" w:rsidRPr="00C33C0B" w14:paraId="7BBDC56A" w14:textId="77777777" w:rsidTr="00C65B0C">
        <w:tc>
          <w:tcPr>
            <w:tcW w:w="590" w:type="dxa"/>
            <w:shd w:val="clear" w:color="auto" w:fill="auto"/>
          </w:tcPr>
          <w:p w14:paraId="6FFEBA3E" w14:textId="77777777" w:rsidR="00E3287D" w:rsidRPr="00C33C0B" w:rsidRDefault="00E3287D" w:rsidP="00C65B0C">
            <w:pPr>
              <w:spacing w:before="20" w:after="20" w:line="240" w:lineRule="auto"/>
              <w:rPr>
                <w:szCs w:val="22"/>
                <w:lang w:val="en-GB"/>
              </w:rPr>
            </w:pPr>
            <w:r w:rsidRPr="00C33C0B">
              <w:rPr>
                <w:szCs w:val="22"/>
                <w:lang w:val="en-GB"/>
              </w:rPr>
              <w:t>834</w:t>
            </w:r>
          </w:p>
        </w:tc>
        <w:tc>
          <w:tcPr>
            <w:tcW w:w="1825" w:type="dxa"/>
          </w:tcPr>
          <w:p w14:paraId="1A3BE0ED" w14:textId="77777777" w:rsidR="00E3287D" w:rsidRPr="00C33C0B" w:rsidRDefault="00E3287D" w:rsidP="00C65B0C">
            <w:pPr>
              <w:spacing w:before="20" w:after="20" w:line="240" w:lineRule="auto"/>
              <w:rPr>
                <w:szCs w:val="22"/>
                <w:lang w:val="en-GB"/>
              </w:rPr>
            </w:pPr>
            <w:r>
              <w:rPr>
                <w:szCs w:val="22"/>
                <w:lang w:val="en-GB"/>
              </w:rPr>
              <w:t xml:space="preserve">&gt; </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p w14:paraId="06309614" w14:textId="77777777" w:rsidR="00E3287D" w:rsidRPr="00C33C0B" w:rsidRDefault="00E3287D" w:rsidP="00C65B0C">
            <w:pPr>
              <w:spacing w:before="20" w:after="20" w:line="240" w:lineRule="auto"/>
              <w:rPr>
                <w:szCs w:val="22"/>
                <w:lang w:val="en-GB"/>
              </w:rPr>
            </w:pPr>
          </w:p>
        </w:tc>
        <w:tc>
          <w:tcPr>
            <w:tcW w:w="1036" w:type="dxa"/>
            <w:vMerge/>
            <w:shd w:val="clear" w:color="auto" w:fill="auto"/>
          </w:tcPr>
          <w:p w14:paraId="10FA36AA" w14:textId="77777777" w:rsidR="00E3287D" w:rsidRPr="00C33C0B" w:rsidRDefault="00E3287D" w:rsidP="00C65B0C">
            <w:pPr>
              <w:spacing w:before="20" w:after="20" w:line="240" w:lineRule="auto"/>
              <w:rPr>
                <w:szCs w:val="22"/>
                <w:lang w:val="en-GB"/>
              </w:rPr>
            </w:pPr>
          </w:p>
        </w:tc>
        <w:tc>
          <w:tcPr>
            <w:tcW w:w="4974" w:type="dxa"/>
            <w:vMerge/>
            <w:shd w:val="clear" w:color="auto" w:fill="auto"/>
          </w:tcPr>
          <w:p w14:paraId="6A0FD07A" w14:textId="77777777" w:rsidR="00E3287D" w:rsidRPr="00C33C0B" w:rsidRDefault="00E3287D" w:rsidP="00C65B0C">
            <w:pPr>
              <w:spacing w:before="20" w:after="20" w:line="240" w:lineRule="auto"/>
              <w:rPr>
                <w:szCs w:val="22"/>
                <w:lang w:val="en-GB"/>
              </w:rPr>
            </w:pPr>
          </w:p>
        </w:tc>
      </w:tr>
      <w:tr w:rsidR="00E3287D" w:rsidRPr="00C33C0B" w14:paraId="6DA93BDC" w14:textId="77777777" w:rsidTr="00C65B0C">
        <w:tc>
          <w:tcPr>
            <w:tcW w:w="590" w:type="dxa"/>
            <w:shd w:val="clear" w:color="auto" w:fill="auto"/>
          </w:tcPr>
          <w:p w14:paraId="3A4B5F55" w14:textId="77777777" w:rsidR="00E3287D" w:rsidRPr="00154B2C" w:rsidRDefault="00E3287D" w:rsidP="00C65B0C">
            <w:pPr>
              <w:spacing w:before="20" w:after="20" w:line="240" w:lineRule="auto"/>
              <w:rPr>
                <w:b/>
                <w:szCs w:val="22"/>
                <w:lang w:val="en-GB"/>
              </w:rPr>
            </w:pPr>
            <w:r>
              <w:rPr>
                <w:szCs w:val="22"/>
                <w:lang w:val="en-GB"/>
              </w:rPr>
              <w:t>83Y</w:t>
            </w:r>
            <w:r w:rsidRPr="00154B2C">
              <w:rPr>
                <w:b/>
                <w:szCs w:val="22"/>
                <w:lang w:val="en-GB"/>
              </w:rPr>
              <w:t xml:space="preserve"> (new)</w:t>
            </w:r>
          </w:p>
        </w:tc>
        <w:tc>
          <w:tcPr>
            <w:tcW w:w="1825" w:type="dxa"/>
          </w:tcPr>
          <w:p w14:paraId="7895020A" w14:textId="77777777" w:rsidR="00E3287D" w:rsidRPr="00C33C0B" w:rsidRDefault="00E3287D" w:rsidP="00C65B0C">
            <w:pPr>
              <w:spacing w:before="20" w:after="20" w:line="240" w:lineRule="auto"/>
              <w:rPr>
                <w:szCs w:val="22"/>
                <w:lang w:val="en-GB"/>
              </w:rPr>
            </w:pPr>
            <w:r>
              <w:rPr>
                <w:szCs w:val="22"/>
                <w:lang w:val="en-GB"/>
              </w:rPr>
              <w:t>&lt;15 minutes</w:t>
            </w:r>
          </w:p>
        </w:tc>
        <w:tc>
          <w:tcPr>
            <w:tcW w:w="1036" w:type="dxa"/>
            <w:vMerge w:val="restart"/>
            <w:shd w:val="clear" w:color="auto" w:fill="auto"/>
          </w:tcPr>
          <w:p w14:paraId="077C2263" w14:textId="77777777" w:rsidR="00E3287D" w:rsidRPr="00C33C0B" w:rsidRDefault="00E3287D" w:rsidP="00C65B0C">
            <w:pPr>
              <w:spacing w:before="20" w:after="20" w:line="240" w:lineRule="auto"/>
              <w:rPr>
                <w:szCs w:val="22"/>
                <w:lang w:val="en-GB"/>
              </w:rPr>
            </w:pPr>
            <w:r w:rsidRPr="00C33C0B">
              <w:rPr>
                <w:szCs w:val="22"/>
                <w:lang w:val="en-GB"/>
              </w:rPr>
              <w:t>Participate</w:t>
            </w:r>
          </w:p>
        </w:tc>
        <w:tc>
          <w:tcPr>
            <w:tcW w:w="4974" w:type="dxa"/>
            <w:vMerge/>
            <w:shd w:val="clear" w:color="auto" w:fill="auto"/>
          </w:tcPr>
          <w:p w14:paraId="403FE10B" w14:textId="77777777" w:rsidR="00E3287D" w:rsidRPr="00C33C0B" w:rsidRDefault="00E3287D" w:rsidP="00C65B0C">
            <w:pPr>
              <w:spacing w:before="20" w:after="20" w:line="240" w:lineRule="auto"/>
              <w:rPr>
                <w:szCs w:val="22"/>
                <w:lang w:val="en-GB"/>
              </w:rPr>
            </w:pPr>
          </w:p>
        </w:tc>
      </w:tr>
      <w:tr w:rsidR="00E3287D" w:rsidRPr="00C33C0B" w14:paraId="4C88EEA8" w14:textId="77777777" w:rsidTr="00C65B0C">
        <w:tc>
          <w:tcPr>
            <w:tcW w:w="590" w:type="dxa"/>
            <w:shd w:val="clear" w:color="auto" w:fill="auto"/>
          </w:tcPr>
          <w:p w14:paraId="106A5119" w14:textId="77777777" w:rsidR="00E3287D" w:rsidRPr="00C33C0B" w:rsidRDefault="00E3287D" w:rsidP="00C65B0C">
            <w:pPr>
              <w:spacing w:before="20" w:after="20" w:line="240" w:lineRule="auto"/>
              <w:rPr>
                <w:szCs w:val="22"/>
                <w:lang w:val="en-GB"/>
              </w:rPr>
            </w:pPr>
            <w:r w:rsidRPr="00C33C0B">
              <w:rPr>
                <w:szCs w:val="22"/>
                <w:lang w:val="en-GB"/>
              </w:rPr>
              <w:t>835</w:t>
            </w:r>
          </w:p>
        </w:tc>
        <w:tc>
          <w:tcPr>
            <w:tcW w:w="1825" w:type="dxa"/>
          </w:tcPr>
          <w:p w14:paraId="59B5EE64" w14:textId="77777777" w:rsidR="00E3287D" w:rsidRPr="00C33C0B" w:rsidRDefault="00E3287D" w:rsidP="00C65B0C">
            <w:pPr>
              <w:spacing w:before="20" w:after="20" w:line="240" w:lineRule="auto"/>
              <w:rPr>
                <w:szCs w:val="22"/>
                <w:lang w:val="en-GB"/>
              </w:rPr>
            </w:pPr>
            <w:r w:rsidRPr="00C33C0B">
              <w:rPr>
                <w:szCs w:val="22"/>
                <w:lang w:val="en-GB"/>
              </w:rPr>
              <w:t>15</w:t>
            </w:r>
            <w:r>
              <w:rPr>
                <w:szCs w:val="22"/>
                <w:lang w:val="en-GB"/>
              </w:rPr>
              <w:t>–</w:t>
            </w:r>
            <w:r w:rsidRPr="00C33C0B">
              <w:rPr>
                <w:szCs w:val="22"/>
                <w:lang w:val="en-GB"/>
              </w:rPr>
              <w:t>30</w:t>
            </w:r>
            <w:r>
              <w:rPr>
                <w:szCs w:val="22"/>
                <w:lang w:val="en-GB"/>
              </w:rPr>
              <w:t xml:space="preserve"> </w:t>
            </w:r>
            <w:r w:rsidRPr="00C33C0B">
              <w:rPr>
                <w:szCs w:val="22"/>
                <w:lang w:val="en-GB"/>
              </w:rPr>
              <w:t>min</w:t>
            </w:r>
            <w:r>
              <w:rPr>
                <w:szCs w:val="22"/>
                <w:lang w:val="en-GB"/>
              </w:rPr>
              <w:t>ute</w:t>
            </w:r>
            <w:r w:rsidRPr="00C33C0B">
              <w:rPr>
                <w:szCs w:val="22"/>
                <w:lang w:val="en-GB"/>
              </w:rPr>
              <w:t>s</w:t>
            </w:r>
          </w:p>
          <w:p w14:paraId="33876904" w14:textId="77777777" w:rsidR="00E3287D" w:rsidRPr="00C33C0B" w:rsidRDefault="00E3287D" w:rsidP="00C65B0C">
            <w:pPr>
              <w:spacing w:before="20" w:after="20" w:line="240" w:lineRule="auto"/>
              <w:rPr>
                <w:szCs w:val="22"/>
                <w:lang w:val="en-GB"/>
              </w:rPr>
            </w:pPr>
          </w:p>
        </w:tc>
        <w:tc>
          <w:tcPr>
            <w:tcW w:w="1036" w:type="dxa"/>
            <w:vMerge/>
            <w:shd w:val="clear" w:color="auto" w:fill="auto"/>
          </w:tcPr>
          <w:p w14:paraId="6CD48D80" w14:textId="77777777" w:rsidR="00E3287D" w:rsidRPr="00C33C0B" w:rsidRDefault="00E3287D" w:rsidP="00C65B0C">
            <w:pPr>
              <w:spacing w:before="20" w:after="20" w:line="240" w:lineRule="auto"/>
              <w:rPr>
                <w:szCs w:val="22"/>
                <w:lang w:val="en-GB"/>
              </w:rPr>
            </w:pPr>
          </w:p>
        </w:tc>
        <w:tc>
          <w:tcPr>
            <w:tcW w:w="4974" w:type="dxa"/>
            <w:vMerge/>
            <w:shd w:val="clear" w:color="auto" w:fill="auto"/>
          </w:tcPr>
          <w:p w14:paraId="3145598B" w14:textId="77777777" w:rsidR="00E3287D" w:rsidRPr="00C33C0B" w:rsidRDefault="00E3287D" w:rsidP="00C65B0C">
            <w:pPr>
              <w:spacing w:before="20" w:after="20" w:line="240" w:lineRule="auto"/>
              <w:rPr>
                <w:szCs w:val="22"/>
                <w:lang w:val="en-GB"/>
              </w:rPr>
            </w:pPr>
          </w:p>
        </w:tc>
      </w:tr>
      <w:tr w:rsidR="00E3287D" w:rsidRPr="00C33C0B" w14:paraId="09391104" w14:textId="77777777" w:rsidTr="00C65B0C">
        <w:tc>
          <w:tcPr>
            <w:tcW w:w="590" w:type="dxa"/>
            <w:shd w:val="clear" w:color="auto" w:fill="auto"/>
          </w:tcPr>
          <w:p w14:paraId="3C386F9C" w14:textId="77777777" w:rsidR="00E3287D" w:rsidRPr="00C33C0B" w:rsidRDefault="00E3287D" w:rsidP="00C65B0C">
            <w:pPr>
              <w:spacing w:before="20" w:after="20" w:line="240" w:lineRule="auto"/>
              <w:rPr>
                <w:szCs w:val="22"/>
                <w:lang w:val="en-GB"/>
              </w:rPr>
            </w:pPr>
            <w:r w:rsidRPr="00C33C0B">
              <w:rPr>
                <w:szCs w:val="22"/>
                <w:lang w:val="en-GB"/>
              </w:rPr>
              <w:t>837</w:t>
            </w:r>
          </w:p>
        </w:tc>
        <w:tc>
          <w:tcPr>
            <w:tcW w:w="1825" w:type="dxa"/>
          </w:tcPr>
          <w:p w14:paraId="5C1E7F93" w14:textId="77777777" w:rsidR="00E3287D" w:rsidRPr="00C33C0B" w:rsidRDefault="00E3287D" w:rsidP="00C65B0C">
            <w:pPr>
              <w:spacing w:before="20" w:after="20" w:line="240" w:lineRule="auto"/>
              <w:rPr>
                <w:szCs w:val="22"/>
                <w:lang w:val="en-GB"/>
              </w:rPr>
            </w:pPr>
            <w:r w:rsidRPr="00C33C0B">
              <w:rPr>
                <w:szCs w:val="22"/>
                <w:lang w:val="en-GB"/>
              </w:rPr>
              <w:t>30</w:t>
            </w:r>
            <w:r>
              <w:rPr>
                <w:szCs w:val="22"/>
                <w:lang w:val="en-GB"/>
              </w:rPr>
              <w:t>–</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p w14:paraId="19110452" w14:textId="77777777" w:rsidR="00E3287D" w:rsidRPr="00C33C0B" w:rsidRDefault="00E3287D" w:rsidP="00C65B0C">
            <w:pPr>
              <w:spacing w:before="20" w:after="20" w:line="240" w:lineRule="auto"/>
              <w:rPr>
                <w:szCs w:val="22"/>
                <w:lang w:val="en-GB"/>
              </w:rPr>
            </w:pPr>
          </w:p>
        </w:tc>
        <w:tc>
          <w:tcPr>
            <w:tcW w:w="1036" w:type="dxa"/>
            <w:vMerge/>
            <w:shd w:val="clear" w:color="auto" w:fill="auto"/>
          </w:tcPr>
          <w:p w14:paraId="3CDF7011" w14:textId="77777777" w:rsidR="00E3287D" w:rsidRPr="00C33C0B" w:rsidRDefault="00E3287D" w:rsidP="00C65B0C">
            <w:pPr>
              <w:spacing w:before="20" w:after="20" w:line="240" w:lineRule="auto"/>
              <w:rPr>
                <w:szCs w:val="22"/>
                <w:lang w:val="en-GB"/>
              </w:rPr>
            </w:pPr>
          </w:p>
        </w:tc>
        <w:tc>
          <w:tcPr>
            <w:tcW w:w="4974" w:type="dxa"/>
            <w:vMerge/>
            <w:shd w:val="clear" w:color="auto" w:fill="auto"/>
          </w:tcPr>
          <w:p w14:paraId="62DB1171" w14:textId="77777777" w:rsidR="00E3287D" w:rsidRPr="00C33C0B" w:rsidRDefault="00E3287D" w:rsidP="00C65B0C">
            <w:pPr>
              <w:spacing w:before="20" w:after="20" w:line="240" w:lineRule="auto"/>
              <w:rPr>
                <w:szCs w:val="22"/>
                <w:lang w:val="en-GB"/>
              </w:rPr>
            </w:pPr>
          </w:p>
        </w:tc>
      </w:tr>
      <w:tr w:rsidR="00E3287D" w:rsidRPr="00C33C0B" w14:paraId="468ABD85" w14:textId="77777777" w:rsidTr="00C65B0C">
        <w:tc>
          <w:tcPr>
            <w:tcW w:w="590" w:type="dxa"/>
            <w:shd w:val="clear" w:color="auto" w:fill="auto"/>
          </w:tcPr>
          <w:p w14:paraId="6D4E8EAE" w14:textId="77777777" w:rsidR="00E3287D" w:rsidRPr="00C33C0B" w:rsidRDefault="00E3287D" w:rsidP="00C65B0C">
            <w:pPr>
              <w:spacing w:before="20" w:after="20" w:line="240" w:lineRule="auto"/>
              <w:rPr>
                <w:szCs w:val="22"/>
                <w:lang w:val="en-GB"/>
              </w:rPr>
            </w:pPr>
            <w:r w:rsidRPr="00C33C0B">
              <w:rPr>
                <w:szCs w:val="22"/>
                <w:lang w:val="en-GB"/>
              </w:rPr>
              <w:t>838</w:t>
            </w:r>
          </w:p>
        </w:tc>
        <w:tc>
          <w:tcPr>
            <w:tcW w:w="1825" w:type="dxa"/>
          </w:tcPr>
          <w:p w14:paraId="79C4AD4E" w14:textId="77777777" w:rsidR="00E3287D" w:rsidRPr="00C33C0B" w:rsidRDefault="00E3287D" w:rsidP="00C65B0C">
            <w:pPr>
              <w:spacing w:before="20" w:after="20" w:line="240" w:lineRule="auto"/>
              <w:rPr>
                <w:szCs w:val="22"/>
                <w:lang w:val="en-GB"/>
              </w:rPr>
            </w:pPr>
            <w:r>
              <w:rPr>
                <w:szCs w:val="22"/>
                <w:lang w:val="en-GB"/>
              </w:rPr>
              <w:t xml:space="preserve">More than </w:t>
            </w:r>
            <w:r w:rsidRPr="00C33C0B">
              <w:rPr>
                <w:szCs w:val="22"/>
                <w:lang w:val="en-GB"/>
              </w:rPr>
              <w:t>45</w:t>
            </w:r>
            <w:r>
              <w:rPr>
                <w:szCs w:val="22"/>
                <w:lang w:val="en-GB"/>
              </w:rPr>
              <w:t xml:space="preserve"> </w:t>
            </w:r>
            <w:r w:rsidRPr="00C33C0B">
              <w:rPr>
                <w:szCs w:val="22"/>
                <w:lang w:val="en-GB"/>
              </w:rPr>
              <w:t>min</w:t>
            </w:r>
            <w:r>
              <w:rPr>
                <w:szCs w:val="22"/>
                <w:lang w:val="en-GB"/>
              </w:rPr>
              <w:t>ute</w:t>
            </w:r>
            <w:r w:rsidRPr="00C33C0B">
              <w:rPr>
                <w:szCs w:val="22"/>
                <w:lang w:val="en-GB"/>
              </w:rPr>
              <w:t>s</w:t>
            </w:r>
          </w:p>
          <w:p w14:paraId="09399289" w14:textId="77777777" w:rsidR="00E3287D" w:rsidRPr="00C33C0B" w:rsidRDefault="00E3287D" w:rsidP="00C65B0C">
            <w:pPr>
              <w:spacing w:before="20" w:after="20" w:line="240" w:lineRule="auto"/>
              <w:rPr>
                <w:szCs w:val="22"/>
                <w:lang w:val="en-GB"/>
              </w:rPr>
            </w:pPr>
          </w:p>
        </w:tc>
        <w:tc>
          <w:tcPr>
            <w:tcW w:w="1036" w:type="dxa"/>
            <w:vMerge/>
            <w:shd w:val="clear" w:color="auto" w:fill="auto"/>
          </w:tcPr>
          <w:p w14:paraId="00B7355D" w14:textId="77777777" w:rsidR="00E3287D" w:rsidRPr="00C33C0B" w:rsidRDefault="00E3287D" w:rsidP="00C65B0C">
            <w:pPr>
              <w:spacing w:before="20" w:after="20" w:line="240" w:lineRule="auto"/>
              <w:rPr>
                <w:szCs w:val="22"/>
                <w:lang w:val="en-GB"/>
              </w:rPr>
            </w:pPr>
          </w:p>
        </w:tc>
        <w:tc>
          <w:tcPr>
            <w:tcW w:w="4974" w:type="dxa"/>
            <w:vMerge/>
            <w:shd w:val="clear" w:color="auto" w:fill="auto"/>
          </w:tcPr>
          <w:p w14:paraId="0F86EEFB" w14:textId="77777777" w:rsidR="00E3287D" w:rsidRPr="00C33C0B" w:rsidRDefault="00E3287D" w:rsidP="00C65B0C">
            <w:pPr>
              <w:spacing w:before="20" w:after="20" w:line="240" w:lineRule="auto"/>
              <w:rPr>
                <w:szCs w:val="22"/>
                <w:lang w:val="en-GB"/>
              </w:rPr>
            </w:pPr>
          </w:p>
        </w:tc>
      </w:tr>
      <w:tr w:rsidR="00E3287D" w:rsidRPr="00C33C0B" w14:paraId="0ACA079B" w14:textId="77777777" w:rsidTr="00C65B0C">
        <w:tc>
          <w:tcPr>
            <w:tcW w:w="590" w:type="dxa"/>
            <w:shd w:val="clear" w:color="auto" w:fill="auto"/>
          </w:tcPr>
          <w:p w14:paraId="53956E58" w14:textId="77777777" w:rsidR="00E3287D" w:rsidRPr="00EC2D91" w:rsidRDefault="00E3287D" w:rsidP="00C65B0C">
            <w:pPr>
              <w:spacing w:before="20" w:after="20" w:line="240" w:lineRule="auto"/>
              <w:rPr>
                <w:b/>
                <w:szCs w:val="22"/>
                <w:lang w:val="en-GB"/>
              </w:rPr>
            </w:pPr>
            <w:r w:rsidRPr="008F5ABE">
              <w:rPr>
                <w:szCs w:val="22"/>
                <w:lang w:val="en-GB"/>
              </w:rPr>
              <w:t>8TA</w:t>
            </w:r>
            <w:r w:rsidRPr="00EC2D91">
              <w:rPr>
                <w:b/>
                <w:szCs w:val="22"/>
                <w:lang w:val="en-GB"/>
              </w:rPr>
              <w:t xml:space="preserve"> (new)</w:t>
            </w:r>
          </w:p>
        </w:tc>
        <w:tc>
          <w:tcPr>
            <w:tcW w:w="1825" w:type="dxa"/>
          </w:tcPr>
          <w:p w14:paraId="26B71204" w14:textId="77777777" w:rsidR="00E3287D" w:rsidRPr="00C33C0B" w:rsidRDefault="00E3287D" w:rsidP="00C65B0C">
            <w:pPr>
              <w:spacing w:before="20" w:after="20" w:line="240" w:lineRule="auto"/>
              <w:rPr>
                <w:szCs w:val="22"/>
                <w:lang w:val="en-GB"/>
              </w:rPr>
            </w:pPr>
            <w:r>
              <w:rPr>
                <w:szCs w:val="22"/>
                <w:lang w:val="en-GB"/>
              </w:rPr>
              <w:t>&lt;15 minutes</w:t>
            </w:r>
          </w:p>
        </w:tc>
        <w:tc>
          <w:tcPr>
            <w:tcW w:w="1036" w:type="dxa"/>
            <w:shd w:val="clear" w:color="auto" w:fill="auto"/>
          </w:tcPr>
          <w:p w14:paraId="583AFA72" w14:textId="77777777" w:rsidR="00E3287D" w:rsidRPr="00C33C0B" w:rsidRDefault="00E3287D" w:rsidP="00C65B0C">
            <w:pPr>
              <w:spacing w:before="20" w:after="20" w:line="240" w:lineRule="auto"/>
              <w:rPr>
                <w:szCs w:val="22"/>
                <w:lang w:val="en-GB"/>
              </w:rPr>
            </w:pPr>
            <w:r w:rsidRPr="00C33C0B">
              <w:rPr>
                <w:szCs w:val="22"/>
                <w:lang w:val="en-GB"/>
              </w:rPr>
              <w:t>Organise and coordinate</w:t>
            </w:r>
          </w:p>
        </w:tc>
        <w:tc>
          <w:tcPr>
            <w:tcW w:w="4974" w:type="dxa"/>
            <w:shd w:val="clear" w:color="auto" w:fill="auto"/>
          </w:tcPr>
          <w:p w14:paraId="69A6BCD5" w14:textId="77777777" w:rsidR="00E3287D" w:rsidRPr="00C33C0B" w:rsidRDefault="00E3287D" w:rsidP="00C65B0C">
            <w:pPr>
              <w:spacing w:before="20" w:after="20" w:line="240" w:lineRule="auto"/>
              <w:rPr>
                <w:szCs w:val="22"/>
                <w:lang w:val="en-GB"/>
              </w:rPr>
            </w:pPr>
            <w:r w:rsidRPr="00C33C0B">
              <w:rPr>
                <w:szCs w:val="22"/>
                <w:lang w:val="en-GB"/>
              </w:rPr>
              <w:t xml:space="preserve">Attendance by a </w:t>
            </w:r>
            <w:r>
              <w:rPr>
                <w:szCs w:val="22"/>
                <w:lang w:val="en-GB"/>
              </w:rPr>
              <w:t>consultant specialist</w:t>
            </w:r>
            <w:r w:rsidRPr="00C33C0B">
              <w:rPr>
                <w:szCs w:val="22"/>
                <w:lang w:val="en-GB"/>
              </w:rPr>
              <w:t xml:space="preserve"> in the practice of his or her specialty to </w:t>
            </w:r>
            <w:r>
              <w:rPr>
                <w:szCs w:val="22"/>
                <w:lang w:val="en-GB"/>
              </w:rPr>
              <w:t>[insert role]</w:t>
            </w:r>
            <w:r w:rsidRPr="00C33C0B">
              <w:rPr>
                <w:szCs w:val="22"/>
                <w:lang w:val="en-GB"/>
              </w:rPr>
              <w:t xml:space="preserve"> a</w:t>
            </w:r>
            <w:r w:rsidRPr="00C33C0B">
              <w:rPr>
                <w:b/>
                <w:szCs w:val="22"/>
                <w:lang w:val="en-GB"/>
              </w:rPr>
              <w:t xml:space="preserve"> treatment planning case conference</w:t>
            </w:r>
            <w:r w:rsidRPr="00C33C0B">
              <w:rPr>
                <w:szCs w:val="22"/>
                <w:lang w:val="en-GB"/>
              </w:rPr>
              <w:t xml:space="preserve"> of at least [X] minutes but less than [X] minutes, requiring:</w:t>
            </w:r>
          </w:p>
          <w:p w14:paraId="3CA713EA" w14:textId="77777777" w:rsidR="00E3287D" w:rsidRPr="00C33C0B" w:rsidRDefault="00E3287D" w:rsidP="000831A1">
            <w:pPr>
              <w:pStyle w:val="ListParagraph"/>
              <w:numPr>
                <w:ilvl w:val="0"/>
                <w:numId w:val="24"/>
              </w:numPr>
              <w:spacing w:before="20" w:after="20" w:line="240" w:lineRule="auto"/>
              <w:rPr>
                <w:szCs w:val="22"/>
                <w:lang w:val="en-GB"/>
              </w:rPr>
            </w:pPr>
            <w:r w:rsidRPr="00C33C0B">
              <w:rPr>
                <w:szCs w:val="22"/>
                <w:lang w:val="en-GB"/>
              </w:rPr>
              <w:t>Discussion of treatment options, including risks and benefits, for patients who have been diagnosed but not yet received treatment, or where a significant change in ongoing treatment requires MDT input; and</w:t>
            </w:r>
          </w:p>
          <w:p w14:paraId="70B3DE5B" w14:textId="77777777" w:rsidR="00E3287D" w:rsidRPr="00C33C0B" w:rsidRDefault="00E3287D" w:rsidP="000831A1">
            <w:pPr>
              <w:pStyle w:val="ListParagraph"/>
              <w:numPr>
                <w:ilvl w:val="0"/>
                <w:numId w:val="24"/>
              </w:numPr>
              <w:spacing w:before="20" w:after="20" w:line="240" w:lineRule="auto"/>
              <w:rPr>
                <w:szCs w:val="22"/>
                <w:lang w:val="en-GB"/>
              </w:rPr>
            </w:pPr>
            <w:r w:rsidRPr="00C33C0B">
              <w:rPr>
                <w:szCs w:val="22"/>
                <w:lang w:val="en-GB"/>
              </w:rPr>
              <w:t>Written pre-brief materials to be sent prior to the conference that outlines available treatment options; and</w:t>
            </w:r>
          </w:p>
          <w:p w14:paraId="3F664DE8" w14:textId="77777777" w:rsidR="00E3287D" w:rsidRPr="00C33C0B" w:rsidRDefault="00E3287D" w:rsidP="000831A1">
            <w:pPr>
              <w:pStyle w:val="ListParagraph"/>
              <w:numPr>
                <w:ilvl w:val="0"/>
                <w:numId w:val="24"/>
              </w:numPr>
              <w:spacing w:before="20" w:after="20" w:line="240" w:lineRule="auto"/>
              <w:rPr>
                <w:szCs w:val="22"/>
                <w:lang w:val="en-GB"/>
              </w:rPr>
            </w:pPr>
            <w:r w:rsidRPr="00C33C0B">
              <w:rPr>
                <w:szCs w:val="22"/>
                <w:lang w:val="en-GB"/>
              </w:rPr>
              <w:t>Final treatment decisions to be made together with the patient (unless there are exceptional circumstances); and</w:t>
            </w:r>
          </w:p>
          <w:p w14:paraId="52C79911" w14:textId="77777777" w:rsidR="00E3287D" w:rsidRPr="00C33C0B" w:rsidRDefault="00E3287D" w:rsidP="000831A1">
            <w:pPr>
              <w:pStyle w:val="ListParagraph"/>
              <w:numPr>
                <w:ilvl w:val="0"/>
                <w:numId w:val="24"/>
              </w:numPr>
              <w:spacing w:before="20" w:after="20" w:line="240" w:lineRule="auto"/>
              <w:rPr>
                <w:szCs w:val="22"/>
                <w:lang w:val="en-GB"/>
              </w:rPr>
            </w:pPr>
            <w:r w:rsidRPr="00C33C0B">
              <w:rPr>
                <w:szCs w:val="22"/>
                <w:lang w:val="en-GB"/>
              </w:rPr>
              <w:t>A</w:t>
            </w:r>
            <w:r>
              <w:rPr>
                <w:szCs w:val="22"/>
                <w:lang w:val="en-GB"/>
              </w:rPr>
              <w:t>t least 2</w:t>
            </w:r>
            <w:r w:rsidRPr="00C33C0B">
              <w:rPr>
                <w:szCs w:val="22"/>
                <w:lang w:val="en-GB"/>
              </w:rPr>
              <w:t xml:space="preserve"> other formal care providers of different disciplines to be present; and</w:t>
            </w:r>
          </w:p>
          <w:p w14:paraId="4E480E92" w14:textId="77777777" w:rsidR="00E3287D" w:rsidRDefault="00E3287D" w:rsidP="000831A1">
            <w:pPr>
              <w:pStyle w:val="ListParagraph"/>
              <w:numPr>
                <w:ilvl w:val="0"/>
                <w:numId w:val="24"/>
              </w:numPr>
              <w:spacing w:before="20" w:after="20" w:line="240" w:lineRule="auto"/>
              <w:rPr>
                <w:szCs w:val="22"/>
                <w:lang w:val="en-GB"/>
              </w:rPr>
            </w:pPr>
            <w:r w:rsidRPr="00C33C0B">
              <w:rPr>
                <w:szCs w:val="22"/>
                <w:lang w:val="en-GB"/>
              </w:rPr>
              <w:t>Outcomes to be documented in writing, including shared decisions made and informed consent sought</w:t>
            </w:r>
            <w:r>
              <w:rPr>
                <w:szCs w:val="22"/>
                <w:lang w:val="en-GB"/>
              </w:rPr>
              <w:t>; and</w:t>
            </w:r>
          </w:p>
          <w:p w14:paraId="3D63D85F" w14:textId="77777777" w:rsidR="00E3287D" w:rsidRPr="00794929" w:rsidRDefault="00E3287D" w:rsidP="000831A1">
            <w:pPr>
              <w:pStyle w:val="ListParagraph"/>
              <w:numPr>
                <w:ilvl w:val="0"/>
                <w:numId w:val="24"/>
              </w:numPr>
              <w:spacing w:before="20" w:after="20" w:line="240" w:lineRule="auto"/>
              <w:rPr>
                <w:szCs w:val="22"/>
                <w:lang w:val="en-GB"/>
              </w:rPr>
            </w:pPr>
            <w:r w:rsidRPr="00C474A8">
              <w:rPr>
                <w:szCs w:val="22"/>
                <w:lang w:val="en-GB"/>
              </w:rPr>
              <w:t>A copy of the case conference outcomes to be uploaded to My Health Record, unless patient consent is withdrawn, a</w:t>
            </w:r>
            <w:r>
              <w:rPr>
                <w:szCs w:val="22"/>
                <w:lang w:val="en-GB"/>
              </w:rPr>
              <w:t>nd where reasonably achievable.</w:t>
            </w:r>
          </w:p>
          <w:p w14:paraId="3A708C7A" w14:textId="77777777" w:rsidR="00E3287D" w:rsidRPr="00C33C0B" w:rsidRDefault="00E3287D" w:rsidP="00C65B0C">
            <w:pPr>
              <w:spacing w:before="20" w:after="20" w:line="240" w:lineRule="auto"/>
              <w:rPr>
                <w:szCs w:val="22"/>
                <w:lang w:val="en-GB"/>
              </w:rPr>
            </w:pPr>
            <w:r w:rsidRPr="00C33C0B">
              <w:rPr>
                <w:szCs w:val="22"/>
                <w:lang w:val="en-GB"/>
              </w:rPr>
              <w:t>All participants must be in communication with each other throughout the conference, either face-to-face, by telephone or by videoconference, or a combination of these</w:t>
            </w:r>
          </w:p>
        </w:tc>
      </w:tr>
    </w:tbl>
    <w:p w14:paraId="03926C46" w14:textId="77777777" w:rsidR="00940D6E" w:rsidRPr="00940D6E" w:rsidRDefault="00940D6E" w:rsidP="00940D6E">
      <w:pPr>
        <w:rPr>
          <w:b/>
          <w:bCs/>
          <w:iCs/>
          <w:lang w:val="en-US" w:eastAsia="en-US"/>
        </w:rPr>
      </w:pPr>
      <w:r w:rsidRPr="00940D6E">
        <w:rPr>
          <w:b/>
          <w:bCs/>
          <w:iCs/>
          <w:lang w:val="en-US" w:eastAsia="en-US"/>
        </w:rPr>
        <w:t>Recommendation 1</w:t>
      </w:r>
      <w:r w:rsidR="00FC6719">
        <w:rPr>
          <w:b/>
          <w:bCs/>
          <w:iCs/>
          <w:lang w:val="en-US" w:eastAsia="en-US"/>
        </w:rPr>
        <w:t>2</w:t>
      </w:r>
      <w:r w:rsidRPr="00940D6E">
        <w:rPr>
          <w:b/>
          <w:bCs/>
          <w:iCs/>
          <w:lang w:val="en-US" w:eastAsia="en-US"/>
        </w:rPr>
        <w:t xml:space="preserve"> - Introduce case conference items for allied health professionals (AHPs) and nurse practitioners</w:t>
      </w:r>
    </w:p>
    <w:p w14:paraId="23507E4A" w14:textId="77777777" w:rsidR="00940D6E" w:rsidRPr="00940D6E" w:rsidRDefault="00940D6E" w:rsidP="00940D6E">
      <w:pPr>
        <w:rPr>
          <w:bCs/>
          <w:iCs/>
          <w:lang w:val="en-US" w:eastAsia="en-US"/>
        </w:rPr>
      </w:pPr>
      <w:r w:rsidRPr="00940D6E">
        <w:rPr>
          <w:bCs/>
          <w:iCs/>
          <w:lang w:val="en-US" w:eastAsia="en-US"/>
        </w:rPr>
        <w:t>The Committee recommends that AHPs who access these items should be limited to those who are eligible to access AHP items under Group M3 of the MBS, including:</w:t>
      </w:r>
    </w:p>
    <w:p w14:paraId="6209B3F3" w14:textId="77777777" w:rsidR="00940D6E" w:rsidRPr="00DD0801" w:rsidRDefault="00940D6E" w:rsidP="000831A1">
      <w:pPr>
        <w:pStyle w:val="ListParagraph"/>
        <w:numPr>
          <w:ilvl w:val="0"/>
          <w:numId w:val="91"/>
        </w:numPr>
        <w:rPr>
          <w:bCs/>
          <w:iCs/>
          <w:lang w:val="en-US" w:eastAsia="en-US"/>
        </w:rPr>
      </w:pPr>
      <w:r w:rsidRPr="00DD0801">
        <w:rPr>
          <w:bCs/>
          <w:iCs/>
          <w:lang w:val="en-US" w:eastAsia="en-US"/>
        </w:rPr>
        <w:t>Aboriginal and Torres Strait Islander health practitioners, Aboriginal health workers, audiologists, chiropractors, diabetes educators, dietitians, exercise physiologists, mental health nurses, occupational therapists, osteopaths, physiotherapists, podiatrists, psychologists, social workers, and speech pathologists.</w:t>
      </w:r>
    </w:p>
    <w:p w14:paraId="29494DAA" w14:textId="77777777" w:rsidR="00940D6E" w:rsidRPr="00940D6E" w:rsidRDefault="00940D6E" w:rsidP="00940D6E">
      <w:pPr>
        <w:rPr>
          <w:bCs/>
          <w:i/>
          <w:iCs/>
          <w:lang w:val="en-US" w:eastAsia="en-US"/>
        </w:rPr>
      </w:pPr>
      <w:r w:rsidRPr="00940D6E">
        <w:rPr>
          <w:bCs/>
          <w:i/>
          <w:iCs/>
          <w:lang w:val="en-US" w:eastAsia="en-US"/>
        </w:rPr>
        <w:t>Note: Full descriptors for these items can be viewed in the final GPPCCC report.</w:t>
      </w:r>
    </w:p>
    <w:p w14:paraId="7C354B2B" w14:textId="77777777" w:rsidR="00940D6E" w:rsidRPr="00940D6E" w:rsidRDefault="00940D6E" w:rsidP="00940D6E">
      <w:pPr>
        <w:rPr>
          <w:b/>
          <w:bCs/>
          <w:iCs/>
          <w:lang w:val="en-US" w:eastAsia="en-US"/>
        </w:rPr>
      </w:pPr>
      <w:r w:rsidRPr="00940D6E">
        <w:rPr>
          <w:b/>
          <w:bCs/>
          <w:iCs/>
          <w:lang w:val="en-US" w:eastAsia="en-US"/>
        </w:rPr>
        <w:t>Recommendation 1</w:t>
      </w:r>
      <w:r w:rsidR="00FC6719">
        <w:rPr>
          <w:b/>
          <w:bCs/>
          <w:iCs/>
          <w:lang w:val="en-US" w:eastAsia="en-US"/>
        </w:rPr>
        <w:t>3</w:t>
      </w:r>
      <w:r w:rsidRPr="00940D6E">
        <w:rPr>
          <w:b/>
          <w:bCs/>
          <w:iCs/>
          <w:lang w:val="en-US" w:eastAsia="en-US"/>
        </w:rPr>
        <w:t xml:space="preserve"> – Referral for examination of informed financial consent</w:t>
      </w:r>
    </w:p>
    <w:p w14:paraId="2391BDB7" w14:textId="77777777" w:rsidR="00940D6E" w:rsidRPr="00940D6E" w:rsidRDefault="00940D6E" w:rsidP="00940D6E">
      <w:pPr>
        <w:rPr>
          <w:bCs/>
          <w:iCs/>
          <w:lang w:val="en-US" w:eastAsia="en-US"/>
        </w:rPr>
      </w:pPr>
      <w:r w:rsidRPr="00940D6E">
        <w:rPr>
          <w:bCs/>
          <w:iCs/>
          <w:lang w:val="en-US" w:eastAsia="en-US"/>
        </w:rPr>
        <w:t>The Committee recommends that the Principles and Rules Committee examine the issue of informed financial consent for out-of-pocket fees charged with case conference items.</w:t>
      </w:r>
    </w:p>
    <w:p w14:paraId="2927CA28" w14:textId="77777777" w:rsidR="00940D6E" w:rsidRPr="00940D6E" w:rsidRDefault="00940D6E" w:rsidP="00940D6E">
      <w:pPr>
        <w:rPr>
          <w:b/>
          <w:bCs/>
          <w:iCs/>
          <w:lang w:val="en-US" w:eastAsia="en-US"/>
        </w:rPr>
      </w:pPr>
      <w:r w:rsidRPr="00940D6E">
        <w:rPr>
          <w:b/>
          <w:bCs/>
          <w:iCs/>
          <w:lang w:val="en-US" w:eastAsia="en-US"/>
        </w:rPr>
        <w:t>Recommendation 1</w:t>
      </w:r>
      <w:r w:rsidR="00FC6719">
        <w:rPr>
          <w:b/>
          <w:bCs/>
          <w:iCs/>
          <w:lang w:val="en-US" w:eastAsia="en-US"/>
        </w:rPr>
        <w:t>4</w:t>
      </w:r>
      <w:r w:rsidRPr="00940D6E">
        <w:rPr>
          <w:b/>
          <w:bCs/>
          <w:iCs/>
          <w:lang w:val="en-US" w:eastAsia="en-US"/>
        </w:rPr>
        <w:t xml:space="preserve"> - Establish a minimum data set to inform evidence-based clinical practice and inform patient choice</w:t>
      </w:r>
    </w:p>
    <w:p w14:paraId="76832E9B" w14:textId="77777777" w:rsidR="00940D6E" w:rsidRPr="00940D6E" w:rsidRDefault="00940D6E" w:rsidP="00940D6E">
      <w:pPr>
        <w:rPr>
          <w:bCs/>
          <w:iCs/>
          <w:lang w:val="en-US" w:eastAsia="en-US"/>
        </w:rPr>
      </w:pPr>
      <w:r w:rsidRPr="00940D6E">
        <w:rPr>
          <w:bCs/>
          <w:iCs/>
          <w:lang w:val="en-US" w:eastAsia="en-US"/>
        </w:rPr>
        <w:t xml:space="preserve">The Committee recommends a step-wise approach to establishing a </w:t>
      </w:r>
      <w:r w:rsidR="00196C0C">
        <w:rPr>
          <w:bCs/>
          <w:iCs/>
          <w:lang w:val="en-US" w:eastAsia="en-US"/>
        </w:rPr>
        <w:t xml:space="preserve">national </w:t>
      </w:r>
      <w:r w:rsidRPr="00940D6E">
        <w:rPr>
          <w:bCs/>
          <w:iCs/>
          <w:lang w:val="en-US" w:eastAsia="en-US"/>
        </w:rPr>
        <w:t>minimum data set, through</w:t>
      </w:r>
      <w:r w:rsidR="00C65B0C">
        <w:rPr>
          <w:bCs/>
          <w:iCs/>
          <w:lang w:val="en-US" w:eastAsia="en-US"/>
        </w:rPr>
        <w:t>:</w:t>
      </w:r>
    </w:p>
    <w:p w14:paraId="219FD47D" w14:textId="77777777" w:rsidR="00940D6E" w:rsidRPr="00C65B0C" w:rsidRDefault="001F35F3" w:rsidP="000831A1">
      <w:pPr>
        <w:pStyle w:val="ListParagraph"/>
        <w:numPr>
          <w:ilvl w:val="0"/>
          <w:numId w:val="92"/>
        </w:numPr>
        <w:rPr>
          <w:bCs/>
          <w:iCs/>
          <w:lang w:val="en-US" w:eastAsia="en-US"/>
        </w:rPr>
      </w:pPr>
      <w:r>
        <w:rPr>
          <w:bCs/>
          <w:iCs/>
          <w:lang w:val="en-US" w:eastAsia="en-US"/>
        </w:rPr>
        <w:t>C</w:t>
      </w:r>
      <w:r w:rsidR="00940D6E" w:rsidRPr="00C65B0C">
        <w:rPr>
          <w:bCs/>
          <w:iCs/>
          <w:lang w:val="en-US" w:eastAsia="en-US"/>
        </w:rPr>
        <w:t xml:space="preserve">reating linkages with the Australian Commission on Safety and Quality in Health Care to support a data-driven picture of variation </w:t>
      </w:r>
      <w:r>
        <w:rPr>
          <w:bCs/>
          <w:iCs/>
          <w:lang w:val="en-US" w:eastAsia="en-US"/>
        </w:rPr>
        <w:t>in clinical practice nationally.</w:t>
      </w:r>
      <w:r w:rsidR="00940D6E" w:rsidRPr="00C65B0C">
        <w:rPr>
          <w:bCs/>
          <w:iCs/>
          <w:lang w:val="en-US" w:eastAsia="en-US"/>
        </w:rPr>
        <w:t xml:space="preserve"> </w:t>
      </w:r>
    </w:p>
    <w:p w14:paraId="0BA793B5" w14:textId="77777777" w:rsidR="00940D6E" w:rsidRPr="00C65B0C" w:rsidRDefault="001F35F3" w:rsidP="000831A1">
      <w:pPr>
        <w:pStyle w:val="ListParagraph"/>
        <w:numPr>
          <w:ilvl w:val="0"/>
          <w:numId w:val="92"/>
        </w:numPr>
        <w:rPr>
          <w:bCs/>
          <w:iCs/>
          <w:lang w:val="en-US" w:eastAsia="en-US"/>
        </w:rPr>
      </w:pPr>
      <w:r>
        <w:rPr>
          <w:bCs/>
          <w:iCs/>
          <w:lang w:val="en-US" w:eastAsia="en-US"/>
        </w:rPr>
        <w:t>E</w:t>
      </w:r>
      <w:r w:rsidR="00940D6E" w:rsidRPr="00C65B0C">
        <w:rPr>
          <w:bCs/>
          <w:iCs/>
          <w:lang w:val="en-US" w:eastAsia="en-US"/>
        </w:rPr>
        <w:t xml:space="preserve">stablishing a minimum data set to record outcome and process data on topics such as mortality, morbidity, readmissions, and patient-reported outcomes. It is recommended the data be used to: </w:t>
      </w:r>
    </w:p>
    <w:p w14:paraId="36DA477E" w14:textId="77777777" w:rsidR="00940D6E" w:rsidRPr="00C65B0C" w:rsidRDefault="00196C0C" w:rsidP="000831A1">
      <w:pPr>
        <w:pStyle w:val="ListParagraph"/>
        <w:numPr>
          <w:ilvl w:val="0"/>
          <w:numId w:val="93"/>
        </w:numPr>
        <w:rPr>
          <w:bCs/>
          <w:iCs/>
          <w:lang w:val="en-US" w:eastAsia="en-US"/>
        </w:rPr>
      </w:pPr>
      <w:r>
        <w:rPr>
          <w:bCs/>
          <w:iCs/>
          <w:lang w:val="en-US" w:eastAsia="en-US"/>
        </w:rPr>
        <w:t>b</w:t>
      </w:r>
      <w:r w:rsidR="00940D6E" w:rsidRPr="00C65B0C">
        <w:rPr>
          <w:bCs/>
          <w:iCs/>
          <w:lang w:val="en-US" w:eastAsia="en-US"/>
        </w:rPr>
        <w:t>enchmark internally and with peers (determined by the professional grou</w:t>
      </w:r>
      <w:r>
        <w:rPr>
          <w:bCs/>
          <w:iCs/>
          <w:lang w:val="en-US" w:eastAsia="en-US"/>
        </w:rPr>
        <w:t xml:space="preserve">p) to drive quality improvement; and </w:t>
      </w:r>
    </w:p>
    <w:p w14:paraId="6EF58436" w14:textId="77777777" w:rsidR="00940D6E" w:rsidRPr="00C65B0C" w:rsidRDefault="00196C0C" w:rsidP="000831A1">
      <w:pPr>
        <w:pStyle w:val="ListParagraph"/>
        <w:numPr>
          <w:ilvl w:val="0"/>
          <w:numId w:val="93"/>
        </w:numPr>
        <w:rPr>
          <w:bCs/>
          <w:iCs/>
          <w:lang w:val="en-US" w:eastAsia="en-US"/>
        </w:rPr>
      </w:pPr>
      <w:r>
        <w:rPr>
          <w:bCs/>
          <w:iCs/>
          <w:lang w:val="en-US" w:eastAsia="en-US"/>
        </w:rPr>
        <w:t>i</w:t>
      </w:r>
      <w:r w:rsidR="00940D6E" w:rsidRPr="00C65B0C">
        <w:rPr>
          <w:bCs/>
          <w:iCs/>
          <w:lang w:val="en-US" w:eastAsia="en-US"/>
        </w:rPr>
        <w:t>nform patient choice of institution and consultant specialist (see further information in Recommendation 11).</w:t>
      </w:r>
    </w:p>
    <w:p w14:paraId="5BDE0AD8" w14:textId="77777777" w:rsidR="001F35F3" w:rsidRDefault="001F35F3" w:rsidP="001F35F3">
      <w:pPr>
        <w:pStyle w:val="ListParagraph"/>
        <w:numPr>
          <w:ilvl w:val="0"/>
          <w:numId w:val="92"/>
        </w:numPr>
        <w:rPr>
          <w:bCs/>
          <w:iCs/>
          <w:lang w:val="en-US" w:eastAsia="en-US"/>
        </w:rPr>
      </w:pPr>
      <w:r>
        <w:rPr>
          <w:bCs/>
          <w:iCs/>
          <w:lang w:val="en-US" w:eastAsia="en-US"/>
        </w:rPr>
        <w:t>E</w:t>
      </w:r>
      <w:r w:rsidR="00940D6E" w:rsidRPr="00C65B0C">
        <w:rPr>
          <w:bCs/>
          <w:iCs/>
          <w:lang w:val="en-US" w:eastAsia="en-US"/>
        </w:rPr>
        <w:t>nsuring complete integrity in the accuracy of the data, the rigour of its analysis, and its appropriate risk-weighting before being used for the purposes of comparison. This includes, but should not be limited to, addressing the following challenges:</w:t>
      </w:r>
    </w:p>
    <w:p w14:paraId="7052EACA" w14:textId="77777777" w:rsidR="001F35F3" w:rsidRDefault="001F35F3" w:rsidP="001F35F3">
      <w:pPr>
        <w:pStyle w:val="ListParagraph"/>
        <w:numPr>
          <w:ilvl w:val="1"/>
          <w:numId w:val="92"/>
        </w:numPr>
        <w:rPr>
          <w:bCs/>
          <w:iCs/>
          <w:lang w:val="en-US" w:eastAsia="en-US"/>
        </w:rPr>
      </w:pPr>
      <w:r>
        <w:rPr>
          <w:bCs/>
          <w:iCs/>
          <w:lang w:val="en-US" w:eastAsia="en-US"/>
        </w:rPr>
        <w:t>n</w:t>
      </w:r>
      <w:r w:rsidR="00940D6E" w:rsidRPr="001F35F3">
        <w:rPr>
          <w:bCs/>
          <w:iCs/>
          <w:lang w:val="en-US" w:eastAsia="en-US"/>
        </w:rPr>
        <w:t>ewly qualified consultant specialists</w:t>
      </w:r>
      <w:r>
        <w:rPr>
          <w:bCs/>
          <w:iCs/>
          <w:lang w:val="en-US" w:eastAsia="en-US"/>
        </w:rPr>
        <w:t>;</w:t>
      </w:r>
    </w:p>
    <w:p w14:paraId="38063DEC" w14:textId="77777777" w:rsidR="001F35F3" w:rsidRDefault="001F35F3" w:rsidP="001F35F3">
      <w:pPr>
        <w:pStyle w:val="ListParagraph"/>
        <w:numPr>
          <w:ilvl w:val="1"/>
          <w:numId w:val="92"/>
        </w:numPr>
        <w:rPr>
          <w:bCs/>
          <w:iCs/>
          <w:lang w:val="en-US" w:eastAsia="en-US"/>
        </w:rPr>
      </w:pPr>
      <w:r>
        <w:rPr>
          <w:bCs/>
          <w:iCs/>
          <w:lang w:val="en-US" w:eastAsia="en-US"/>
        </w:rPr>
        <w:t>c</w:t>
      </w:r>
      <w:r w:rsidR="00940D6E" w:rsidRPr="001F35F3">
        <w:rPr>
          <w:bCs/>
          <w:iCs/>
          <w:lang w:val="en-US" w:eastAsia="en-US"/>
        </w:rPr>
        <w:t>onsultant specialists returning from a long leave of absence</w:t>
      </w:r>
      <w:r>
        <w:rPr>
          <w:bCs/>
          <w:iCs/>
          <w:lang w:val="en-US" w:eastAsia="en-US"/>
        </w:rPr>
        <w:t>;</w:t>
      </w:r>
    </w:p>
    <w:p w14:paraId="628247FF" w14:textId="77777777" w:rsidR="001F35F3" w:rsidRDefault="001F35F3" w:rsidP="001F35F3">
      <w:pPr>
        <w:pStyle w:val="ListParagraph"/>
        <w:numPr>
          <w:ilvl w:val="1"/>
          <w:numId w:val="92"/>
        </w:numPr>
        <w:rPr>
          <w:bCs/>
          <w:iCs/>
          <w:lang w:val="en-US" w:eastAsia="en-US"/>
        </w:rPr>
      </w:pPr>
      <w:r>
        <w:rPr>
          <w:bCs/>
          <w:iCs/>
          <w:lang w:val="en-US" w:eastAsia="en-US"/>
        </w:rPr>
        <w:t>t</w:t>
      </w:r>
      <w:r w:rsidR="00940D6E" w:rsidRPr="001F35F3">
        <w:rPr>
          <w:bCs/>
          <w:iCs/>
          <w:lang w:val="en-US" w:eastAsia="en-US"/>
        </w:rPr>
        <w:t>he effect of a complication where the incidence of that complication is extremely low</w:t>
      </w:r>
      <w:r>
        <w:rPr>
          <w:bCs/>
          <w:iCs/>
          <w:lang w:val="en-US" w:eastAsia="en-US"/>
        </w:rPr>
        <w:t>;</w:t>
      </w:r>
    </w:p>
    <w:p w14:paraId="3B10E37E" w14:textId="77777777" w:rsidR="001F35F3" w:rsidRDefault="001F35F3" w:rsidP="001F35F3">
      <w:pPr>
        <w:pStyle w:val="ListParagraph"/>
        <w:numPr>
          <w:ilvl w:val="1"/>
          <w:numId w:val="92"/>
        </w:numPr>
        <w:rPr>
          <w:bCs/>
          <w:iCs/>
          <w:lang w:val="en-US" w:eastAsia="en-US"/>
        </w:rPr>
      </w:pPr>
      <w:r>
        <w:rPr>
          <w:bCs/>
          <w:iCs/>
          <w:lang w:val="en-US" w:eastAsia="en-US"/>
        </w:rPr>
        <w:t>c</w:t>
      </w:r>
      <w:r w:rsidR="00940D6E" w:rsidRPr="001F35F3">
        <w:rPr>
          <w:bCs/>
          <w:iCs/>
          <w:lang w:val="en-US" w:eastAsia="en-US"/>
        </w:rPr>
        <w:t>onsultant specialists who treat low volume disease of high complexity</w:t>
      </w:r>
      <w:r>
        <w:rPr>
          <w:bCs/>
          <w:iCs/>
          <w:lang w:val="en-US" w:eastAsia="en-US"/>
        </w:rPr>
        <w:t>;</w:t>
      </w:r>
    </w:p>
    <w:p w14:paraId="11F43B28" w14:textId="77777777" w:rsidR="001F35F3" w:rsidRDefault="001F35F3" w:rsidP="001F35F3">
      <w:pPr>
        <w:pStyle w:val="ListParagraph"/>
        <w:numPr>
          <w:ilvl w:val="1"/>
          <w:numId w:val="92"/>
        </w:numPr>
        <w:rPr>
          <w:bCs/>
          <w:iCs/>
          <w:lang w:val="en-US" w:eastAsia="en-US"/>
        </w:rPr>
      </w:pPr>
      <w:r>
        <w:rPr>
          <w:bCs/>
          <w:iCs/>
          <w:lang w:val="en-US" w:eastAsia="en-US"/>
        </w:rPr>
        <w:t>t</w:t>
      </w:r>
      <w:r w:rsidR="00940D6E" w:rsidRPr="001F35F3">
        <w:rPr>
          <w:bCs/>
          <w:iCs/>
          <w:lang w:val="en-US" w:eastAsia="en-US"/>
        </w:rPr>
        <w:t>he introduction of new technologies for a service</w:t>
      </w:r>
      <w:r>
        <w:rPr>
          <w:bCs/>
          <w:iCs/>
          <w:lang w:val="en-US" w:eastAsia="en-US"/>
        </w:rPr>
        <w:t>;</w:t>
      </w:r>
    </w:p>
    <w:p w14:paraId="618E33F6" w14:textId="77777777" w:rsidR="001F35F3" w:rsidRDefault="001F35F3" w:rsidP="001F35F3">
      <w:pPr>
        <w:pStyle w:val="ListParagraph"/>
        <w:numPr>
          <w:ilvl w:val="1"/>
          <w:numId w:val="92"/>
        </w:numPr>
        <w:rPr>
          <w:bCs/>
          <w:iCs/>
          <w:lang w:val="en-US" w:eastAsia="en-US"/>
        </w:rPr>
      </w:pPr>
      <w:r>
        <w:rPr>
          <w:bCs/>
          <w:iCs/>
          <w:lang w:val="en-US" w:eastAsia="en-US"/>
        </w:rPr>
        <w:t>t</w:t>
      </w:r>
      <w:r w:rsidR="00940D6E" w:rsidRPr="001F35F3">
        <w:rPr>
          <w:bCs/>
          <w:iCs/>
          <w:lang w:val="en-US" w:eastAsia="en-US"/>
        </w:rPr>
        <w:t>he opening of new units (e.g., new operating theatre)</w:t>
      </w:r>
      <w:r>
        <w:rPr>
          <w:bCs/>
          <w:iCs/>
          <w:lang w:val="en-US" w:eastAsia="en-US"/>
        </w:rPr>
        <w:t>;</w:t>
      </w:r>
    </w:p>
    <w:p w14:paraId="276C5AAE" w14:textId="77777777" w:rsidR="001F35F3" w:rsidRDefault="001F35F3" w:rsidP="001F35F3">
      <w:pPr>
        <w:pStyle w:val="ListParagraph"/>
        <w:numPr>
          <w:ilvl w:val="1"/>
          <w:numId w:val="92"/>
        </w:numPr>
        <w:rPr>
          <w:bCs/>
          <w:iCs/>
          <w:lang w:val="en-US" w:eastAsia="en-US"/>
        </w:rPr>
      </w:pPr>
      <w:r>
        <w:rPr>
          <w:bCs/>
          <w:iCs/>
          <w:lang w:val="en-US" w:eastAsia="en-US"/>
        </w:rPr>
        <w:t>c</w:t>
      </w:r>
      <w:r w:rsidR="00940D6E" w:rsidRPr="001F35F3">
        <w:rPr>
          <w:bCs/>
          <w:iCs/>
          <w:lang w:val="en-US" w:eastAsia="en-US"/>
        </w:rPr>
        <w:t xml:space="preserve">onsultant Specialists whose referral base </w:t>
      </w:r>
      <w:r>
        <w:rPr>
          <w:bCs/>
          <w:iCs/>
          <w:lang w:val="en-US" w:eastAsia="en-US"/>
        </w:rPr>
        <w:t>provides high risk patients;</w:t>
      </w:r>
      <w:r w:rsidR="00940D6E" w:rsidRPr="001F35F3">
        <w:rPr>
          <w:bCs/>
          <w:iCs/>
          <w:lang w:val="en-US" w:eastAsia="en-US"/>
        </w:rPr>
        <w:t xml:space="preserve"> and</w:t>
      </w:r>
    </w:p>
    <w:p w14:paraId="02DF97C9" w14:textId="77777777" w:rsidR="00940D6E" w:rsidRPr="001F35F3" w:rsidRDefault="001F35F3" w:rsidP="001F35F3">
      <w:pPr>
        <w:pStyle w:val="ListParagraph"/>
        <w:numPr>
          <w:ilvl w:val="1"/>
          <w:numId w:val="92"/>
        </w:numPr>
        <w:rPr>
          <w:bCs/>
          <w:iCs/>
          <w:lang w:val="en-US" w:eastAsia="en-US"/>
        </w:rPr>
      </w:pPr>
      <w:r>
        <w:rPr>
          <w:bCs/>
          <w:iCs/>
          <w:lang w:val="en-US" w:eastAsia="en-US"/>
        </w:rPr>
        <w:t>complication “clusters”.</w:t>
      </w:r>
    </w:p>
    <w:p w14:paraId="56CEB3F0" w14:textId="77777777" w:rsidR="00940D6E" w:rsidRPr="00C65B0C" w:rsidRDefault="001F35F3" w:rsidP="000831A1">
      <w:pPr>
        <w:pStyle w:val="ListParagraph"/>
        <w:numPr>
          <w:ilvl w:val="0"/>
          <w:numId w:val="92"/>
        </w:numPr>
        <w:rPr>
          <w:bCs/>
          <w:iCs/>
          <w:lang w:val="en-US" w:eastAsia="en-US"/>
        </w:rPr>
      </w:pPr>
      <w:r>
        <w:rPr>
          <w:bCs/>
          <w:iCs/>
          <w:lang w:val="en-US" w:eastAsia="en-US"/>
        </w:rPr>
        <w:t>P</w:t>
      </w:r>
      <w:r w:rsidR="00940D6E" w:rsidRPr="00C65B0C">
        <w:rPr>
          <w:bCs/>
          <w:iCs/>
          <w:lang w:val="en-US" w:eastAsia="en-US"/>
        </w:rPr>
        <w:t xml:space="preserve">rogressing the minimum data set into a comprehensive data set, populated by data available from private health insurers </w:t>
      </w:r>
      <w:r>
        <w:rPr>
          <w:bCs/>
          <w:iCs/>
          <w:lang w:val="en-US" w:eastAsia="en-US"/>
        </w:rPr>
        <w:t>and state public health systems.</w:t>
      </w:r>
      <w:r w:rsidR="00940D6E" w:rsidRPr="00C65B0C">
        <w:rPr>
          <w:bCs/>
          <w:iCs/>
          <w:lang w:val="en-US" w:eastAsia="en-US"/>
        </w:rPr>
        <w:t xml:space="preserve"> </w:t>
      </w:r>
    </w:p>
    <w:p w14:paraId="52D9E7B0" w14:textId="77777777" w:rsidR="00940D6E" w:rsidRPr="00C65B0C" w:rsidRDefault="001F35F3" w:rsidP="000831A1">
      <w:pPr>
        <w:pStyle w:val="ListParagraph"/>
        <w:numPr>
          <w:ilvl w:val="0"/>
          <w:numId w:val="92"/>
        </w:numPr>
        <w:rPr>
          <w:bCs/>
          <w:iCs/>
          <w:lang w:val="en-US" w:eastAsia="en-US"/>
        </w:rPr>
      </w:pPr>
      <w:r>
        <w:rPr>
          <w:bCs/>
          <w:iCs/>
          <w:lang w:val="en-US" w:eastAsia="en-US"/>
        </w:rPr>
        <w:t>U</w:t>
      </w:r>
      <w:r w:rsidR="00940D6E" w:rsidRPr="00C65B0C">
        <w:rPr>
          <w:bCs/>
          <w:iCs/>
          <w:lang w:val="en-US" w:eastAsia="en-US"/>
        </w:rPr>
        <w:t>sing the collection of homogenous data to inform colleges and peak bodies of trends in clinical practice so that CPD and other improvement levers can be more targeted.</w:t>
      </w:r>
    </w:p>
    <w:p w14:paraId="0C9A3231" w14:textId="77777777" w:rsidR="00940D6E" w:rsidRPr="00C65B0C" w:rsidRDefault="00940D6E" w:rsidP="000831A1">
      <w:pPr>
        <w:pStyle w:val="ListParagraph"/>
        <w:numPr>
          <w:ilvl w:val="0"/>
          <w:numId w:val="92"/>
        </w:numPr>
        <w:rPr>
          <w:bCs/>
          <w:iCs/>
          <w:lang w:val="en-US" w:eastAsia="en-US"/>
        </w:rPr>
      </w:pPr>
      <w:r w:rsidRPr="00C65B0C">
        <w:rPr>
          <w:bCs/>
          <w:iCs/>
          <w:lang w:val="en-US" w:eastAsia="en-US"/>
        </w:rPr>
        <w:t>Support clinical audits as a mandatory part of CPD and required attendance of 80 per cent of mortality and morbidity meetings.</w:t>
      </w:r>
    </w:p>
    <w:p w14:paraId="128440D2" w14:textId="77777777" w:rsidR="00940D6E" w:rsidRPr="00940D6E" w:rsidRDefault="00940D6E" w:rsidP="00940D6E">
      <w:pPr>
        <w:rPr>
          <w:b/>
          <w:bCs/>
          <w:iCs/>
          <w:lang w:val="en-US" w:eastAsia="en-US"/>
        </w:rPr>
      </w:pPr>
      <w:r w:rsidRPr="00940D6E">
        <w:rPr>
          <w:b/>
          <w:bCs/>
          <w:iCs/>
          <w:lang w:val="en-US" w:eastAsia="en-US"/>
        </w:rPr>
        <w:t>Recommendation 1</w:t>
      </w:r>
      <w:r w:rsidR="00FC6719">
        <w:rPr>
          <w:b/>
          <w:bCs/>
          <w:iCs/>
          <w:lang w:val="en-US" w:eastAsia="en-US"/>
        </w:rPr>
        <w:t>5</w:t>
      </w:r>
      <w:r w:rsidRPr="00940D6E">
        <w:rPr>
          <w:b/>
          <w:bCs/>
          <w:iCs/>
          <w:lang w:val="en-US" w:eastAsia="en-US"/>
        </w:rPr>
        <w:t xml:space="preserve"> – Provide transparency on the cost and quality of consultant specialist services</w:t>
      </w:r>
    </w:p>
    <w:p w14:paraId="76B7628C" w14:textId="77777777" w:rsidR="00940D6E" w:rsidRPr="00940D6E" w:rsidRDefault="00940D6E" w:rsidP="00940D6E">
      <w:pPr>
        <w:rPr>
          <w:bCs/>
          <w:iCs/>
          <w:lang w:val="en-US" w:eastAsia="en-US"/>
        </w:rPr>
      </w:pPr>
      <w:r w:rsidRPr="00940D6E">
        <w:rPr>
          <w:bCs/>
          <w:iCs/>
          <w:lang w:val="en-US" w:eastAsia="en-US"/>
        </w:rPr>
        <w:t>The Committee recommends that:</w:t>
      </w:r>
    </w:p>
    <w:p w14:paraId="744C7FC7" w14:textId="77777777" w:rsidR="00940D6E" w:rsidRPr="00B35201" w:rsidRDefault="00940D6E" w:rsidP="000831A1">
      <w:pPr>
        <w:pStyle w:val="ListParagraph"/>
        <w:numPr>
          <w:ilvl w:val="0"/>
          <w:numId w:val="94"/>
        </w:numPr>
        <w:rPr>
          <w:bCs/>
          <w:iCs/>
          <w:lang w:val="en-US" w:eastAsia="en-US"/>
        </w:rPr>
      </w:pPr>
      <w:r w:rsidRPr="00B35201">
        <w:rPr>
          <w:bCs/>
          <w:iCs/>
          <w:lang w:val="en-US" w:eastAsia="en-US"/>
        </w:rPr>
        <w:t>MBS cost data, including data on out-of-pocket fees, is shared at an institutiona</w:t>
      </w:r>
      <w:r w:rsidR="0055162A">
        <w:rPr>
          <w:bCs/>
          <w:iCs/>
          <w:lang w:val="en-US" w:eastAsia="en-US"/>
        </w:rPr>
        <w:t>l and individual provider level;</w:t>
      </w:r>
      <w:r w:rsidRPr="00B35201">
        <w:rPr>
          <w:bCs/>
          <w:iCs/>
          <w:lang w:val="en-US" w:eastAsia="en-US"/>
        </w:rPr>
        <w:t xml:space="preserve"> </w:t>
      </w:r>
    </w:p>
    <w:p w14:paraId="35CEFD4A" w14:textId="77777777" w:rsidR="00940D6E" w:rsidRPr="00B35201" w:rsidRDefault="00940D6E" w:rsidP="000831A1">
      <w:pPr>
        <w:pStyle w:val="ListParagraph"/>
        <w:numPr>
          <w:ilvl w:val="0"/>
          <w:numId w:val="94"/>
        </w:numPr>
        <w:rPr>
          <w:bCs/>
          <w:iCs/>
          <w:lang w:val="en-US" w:eastAsia="en-US"/>
        </w:rPr>
      </w:pPr>
      <w:r w:rsidRPr="00B35201">
        <w:rPr>
          <w:bCs/>
          <w:iCs/>
          <w:lang w:val="en-US" w:eastAsia="en-US"/>
        </w:rPr>
        <w:t>consultant specialist risk-weighted outcome data discussed in Recommendation 1</w:t>
      </w:r>
      <w:r w:rsidR="00B46DC3">
        <w:rPr>
          <w:bCs/>
          <w:iCs/>
          <w:lang w:val="en-US" w:eastAsia="en-US"/>
        </w:rPr>
        <w:t>4</w:t>
      </w:r>
      <w:r w:rsidRPr="00B35201">
        <w:rPr>
          <w:bCs/>
          <w:iCs/>
          <w:lang w:val="en-US" w:eastAsia="en-US"/>
        </w:rPr>
        <w:t xml:space="preserve"> is shared at an institutiona</w:t>
      </w:r>
      <w:r w:rsidR="0055162A">
        <w:rPr>
          <w:bCs/>
          <w:iCs/>
          <w:lang w:val="en-US" w:eastAsia="en-US"/>
        </w:rPr>
        <w:t>l and individual provider level;</w:t>
      </w:r>
    </w:p>
    <w:p w14:paraId="60D7CD6F" w14:textId="77777777" w:rsidR="00B46DC3" w:rsidRPr="00B35201" w:rsidRDefault="00B46DC3" w:rsidP="00B46DC3">
      <w:pPr>
        <w:pStyle w:val="ListParagraph"/>
        <w:numPr>
          <w:ilvl w:val="0"/>
          <w:numId w:val="94"/>
        </w:numPr>
        <w:rPr>
          <w:bCs/>
          <w:iCs/>
          <w:lang w:val="en-US" w:eastAsia="en-US"/>
        </w:rPr>
      </w:pPr>
      <w:r w:rsidRPr="00B35201">
        <w:rPr>
          <w:bCs/>
          <w:iCs/>
          <w:lang w:val="en-US" w:eastAsia="en-US"/>
        </w:rPr>
        <w:t xml:space="preserve">cost and outcome data are </w:t>
      </w:r>
      <w:r>
        <w:rPr>
          <w:bCs/>
          <w:iCs/>
          <w:lang w:val="en-US" w:eastAsia="en-US"/>
        </w:rPr>
        <w:t xml:space="preserve">publicly available and the GP </w:t>
      </w:r>
      <w:r w:rsidRPr="00B35201">
        <w:rPr>
          <w:bCs/>
          <w:iCs/>
          <w:lang w:val="en-US" w:eastAsia="en-US"/>
        </w:rPr>
        <w:t>share</w:t>
      </w:r>
      <w:r>
        <w:rPr>
          <w:bCs/>
          <w:iCs/>
          <w:lang w:val="en-US" w:eastAsia="en-US"/>
        </w:rPr>
        <w:t>s</w:t>
      </w:r>
      <w:r w:rsidRPr="00B35201">
        <w:rPr>
          <w:bCs/>
          <w:iCs/>
          <w:lang w:val="en-US" w:eastAsia="en-US"/>
        </w:rPr>
        <w:t xml:space="preserve"> </w:t>
      </w:r>
      <w:r>
        <w:rPr>
          <w:bCs/>
          <w:iCs/>
          <w:lang w:val="en-US" w:eastAsia="en-US"/>
        </w:rPr>
        <w:t xml:space="preserve">this data </w:t>
      </w:r>
      <w:r w:rsidRPr="00B35201">
        <w:rPr>
          <w:bCs/>
          <w:iCs/>
          <w:lang w:val="en-US" w:eastAsia="en-US"/>
        </w:rPr>
        <w:t xml:space="preserve">with the patient </w:t>
      </w:r>
      <w:r>
        <w:rPr>
          <w:bCs/>
          <w:iCs/>
          <w:lang w:val="en-US" w:eastAsia="en-US"/>
        </w:rPr>
        <w:t xml:space="preserve">at the time of referral; </w:t>
      </w:r>
      <w:r w:rsidRPr="00B35201">
        <w:rPr>
          <w:bCs/>
          <w:iCs/>
          <w:lang w:val="en-US" w:eastAsia="en-US"/>
        </w:rPr>
        <w:t>and</w:t>
      </w:r>
    </w:p>
    <w:p w14:paraId="51F0F516" w14:textId="77777777" w:rsidR="00940D6E" w:rsidRPr="00B35201" w:rsidRDefault="00940D6E" w:rsidP="000831A1">
      <w:pPr>
        <w:pStyle w:val="ListParagraph"/>
        <w:numPr>
          <w:ilvl w:val="0"/>
          <w:numId w:val="94"/>
        </w:numPr>
        <w:rPr>
          <w:bCs/>
          <w:iCs/>
          <w:lang w:val="en-US" w:eastAsia="en-US"/>
        </w:rPr>
      </w:pPr>
      <w:r w:rsidRPr="00B35201">
        <w:rPr>
          <w:bCs/>
          <w:iCs/>
          <w:lang w:val="en-US" w:eastAsia="en-US"/>
        </w:rPr>
        <w:t>the presentation of cost and outcome data should be co-designed with consumers and include a clear explanation of the data and its limitations.</w:t>
      </w:r>
    </w:p>
    <w:p w14:paraId="23F73E10" w14:textId="77777777" w:rsidR="00940D6E" w:rsidRPr="00940D6E" w:rsidRDefault="00940D6E" w:rsidP="00940D6E">
      <w:pPr>
        <w:rPr>
          <w:b/>
          <w:bCs/>
          <w:iCs/>
          <w:lang w:val="en-US" w:eastAsia="en-US"/>
        </w:rPr>
      </w:pPr>
      <w:r w:rsidRPr="00940D6E">
        <w:rPr>
          <w:b/>
          <w:bCs/>
          <w:iCs/>
          <w:lang w:val="en-US" w:eastAsia="en-US"/>
        </w:rPr>
        <w:t>Recommendation 1</w:t>
      </w:r>
      <w:r w:rsidR="00B46DC3">
        <w:rPr>
          <w:b/>
          <w:bCs/>
          <w:iCs/>
          <w:lang w:val="en-US" w:eastAsia="en-US"/>
        </w:rPr>
        <w:t>6</w:t>
      </w:r>
      <w:r w:rsidRPr="00940D6E">
        <w:rPr>
          <w:b/>
          <w:bCs/>
          <w:iCs/>
          <w:lang w:val="en-US" w:eastAsia="en-US"/>
        </w:rPr>
        <w:t xml:space="preserve"> - Improve informed </w:t>
      </w:r>
      <w:r w:rsidR="00B46DC3">
        <w:rPr>
          <w:b/>
          <w:bCs/>
          <w:iCs/>
          <w:lang w:val="en-US" w:eastAsia="en-US"/>
        </w:rPr>
        <w:t xml:space="preserve">comprehensive </w:t>
      </w:r>
      <w:r w:rsidRPr="00940D6E">
        <w:rPr>
          <w:b/>
          <w:bCs/>
          <w:iCs/>
          <w:lang w:val="en-US" w:eastAsia="en-US"/>
        </w:rPr>
        <w:t>patient consent and shared decision-making practices</w:t>
      </w:r>
    </w:p>
    <w:p w14:paraId="5F14A2F5" w14:textId="77777777" w:rsidR="00940D6E" w:rsidRPr="00940D6E" w:rsidRDefault="00940D6E" w:rsidP="00940D6E">
      <w:pPr>
        <w:rPr>
          <w:bCs/>
          <w:iCs/>
          <w:lang w:val="en-US" w:eastAsia="en-US"/>
        </w:rPr>
      </w:pPr>
      <w:r w:rsidRPr="00940D6E">
        <w:rPr>
          <w:bCs/>
          <w:iCs/>
          <w:lang w:val="en-US" w:eastAsia="en-US"/>
        </w:rPr>
        <w:t>The Committee recommends:</w:t>
      </w:r>
    </w:p>
    <w:p w14:paraId="35BC8538" w14:textId="77777777" w:rsidR="00940D6E" w:rsidRPr="00B35201" w:rsidRDefault="0055162A" w:rsidP="000831A1">
      <w:pPr>
        <w:pStyle w:val="ListParagraph"/>
        <w:numPr>
          <w:ilvl w:val="0"/>
          <w:numId w:val="96"/>
        </w:numPr>
        <w:rPr>
          <w:bCs/>
          <w:iCs/>
          <w:lang w:val="en-US" w:eastAsia="en-US"/>
        </w:rPr>
      </w:pPr>
      <w:r>
        <w:rPr>
          <w:bCs/>
          <w:iCs/>
          <w:lang w:val="en-US" w:eastAsia="en-US"/>
        </w:rPr>
        <w:t>I</w:t>
      </w:r>
      <w:r w:rsidR="00940D6E" w:rsidRPr="00B35201">
        <w:rPr>
          <w:bCs/>
          <w:iCs/>
          <w:lang w:val="en-US" w:eastAsia="en-US"/>
        </w:rPr>
        <w:t>ncluding the following in standard attendance item descriptors (refer to Recommendation 1) when multiple treatment options are available:</w:t>
      </w:r>
    </w:p>
    <w:p w14:paraId="1C4F849F" w14:textId="77777777" w:rsidR="00940D6E" w:rsidRPr="00B35201" w:rsidRDefault="0055162A" w:rsidP="000831A1">
      <w:pPr>
        <w:pStyle w:val="ListParagraph"/>
        <w:numPr>
          <w:ilvl w:val="0"/>
          <w:numId w:val="97"/>
        </w:numPr>
        <w:rPr>
          <w:bCs/>
          <w:iCs/>
          <w:lang w:val="en-US" w:eastAsia="en-US"/>
        </w:rPr>
      </w:pPr>
      <w:r>
        <w:rPr>
          <w:bCs/>
          <w:iCs/>
          <w:lang w:val="en-US" w:eastAsia="en-US"/>
        </w:rPr>
        <w:t>d</w:t>
      </w:r>
      <w:r w:rsidR="00940D6E" w:rsidRPr="00B35201">
        <w:rPr>
          <w:bCs/>
          <w:iCs/>
          <w:lang w:val="en-US" w:eastAsia="en-US"/>
        </w:rPr>
        <w:t>iscussion of patient treatment options to assess the risks and benefits of each option, given the patient’s characteristics and medical history</w:t>
      </w:r>
      <w:r>
        <w:rPr>
          <w:bCs/>
          <w:iCs/>
          <w:lang w:val="en-US" w:eastAsia="en-US"/>
        </w:rPr>
        <w:t>;</w:t>
      </w:r>
    </w:p>
    <w:p w14:paraId="319F81FB" w14:textId="77777777" w:rsidR="00940D6E" w:rsidRPr="00B35201" w:rsidRDefault="0055162A" w:rsidP="000831A1">
      <w:pPr>
        <w:pStyle w:val="ListParagraph"/>
        <w:numPr>
          <w:ilvl w:val="0"/>
          <w:numId w:val="97"/>
        </w:numPr>
        <w:rPr>
          <w:bCs/>
          <w:iCs/>
          <w:lang w:val="en-US" w:eastAsia="en-US"/>
        </w:rPr>
      </w:pPr>
      <w:r>
        <w:rPr>
          <w:bCs/>
          <w:iCs/>
          <w:lang w:val="en-US" w:eastAsia="en-US"/>
        </w:rPr>
        <w:t>c</w:t>
      </w:r>
      <w:r w:rsidR="00940D6E" w:rsidRPr="00B35201">
        <w:rPr>
          <w:bCs/>
          <w:iCs/>
          <w:lang w:val="en-US" w:eastAsia="en-US"/>
        </w:rPr>
        <w:t>onsideration and discussion of referral</w:t>
      </w:r>
      <w:r>
        <w:rPr>
          <w:bCs/>
          <w:iCs/>
          <w:lang w:val="en-US" w:eastAsia="en-US"/>
        </w:rPr>
        <w:t>s to other health professionals;</w:t>
      </w:r>
      <w:r w:rsidR="00940D6E" w:rsidRPr="00B35201">
        <w:rPr>
          <w:bCs/>
          <w:iCs/>
          <w:lang w:val="en-US" w:eastAsia="en-US"/>
        </w:rPr>
        <w:t xml:space="preserve"> and</w:t>
      </w:r>
    </w:p>
    <w:p w14:paraId="4F4A5931" w14:textId="77777777" w:rsidR="00940D6E" w:rsidRPr="00B35201" w:rsidRDefault="0055162A" w:rsidP="000831A1">
      <w:pPr>
        <w:pStyle w:val="ListParagraph"/>
        <w:numPr>
          <w:ilvl w:val="0"/>
          <w:numId w:val="97"/>
        </w:numPr>
        <w:rPr>
          <w:bCs/>
          <w:iCs/>
          <w:lang w:val="en-US" w:eastAsia="en-US"/>
        </w:rPr>
      </w:pPr>
      <w:r>
        <w:rPr>
          <w:bCs/>
          <w:iCs/>
          <w:lang w:val="en-US" w:eastAsia="en-US"/>
        </w:rPr>
        <w:t>a</w:t>
      </w:r>
      <w:r w:rsidR="00940D6E" w:rsidRPr="00B35201">
        <w:rPr>
          <w:bCs/>
          <w:iCs/>
          <w:lang w:val="en-US" w:eastAsia="en-US"/>
        </w:rPr>
        <w:t xml:space="preserve"> requirement for written documentation, made available to the patient and/or carer, which outlines treatment options and information on associated risks and benefits.</w:t>
      </w:r>
    </w:p>
    <w:p w14:paraId="724C92ED" w14:textId="77777777" w:rsidR="00940D6E" w:rsidRPr="00B35201" w:rsidRDefault="0055162A" w:rsidP="000831A1">
      <w:pPr>
        <w:pStyle w:val="ListParagraph"/>
        <w:numPr>
          <w:ilvl w:val="0"/>
          <w:numId w:val="96"/>
        </w:numPr>
        <w:rPr>
          <w:bCs/>
          <w:iCs/>
          <w:lang w:val="en-US" w:eastAsia="en-US"/>
        </w:rPr>
      </w:pPr>
      <w:r>
        <w:rPr>
          <w:bCs/>
          <w:iCs/>
          <w:lang w:val="en-US" w:eastAsia="en-US"/>
        </w:rPr>
        <w:t>T</w:t>
      </w:r>
      <w:r w:rsidR="00940D6E" w:rsidRPr="00B35201">
        <w:rPr>
          <w:bCs/>
          <w:iCs/>
          <w:lang w:val="en-US" w:eastAsia="en-US"/>
        </w:rPr>
        <w:t>hat provider education on the patient consent process be promoted through:</w:t>
      </w:r>
    </w:p>
    <w:p w14:paraId="7EAD7E09" w14:textId="77777777" w:rsidR="00940D6E" w:rsidRPr="00940D6E" w:rsidRDefault="0055162A" w:rsidP="000831A1">
      <w:pPr>
        <w:pStyle w:val="ListParagraph"/>
        <w:numPr>
          <w:ilvl w:val="0"/>
          <w:numId w:val="98"/>
        </w:numPr>
        <w:rPr>
          <w:bCs/>
          <w:iCs/>
          <w:lang w:val="en-US" w:eastAsia="en-US"/>
        </w:rPr>
      </w:pPr>
      <w:r>
        <w:rPr>
          <w:bCs/>
          <w:iCs/>
          <w:lang w:val="en-US" w:eastAsia="en-US"/>
        </w:rPr>
        <w:t xml:space="preserve">colleges, using CPD as a lever; and </w:t>
      </w:r>
    </w:p>
    <w:p w14:paraId="60C92DDB" w14:textId="77777777" w:rsidR="00940D6E" w:rsidRPr="00940D6E" w:rsidRDefault="00B35201" w:rsidP="000831A1">
      <w:pPr>
        <w:pStyle w:val="ListParagraph"/>
        <w:numPr>
          <w:ilvl w:val="0"/>
          <w:numId w:val="98"/>
        </w:numPr>
        <w:rPr>
          <w:bCs/>
          <w:iCs/>
          <w:lang w:val="en-US" w:eastAsia="en-US"/>
        </w:rPr>
      </w:pPr>
      <w:r>
        <w:rPr>
          <w:bCs/>
          <w:iCs/>
          <w:lang w:val="en-US" w:eastAsia="en-US"/>
        </w:rPr>
        <w:t>i</w:t>
      </w:r>
      <w:r w:rsidR="00940D6E" w:rsidRPr="00940D6E">
        <w:rPr>
          <w:bCs/>
          <w:iCs/>
          <w:lang w:val="en-US" w:eastAsia="en-US"/>
        </w:rPr>
        <w:t xml:space="preserve">ncreased patient awareness of the Australian Commission on Safety and Quality in Health Care’s clinical standards, achieved via media campaigns and by informing GPs. </w:t>
      </w:r>
    </w:p>
    <w:p w14:paraId="20F11DE0" w14:textId="77777777" w:rsidR="00940D6E" w:rsidRPr="00B35201" w:rsidRDefault="0055162A" w:rsidP="000831A1">
      <w:pPr>
        <w:pStyle w:val="ListParagraph"/>
        <w:numPr>
          <w:ilvl w:val="0"/>
          <w:numId w:val="96"/>
        </w:numPr>
        <w:rPr>
          <w:bCs/>
          <w:iCs/>
          <w:lang w:val="en-US" w:eastAsia="en-US"/>
        </w:rPr>
      </w:pPr>
      <w:r>
        <w:rPr>
          <w:bCs/>
          <w:iCs/>
          <w:lang w:val="en-US" w:eastAsia="en-US"/>
        </w:rPr>
        <w:t>I</w:t>
      </w:r>
      <w:r w:rsidR="00940D6E" w:rsidRPr="00B35201">
        <w:rPr>
          <w:bCs/>
          <w:iCs/>
          <w:lang w:val="en-US" w:eastAsia="en-US"/>
        </w:rPr>
        <w:t>mproving the consent process by including in provider education materials and other relevant materials the following information:</w:t>
      </w:r>
    </w:p>
    <w:p w14:paraId="5D13E2C1" w14:textId="77777777" w:rsidR="00940D6E" w:rsidRPr="00B35201" w:rsidRDefault="00940D6E" w:rsidP="000831A1">
      <w:pPr>
        <w:pStyle w:val="ListParagraph"/>
        <w:numPr>
          <w:ilvl w:val="0"/>
          <w:numId w:val="99"/>
        </w:numPr>
        <w:rPr>
          <w:bCs/>
          <w:iCs/>
          <w:lang w:val="en-US" w:eastAsia="en-US"/>
        </w:rPr>
      </w:pPr>
      <w:r w:rsidRPr="00B35201">
        <w:rPr>
          <w:bCs/>
          <w:iCs/>
          <w:lang w:val="en-US" w:eastAsia="en-US"/>
        </w:rPr>
        <w:t>the aim of the informed consent discussion is to give a patient the information they need to make a decision about their treatment or procedure (if any)</w:t>
      </w:r>
      <w:r w:rsidR="0055162A">
        <w:rPr>
          <w:bCs/>
          <w:iCs/>
          <w:lang w:val="en-US" w:eastAsia="en-US"/>
        </w:rPr>
        <w:t>;</w:t>
      </w:r>
    </w:p>
    <w:p w14:paraId="5EEEF1C9" w14:textId="77777777" w:rsidR="00940D6E" w:rsidRPr="00B35201" w:rsidRDefault="00940D6E" w:rsidP="000831A1">
      <w:pPr>
        <w:pStyle w:val="ListParagraph"/>
        <w:numPr>
          <w:ilvl w:val="0"/>
          <w:numId w:val="99"/>
        </w:numPr>
        <w:rPr>
          <w:bCs/>
          <w:iCs/>
          <w:lang w:val="en-US" w:eastAsia="en-US"/>
        </w:rPr>
      </w:pPr>
      <w:r w:rsidRPr="00B35201">
        <w:rPr>
          <w:bCs/>
          <w:iCs/>
          <w:lang w:val="en-US" w:eastAsia="en-US"/>
        </w:rPr>
        <w:t>the discussion must be tailored to the individual patient</w:t>
      </w:r>
      <w:r w:rsidR="0055162A">
        <w:rPr>
          <w:bCs/>
          <w:iCs/>
          <w:lang w:val="en-US" w:eastAsia="en-US"/>
        </w:rPr>
        <w:t>;</w:t>
      </w:r>
    </w:p>
    <w:p w14:paraId="0FBE8689" w14:textId="77777777" w:rsidR="00940D6E" w:rsidRPr="00B35201" w:rsidRDefault="00940D6E" w:rsidP="000831A1">
      <w:pPr>
        <w:pStyle w:val="ListParagraph"/>
        <w:numPr>
          <w:ilvl w:val="0"/>
          <w:numId w:val="99"/>
        </w:numPr>
        <w:rPr>
          <w:bCs/>
          <w:iCs/>
          <w:lang w:val="en-US" w:eastAsia="en-US"/>
        </w:rPr>
      </w:pPr>
      <w:r w:rsidRPr="00B35201">
        <w:rPr>
          <w:bCs/>
          <w:iCs/>
          <w:lang w:val="en-US" w:eastAsia="en-US"/>
        </w:rPr>
        <w:t>informed consent during medical practice—on both treatment options and financial costs—is an essential component</w:t>
      </w:r>
      <w:r w:rsidR="0055162A">
        <w:rPr>
          <w:bCs/>
          <w:iCs/>
          <w:lang w:val="en-US" w:eastAsia="en-US"/>
        </w:rPr>
        <w:t xml:space="preserve"> of comprehensive medical care. </w:t>
      </w:r>
      <w:r w:rsidRPr="00B35201">
        <w:rPr>
          <w:bCs/>
          <w:iCs/>
          <w:lang w:val="en-US" w:eastAsia="en-US"/>
        </w:rPr>
        <w:t>Patient authorisation is “informed” when the physician discloses and the patient understands the diagnosis, the relevant options for treatment (including no treatment) and any respective risks and benefits</w:t>
      </w:r>
      <w:r w:rsidR="0055162A">
        <w:rPr>
          <w:bCs/>
          <w:iCs/>
          <w:lang w:val="en-US" w:eastAsia="en-US"/>
        </w:rPr>
        <w:t>;</w:t>
      </w:r>
    </w:p>
    <w:p w14:paraId="1B3BF96F" w14:textId="77777777" w:rsidR="00940D6E" w:rsidRPr="00B35201" w:rsidRDefault="00940D6E" w:rsidP="000831A1">
      <w:pPr>
        <w:pStyle w:val="ListParagraph"/>
        <w:numPr>
          <w:ilvl w:val="0"/>
          <w:numId w:val="99"/>
        </w:numPr>
        <w:rPr>
          <w:bCs/>
          <w:iCs/>
          <w:lang w:val="en-US" w:eastAsia="en-US"/>
        </w:rPr>
      </w:pPr>
      <w:r w:rsidRPr="00B35201">
        <w:rPr>
          <w:bCs/>
          <w:iCs/>
          <w:lang w:val="en-US" w:eastAsia="en-US"/>
        </w:rPr>
        <w:t>doctors should give advice, but there should be no coercion. The patient should be free to accept or reject the advice offered</w:t>
      </w:r>
      <w:r w:rsidR="0055162A">
        <w:rPr>
          <w:bCs/>
          <w:iCs/>
          <w:lang w:val="en-US" w:eastAsia="en-US"/>
        </w:rPr>
        <w:t>;</w:t>
      </w:r>
    </w:p>
    <w:p w14:paraId="66DCCB9F" w14:textId="77777777" w:rsidR="00940D6E" w:rsidRPr="00B35201" w:rsidRDefault="00940D6E" w:rsidP="000831A1">
      <w:pPr>
        <w:pStyle w:val="ListParagraph"/>
        <w:numPr>
          <w:ilvl w:val="0"/>
          <w:numId w:val="99"/>
        </w:numPr>
        <w:rPr>
          <w:bCs/>
          <w:iCs/>
          <w:lang w:val="en-US" w:eastAsia="en-US"/>
        </w:rPr>
      </w:pPr>
      <w:r w:rsidRPr="00B35201">
        <w:rPr>
          <w:bCs/>
          <w:iCs/>
          <w:lang w:val="en-US" w:eastAsia="en-US"/>
        </w:rPr>
        <w:t>clinicians should give information about the risks of any intervention, especially those that are likely to influence the patient’s decisions</w:t>
      </w:r>
      <w:r w:rsidR="0055162A">
        <w:rPr>
          <w:bCs/>
          <w:iCs/>
          <w:lang w:val="en-US" w:eastAsia="en-US"/>
        </w:rPr>
        <w:t>;</w:t>
      </w:r>
      <w:r w:rsidRPr="00B35201">
        <w:rPr>
          <w:bCs/>
          <w:iCs/>
          <w:lang w:val="en-US" w:eastAsia="en-US"/>
        </w:rPr>
        <w:t xml:space="preserve"> </w:t>
      </w:r>
    </w:p>
    <w:p w14:paraId="3F7C8AB9" w14:textId="77777777" w:rsidR="00940D6E" w:rsidRPr="00B35201" w:rsidRDefault="00940D6E" w:rsidP="000831A1">
      <w:pPr>
        <w:pStyle w:val="ListParagraph"/>
        <w:numPr>
          <w:ilvl w:val="0"/>
          <w:numId w:val="99"/>
        </w:numPr>
        <w:rPr>
          <w:bCs/>
          <w:iCs/>
          <w:lang w:val="en-US" w:eastAsia="en-US"/>
        </w:rPr>
      </w:pPr>
      <w:r w:rsidRPr="00B35201">
        <w:rPr>
          <w:bCs/>
          <w:iCs/>
          <w:lang w:val="en-US" w:eastAsia="en-US"/>
        </w:rPr>
        <w:t xml:space="preserve">the informed consent process should be documented thoroughly, using an electronic medical record, procedure-specific consent forms, patient education materials and </w:t>
      </w:r>
      <w:r w:rsidR="0055162A">
        <w:rPr>
          <w:bCs/>
          <w:iCs/>
          <w:lang w:val="en-US" w:eastAsia="en-US"/>
        </w:rPr>
        <w:t>other options whenever possible;</w:t>
      </w:r>
      <w:r w:rsidRPr="00B35201">
        <w:rPr>
          <w:bCs/>
          <w:iCs/>
          <w:lang w:val="en-US" w:eastAsia="en-US"/>
        </w:rPr>
        <w:t xml:space="preserve"> and</w:t>
      </w:r>
    </w:p>
    <w:p w14:paraId="27E2ADA1" w14:textId="77777777" w:rsidR="00940D6E" w:rsidRPr="00B35201" w:rsidRDefault="00940D6E" w:rsidP="000831A1">
      <w:pPr>
        <w:pStyle w:val="ListParagraph"/>
        <w:numPr>
          <w:ilvl w:val="0"/>
          <w:numId w:val="99"/>
        </w:numPr>
        <w:rPr>
          <w:bCs/>
          <w:iCs/>
          <w:lang w:val="en-US" w:eastAsia="en-US"/>
        </w:rPr>
      </w:pPr>
      <w:r w:rsidRPr="00B35201">
        <w:rPr>
          <w:bCs/>
          <w:iCs/>
          <w:lang w:val="en-US" w:eastAsia="en-US"/>
        </w:rPr>
        <w:t>mechanisms should be in place to monitor the quality of the patient consent process, such as peer review and patient reported outcomes.</w:t>
      </w:r>
    </w:p>
    <w:p w14:paraId="3E2BCBD6" w14:textId="77777777" w:rsidR="00940D6E" w:rsidRPr="00940D6E" w:rsidRDefault="00940D6E" w:rsidP="00940D6E">
      <w:pPr>
        <w:rPr>
          <w:b/>
          <w:bCs/>
          <w:iCs/>
          <w:lang w:val="en-US" w:eastAsia="en-US"/>
        </w:rPr>
      </w:pPr>
      <w:r w:rsidRPr="00940D6E">
        <w:rPr>
          <w:b/>
          <w:bCs/>
          <w:iCs/>
          <w:lang w:val="en-US" w:eastAsia="en-US"/>
        </w:rPr>
        <w:t>Recommendation 1</w:t>
      </w:r>
      <w:r w:rsidR="00B46DC3">
        <w:rPr>
          <w:b/>
          <w:bCs/>
          <w:iCs/>
          <w:lang w:val="en-US" w:eastAsia="en-US"/>
        </w:rPr>
        <w:t>7</w:t>
      </w:r>
      <w:r w:rsidRPr="00940D6E">
        <w:rPr>
          <w:b/>
          <w:bCs/>
          <w:iCs/>
          <w:lang w:val="en-US" w:eastAsia="en-US"/>
        </w:rPr>
        <w:t xml:space="preserve"> – Incentivise adoption of My Health Record</w:t>
      </w:r>
    </w:p>
    <w:p w14:paraId="31379C1F" w14:textId="77777777" w:rsidR="00940D6E" w:rsidRPr="00940D6E" w:rsidRDefault="00940D6E" w:rsidP="00940D6E">
      <w:pPr>
        <w:rPr>
          <w:bCs/>
          <w:iCs/>
          <w:lang w:val="en-US" w:eastAsia="en-US"/>
        </w:rPr>
      </w:pPr>
      <w:r w:rsidRPr="00940D6E">
        <w:rPr>
          <w:bCs/>
          <w:iCs/>
          <w:lang w:val="en-US" w:eastAsia="en-US"/>
        </w:rPr>
        <w:t>The Committee recommends:</w:t>
      </w:r>
    </w:p>
    <w:p w14:paraId="3D6D20C3" w14:textId="77777777" w:rsidR="00940D6E" w:rsidRPr="0007488D" w:rsidRDefault="00940D6E" w:rsidP="000831A1">
      <w:pPr>
        <w:pStyle w:val="ListParagraph"/>
        <w:numPr>
          <w:ilvl w:val="0"/>
          <w:numId w:val="101"/>
        </w:numPr>
        <w:rPr>
          <w:bCs/>
          <w:iCs/>
          <w:lang w:val="en-US" w:eastAsia="en-US"/>
        </w:rPr>
      </w:pPr>
      <w:r w:rsidRPr="0007488D">
        <w:rPr>
          <w:bCs/>
          <w:iCs/>
          <w:lang w:val="en-US" w:eastAsia="en-US"/>
        </w:rPr>
        <w:t>introducing a single incentive payment to consultant specialists upon their adoption of My Health Record, triggered by achieving a volume of uploads that is proportional to the number of attenda</w:t>
      </w:r>
      <w:r w:rsidR="0055162A">
        <w:rPr>
          <w:bCs/>
          <w:iCs/>
          <w:lang w:val="en-US" w:eastAsia="en-US"/>
        </w:rPr>
        <w:t>nces that the provider performs;</w:t>
      </w:r>
      <w:r w:rsidRPr="0007488D">
        <w:rPr>
          <w:bCs/>
          <w:iCs/>
          <w:lang w:val="en-US" w:eastAsia="en-US"/>
        </w:rPr>
        <w:t xml:space="preserve"> and</w:t>
      </w:r>
    </w:p>
    <w:p w14:paraId="1E8EA7F7" w14:textId="77777777" w:rsidR="00B46DC3" w:rsidRDefault="00B46DC3" w:rsidP="00B46DC3">
      <w:pPr>
        <w:pStyle w:val="Bullet-green"/>
        <w:numPr>
          <w:ilvl w:val="0"/>
          <w:numId w:val="101"/>
        </w:numPr>
      </w:pPr>
      <w:r>
        <w:t>reviewing the effectiveness of the incentive payment after a defined period such as two years.</w:t>
      </w:r>
    </w:p>
    <w:p w14:paraId="61CE8160" w14:textId="77777777" w:rsidR="00B46DC3" w:rsidRPr="004A1AB0" w:rsidRDefault="00B46DC3" w:rsidP="00B46DC3">
      <w:pPr>
        <w:rPr>
          <w:b/>
          <w:bCs/>
          <w:iCs/>
          <w:lang w:val="en-US" w:eastAsia="en-US"/>
        </w:rPr>
      </w:pPr>
      <w:r>
        <w:rPr>
          <w:b/>
          <w:bCs/>
          <w:iCs/>
          <w:lang w:val="en-US" w:eastAsia="en-US"/>
        </w:rPr>
        <w:t>Recommendation 18</w:t>
      </w:r>
      <w:r w:rsidRPr="004A1AB0">
        <w:rPr>
          <w:b/>
          <w:bCs/>
          <w:iCs/>
          <w:lang w:val="en-US" w:eastAsia="en-US"/>
        </w:rPr>
        <w:t xml:space="preserve"> – Use of My Health Record for case conferences and complex plans</w:t>
      </w:r>
    </w:p>
    <w:p w14:paraId="4A462720" w14:textId="77777777" w:rsidR="00B46DC3" w:rsidRDefault="00B46DC3" w:rsidP="00B46DC3">
      <w:pPr>
        <w:pStyle w:val="Bullet-green"/>
        <w:numPr>
          <w:ilvl w:val="0"/>
          <w:numId w:val="0"/>
        </w:numPr>
        <w:rPr>
          <w:lang w:val="en-US" w:eastAsia="en-US"/>
        </w:rPr>
      </w:pPr>
      <w:r>
        <w:rPr>
          <w:lang w:val="en-US" w:eastAsia="en-US"/>
        </w:rPr>
        <w:t>The Committee recommends that:</w:t>
      </w:r>
    </w:p>
    <w:p w14:paraId="0057DC02" w14:textId="77777777" w:rsidR="00B46DC3" w:rsidRDefault="00B46DC3" w:rsidP="00B46DC3">
      <w:pPr>
        <w:pStyle w:val="ListParagraph"/>
        <w:numPr>
          <w:ilvl w:val="0"/>
          <w:numId w:val="102"/>
        </w:numPr>
      </w:pPr>
      <w:r>
        <w:t>outcomes of case conferences are uploaded to My Health Record, unless patient consent is withdrawn, and where reasonably achievable, with:</w:t>
      </w:r>
    </w:p>
    <w:p w14:paraId="459FE2FC" w14:textId="77777777" w:rsidR="00B46DC3" w:rsidRDefault="00B46DC3" w:rsidP="00B46DC3">
      <w:pPr>
        <w:pStyle w:val="ListParagraph"/>
        <w:numPr>
          <w:ilvl w:val="0"/>
          <w:numId w:val="103"/>
        </w:numPr>
      </w:pPr>
      <w:r>
        <w:t>for treatment planning case conferences, the specialist organising the conference be responsible for the upload; and</w:t>
      </w:r>
    </w:p>
    <w:p w14:paraId="21D3C879" w14:textId="77777777" w:rsidR="00B46DC3" w:rsidRDefault="00B46DC3" w:rsidP="00B46DC3">
      <w:pPr>
        <w:pStyle w:val="ListParagraph"/>
        <w:numPr>
          <w:ilvl w:val="0"/>
          <w:numId w:val="103"/>
        </w:numPr>
      </w:pPr>
      <w:r>
        <w:t>for community and discharge case conferences, the GP participating in the case conference be responsible for the upload.</w:t>
      </w:r>
    </w:p>
    <w:p w14:paraId="54BE9389" w14:textId="77777777" w:rsidR="00B46DC3" w:rsidRDefault="00B46DC3" w:rsidP="00B46DC3">
      <w:pPr>
        <w:pStyle w:val="ListParagraph"/>
        <w:numPr>
          <w:ilvl w:val="0"/>
          <w:numId w:val="102"/>
        </w:numPr>
      </w:pPr>
      <w:r>
        <w:t>geriatric complex plans and paediatric complex plans be uploaded to My Health Record, with the geriatrician or paediatrician responsible for the upload, unless patient consent is withdrawn, and where reasonably achievable.</w:t>
      </w:r>
    </w:p>
    <w:p w14:paraId="2E2ED6D9" w14:textId="77777777" w:rsidR="00940D6E" w:rsidRPr="00940D6E" w:rsidRDefault="00940D6E" w:rsidP="00940D6E">
      <w:pPr>
        <w:rPr>
          <w:b/>
          <w:bCs/>
          <w:iCs/>
          <w:lang w:val="en-US" w:eastAsia="en-US"/>
        </w:rPr>
      </w:pPr>
      <w:r w:rsidRPr="00940D6E">
        <w:rPr>
          <w:b/>
          <w:bCs/>
          <w:iCs/>
          <w:lang w:val="en-US" w:eastAsia="en-US"/>
        </w:rPr>
        <w:t>Recommendation 1</w:t>
      </w:r>
      <w:r w:rsidR="00B46DC3">
        <w:rPr>
          <w:b/>
          <w:bCs/>
          <w:iCs/>
          <w:lang w:val="en-US" w:eastAsia="en-US"/>
        </w:rPr>
        <w:t>9</w:t>
      </w:r>
      <w:r w:rsidRPr="00940D6E">
        <w:rPr>
          <w:b/>
          <w:bCs/>
          <w:iCs/>
          <w:lang w:val="en-US" w:eastAsia="en-US"/>
        </w:rPr>
        <w:t xml:space="preserve"> – Encourage adoption of My Health Record</w:t>
      </w:r>
    </w:p>
    <w:p w14:paraId="55F501C5" w14:textId="77777777" w:rsidR="00940D6E" w:rsidRPr="00940D6E" w:rsidRDefault="00940D6E" w:rsidP="00940D6E">
      <w:pPr>
        <w:rPr>
          <w:bCs/>
          <w:iCs/>
          <w:lang w:val="en-US" w:eastAsia="en-US"/>
        </w:rPr>
      </w:pPr>
      <w:r w:rsidRPr="00940D6E">
        <w:rPr>
          <w:bCs/>
          <w:iCs/>
          <w:lang w:val="en-US" w:eastAsia="en-US"/>
        </w:rPr>
        <w:t>The Committee recommends:</w:t>
      </w:r>
    </w:p>
    <w:p w14:paraId="3351D296" w14:textId="77777777" w:rsidR="00940D6E" w:rsidRPr="0007488D" w:rsidRDefault="00940D6E" w:rsidP="00C035DF">
      <w:pPr>
        <w:pStyle w:val="ListParagraph"/>
        <w:numPr>
          <w:ilvl w:val="0"/>
          <w:numId w:val="115"/>
        </w:numPr>
        <w:rPr>
          <w:bCs/>
          <w:iCs/>
          <w:lang w:val="en-US" w:eastAsia="en-US"/>
        </w:rPr>
      </w:pPr>
      <w:r w:rsidRPr="0007488D">
        <w:rPr>
          <w:bCs/>
          <w:iCs/>
          <w:lang w:val="en-US" w:eastAsia="en-US"/>
        </w:rPr>
        <w:t>improving the functionality of My Health Record and educate consultant special</w:t>
      </w:r>
      <w:r w:rsidR="0055162A">
        <w:rPr>
          <w:bCs/>
          <w:iCs/>
          <w:lang w:val="en-US" w:eastAsia="en-US"/>
        </w:rPr>
        <w:t>ists on the benefits of its use;</w:t>
      </w:r>
    </w:p>
    <w:p w14:paraId="65088D2C" w14:textId="77777777" w:rsidR="00940D6E" w:rsidRPr="0007488D" w:rsidRDefault="00940D6E" w:rsidP="00C035DF">
      <w:pPr>
        <w:pStyle w:val="ListParagraph"/>
        <w:numPr>
          <w:ilvl w:val="0"/>
          <w:numId w:val="115"/>
        </w:numPr>
        <w:rPr>
          <w:bCs/>
          <w:iCs/>
          <w:lang w:val="en-US" w:eastAsia="en-US"/>
        </w:rPr>
      </w:pPr>
      <w:r w:rsidRPr="0007488D">
        <w:rPr>
          <w:bCs/>
          <w:iCs/>
          <w:lang w:val="en-US" w:eastAsia="en-US"/>
        </w:rPr>
        <w:t>continuing to develop and enhance the functionality and ability to search the data of My Health Record, so that it becomes a value-add tool for clinicians in their day-to-day d</w:t>
      </w:r>
      <w:r w:rsidR="0055162A">
        <w:rPr>
          <w:bCs/>
          <w:iCs/>
          <w:lang w:val="en-US" w:eastAsia="en-US"/>
        </w:rPr>
        <w:t>elivery of quality patient care;</w:t>
      </w:r>
    </w:p>
    <w:p w14:paraId="141CB22B" w14:textId="77777777" w:rsidR="00940D6E" w:rsidRPr="0007488D" w:rsidRDefault="00940D6E" w:rsidP="00C035DF">
      <w:pPr>
        <w:pStyle w:val="ListParagraph"/>
        <w:numPr>
          <w:ilvl w:val="0"/>
          <w:numId w:val="115"/>
        </w:numPr>
        <w:rPr>
          <w:bCs/>
          <w:iCs/>
          <w:lang w:val="en-US" w:eastAsia="en-US"/>
        </w:rPr>
      </w:pPr>
      <w:r w:rsidRPr="0007488D">
        <w:rPr>
          <w:bCs/>
          <w:iCs/>
          <w:lang w:val="en-US" w:eastAsia="en-US"/>
        </w:rPr>
        <w:t xml:space="preserve">broadening training for health care providers to include education about using the My Health Record system clinically, and about its benefits for </w:t>
      </w:r>
      <w:r w:rsidR="0055162A">
        <w:rPr>
          <w:bCs/>
          <w:iCs/>
          <w:lang w:val="en-US" w:eastAsia="en-US"/>
        </w:rPr>
        <w:t>patients and the health system;</w:t>
      </w:r>
    </w:p>
    <w:p w14:paraId="2BEBE5A7" w14:textId="77777777" w:rsidR="00940D6E" w:rsidRPr="0007488D" w:rsidRDefault="00940D6E" w:rsidP="000831A1">
      <w:pPr>
        <w:pStyle w:val="ListParagraph"/>
        <w:numPr>
          <w:ilvl w:val="0"/>
          <w:numId w:val="103"/>
        </w:numPr>
        <w:rPr>
          <w:bCs/>
          <w:iCs/>
          <w:lang w:val="en-US" w:eastAsia="en-US"/>
        </w:rPr>
      </w:pPr>
      <w:r w:rsidRPr="0007488D">
        <w:rPr>
          <w:bCs/>
          <w:iCs/>
          <w:lang w:val="en-US" w:eastAsia="en-US"/>
        </w:rPr>
        <w:t>including the development of appropriate scenarios relevant to the full range of health care providers across di</w:t>
      </w:r>
      <w:r w:rsidR="0055162A">
        <w:rPr>
          <w:bCs/>
          <w:iCs/>
          <w:lang w:val="en-US" w:eastAsia="en-US"/>
        </w:rPr>
        <w:t>sciplines and clinical settings;</w:t>
      </w:r>
      <w:r w:rsidRPr="0007488D">
        <w:rPr>
          <w:bCs/>
          <w:iCs/>
          <w:lang w:val="en-US" w:eastAsia="en-US"/>
        </w:rPr>
        <w:t xml:space="preserve"> and</w:t>
      </w:r>
    </w:p>
    <w:p w14:paraId="13D5FCD4" w14:textId="77777777" w:rsidR="00940D6E" w:rsidRPr="0007488D" w:rsidRDefault="00940D6E" w:rsidP="00C035DF">
      <w:pPr>
        <w:pStyle w:val="ListParagraph"/>
        <w:numPr>
          <w:ilvl w:val="0"/>
          <w:numId w:val="115"/>
        </w:numPr>
        <w:rPr>
          <w:bCs/>
          <w:iCs/>
          <w:lang w:val="en-US" w:eastAsia="en-US"/>
        </w:rPr>
      </w:pPr>
      <w:r w:rsidRPr="0007488D">
        <w:rPr>
          <w:bCs/>
          <w:iCs/>
          <w:lang w:val="en-US" w:eastAsia="en-US"/>
        </w:rPr>
        <w:t>working with academic institutions to embed digital health competencies into undergraduate and postgraduate training and CPD programmes.</w:t>
      </w:r>
    </w:p>
    <w:p w14:paraId="13511D98" w14:textId="77777777" w:rsidR="00940D6E" w:rsidRPr="00940D6E" w:rsidRDefault="00940D6E" w:rsidP="00940D6E">
      <w:pPr>
        <w:rPr>
          <w:b/>
          <w:bCs/>
          <w:iCs/>
          <w:lang w:val="en-US" w:eastAsia="en-US"/>
        </w:rPr>
      </w:pPr>
      <w:r w:rsidRPr="00940D6E">
        <w:rPr>
          <w:b/>
          <w:bCs/>
          <w:iCs/>
          <w:lang w:val="en-US" w:eastAsia="en-US"/>
        </w:rPr>
        <w:t xml:space="preserve">Recommendation </w:t>
      </w:r>
      <w:r w:rsidR="00B46DC3">
        <w:rPr>
          <w:b/>
          <w:bCs/>
          <w:iCs/>
          <w:lang w:val="en-US" w:eastAsia="en-US"/>
        </w:rPr>
        <w:t>20</w:t>
      </w:r>
      <w:r w:rsidRPr="00940D6E">
        <w:rPr>
          <w:b/>
          <w:bCs/>
          <w:iCs/>
          <w:lang w:val="en-US" w:eastAsia="en-US"/>
        </w:rPr>
        <w:t xml:space="preserve"> – </w:t>
      </w:r>
      <w:r w:rsidR="00B46DC3">
        <w:rPr>
          <w:b/>
          <w:bCs/>
          <w:iCs/>
          <w:lang w:val="en-US" w:eastAsia="en-US"/>
        </w:rPr>
        <w:t>Extend</w:t>
      </w:r>
      <w:r w:rsidR="00B46DC3" w:rsidRPr="00940D6E">
        <w:rPr>
          <w:b/>
          <w:bCs/>
          <w:iCs/>
          <w:lang w:val="en-US" w:eastAsia="en-US"/>
        </w:rPr>
        <w:t xml:space="preserve"> </w:t>
      </w:r>
      <w:r w:rsidRPr="00940D6E">
        <w:rPr>
          <w:b/>
          <w:bCs/>
          <w:iCs/>
          <w:lang w:val="en-US" w:eastAsia="en-US"/>
        </w:rPr>
        <w:t>the current specialist to specialist referral validity period</w:t>
      </w:r>
    </w:p>
    <w:p w14:paraId="29E91C1F" w14:textId="77777777" w:rsidR="00940D6E" w:rsidRPr="00940D6E" w:rsidRDefault="00940D6E" w:rsidP="00940D6E">
      <w:pPr>
        <w:rPr>
          <w:bCs/>
          <w:iCs/>
          <w:lang w:val="en-US" w:eastAsia="en-US"/>
        </w:rPr>
      </w:pPr>
      <w:r w:rsidRPr="00940D6E">
        <w:rPr>
          <w:bCs/>
          <w:iCs/>
          <w:lang w:val="en-US" w:eastAsia="en-US"/>
        </w:rPr>
        <w:t xml:space="preserve">The Committee recommends </w:t>
      </w:r>
      <w:r w:rsidR="00B46DC3">
        <w:rPr>
          <w:bCs/>
          <w:iCs/>
          <w:lang w:val="en-US" w:eastAsia="en-US"/>
        </w:rPr>
        <w:t xml:space="preserve">extending </w:t>
      </w:r>
      <w:r w:rsidRPr="00940D6E">
        <w:rPr>
          <w:bCs/>
          <w:iCs/>
          <w:lang w:val="en-US" w:eastAsia="en-US"/>
        </w:rPr>
        <w:t xml:space="preserve">the the specialist-to-specialist referral validity </w:t>
      </w:r>
      <w:r w:rsidR="00B46DC3">
        <w:rPr>
          <w:bCs/>
          <w:iCs/>
          <w:lang w:val="en-US" w:eastAsia="en-US"/>
        </w:rPr>
        <w:t xml:space="preserve">from </w:t>
      </w:r>
      <w:r w:rsidRPr="00940D6E">
        <w:rPr>
          <w:bCs/>
          <w:iCs/>
          <w:lang w:val="en-US" w:eastAsia="en-US"/>
        </w:rPr>
        <w:t>three months</w:t>
      </w:r>
      <w:r w:rsidR="00B46DC3">
        <w:rPr>
          <w:bCs/>
          <w:iCs/>
          <w:lang w:val="en-US" w:eastAsia="en-US"/>
        </w:rPr>
        <w:t xml:space="preserve"> to six months</w:t>
      </w:r>
      <w:r w:rsidRPr="00940D6E">
        <w:rPr>
          <w:bCs/>
          <w:iCs/>
          <w:lang w:val="en-US" w:eastAsia="en-US"/>
        </w:rPr>
        <w:t>.</w:t>
      </w:r>
    </w:p>
    <w:p w14:paraId="6EE8AB2C" w14:textId="77777777" w:rsidR="00940D6E" w:rsidRPr="00940D6E" w:rsidRDefault="00940D6E" w:rsidP="00940D6E">
      <w:pPr>
        <w:rPr>
          <w:b/>
          <w:bCs/>
          <w:iCs/>
          <w:lang w:val="en-US" w:eastAsia="en-US"/>
        </w:rPr>
      </w:pPr>
      <w:r w:rsidRPr="00940D6E">
        <w:rPr>
          <w:b/>
          <w:bCs/>
          <w:iCs/>
          <w:lang w:val="en-US" w:eastAsia="en-US"/>
        </w:rPr>
        <w:t xml:space="preserve">Recommendation </w:t>
      </w:r>
      <w:r w:rsidR="00B46DC3">
        <w:rPr>
          <w:b/>
          <w:bCs/>
          <w:iCs/>
          <w:lang w:val="en-US" w:eastAsia="en-US"/>
        </w:rPr>
        <w:t>21</w:t>
      </w:r>
      <w:r w:rsidRPr="00940D6E">
        <w:rPr>
          <w:b/>
          <w:bCs/>
          <w:iCs/>
          <w:lang w:val="en-US" w:eastAsia="en-US"/>
        </w:rPr>
        <w:t xml:space="preserve"> – Introducing a new AHP pathway</w:t>
      </w:r>
    </w:p>
    <w:p w14:paraId="6EFBB5FC" w14:textId="77777777" w:rsidR="00940D6E" w:rsidRPr="00940D6E" w:rsidRDefault="00940D6E" w:rsidP="00940D6E">
      <w:pPr>
        <w:rPr>
          <w:bCs/>
          <w:iCs/>
          <w:lang w:val="en-US" w:eastAsia="en-US"/>
        </w:rPr>
      </w:pPr>
      <w:r w:rsidRPr="00940D6E">
        <w:rPr>
          <w:bCs/>
          <w:iCs/>
          <w:lang w:val="en-US" w:eastAsia="en-US"/>
        </w:rPr>
        <w:t>The Committee recommends the consideration introducing an AHP pathway for consultant specialists under certain circumstances, but only after a full review of the evidence and the associated costs and benefits of any suggested pathway.</w:t>
      </w:r>
    </w:p>
    <w:p w14:paraId="49818041" w14:textId="77777777" w:rsidR="00940D6E" w:rsidRPr="00940D6E" w:rsidRDefault="00940D6E" w:rsidP="00940D6E">
      <w:pPr>
        <w:rPr>
          <w:lang w:val="en-GB" w:eastAsia="en-US"/>
        </w:rPr>
      </w:pPr>
    </w:p>
    <w:p w14:paraId="08221343" w14:textId="77777777" w:rsidR="00940D6E" w:rsidRDefault="00940D6E" w:rsidP="006620C7">
      <w:pPr>
        <w:pStyle w:val="AppendixStyle1"/>
        <w:spacing w:before="360"/>
        <w:rPr>
          <w:lang w:val="en-GB"/>
        </w:rPr>
        <w:sectPr w:rsidR="00940D6E" w:rsidSect="00DF09CD">
          <w:endnotePr>
            <w:numFmt w:val="decimal"/>
          </w:endnotePr>
          <w:pgSz w:w="11906" w:h="16838" w:code="9"/>
          <w:pgMar w:top="1440" w:right="1797" w:bottom="1440" w:left="1797" w:header="720" w:footer="720" w:gutter="0"/>
          <w:cols w:space="720"/>
          <w:docGrid w:linePitch="326"/>
        </w:sectPr>
      </w:pPr>
    </w:p>
    <w:p w14:paraId="1E49960F" w14:textId="77777777" w:rsidR="000B2CCD" w:rsidRPr="00C33C0B" w:rsidRDefault="00E830BB" w:rsidP="006620C7">
      <w:pPr>
        <w:pStyle w:val="AppendixStyle1"/>
        <w:spacing w:before="360"/>
        <w:rPr>
          <w:lang w:val="en-GB"/>
        </w:rPr>
      </w:pPr>
      <w:bookmarkStart w:id="270" w:name="_Toc24544762"/>
      <w:r>
        <w:rPr>
          <w:lang w:val="en-GB"/>
        </w:rPr>
        <w:t>Working group m</w:t>
      </w:r>
      <w:r w:rsidR="000B2CCD" w:rsidRPr="00C33C0B">
        <w:rPr>
          <w:lang w:val="en-GB"/>
        </w:rPr>
        <w:t>embership</w:t>
      </w:r>
      <w:bookmarkEnd w:id="270"/>
      <w:r w:rsidR="000B2CCD" w:rsidRPr="00C33C0B">
        <w:rPr>
          <w:lang w:val="en-GB"/>
        </w:rPr>
        <w:t xml:space="preserve"> </w:t>
      </w:r>
      <w:bookmarkEnd w:id="268"/>
    </w:p>
    <w:p w14:paraId="080E7114" w14:textId="77777777" w:rsidR="000B2CCD" w:rsidRPr="00C33C0B" w:rsidRDefault="002355E9" w:rsidP="001671D2">
      <w:pPr>
        <w:pStyle w:val="Heading2"/>
        <w:numPr>
          <w:ilvl w:val="0"/>
          <w:numId w:val="0"/>
        </w:numPr>
        <w:rPr>
          <w:lang w:val="en-GB"/>
        </w:rPr>
      </w:pPr>
      <w:bookmarkStart w:id="271" w:name="_Toc521442222"/>
      <w:bookmarkStart w:id="272" w:name="_Toc24544763"/>
      <w:r>
        <w:rPr>
          <w:lang w:val="en-GB"/>
        </w:rPr>
        <w:t xml:space="preserve">Table </w:t>
      </w:r>
      <w:r w:rsidR="00C17B92">
        <w:rPr>
          <w:lang w:val="en-GB"/>
        </w:rPr>
        <w:t>C</w:t>
      </w:r>
      <w:r>
        <w:rPr>
          <w:lang w:val="en-GB"/>
        </w:rPr>
        <w:t>.</w:t>
      </w:r>
      <w:r w:rsidR="000B2CCD" w:rsidRPr="00C33C0B">
        <w:rPr>
          <w:lang w:val="en-GB"/>
        </w:rPr>
        <w:t>1: Time</w:t>
      </w:r>
      <w:r w:rsidR="005D1009">
        <w:rPr>
          <w:lang w:val="en-GB"/>
        </w:rPr>
        <w:t>-</w:t>
      </w:r>
      <w:r w:rsidR="000B2CCD" w:rsidRPr="00C33C0B">
        <w:rPr>
          <w:lang w:val="en-GB"/>
        </w:rPr>
        <w:t>tier</w:t>
      </w:r>
      <w:r w:rsidR="005D1009">
        <w:rPr>
          <w:lang w:val="en-GB"/>
        </w:rPr>
        <w:t>ed attendances</w:t>
      </w:r>
      <w:bookmarkEnd w:id="271"/>
      <w:bookmarkEnd w:id="27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C - Time Tiered Attendances Working Group Membership"/>
        <w:tblDescription w:val="Table C.1 has 3 columns. Column 1 is the working group member. Column 2 is the member's position and/or organisation. Column 3 lists the member's declared conflicts of interests. "/>
      </w:tblPr>
      <w:tblGrid>
        <w:gridCol w:w="2707"/>
        <w:gridCol w:w="2818"/>
        <w:gridCol w:w="2777"/>
      </w:tblGrid>
      <w:tr w:rsidR="00FC0467" w:rsidRPr="00C33C0B" w14:paraId="5CEF89EC" w14:textId="77777777" w:rsidTr="00FC0467">
        <w:trPr>
          <w:tblHeader/>
        </w:trPr>
        <w:tc>
          <w:tcPr>
            <w:tcW w:w="2707" w:type="dxa"/>
            <w:shd w:val="clear" w:color="auto" w:fill="01653F"/>
            <w:vAlign w:val="bottom"/>
          </w:tcPr>
          <w:p w14:paraId="2D14C583" w14:textId="77777777" w:rsidR="000B2CCD" w:rsidRPr="00C33C0B" w:rsidRDefault="000B2CCD" w:rsidP="00BD6890">
            <w:pPr>
              <w:spacing w:before="20" w:after="20" w:line="240" w:lineRule="auto"/>
              <w:rPr>
                <w:rFonts w:cstheme="minorHAnsi"/>
                <w:color w:val="FFFFFF" w:themeColor="background1"/>
                <w:sz w:val="18"/>
                <w:szCs w:val="18"/>
                <w:lang w:val="en-GB"/>
              </w:rPr>
            </w:pPr>
            <w:r w:rsidRPr="00C33C0B">
              <w:rPr>
                <w:rFonts w:cstheme="minorHAnsi"/>
                <w:b/>
                <w:color w:val="FFFFFF" w:themeColor="background1"/>
                <w:sz w:val="18"/>
                <w:szCs w:val="18"/>
                <w:lang w:val="en-GB"/>
              </w:rPr>
              <w:t>Member</w:t>
            </w:r>
          </w:p>
        </w:tc>
        <w:tc>
          <w:tcPr>
            <w:tcW w:w="2818" w:type="dxa"/>
            <w:shd w:val="clear" w:color="auto" w:fill="01653F"/>
            <w:vAlign w:val="bottom"/>
          </w:tcPr>
          <w:p w14:paraId="10EA03BE" w14:textId="77777777" w:rsidR="000B2CCD" w:rsidRPr="00C33C0B" w:rsidRDefault="00F7619D" w:rsidP="00BD6890">
            <w:pPr>
              <w:spacing w:before="20" w:after="20" w:line="240" w:lineRule="auto"/>
              <w:rPr>
                <w:rFonts w:cstheme="minorHAnsi"/>
                <w:color w:val="FFFFFF" w:themeColor="background1"/>
                <w:sz w:val="18"/>
                <w:szCs w:val="18"/>
                <w:lang w:val="en-GB"/>
              </w:rPr>
            </w:pPr>
            <w:r>
              <w:rPr>
                <w:rFonts w:cstheme="minorHAnsi"/>
                <w:b/>
                <w:color w:val="FFFFFF" w:themeColor="background1"/>
                <w:sz w:val="18"/>
                <w:szCs w:val="18"/>
                <w:lang w:val="en-GB"/>
              </w:rPr>
              <w:t>Position/organisation</w:t>
            </w:r>
          </w:p>
        </w:tc>
        <w:tc>
          <w:tcPr>
            <w:tcW w:w="2777" w:type="dxa"/>
            <w:shd w:val="clear" w:color="auto" w:fill="01653F"/>
            <w:vAlign w:val="bottom"/>
          </w:tcPr>
          <w:p w14:paraId="7C9E38A2" w14:textId="77777777" w:rsidR="000B2CCD" w:rsidRPr="00C33C0B" w:rsidRDefault="000B2CCD" w:rsidP="00BD6890">
            <w:pPr>
              <w:spacing w:before="20" w:after="20" w:line="240" w:lineRule="auto"/>
              <w:rPr>
                <w:rFonts w:cstheme="minorHAnsi"/>
                <w:color w:val="FFFFFF" w:themeColor="background1"/>
                <w:sz w:val="18"/>
                <w:szCs w:val="18"/>
                <w:lang w:val="en-GB"/>
              </w:rPr>
            </w:pPr>
            <w:r w:rsidRPr="00C33C0B">
              <w:rPr>
                <w:rFonts w:cstheme="minorHAnsi"/>
                <w:b/>
                <w:color w:val="FFFFFF" w:themeColor="background1"/>
                <w:sz w:val="18"/>
                <w:szCs w:val="18"/>
                <w:lang w:val="en-GB"/>
              </w:rPr>
              <w:t>Declared</w:t>
            </w:r>
            <w:r w:rsidR="006D2958">
              <w:rPr>
                <w:rFonts w:cstheme="minorHAnsi"/>
                <w:b/>
                <w:color w:val="FFFFFF" w:themeColor="background1"/>
                <w:sz w:val="18"/>
                <w:szCs w:val="18"/>
                <w:lang w:val="en-GB"/>
              </w:rPr>
              <w:t xml:space="preserve"> conflict</w:t>
            </w:r>
            <w:r w:rsidR="00E20E7A">
              <w:rPr>
                <w:rFonts w:cstheme="minorHAnsi"/>
                <w:b/>
                <w:color w:val="FFFFFF" w:themeColor="background1"/>
                <w:sz w:val="18"/>
                <w:szCs w:val="18"/>
                <w:lang w:val="en-GB"/>
              </w:rPr>
              <w:t>s</w:t>
            </w:r>
            <w:r w:rsidR="006D2958">
              <w:rPr>
                <w:rFonts w:cstheme="minorHAnsi"/>
                <w:b/>
                <w:color w:val="FFFFFF" w:themeColor="background1"/>
                <w:sz w:val="18"/>
                <w:szCs w:val="18"/>
                <w:lang w:val="en-GB"/>
              </w:rPr>
              <w:t xml:space="preserve"> of</w:t>
            </w:r>
            <w:r w:rsidRPr="00C33C0B">
              <w:rPr>
                <w:rFonts w:cstheme="minorHAnsi"/>
                <w:b/>
                <w:color w:val="FFFFFF" w:themeColor="background1"/>
                <w:sz w:val="18"/>
                <w:szCs w:val="18"/>
                <w:lang w:val="en-GB"/>
              </w:rPr>
              <w:t xml:space="preserve"> interest</w:t>
            </w:r>
          </w:p>
        </w:tc>
      </w:tr>
      <w:tr w:rsidR="000B2CCD" w:rsidRPr="00C33C0B" w14:paraId="57D2DD46" w14:textId="77777777" w:rsidTr="00FC0467">
        <w:tc>
          <w:tcPr>
            <w:tcW w:w="2707" w:type="dxa"/>
          </w:tcPr>
          <w:p w14:paraId="6C8B124D" w14:textId="77777777" w:rsidR="000B2CCD" w:rsidRPr="00C33C0B" w:rsidRDefault="000B2CCD" w:rsidP="00BD6890">
            <w:pPr>
              <w:spacing w:before="20" w:after="20" w:line="240" w:lineRule="auto"/>
              <w:rPr>
                <w:rFonts w:cstheme="minorHAnsi"/>
                <w:sz w:val="18"/>
                <w:szCs w:val="18"/>
                <w:lang w:val="en-GB"/>
              </w:rPr>
            </w:pPr>
            <w:r w:rsidRPr="00C33C0B">
              <w:rPr>
                <w:rFonts w:cstheme="minorHAnsi"/>
                <w:sz w:val="18"/>
                <w:szCs w:val="18"/>
                <w:lang w:val="en-GB"/>
              </w:rPr>
              <w:t>Dr Robert Carroll</w:t>
            </w:r>
          </w:p>
        </w:tc>
        <w:tc>
          <w:tcPr>
            <w:tcW w:w="2818" w:type="dxa"/>
          </w:tcPr>
          <w:p w14:paraId="2E49FF92" w14:textId="77777777" w:rsidR="000B2CCD" w:rsidRPr="00C33C0B" w:rsidRDefault="000B2CCD" w:rsidP="001E3727">
            <w:pPr>
              <w:pStyle w:val="Bullet-green"/>
              <w:numPr>
                <w:ilvl w:val="0"/>
                <w:numId w:val="0"/>
              </w:numPr>
              <w:spacing w:before="20" w:after="20" w:line="240" w:lineRule="auto"/>
              <w:rPr>
                <w:sz w:val="18"/>
                <w:szCs w:val="18"/>
                <w:lang w:val="en-GB"/>
              </w:rPr>
            </w:pPr>
            <w:r w:rsidRPr="00C33C0B">
              <w:rPr>
                <w:sz w:val="18"/>
                <w:szCs w:val="18"/>
                <w:lang w:val="en-GB"/>
              </w:rPr>
              <w:t>Nephrologist, University of Adelaide</w:t>
            </w:r>
          </w:p>
        </w:tc>
        <w:tc>
          <w:tcPr>
            <w:tcW w:w="2777" w:type="dxa"/>
          </w:tcPr>
          <w:p w14:paraId="67DE5795" w14:textId="77777777" w:rsidR="000B2CCD" w:rsidRPr="00C33C0B" w:rsidRDefault="000B2CCD" w:rsidP="001E3727">
            <w:pPr>
              <w:pStyle w:val="Bullet-green"/>
              <w:numPr>
                <w:ilvl w:val="0"/>
                <w:numId w:val="0"/>
              </w:numPr>
              <w:spacing w:before="20" w:after="20" w:line="240" w:lineRule="auto"/>
              <w:rPr>
                <w:sz w:val="18"/>
                <w:szCs w:val="18"/>
                <w:lang w:val="en-GB"/>
              </w:rPr>
            </w:pPr>
            <w:r w:rsidRPr="00C33C0B">
              <w:rPr>
                <w:sz w:val="18"/>
                <w:szCs w:val="18"/>
                <w:lang w:val="en-GB"/>
              </w:rPr>
              <w:t>None</w:t>
            </w:r>
          </w:p>
        </w:tc>
      </w:tr>
      <w:tr w:rsidR="000B2CCD" w:rsidRPr="00C33C0B" w14:paraId="2BE9D631" w14:textId="77777777" w:rsidTr="00FC0467">
        <w:tc>
          <w:tcPr>
            <w:tcW w:w="2707" w:type="dxa"/>
          </w:tcPr>
          <w:p w14:paraId="4F7FA0B8" w14:textId="77777777" w:rsidR="000B2CCD" w:rsidRPr="00C33C0B" w:rsidRDefault="000B2CCD" w:rsidP="00BD6890">
            <w:pPr>
              <w:spacing w:before="20" w:after="20" w:line="240" w:lineRule="auto"/>
              <w:rPr>
                <w:rFonts w:cstheme="minorHAnsi"/>
                <w:sz w:val="18"/>
                <w:szCs w:val="18"/>
                <w:lang w:val="en-GB"/>
              </w:rPr>
            </w:pPr>
            <w:r w:rsidRPr="00C33C0B">
              <w:rPr>
                <w:rFonts w:cstheme="minorHAnsi"/>
                <w:sz w:val="18"/>
                <w:szCs w:val="18"/>
                <w:lang w:val="en-GB"/>
              </w:rPr>
              <w:t>Dr Eleanor Chew (Ex-Officio)</w:t>
            </w:r>
          </w:p>
        </w:tc>
        <w:tc>
          <w:tcPr>
            <w:tcW w:w="2818" w:type="dxa"/>
          </w:tcPr>
          <w:p w14:paraId="6E4587F6" w14:textId="77777777" w:rsidR="000B2CCD" w:rsidRPr="00C33C0B" w:rsidRDefault="000B2CCD" w:rsidP="001E3727">
            <w:pPr>
              <w:pStyle w:val="Bullet-green"/>
              <w:numPr>
                <w:ilvl w:val="0"/>
                <w:numId w:val="0"/>
              </w:numPr>
              <w:spacing w:before="20" w:after="20" w:line="240" w:lineRule="auto"/>
              <w:rPr>
                <w:sz w:val="18"/>
                <w:szCs w:val="18"/>
                <w:lang w:val="en-GB"/>
              </w:rPr>
            </w:pPr>
            <w:r w:rsidRPr="00C33C0B">
              <w:rPr>
                <w:sz w:val="18"/>
                <w:szCs w:val="18"/>
                <w:lang w:val="en-GB"/>
              </w:rPr>
              <w:t xml:space="preserve">GP </w:t>
            </w:r>
            <w:r w:rsidR="00062144">
              <w:rPr>
                <w:sz w:val="18"/>
                <w:szCs w:val="18"/>
                <w:lang w:val="en-GB"/>
              </w:rPr>
              <w:t>practising</w:t>
            </w:r>
            <w:r w:rsidR="00062144" w:rsidRPr="00C33C0B">
              <w:rPr>
                <w:sz w:val="18"/>
                <w:szCs w:val="18"/>
                <w:lang w:val="en-GB"/>
              </w:rPr>
              <w:t xml:space="preserve"> </w:t>
            </w:r>
            <w:r w:rsidRPr="00C33C0B">
              <w:rPr>
                <w:sz w:val="18"/>
                <w:szCs w:val="18"/>
                <w:lang w:val="en-GB"/>
              </w:rPr>
              <w:t>in Brisbane</w:t>
            </w:r>
            <w:r w:rsidR="001E3727">
              <w:rPr>
                <w:sz w:val="18"/>
                <w:szCs w:val="18"/>
                <w:lang w:val="en-GB"/>
              </w:rPr>
              <w:t xml:space="preserve">; </w:t>
            </w:r>
            <w:r w:rsidRPr="00C33C0B">
              <w:rPr>
                <w:sz w:val="18"/>
                <w:szCs w:val="18"/>
                <w:lang w:val="en-GB"/>
              </w:rPr>
              <w:t xml:space="preserve">Member of the MBS </w:t>
            </w:r>
            <w:r w:rsidR="005D3931">
              <w:rPr>
                <w:sz w:val="18"/>
                <w:szCs w:val="18"/>
                <w:lang w:val="en-GB"/>
              </w:rPr>
              <w:t>R</w:t>
            </w:r>
            <w:r w:rsidRPr="00C33C0B">
              <w:rPr>
                <w:sz w:val="18"/>
                <w:szCs w:val="18"/>
                <w:lang w:val="en-GB"/>
              </w:rPr>
              <w:t>eview Principles and Rules</w:t>
            </w:r>
            <w:r w:rsidR="009133D1">
              <w:rPr>
                <w:sz w:val="18"/>
                <w:szCs w:val="18"/>
                <w:lang w:val="en-GB"/>
              </w:rPr>
              <w:t xml:space="preserve"> Committee</w:t>
            </w:r>
            <w:r w:rsidRPr="00C33C0B">
              <w:rPr>
                <w:sz w:val="18"/>
                <w:szCs w:val="18"/>
                <w:lang w:val="en-GB"/>
              </w:rPr>
              <w:t xml:space="preserve"> (PARC) and </w:t>
            </w:r>
            <w:r w:rsidR="00521A28">
              <w:rPr>
                <w:sz w:val="18"/>
                <w:szCs w:val="18"/>
                <w:lang w:val="en-GB"/>
              </w:rPr>
              <w:t>the</w:t>
            </w:r>
            <w:r w:rsidRPr="00C33C0B">
              <w:rPr>
                <w:sz w:val="18"/>
                <w:szCs w:val="18"/>
                <w:lang w:val="en-GB"/>
              </w:rPr>
              <w:t xml:space="preserve"> GP and Primary Care Clinical Committee</w:t>
            </w:r>
          </w:p>
        </w:tc>
        <w:tc>
          <w:tcPr>
            <w:tcW w:w="2777" w:type="dxa"/>
          </w:tcPr>
          <w:p w14:paraId="7C7DCF64" w14:textId="77777777" w:rsidR="000B2CCD" w:rsidRPr="00C33C0B" w:rsidRDefault="000B2CCD" w:rsidP="001E3727">
            <w:pPr>
              <w:pStyle w:val="Bullet-green"/>
              <w:numPr>
                <w:ilvl w:val="0"/>
                <w:numId w:val="0"/>
              </w:numPr>
              <w:spacing w:before="20" w:after="20" w:line="240" w:lineRule="auto"/>
              <w:rPr>
                <w:sz w:val="18"/>
                <w:szCs w:val="18"/>
                <w:lang w:val="en-GB"/>
              </w:rPr>
            </w:pPr>
            <w:r w:rsidRPr="00C33C0B">
              <w:rPr>
                <w:sz w:val="18"/>
                <w:szCs w:val="18"/>
                <w:lang w:val="en-GB"/>
              </w:rPr>
              <w:t xml:space="preserve">MBS </w:t>
            </w:r>
            <w:r w:rsidR="001E3727">
              <w:rPr>
                <w:sz w:val="18"/>
                <w:szCs w:val="18"/>
                <w:lang w:val="en-GB"/>
              </w:rPr>
              <w:t>T</w:t>
            </w:r>
            <w:r w:rsidRPr="00C33C0B">
              <w:rPr>
                <w:sz w:val="18"/>
                <w:szCs w:val="18"/>
                <w:lang w:val="en-GB"/>
              </w:rPr>
              <w:t>askforce</w:t>
            </w:r>
            <w:r w:rsidR="001E3727">
              <w:rPr>
                <w:sz w:val="18"/>
                <w:szCs w:val="18"/>
                <w:lang w:val="en-GB"/>
              </w:rPr>
              <w:t xml:space="preserve">; </w:t>
            </w:r>
            <w:r w:rsidRPr="00C33C0B">
              <w:rPr>
                <w:sz w:val="18"/>
                <w:szCs w:val="18"/>
                <w:lang w:val="en-GB"/>
              </w:rPr>
              <w:t xml:space="preserve">Board </w:t>
            </w:r>
            <w:r w:rsidR="001E3727">
              <w:rPr>
                <w:sz w:val="18"/>
                <w:szCs w:val="18"/>
                <w:lang w:val="en-GB"/>
              </w:rPr>
              <w:t>M</w:t>
            </w:r>
            <w:r w:rsidRPr="00C33C0B">
              <w:rPr>
                <w:sz w:val="18"/>
                <w:szCs w:val="18"/>
                <w:lang w:val="en-GB"/>
              </w:rPr>
              <w:t>ember of</w:t>
            </w:r>
            <w:r w:rsidR="001E3727">
              <w:rPr>
                <w:sz w:val="18"/>
                <w:szCs w:val="18"/>
                <w:lang w:val="en-GB"/>
              </w:rPr>
              <w:t xml:space="preserve"> the</w:t>
            </w:r>
            <w:r w:rsidRPr="00C33C0B">
              <w:rPr>
                <w:sz w:val="18"/>
                <w:szCs w:val="18"/>
                <w:lang w:val="en-GB"/>
              </w:rPr>
              <w:t xml:space="preserve"> Australian Digital Health Agency</w:t>
            </w:r>
          </w:p>
          <w:p w14:paraId="018A263E" w14:textId="77777777" w:rsidR="000B2CCD" w:rsidRPr="00C33C0B" w:rsidRDefault="000B2CCD" w:rsidP="001E3727">
            <w:pPr>
              <w:pStyle w:val="Bullet-green"/>
              <w:numPr>
                <w:ilvl w:val="0"/>
                <w:numId w:val="0"/>
              </w:numPr>
              <w:spacing w:before="20" w:after="20" w:line="240" w:lineRule="auto"/>
              <w:rPr>
                <w:sz w:val="18"/>
                <w:szCs w:val="18"/>
                <w:lang w:val="en-GB"/>
              </w:rPr>
            </w:pPr>
            <w:r w:rsidRPr="00C33C0B">
              <w:rPr>
                <w:sz w:val="18"/>
                <w:szCs w:val="18"/>
                <w:lang w:val="en-GB"/>
              </w:rPr>
              <w:t>Member of Professional Services Review Panel</w:t>
            </w:r>
            <w:r w:rsidR="001E3727">
              <w:rPr>
                <w:sz w:val="18"/>
                <w:szCs w:val="18"/>
                <w:lang w:val="en-GB"/>
              </w:rPr>
              <w:t>;</w:t>
            </w:r>
            <w:r w:rsidRPr="00C33C0B">
              <w:rPr>
                <w:sz w:val="18"/>
                <w:szCs w:val="18"/>
                <w:lang w:val="en-GB"/>
              </w:rPr>
              <w:t xml:space="preserve"> Member of</w:t>
            </w:r>
            <w:r w:rsidR="001E3727">
              <w:rPr>
                <w:sz w:val="18"/>
                <w:szCs w:val="18"/>
                <w:lang w:val="en-GB"/>
              </w:rPr>
              <w:t xml:space="preserve"> the</w:t>
            </w:r>
            <w:r w:rsidRPr="00C33C0B">
              <w:rPr>
                <w:sz w:val="18"/>
                <w:szCs w:val="18"/>
                <w:lang w:val="en-GB"/>
              </w:rPr>
              <w:t xml:space="preserve"> Australian Health Practitioner Regulation Agency (A</w:t>
            </w:r>
            <w:r w:rsidR="007C7B29">
              <w:rPr>
                <w:sz w:val="18"/>
                <w:szCs w:val="18"/>
                <w:lang w:val="en-GB"/>
              </w:rPr>
              <w:t>H</w:t>
            </w:r>
            <w:r w:rsidRPr="00C33C0B">
              <w:rPr>
                <w:sz w:val="18"/>
                <w:szCs w:val="18"/>
                <w:lang w:val="en-GB"/>
              </w:rPr>
              <w:t>PRA) panel</w:t>
            </w:r>
          </w:p>
        </w:tc>
      </w:tr>
      <w:tr w:rsidR="000B2CCD" w:rsidRPr="00C33C0B" w14:paraId="2FF43309" w14:textId="77777777" w:rsidTr="00FC0467">
        <w:tc>
          <w:tcPr>
            <w:tcW w:w="2707" w:type="dxa"/>
          </w:tcPr>
          <w:p w14:paraId="44CADC16" w14:textId="77777777" w:rsidR="000B2CCD" w:rsidRPr="00C33C0B" w:rsidRDefault="000B2CCD" w:rsidP="00BD6890">
            <w:pPr>
              <w:spacing w:before="20" w:after="20" w:line="240" w:lineRule="auto"/>
              <w:rPr>
                <w:rFonts w:cstheme="minorHAnsi"/>
                <w:sz w:val="18"/>
                <w:szCs w:val="18"/>
                <w:lang w:val="en-GB"/>
              </w:rPr>
            </w:pPr>
            <w:r w:rsidRPr="00C33C0B">
              <w:rPr>
                <w:rFonts w:cstheme="minorHAnsi"/>
                <w:sz w:val="18"/>
                <w:szCs w:val="18"/>
                <w:lang w:val="en-GB"/>
              </w:rPr>
              <w:t>Ms Debra Kay</w:t>
            </w:r>
          </w:p>
        </w:tc>
        <w:tc>
          <w:tcPr>
            <w:tcW w:w="2818" w:type="dxa"/>
          </w:tcPr>
          <w:p w14:paraId="356A0582" w14:textId="77777777" w:rsidR="000B2CCD" w:rsidRPr="00C33C0B" w:rsidRDefault="000B2CCD" w:rsidP="001E3727">
            <w:pPr>
              <w:pStyle w:val="Bullet-green"/>
              <w:numPr>
                <w:ilvl w:val="0"/>
                <w:numId w:val="0"/>
              </w:numPr>
              <w:spacing w:before="20" w:after="20" w:line="240" w:lineRule="auto"/>
              <w:rPr>
                <w:sz w:val="18"/>
                <w:szCs w:val="18"/>
                <w:lang w:val="en-GB"/>
              </w:rPr>
            </w:pPr>
            <w:r w:rsidRPr="00C33C0B">
              <w:rPr>
                <w:sz w:val="18"/>
                <w:szCs w:val="18"/>
                <w:lang w:val="en-GB"/>
              </w:rPr>
              <w:t>Consumer Representative</w:t>
            </w:r>
          </w:p>
        </w:tc>
        <w:tc>
          <w:tcPr>
            <w:tcW w:w="2777" w:type="dxa"/>
          </w:tcPr>
          <w:p w14:paraId="3F620F5D" w14:textId="77777777" w:rsidR="000B2CCD" w:rsidRPr="00531ECF" w:rsidRDefault="000B2CCD" w:rsidP="001E3727">
            <w:pPr>
              <w:pStyle w:val="Bullet-green"/>
              <w:numPr>
                <w:ilvl w:val="0"/>
                <w:numId w:val="0"/>
              </w:numPr>
              <w:spacing w:before="20" w:after="20" w:line="240" w:lineRule="auto"/>
              <w:rPr>
                <w:sz w:val="18"/>
                <w:szCs w:val="18"/>
                <w:lang w:val="en-GB"/>
              </w:rPr>
            </w:pPr>
            <w:r w:rsidRPr="00C33C0B">
              <w:rPr>
                <w:sz w:val="18"/>
                <w:szCs w:val="18"/>
                <w:lang w:val="en-GB"/>
              </w:rPr>
              <w:t>Member of</w:t>
            </w:r>
            <w:r w:rsidR="00B774E9">
              <w:rPr>
                <w:sz w:val="18"/>
                <w:szCs w:val="18"/>
                <w:lang w:val="en-GB"/>
              </w:rPr>
              <w:t xml:space="preserve"> the </w:t>
            </w:r>
            <w:r w:rsidRPr="00B774E9">
              <w:rPr>
                <w:sz w:val="18"/>
                <w:szCs w:val="18"/>
                <w:lang w:val="en-GB"/>
              </w:rPr>
              <w:t>Consumer Issues Panel</w:t>
            </w:r>
            <w:r w:rsidR="00B774E9">
              <w:rPr>
                <w:sz w:val="18"/>
                <w:szCs w:val="18"/>
                <w:lang w:val="en-GB"/>
              </w:rPr>
              <w:t xml:space="preserve"> and the </w:t>
            </w:r>
            <w:r w:rsidRPr="00B774E9">
              <w:rPr>
                <w:sz w:val="18"/>
                <w:szCs w:val="18"/>
                <w:lang w:val="en-GB"/>
              </w:rPr>
              <w:t>Principles and Rules Committee</w:t>
            </w:r>
          </w:p>
        </w:tc>
      </w:tr>
      <w:tr w:rsidR="000B2CCD" w:rsidRPr="00C33C0B" w14:paraId="1EB27E18" w14:textId="77777777" w:rsidTr="00FC0467">
        <w:tc>
          <w:tcPr>
            <w:tcW w:w="2707" w:type="dxa"/>
          </w:tcPr>
          <w:p w14:paraId="4656A85A" w14:textId="77777777" w:rsidR="000B2CCD" w:rsidRPr="00C33C0B" w:rsidRDefault="000B2CCD" w:rsidP="00BD6890">
            <w:pPr>
              <w:spacing w:before="20" w:after="20" w:line="240" w:lineRule="auto"/>
              <w:rPr>
                <w:rFonts w:cstheme="minorHAnsi"/>
                <w:sz w:val="18"/>
                <w:szCs w:val="18"/>
                <w:lang w:val="en-GB"/>
              </w:rPr>
            </w:pPr>
            <w:r w:rsidRPr="00C33C0B">
              <w:rPr>
                <w:rFonts w:cstheme="minorHAnsi"/>
                <w:sz w:val="18"/>
                <w:szCs w:val="18"/>
                <w:lang w:val="en-GB"/>
              </w:rPr>
              <w:t>Dr Julie Thompson</w:t>
            </w:r>
          </w:p>
        </w:tc>
        <w:tc>
          <w:tcPr>
            <w:tcW w:w="2818" w:type="dxa"/>
          </w:tcPr>
          <w:p w14:paraId="0585547F" w14:textId="77777777" w:rsidR="000B2CCD" w:rsidRPr="00C33C0B" w:rsidRDefault="000B2CCD" w:rsidP="001E3727">
            <w:pPr>
              <w:pStyle w:val="Bullet-green"/>
              <w:numPr>
                <w:ilvl w:val="0"/>
                <w:numId w:val="0"/>
              </w:numPr>
              <w:spacing w:before="20" w:after="20" w:line="240" w:lineRule="auto"/>
              <w:rPr>
                <w:sz w:val="18"/>
                <w:szCs w:val="18"/>
                <w:lang w:val="en-GB"/>
              </w:rPr>
            </w:pPr>
            <w:r w:rsidRPr="00C33C0B">
              <w:rPr>
                <w:sz w:val="18"/>
                <w:szCs w:val="18"/>
                <w:lang w:val="en-GB"/>
              </w:rPr>
              <w:t>General Practitioner</w:t>
            </w:r>
          </w:p>
        </w:tc>
        <w:tc>
          <w:tcPr>
            <w:tcW w:w="2777" w:type="dxa"/>
          </w:tcPr>
          <w:p w14:paraId="670750C5" w14:textId="77777777" w:rsidR="000B2CCD" w:rsidRPr="00C33C0B" w:rsidRDefault="000B2CCD" w:rsidP="001E3727">
            <w:pPr>
              <w:pStyle w:val="Bullet-green"/>
              <w:numPr>
                <w:ilvl w:val="0"/>
                <w:numId w:val="0"/>
              </w:numPr>
              <w:spacing w:before="20" w:after="20" w:line="240" w:lineRule="auto"/>
              <w:rPr>
                <w:sz w:val="18"/>
                <w:szCs w:val="18"/>
                <w:lang w:val="en-GB"/>
              </w:rPr>
            </w:pPr>
            <w:r w:rsidRPr="00C33C0B">
              <w:rPr>
                <w:sz w:val="18"/>
                <w:szCs w:val="18"/>
                <w:lang w:val="en-GB"/>
              </w:rPr>
              <w:t>None</w:t>
            </w:r>
          </w:p>
        </w:tc>
      </w:tr>
      <w:tr w:rsidR="000B2CCD" w:rsidRPr="00C33C0B" w14:paraId="6EF8FEED" w14:textId="77777777" w:rsidTr="00FC0467">
        <w:tc>
          <w:tcPr>
            <w:tcW w:w="2707" w:type="dxa"/>
          </w:tcPr>
          <w:p w14:paraId="409C211B" w14:textId="77777777" w:rsidR="000B2CCD" w:rsidRPr="00C33C0B" w:rsidRDefault="000B2CCD" w:rsidP="00BD6890">
            <w:pPr>
              <w:spacing w:before="20" w:after="20" w:line="240" w:lineRule="auto"/>
              <w:rPr>
                <w:rFonts w:cstheme="minorHAnsi"/>
                <w:sz w:val="18"/>
                <w:szCs w:val="18"/>
                <w:lang w:val="en-GB"/>
              </w:rPr>
            </w:pPr>
            <w:r w:rsidRPr="00C33C0B">
              <w:rPr>
                <w:rFonts w:cstheme="minorHAnsi"/>
                <w:sz w:val="18"/>
                <w:szCs w:val="18"/>
                <w:lang w:val="en-GB"/>
              </w:rPr>
              <w:t xml:space="preserve">Dr </w:t>
            </w:r>
            <w:r w:rsidR="00885661">
              <w:rPr>
                <w:rFonts w:cstheme="minorHAnsi"/>
                <w:sz w:val="18"/>
                <w:szCs w:val="18"/>
                <w:lang w:val="en-GB"/>
              </w:rPr>
              <w:t>Philip Truskett AM (</w:t>
            </w:r>
            <w:r w:rsidRPr="00C33C0B">
              <w:rPr>
                <w:rFonts w:cstheme="minorHAnsi"/>
                <w:sz w:val="18"/>
                <w:szCs w:val="18"/>
                <w:lang w:val="en-GB"/>
              </w:rPr>
              <w:t>Co-</w:t>
            </w:r>
            <w:r w:rsidR="00501FC3">
              <w:rPr>
                <w:rFonts w:cstheme="minorHAnsi"/>
                <w:sz w:val="18"/>
                <w:szCs w:val="18"/>
                <w:lang w:val="en-GB"/>
              </w:rPr>
              <w:t>C</w:t>
            </w:r>
            <w:r w:rsidRPr="00C33C0B">
              <w:rPr>
                <w:rFonts w:cstheme="minorHAnsi"/>
                <w:sz w:val="18"/>
                <w:szCs w:val="18"/>
                <w:lang w:val="en-GB"/>
              </w:rPr>
              <w:t>hair)</w:t>
            </w:r>
          </w:p>
        </w:tc>
        <w:tc>
          <w:tcPr>
            <w:tcW w:w="2818" w:type="dxa"/>
          </w:tcPr>
          <w:p w14:paraId="40AEE01A" w14:textId="77777777" w:rsidR="000B2CCD" w:rsidRPr="00C33C0B" w:rsidRDefault="000B2CCD" w:rsidP="001E3727">
            <w:pPr>
              <w:pStyle w:val="Bullet-green"/>
              <w:numPr>
                <w:ilvl w:val="0"/>
                <w:numId w:val="0"/>
              </w:numPr>
              <w:spacing w:before="20" w:after="20" w:line="240" w:lineRule="auto"/>
              <w:rPr>
                <w:sz w:val="18"/>
                <w:szCs w:val="18"/>
                <w:lang w:val="en-GB"/>
              </w:rPr>
            </w:pPr>
            <w:r w:rsidRPr="00C33C0B">
              <w:rPr>
                <w:sz w:val="18"/>
                <w:szCs w:val="18"/>
                <w:lang w:val="en-GB"/>
              </w:rPr>
              <w:t xml:space="preserve">General </w:t>
            </w:r>
            <w:r w:rsidR="00266187">
              <w:rPr>
                <w:sz w:val="18"/>
                <w:szCs w:val="18"/>
                <w:lang w:val="en-GB"/>
              </w:rPr>
              <w:t>S</w:t>
            </w:r>
            <w:r w:rsidRPr="00C33C0B">
              <w:rPr>
                <w:sz w:val="18"/>
                <w:szCs w:val="18"/>
                <w:lang w:val="en-GB"/>
              </w:rPr>
              <w:t>urgeon at Prince of Wales Hospital</w:t>
            </w:r>
            <w:r w:rsidR="00501FC3">
              <w:rPr>
                <w:sz w:val="18"/>
                <w:szCs w:val="18"/>
                <w:lang w:val="en-GB"/>
              </w:rPr>
              <w:t>,</w:t>
            </w:r>
            <w:r w:rsidRPr="00C33C0B">
              <w:rPr>
                <w:sz w:val="18"/>
                <w:szCs w:val="18"/>
                <w:lang w:val="en-GB"/>
              </w:rPr>
              <w:t xml:space="preserve"> Sydney</w:t>
            </w:r>
          </w:p>
        </w:tc>
        <w:tc>
          <w:tcPr>
            <w:tcW w:w="2777" w:type="dxa"/>
          </w:tcPr>
          <w:p w14:paraId="0FD81060" w14:textId="77777777" w:rsidR="000B2CCD" w:rsidRPr="00C33C0B" w:rsidRDefault="000B2CCD" w:rsidP="001E3727">
            <w:pPr>
              <w:pStyle w:val="Bullet-green"/>
              <w:numPr>
                <w:ilvl w:val="0"/>
                <w:numId w:val="0"/>
              </w:numPr>
              <w:spacing w:before="20" w:after="20" w:line="240" w:lineRule="auto"/>
              <w:rPr>
                <w:sz w:val="18"/>
                <w:szCs w:val="18"/>
                <w:lang w:val="en-GB"/>
              </w:rPr>
            </w:pPr>
            <w:r w:rsidRPr="00C33C0B">
              <w:rPr>
                <w:sz w:val="18"/>
                <w:szCs w:val="18"/>
                <w:lang w:val="en-GB"/>
              </w:rPr>
              <w:t>None</w:t>
            </w:r>
          </w:p>
        </w:tc>
      </w:tr>
    </w:tbl>
    <w:p w14:paraId="6158B1F2" w14:textId="77777777" w:rsidR="000B2CCD" w:rsidRPr="00C33C0B" w:rsidRDefault="002355E9" w:rsidP="001671D2">
      <w:pPr>
        <w:pStyle w:val="Heading2"/>
        <w:numPr>
          <w:ilvl w:val="0"/>
          <w:numId w:val="0"/>
        </w:numPr>
        <w:rPr>
          <w:lang w:val="en-GB"/>
        </w:rPr>
      </w:pPr>
      <w:bookmarkStart w:id="273" w:name="_Toc521442223"/>
      <w:bookmarkStart w:id="274" w:name="_Toc24544764"/>
      <w:r>
        <w:rPr>
          <w:lang w:val="en-GB"/>
        </w:rPr>
        <w:t xml:space="preserve">Table </w:t>
      </w:r>
      <w:r w:rsidR="00C17B92">
        <w:rPr>
          <w:lang w:val="en-GB"/>
        </w:rPr>
        <w:t>C</w:t>
      </w:r>
      <w:r>
        <w:rPr>
          <w:lang w:val="en-GB"/>
        </w:rPr>
        <w:t>.</w:t>
      </w:r>
      <w:r w:rsidR="000B2CCD" w:rsidRPr="00C33C0B">
        <w:rPr>
          <w:lang w:val="en-GB"/>
        </w:rPr>
        <w:t xml:space="preserve">2: </w:t>
      </w:r>
      <w:r w:rsidR="005D1009">
        <w:rPr>
          <w:lang w:val="en-GB"/>
        </w:rPr>
        <w:t>T</w:t>
      </w:r>
      <w:r w:rsidR="000B2CCD" w:rsidRPr="00C33C0B">
        <w:rPr>
          <w:lang w:val="en-GB"/>
        </w:rPr>
        <w:t>elehealth</w:t>
      </w:r>
      <w:bookmarkEnd w:id="273"/>
      <w:bookmarkEnd w:id="274"/>
      <w:r w:rsidR="000B2CCD" w:rsidRPr="00C33C0B">
        <w:rPr>
          <w:lang w:val="en-GB"/>
        </w:rPr>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C - Telehealth Working Group Membership"/>
        <w:tblDescription w:val="Table C.2 has 3 columns. Column 1 is the working group member. Column 2 is the member's position and/or organisation. Column 3 lists the member's declared conflicts of interests. "/>
      </w:tblPr>
      <w:tblGrid>
        <w:gridCol w:w="2755"/>
        <w:gridCol w:w="2795"/>
        <w:gridCol w:w="2752"/>
      </w:tblGrid>
      <w:tr w:rsidR="00FC0467" w:rsidRPr="00C33C0B" w14:paraId="17BDA80C" w14:textId="77777777" w:rsidTr="00FC0467">
        <w:trPr>
          <w:tblHeader/>
        </w:trPr>
        <w:tc>
          <w:tcPr>
            <w:tcW w:w="2755" w:type="dxa"/>
            <w:shd w:val="clear" w:color="auto" w:fill="01653F"/>
            <w:vAlign w:val="bottom"/>
          </w:tcPr>
          <w:p w14:paraId="22AF87D4" w14:textId="77777777" w:rsidR="000B2CCD" w:rsidRPr="00C33C0B" w:rsidRDefault="000B2CCD" w:rsidP="00BD6890">
            <w:pPr>
              <w:spacing w:before="20" w:after="20" w:line="240" w:lineRule="auto"/>
              <w:rPr>
                <w:rFonts w:cstheme="minorHAnsi"/>
                <w:color w:val="FFFFFF" w:themeColor="background1"/>
                <w:sz w:val="18"/>
                <w:szCs w:val="18"/>
                <w:lang w:val="en-GB"/>
              </w:rPr>
            </w:pPr>
            <w:r w:rsidRPr="00C33C0B">
              <w:rPr>
                <w:rFonts w:cstheme="minorHAnsi"/>
                <w:b/>
                <w:color w:val="FFFFFF" w:themeColor="background1"/>
                <w:sz w:val="18"/>
                <w:szCs w:val="18"/>
                <w:lang w:val="en-GB"/>
              </w:rPr>
              <w:t>Member</w:t>
            </w:r>
          </w:p>
        </w:tc>
        <w:tc>
          <w:tcPr>
            <w:tcW w:w="2795" w:type="dxa"/>
            <w:shd w:val="clear" w:color="auto" w:fill="01653F"/>
            <w:vAlign w:val="bottom"/>
          </w:tcPr>
          <w:p w14:paraId="42FA8D9B" w14:textId="77777777" w:rsidR="000B2CCD" w:rsidRPr="00C33C0B" w:rsidRDefault="00E17D3E" w:rsidP="00BD6890">
            <w:pPr>
              <w:spacing w:before="20" w:after="20" w:line="240" w:lineRule="auto"/>
              <w:rPr>
                <w:rFonts w:cstheme="minorHAnsi"/>
                <w:color w:val="FFFFFF" w:themeColor="background1"/>
                <w:sz w:val="18"/>
                <w:szCs w:val="18"/>
                <w:lang w:val="en-GB"/>
              </w:rPr>
            </w:pPr>
            <w:r>
              <w:rPr>
                <w:rFonts w:cstheme="minorHAnsi"/>
                <w:b/>
                <w:color w:val="FFFFFF" w:themeColor="background1"/>
                <w:sz w:val="18"/>
                <w:szCs w:val="18"/>
                <w:lang w:val="en-GB"/>
              </w:rPr>
              <w:t>Position/organisation</w:t>
            </w:r>
          </w:p>
        </w:tc>
        <w:tc>
          <w:tcPr>
            <w:tcW w:w="2752" w:type="dxa"/>
            <w:shd w:val="clear" w:color="auto" w:fill="01653F"/>
            <w:vAlign w:val="bottom"/>
          </w:tcPr>
          <w:p w14:paraId="211758FD" w14:textId="77777777" w:rsidR="000B2CCD" w:rsidRPr="00C33C0B" w:rsidRDefault="000B2CCD" w:rsidP="00BD6890">
            <w:pPr>
              <w:spacing w:before="20" w:after="20" w:line="240" w:lineRule="auto"/>
              <w:rPr>
                <w:rFonts w:cstheme="minorHAnsi"/>
                <w:color w:val="FFFFFF" w:themeColor="background1"/>
                <w:sz w:val="18"/>
                <w:szCs w:val="18"/>
                <w:lang w:val="en-GB"/>
              </w:rPr>
            </w:pPr>
            <w:r w:rsidRPr="00C33C0B">
              <w:rPr>
                <w:rFonts w:cstheme="minorHAnsi"/>
                <w:b/>
                <w:color w:val="FFFFFF" w:themeColor="background1"/>
                <w:sz w:val="18"/>
                <w:szCs w:val="18"/>
                <w:lang w:val="en-GB"/>
              </w:rPr>
              <w:t>Declared</w:t>
            </w:r>
            <w:r w:rsidR="00E17D3E">
              <w:rPr>
                <w:rFonts w:cstheme="minorHAnsi"/>
                <w:b/>
                <w:color w:val="FFFFFF" w:themeColor="background1"/>
                <w:sz w:val="18"/>
                <w:szCs w:val="18"/>
                <w:lang w:val="en-GB"/>
              </w:rPr>
              <w:t xml:space="preserve"> conflict</w:t>
            </w:r>
            <w:r w:rsidR="00D54263">
              <w:rPr>
                <w:rFonts w:cstheme="minorHAnsi"/>
                <w:b/>
                <w:color w:val="FFFFFF" w:themeColor="background1"/>
                <w:sz w:val="18"/>
                <w:szCs w:val="18"/>
                <w:lang w:val="en-GB"/>
              </w:rPr>
              <w:t xml:space="preserve">s </w:t>
            </w:r>
            <w:r w:rsidR="00E17D3E">
              <w:rPr>
                <w:rFonts w:cstheme="minorHAnsi"/>
                <w:b/>
                <w:color w:val="FFFFFF" w:themeColor="background1"/>
                <w:sz w:val="18"/>
                <w:szCs w:val="18"/>
                <w:lang w:val="en-GB"/>
              </w:rPr>
              <w:t>of</w:t>
            </w:r>
            <w:r w:rsidRPr="00C33C0B">
              <w:rPr>
                <w:rFonts w:cstheme="minorHAnsi"/>
                <w:b/>
                <w:color w:val="FFFFFF" w:themeColor="background1"/>
                <w:sz w:val="18"/>
                <w:szCs w:val="18"/>
                <w:lang w:val="en-GB"/>
              </w:rPr>
              <w:t xml:space="preserve"> interest</w:t>
            </w:r>
          </w:p>
        </w:tc>
      </w:tr>
      <w:tr w:rsidR="000B2CCD" w:rsidRPr="00C33C0B" w14:paraId="61879466" w14:textId="77777777" w:rsidTr="00FC0467">
        <w:tc>
          <w:tcPr>
            <w:tcW w:w="2755" w:type="dxa"/>
          </w:tcPr>
          <w:p w14:paraId="61E4886F" w14:textId="77777777" w:rsidR="000B2CCD" w:rsidRPr="00C33C0B" w:rsidRDefault="000B2CCD" w:rsidP="00BD6890">
            <w:pPr>
              <w:spacing w:before="20" w:after="20" w:line="240" w:lineRule="auto"/>
              <w:rPr>
                <w:rFonts w:cstheme="minorHAnsi"/>
                <w:sz w:val="18"/>
                <w:szCs w:val="18"/>
                <w:lang w:val="en-GB"/>
              </w:rPr>
            </w:pPr>
            <w:r w:rsidRPr="00C33C0B">
              <w:rPr>
                <w:rFonts w:cstheme="minorHAnsi"/>
                <w:sz w:val="18"/>
                <w:szCs w:val="18"/>
                <w:lang w:val="en-GB"/>
              </w:rPr>
              <w:t>Mr Adam Friederich</w:t>
            </w:r>
          </w:p>
        </w:tc>
        <w:tc>
          <w:tcPr>
            <w:tcW w:w="2795" w:type="dxa"/>
          </w:tcPr>
          <w:p w14:paraId="1752ED62" w14:textId="77777777" w:rsidR="000B2CCD" w:rsidRPr="00C33C0B" w:rsidRDefault="000B2CCD" w:rsidP="005445A2">
            <w:pPr>
              <w:pStyle w:val="Bullet-green"/>
              <w:numPr>
                <w:ilvl w:val="0"/>
                <w:numId w:val="0"/>
              </w:numPr>
              <w:spacing w:before="20" w:after="20" w:line="240" w:lineRule="auto"/>
              <w:rPr>
                <w:sz w:val="18"/>
                <w:szCs w:val="18"/>
                <w:lang w:val="en-GB"/>
              </w:rPr>
            </w:pPr>
            <w:r w:rsidRPr="00C33C0B">
              <w:rPr>
                <w:sz w:val="18"/>
                <w:szCs w:val="18"/>
                <w:lang w:val="en-GB"/>
              </w:rPr>
              <w:t xml:space="preserve">Consumer </w:t>
            </w:r>
            <w:r w:rsidR="00A95137">
              <w:rPr>
                <w:sz w:val="18"/>
                <w:szCs w:val="18"/>
                <w:lang w:val="en-GB"/>
              </w:rPr>
              <w:t>R</w:t>
            </w:r>
            <w:r w:rsidRPr="00C33C0B">
              <w:rPr>
                <w:sz w:val="18"/>
                <w:szCs w:val="18"/>
                <w:lang w:val="en-GB"/>
              </w:rPr>
              <w:t>epresentative</w:t>
            </w:r>
            <w:r w:rsidR="005445A2">
              <w:rPr>
                <w:sz w:val="18"/>
                <w:szCs w:val="18"/>
                <w:lang w:val="en-GB"/>
              </w:rPr>
              <w:t xml:space="preserve">; </w:t>
            </w:r>
            <w:r w:rsidRPr="00C33C0B">
              <w:rPr>
                <w:sz w:val="18"/>
                <w:szCs w:val="18"/>
                <w:lang w:val="en-GB"/>
              </w:rPr>
              <w:t xml:space="preserve">Works in </w:t>
            </w:r>
            <w:r w:rsidR="004700D9">
              <w:rPr>
                <w:sz w:val="18"/>
                <w:szCs w:val="18"/>
                <w:lang w:val="en-GB"/>
              </w:rPr>
              <w:t xml:space="preserve">the </w:t>
            </w:r>
            <w:r w:rsidRPr="00C33C0B">
              <w:rPr>
                <w:sz w:val="18"/>
                <w:szCs w:val="18"/>
                <w:lang w:val="en-GB"/>
              </w:rPr>
              <w:t>Australian public service</w:t>
            </w:r>
            <w:r w:rsidR="005445A2">
              <w:rPr>
                <w:sz w:val="18"/>
                <w:szCs w:val="18"/>
                <w:lang w:val="en-GB"/>
              </w:rPr>
              <w:t xml:space="preserve">; </w:t>
            </w:r>
            <w:r w:rsidRPr="00C33C0B">
              <w:rPr>
                <w:sz w:val="18"/>
                <w:szCs w:val="18"/>
                <w:lang w:val="en-GB"/>
              </w:rPr>
              <w:t>Strong interest in health consumer issues</w:t>
            </w:r>
            <w:r w:rsidR="005445A2">
              <w:rPr>
                <w:sz w:val="18"/>
                <w:szCs w:val="18"/>
                <w:lang w:val="en-GB"/>
              </w:rPr>
              <w:t xml:space="preserve">; </w:t>
            </w:r>
            <w:r w:rsidRPr="00C33C0B">
              <w:rPr>
                <w:sz w:val="18"/>
                <w:szCs w:val="18"/>
                <w:lang w:val="en-GB"/>
              </w:rPr>
              <w:t xml:space="preserve">Served on other committees for the MBS </w:t>
            </w:r>
            <w:r w:rsidR="003B3142">
              <w:rPr>
                <w:sz w:val="18"/>
                <w:szCs w:val="18"/>
                <w:lang w:val="en-GB"/>
              </w:rPr>
              <w:t>R</w:t>
            </w:r>
            <w:r w:rsidRPr="00C33C0B">
              <w:rPr>
                <w:sz w:val="18"/>
                <w:szCs w:val="18"/>
                <w:lang w:val="en-GB"/>
              </w:rPr>
              <w:t>eview</w:t>
            </w:r>
          </w:p>
        </w:tc>
        <w:tc>
          <w:tcPr>
            <w:tcW w:w="2752" w:type="dxa"/>
          </w:tcPr>
          <w:p w14:paraId="63698105" w14:textId="77777777" w:rsidR="000B2CCD" w:rsidRPr="00C33C0B" w:rsidRDefault="000B2CCD" w:rsidP="005445A2">
            <w:pPr>
              <w:pStyle w:val="Bullet-green"/>
              <w:numPr>
                <w:ilvl w:val="0"/>
                <w:numId w:val="0"/>
              </w:numPr>
              <w:spacing w:before="20" w:after="20" w:line="240" w:lineRule="auto"/>
              <w:rPr>
                <w:sz w:val="18"/>
                <w:szCs w:val="18"/>
                <w:lang w:val="en-GB"/>
              </w:rPr>
            </w:pPr>
            <w:r w:rsidRPr="00C33C0B">
              <w:rPr>
                <w:color w:val="222222"/>
                <w:sz w:val="18"/>
                <w:szCs w:val="18"/>
                <w:lang w:val="en-GB"/>
              </w:rPr>
              <w:t>None</w:t>
            </w:r>
          </w:p>
        </w:tc>
      </w:tr>
      <w:tr w:rsidR="000B2CCD" w:rsidRPr="00C33C0B" w14:paraId="7117C358" w14:textId="77777777" w:rsidTr="00FC0467">
        <w:tc>
          <w:tcPr>
            <w:tcW w:w="2755" w:type="dxa"/>
          </w:tcPr>
          <w:p w14:paraId="2955095D" w14:textId="77777777" w:rsidR="000B2CCD" w:rsidRPr="00C33C0B" w:rsidRDefault="000B2CCD" w:rsidP="00BD6890">
            <w:pPr>
              <w:spacing w:before="20" w:after="20" w:line="240" w:lineRule="auto"/>
              <w:rPr>
                <w:rFonts w:cstheme="minorHAnsi"/>
                <w:sz w:val="18"/>
                <w:szCs w:val="18"/>
                <w:lang w:val="en-GB"/>
              </w:rPr>
            </w:pPr>
            <w:r w:rsidRPr="00C33C0B">
              <w:rPr>
                <w:rFonts w:cstheme="minorHAnsi"/>
                <w:sz w:val="18"/>
                <w:szCs w:val="18"/>
                <w:lang w:val="en-GB"/>
              </w:rPr>
              <w:t>Dr John North</w:t>
            </w:r>
          </w:p>
        </w:tc>
        <w:tc>
          <w:tcPr>
            <w:tcW w:w="2795" w:type="dxa"/>
          </w:tcPr>
          <w:p w14:paraId="3E54F560" w14:textId="77777777" w:rsidR="000B2CCD" w:rsidRPr="00C33C0B" w:rsidRDefault="000B2CCD" w:rsidP="005445A2">
            <w:pPr>
              <w:pStyle w:val="Bullet-green"/>
              <w:numPr>
                <w:ilvl w:val="0"/>
                <w:numId w:val="0"/>
              </w:numPr>
              <w:spacing w:before="20" w:after="20" w:line="240" w:lineRule="auto"/>
              <w:rPr>
                <w:sz w:val="18"/>
                <w:szCs w:val="18"/>
                <w:lang w:val="en-GB"/>
              </w:rPr>
            </w:pPr>
            <w:r w:rsidRPr="00C33C0B">
              <w:rPr>
                <w:sz w:val="18"/>
                <w:szCs w:val="18"/>
                <w:lang w:val="en-GB"/>
              </w:rPr>
              <w:t xml:space="preserve">Senior </w:t>
            </w:r>
            <w:r w:rsidR="00A95137">
              <w:rPr>
                <w:sz w:val="18"/>
                <w:szCs w:val="18"/>
                <w:lang w:val="en-GB"/>
              </w:rPr>
              <w:t>V</w:t>
            </w:r>
            <w:r w:rsidRPr="00C33C0B">
              <w:rPr>
                <w:sz w:val="18"/>
                <w:szCs w:val="18"/>
                <w:lang w:val="en-GB"/>
              </w:rPr>
              <w:t xml:space="preserve">isiting </w:t>
            </w:r>
            <w:r w:rsidR="00A95137">
              <w:rPr>
                <w:sz w:val="18"/>
                <w:szCs w:val="18"/>
                <w:lang w:val="en-GB"/>
              </w:rPr>
              <w:t>O</w:t>
            </w:r>
            <w:r w:rsidRPr="00C33C0B">
              <w:rPr>
                <w:sz w:val="18"/>
                <w:szCs w:val="18"/>
                <w:lang w:val="en-GB"/>
              </w:rPr>
              <w:t xml:space="preserve">rthopaedic </w:t>
            </w:r>
            <w:r w:rsidR="00BF7427">
              <w:rPr>
                <w:sz w:val="18"/>
                <w:szCs w:val="18"/>
                <w:lang w:val="en-GB"/>
              </w:rPr>
              <w:t>S</w:t>
            </w:r>
            <w:r w:rsidRPr="00C33C0B">
              <w:rPr>
                <w:sz w:val="18"/>
                <w:szCs w:val="18"/>
                <w:lang w:val="en-GB"/>
              </w:rPr>
              <w:t>urgeon</w:t>
            </w:r>
            <w:r w:rsidR="00A95137">
              <w:rPr>
                <w:sz w:val="18"/>
                <w:szCs w:val="18"/>
                <w:lang w:val="en-GB"/>
              </w:rPr>
              <w:t>,</w:t>
            </w:r>
            <w:r w:rsidRPr="00C33C0B">
              <w:rPr>
                <w:sz w:val="18"/>
                <w:szCs w:val="18"/>
                <w:lang w:val="en-GB"/>
              </w:rPr>
              <w:t xml:space="preserve"> </w:t>
            </w:r>
            <w:r w:rsidRPr="00A95137">
              <w:rPr>
                <w:sz w:val="18"/>
                <w:szCs w:val="18"/>
                <w:lang w:val="en-GB"/>
              </w:rPr>
              <w:t>Princess Alexandra Hospital</w:t>
            </w:r>
            <w:r w:rsidR="00673471">
              <w:rPr>
                <w:sz w:val="18"/>
                <w:szCs w:val="18"/>
                <w:lang w:val="en-GB"/>
              </w:rPr>
              <w:t>,</w:t>
            </w:r>
            <w:r w:rsidRPr="00A95137">
              <w:rPr>
                <w:sz w:val="18"/>
                <w:szCs w:val="18"/>
                <w:lang w:val="en-GB"/>
              </w:rPr>
              <w:t xml:space="preserve"> Brisbane</w:t>
            </w:r>
            <w:r w:rsidR="00BF7427">
              <w:rPr>
                <w:sz w:val="18"/>
                <w:szCs w:val="18"/>
                <w:lang w:val="en-GB"/>
              </w:rPr>
              <w:t>;</w:t>
            </w:r>
            <w:r w:rsidRPr="00A95137">
              <w:rPr>
                <w:sz w:val="18"/>
                <w:szCs w:val="18"/>
                <w:lang w:val="en-GB"/>
              </w:rPr>
              <w:t xml:space="preserve"> </w:t>
            </w:r>
            <w:r w:rsidRPr="00C33C0B">
              <w:rPr>
                <w:sz w:val="18"/>
                <w:szCs w:val="18"/>
                <w:lang w:val="en-GB"/>
              </w:rPr>
              <w:t xml:space="preserve">Senior </w:t>
            </w:r>
            <w:r w:rsidR="00673471">
              <w:rPr>
                <w:sz w:val="18"/>
                <w:szCs w:val="18"/>
                <w:lang w:val="en-GB"/>
              </w:rPr>
              <w:t>V</w:t>
            </w:r>
            <w:r w:rsidRPr="00C33C0B">
              <w:rPr>
                <w:sz w:val="18"/>
                <w:szCs w:val="18"/>
                <w:lang w:val="en-GB"/>
              </w:rPr>
              <w:t xml:space="preserve">isiting </w:t>
            </w:r>
            <w:r w:rsidR="00673471">
              <w:rPr>
                <w:sz w:val="18"/>
                <w:szCs w:val="18"/>
                <w:lang w:val="en-GB"/>
              </w:rPr>
              <w:t>O</w:t>
            </w:r>
            <w:r w:rsidRPr="00C33C0B">
              <w:rPr>
                <w:sz w:val="18"/>
                <w:szCs w:val="18"/>
                <w:lang w:val="en-GB"/>
              </w:rPr>
              <w:t xml:space="preserve">rthopaedic </w:t>
            </w:r>
            <w:r w:rsidR="00673471">
              <w:rPr>
                <w:sz w:val="18"/>
                <w:szCs w:val="18"/>
                <w:lang w:val="en-GB"/>
              </w:rPr>
              <w:t>S</w:t>
            </w:r>
            <w:r w:rsidRPr="00C33C0B">
              <w:rPr>
                <w:sz w:val="18"/>
                <w:szCs w:val="18"/>
                <w:lang w:val="en-GB"/>
              </w:rPr>
              <w:t>urgeon (Telehealth)</w:t>
            </w:r>
            <w:r w:rsidR="00673471">
              <w:rPr>
                <w:sz w:val="18"/>
                <w:szCs w:val="18"/>
                <w:lang w:val="en-GB"/>
              </w:rPr>
              <w:t>,</w:t>
            </w:r>
            <w:r w:rsidRPr="00C33C0B">
              <w:rPr>
                <w:sz w:val="18"/>
                <w:szCs w:val="18"/>
                <w:lang w:val="en-GB"/>
              </w:rPr>
              <w:t xml:space="preserve"> Mt Isa Hospital and NWHHS</w:t>
            </w:r>
            <w:r w:rsidR="00BF7427">
              <w:rPr>
                <w:sz w:val="18"/>
                <w:szCs w:val="18"/>
                <w:lang w:val="en-GB"/>
              </w:rPr>
              <w:t xml:space="preserve">; </w:t>
            </w:r>
            <w:r w:rsidRPr="00C33C0B">
              <w:rPr>
                <w:sz w:val="18"/>
                <w:szCs w:val="18"/>
                <w:lang w:val="en-GB"/>
              </w:rPr>
              <w:t>Chair of the MBS Review Orthopaedic Committee</w:t>
            </w:r>
          </w:p>
        </w:tc>
        <w:tc>
          <w:tcPr>
            <w:tcW w:w="2752" w:type="dxa"/>
          </w:tcPr>
          <w:p w14:paraId="5C562D61" w14:textId="77777777" w:rsidR="000B2CCD" w:rsidRPr="00C33C0B" w:rsidRDefault="000B2CCD" w:rsidP="005445A2">
            <w:pPr>
              <w:pStyle w:val="Bullet-green"/>
              <w:numPr>
                <w:ilvl w:val="0"/>
                <w:numId w:val="0"/>
              </w:numPr>
              <w:spacing w:before="20" w:after="20" w:line="240" w:lineRule="auto"/>
              <w:rPr>
                <w:sz w:val="18"/>
                <w:szCs w:val="18"/>
                <w:lang w:val="en-GB"/>
              </w:rPr>
            </w:pPr>
            <w:r w:rsidRPr="00C33C0B">
              <w:rPr>
                <w:sz w:val="18"/>
                <w:szCs w:val="18"/>
                <w:lang w:val="en-GB"/>
              </w:rPr>
              <w:t xml:space="preserve">Panel member </w:t>
            </w:r>
            <w:r w:rsidR="00BF7427">
              <w:rPr>
                <w:sz w:val="18"/>
                <w:szCs w:val="18"/>
                <w:lang w:val="en-GB"/>
              </w:rPr>
              <w:t>of</w:t>
            </w:r>
            <w:r w:rsidR="00BF7427" w:rsidRPr="00C33C0B">
              <w:rPr>
                <w:sz w:val="18"/>
                <w:szCs w:val="18"/>
                <w:lang w:val="en-GB"/>
              </w:rPr>
              <w:t xml:space="preserve"> </w:t>
            </w:r>
            <w:r w:rsidRPr="00C33C0B">
              <w:rPr>
                <w:sz w:val="18"/>
                <w:szCs w:val="18"/>
                <w:lang w:val="en-GB"/>
              </w:rPr>
              <w:t>the Australian Health Practitioner Regulation Agency (A</w:t>
            </w:r>
            <w:r w:rsidR="00F85B29">
              <w:rPr>
                <w:sz w:val="18"/>
                <w:szCs w:val="18"/>
                <w:lang w:val="en-GB"/>
              </w:rPr>
              <w:t>H</w:t>
            </w:r>
            <w:r w:rsidRPr="00C33C0B">
              <w:rPr>
                <w:sz w:val="18"/>
                <w:szCs w:val="18"/>
                <w:lang w:val="en-GB"/>
              </w:rPr>
              <w:t>PRA)</w:t>
            </w:r>
          </w:p>
        </w:tc>
      </w:tr>
      <w:tr w:rsidR="000B2CCD" w:rsidRPr="00C33C0B" w14:paraId="5F18EBB5" w14:textId="77777777" w:rsidTr="00FC0467">
        <w:tc>
          <w:tcPr>
            <w:tcW w:w="2755" w:type="dxa"/>
          </w:tcPr>
          <w:p w14:paraId="37ADF065" w14:textId="77777777" w:rsidR="000B2CCD" w:rsidRPr="00C33C0B" w:rsidRDefault="000B2CCD" w:rsidP="00BD6890">
            <w:pPr>
              <w:spacing w:before="20" w:after="20" w:line="240" w:lineRule="auto"/>
              <w:rPr>
                <w:rFonts w:cstheme="minorHAnsi"/>
                <w:sz w:val="18"/>
                <w:szCs w:val="18"/>
                <w:lang w:val="en-GB"/>
              </w:rPr>
            </w:pPr>
            <w:r w:rsidRPr="00C33C0B">
              <w:rPr>
                <w:rFonts w:cstheme="minorHAnsi"/>
                <w:sz w:val="18"/>
                <w:szCs w:val="18"/>
                <w:lang w:val="en-GB"/>
              </w:rPr>
              <w:t>Dr</w:t>
            </w:r>
            <w:r w:rsidR="007D74CA">
              <w:rPr>
                <w:rFonts w:cstheme="minorHAnsi"/>
                <w:sz w:val="18"/>
                <w:szCs w:val="18"/>
                <w:lang w:val="en-GB"/>
              </w:rPr>
              <w:t xml:space="preserve"> </w:t>
            </w:r>
            <w:r w:rsidRPr="00C33C0B">
              <w:rPr>
                <w:rFonts w:cstheme="minorHAnsi"/>
                <w:sz w:val="18"/>
                <w:szCs w:val="18"/>
                <w:lang w:val="en-GB"/>
              </w:rPr>
              <w:t>Julie Thompson</w:t>
            </w:r>
          </w:p>
        </w:tc>
        <w:tc>
          <w:tcPr>
            <w:tcW w:w="2795" w:type="dxa"/>
          </w:tcPr>
          <w:p w14:paraId="26EC1C0C" w14:textId="77777777" w:rsidR="000B2CCD" w:rsidRPr="00C33C0B" w:rsidRDefault="000B2CCD" w:rsidP="005445A2">
            <w:pPr>
              <w:pStyle w:val="Bullet-green"/>
              <w:numPr>
                <w:ilvl w:val="0"/>
                <w:numId w:val="0"/>
              </w:numPr>
              <w:spacing w:before="20" w:after="20" w:line="240" w:lineRule="auto"/>
              <w:rPr>
                <w:sz w:val="18"/>
                <w:szCs w:val="18"/>
                <w:lang w:val="en-GB"/>
              </w:rPr>
            </w:pPr>
            <w:r w:rsidRPr="00C33C0B">
              <w:rPr>
                <w:sz w:val="18"/>
                <w:szCs w:val="18"/>
                <w:lang w:val="en-GB"/>
              </w:rPr>
              <w:t>General Practitioner in Victoria</w:t>
            </w:r>
          </w:p>
        </w:tc>
        <w:tc>
          <w:tcPr>
            <w:tcW w:w="2752" w:type="dxa"/>
          </w:tcPr>
          <w:p w14:paraId="4AFCCB88" w14:textId="77777777" w:rsidR="000B2CCD" w:rsidRPr="00C33C0B" w:rsidRDefault="000B2CCD" w:rsidP="005445A2">
            <w:pPr>
              <w:pStyle w:val="Bullet-green"/>
              <w:numPr>
                <w:ilvl w:val="0"/>
                <w:numId w:val="0"/>
              </w:numPr>
              <w:spacing w:before="20" w:after="20" w:line="240" w:lineRule="auto"/>
              <w:rPr>
                <w:sz w:val="18"/>
                <w:szCs w:val="18"/>
                <w:lang w:val="en-GB"/>
              </w:rPr>
            </w:pPr>
            <w:r w:rsidRPr="00C33C0B">
              <w:rPr>
                <w:sz w:val="18"/>
                <w:szCs w:val="18"/>
                <w:lang w:val="en-GB"/>
              </w:rPr>
              <w:t>None</w:t>
            </w:r>
          </w:p>
        </w:tc>
      </w:tr>
      <w:tr w:rsidR="000B2CCD" w:rsidRPr="00C33C0B" w14:paraId="19E4BF8D" w14:textId="77777777" w:rsidTr="00FC0467">
        <w:tc>
          <w:tcPr>
            <w:tcW w:w="2755" w:type="dxa"/>
          </w:tcPr>
          <w:p w14:paraId="5A176DA6" w14:textId="77777777" w:rsidR="000B2CCD" w:rsidRPr="00C33C0B" w:rsidRDefault="000B2CCD" w:rsidP="00BD6890">
            <w:pPr>
              <w:spacing w:before="20" w:after="20" w:line="240" w:lineRule="auto"/>
              <w:rPr>
                <w:rFonts w:cstheme="minorHAnsi"/>
                <w:sz w:val="18"/>
                <w:szCs w:val="18"/>
                <w:lang w:val="en-GB"/>
              </w:rPr>
            </w:pPr>
            <w:r w:rsidRPr="00C33C0B">
              <w:rPr>
                <w:rFonts w:cstheme="minorHAnsi"/>
                <w:sz w:val="18"/>
                <w:szCs w:val="18"/>
                <w:lang w:val="en-GB"/>
              </w:rPr>
              <w:t xml:space="preserve">Dr </w:t>
            </w:r>
            <w:r w:rsidR="00885661">
              <w:rPr>
                <w:rFonts w:cstheme="minorHAnsi"/>
                <w:sz w:val="18"/>
                <w:szCs w:val="18"/>
                <w:lang w:val="en-GB"/>
              </w:rPr>
              <w:t>Philip Truskett AM (</w:t>
            </w:r>
            <w:r w:rsidRPr="00C33C0B">
              <w:rPr>
                <w:rFonts w:cstheme="minorHAnsi"/>
                <w:sz w:val="18"/>
                <w:szCs w:val="18"/>
                <w:lang w:val="en-GB"/>
              </w:rPr>
              <w:t>Co-</w:t>
            </w:r>
            <w:r w:rsidR="007D74CA">
              <w:rPr>
                <w:rFonts w:cstheme="minorHAnsi"/>
                <w:sz w:val="18"/>
                <w:szCs w:val="18"/>
                <w:lang w:val="en-GB"/>
              </w:rPr>
              <w:t>C</w:t>
            </w:r>
            <w:r w:rsidRPr="00C33C0B">
              <w:rPr>
                <w:rFonts w:cstheme="minorHAnsi"/>
                <w:sz w:val="18"/>
                <w:szCs w:val="18"/>
                <w:lang w:val="en-GB"/>
              </w:rPr>
              <w:t>hair)</w:t>
            </w:r>
          </w:p>
        </w:tc>
        <w:tc>
          <w:tcPr>
            <w:tcW w:w="2795" w:type="dxa"/>
          </w:tcPr>
          <w:p w14:paraId="4FD64C8D" w14:textId="77777777" w:rsidR="000B2CCD" w:rsidRPr="00C33C0B" w:rsidRDefault="000B2CCD" w:rsidP="005445A2">
            <w:pPr>
              <w:pStyle w:val="Bullet-green"/>
              <w:numPr>
                <w:ilvl w:val="0"/>
                <w:numId w:val="0"/>
              </w:numPr>
              <w:spacing w:before="20" w:after="20" w:line="240" w:lineRule="auto"/>
              <w:rPr>
                <w:sz w:val="18"/>
                <w:szCs w:val="18"/>
                <w:lang w:val="en-GB"/>
              </w:rPr>
            </w:pPr>
            <w:r w:rsidRPr="00C33C0B">
              <w:rPr>
                <w:sz w:val="18"/>
                <w:szCs w:val="18"/>
                <w:lang w:val="en-GB"/>
              </w:rPr>
              <w:t xml:space="preserve">General </w:t>
            </w:r>
            <w:r w:rsidR="009E183A">
              <w:rPr>
                <w:sz w:val="18"/>
                <w:szCs w:val="18"/>
                <w:lang w:val="en-GB"/>
              </w:rPr>
              <w:t>S</w:t>
            </w:r>
            <w:r w:rsidRPr="00C33C0B">
              <w:rPr>
                <w:sz w:val="18"/>
                <w:szCs w:val="18"/>
                <w:lang w:val="en-GB"/>
              </w:rPr>
              <w:t xml:space="preserve">urgeon at </w:t>
            </w:r>
            <w:r w:rsidR="00184C23">
              <w:rPr>
                <w:sz w:val="18"/>
                <w:szCs w:val="18"/>
                <w:lang w:val="en-GB"/>
              </w:rPr>
              <w:t xml:space="preserve">the </w:t>
            </w:r>
            <w:r w:rsidRPr="00C33C0B">
              <w:rPr>
                <w:sz w:val="18"/>
                <w:szCs w:val="18"/>
                <w:lang w:val="en-GB"/>
              </w:rPr>
              <w:t>Prince of Wales Hospital</w:t>
            </w:r>
            <w:r w:rsidR="00011026">
              <w:rPr>
                <w:sz w:val="18"/>
                <w:szCs w:val="18"/>
                <w:lang w:val="en-GB"/>
              </w:rPr>
              <w:t xml:space="preserve">, </w:t>
            </w:r>
            <w:r w:rsidRPr="00C33C0B">
              <w:rPr>
                <w:sz w:val="18"/>
                <w:szCs w:val="18"/>
                <w:lang w:val="en-GB"/>
              </w:rPr>
              <w:t>Sydney</w:t>
            </w:r>
          </w:p>
        </w:tc>
        <w:tc>
          <w:tcPr>
            <w:tcW w:w="2752" w:type="dxa"/>
          </w:tcPr>
          <w:p w14:paraId="6B438F7E" w14:textId="77777777" w:rsidR="000B2CCD" w:rsidRPr="00C33C0B" w:rsidRDefault="000B2CCD" w:rsidP="005445A2">
            <w:pPr>
              <w:pStyle w:val="Bullet-green"/>
              <w:numPr>
                <w:ilvl w:val="0"/>
                <w:numId w:val="0"/>
              </w:numPr>
              <w:spacing w:before="20" w:after="20" w:line="240" w:lineRule="auto"/>
              <w:rPr>
                <w:sz w:val="18"/>
                <w:szCs w:val="18"/>
                <w:lang w:val="en-GB"/>
              </w:rPr>
            </w:pPr>
            <w:r w:rsidRPr="00C33C0B">
              <w:rPr>
                <w:sz w:val="18"/>
                <w:szCs w:val="18"/>
                <w:lang w:val="en-GB"/>
              </w:rPr>
              <w:t>None</w:t>
            </w:r>
          </w:p>
        </w:tc>
      </w:tr>
    </w:tbl>
    <w:p w14:paraId="7795318D" w14:textId="77777777" w:rsidR="001671D2" w:rsidRPr="00C33C0B" w:rsidRDefault="001671D2" w:rsidP="001671D2">
      <w:pPr>
        <w:rPr>
          <w:lang w:val="en-GB"/>
        </w:rPr>
      </w:pPr>
    </w:p>
    <w:p w14:paraId="319AEA4E" w14:textId="77777777" w:rsidR="001671D2" w:rsidRPr="00C33C0B" w:rsidRDefault="001671D2">
      <w:pPr>
        <w:spacing w:before="0" w:after="0" w:line="240" w:lineRule="auto"/>
        <w:rPr>
          <w:rFonts w:eastAsiaTheme="minorHAnsi" w:cs="Arial"/>
          <w:b/>
          <w:bCs/>
          <w:iCs/>
          <w:color w:val="01653F"/>
          <w:sz w:val="26"/>
          <w:szCs w:val="26"/>
          <w:lang w:val="en-GB" w:eastAsia="en-US"/>
        </w:rPr>
      </w:pPr>
      <w:r w:rsidRPr="00C33C0B">
        <w:rPr>
          <w:lang w:val="en-GB"/>
        </w:rPr>
        <w:br w:type="page"/>
      </w:r>
    </w:p>
    <w:p w14:paraId="1F1B8462" w14:textId="77777777" w:rsidR="000B2CCD" w:rsidRPr="00C33C0B" w:rsidRDefault="002355E9" w:rsidP="001671D2">
      <w:pPr>
        <w:pStyle w:val="Heading2"/>
        <w:numPr>
          <w:ilvl w:val="0"/>
          <w:numId w:val="0"/>
        </w:numPr>
        <w:rPr>
          <w:lang w:val="en-GB"/>
        </w:rPr>
      </w:pPr>
      <w:bookmarkStart w:id="275" w:name="_Toc24544765"/>
      <w:r>
        <w:rPr>
          <w:lang w:val="en-GB"/>
        </w:rPr>
        <w:t xml:space="preserve">Table </w:t>
      </w:r>
      <w:r w:rsidR="00933553">
        <w:rPr>
          <w:lang w:val="en-GB"/>
        </w:rPr>
        <w:t>C</w:t>
      </w:r>
      <w:r>
        <w:rPr>
          <w:lang w:val="en-GB"/>
        </w:rPr>
        <w:t>.</w:t>
      </w:r>
      <w:r w:rsidR="000B2CCD" w:rsidRPr="00C33C0B">
        <w:rPr>
          <w:lang w:val="en-GB"/>
        </w:rPr>
        <w:t xml:space="preserve">3: </w:t>
      </w:r>
      <w:r w:rsidR="007704E0">
        <w:rPr>
          <w:lang w:val="en-GB"/>
        </w:rPr>
        <w:t>C</w:t>
      </w:r>
      <w:r w:rsidR="000B2CCD" w:rsidRPr="00C33C0B">
        <w:rPr>
          <w:lang w:val="en-GB"/>
        </w:rPr>
        <w:t xml:space="preserve">ontemporary roles </w:t>
      </w:r>
      <w:r w:rsidR="00D24FB3">
        <w:rPr>
          <w:lang w:val="en-GB"/>
        </w:rPr>
        <w:t>of medical practitioners</w:t>
      </w:r>
      <w:bookmarkEnd w:id="275"/>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C - Contemporary roles of medical practitioners working group membership"/>
        <w:tblDescription w:val="Table C.3 has 3 columns. Column 1 is the working group member. Column 2 is the member's position and/or organisation. Column 3 lists the member's declared conflicts of interests. "/>
      </w:tblPr>
      <w:tblGrid>
        <w:gridCol w:w="2690"/>
        <w:gridCol w:w="2861"/>
        <w:gridCol w:w="2751"/>
      </w:tblGrid>
      <w:tr w:rsidR="001671D2" w:rsidRPr="00C33C0B" w14:paraId="3E033BEF" w14:textId="77777777" w:rsidTr="001671D2">
        <w:trPr>
          <w:tblHeader/>
        </w:trPr>
        <w:tc>
          <w:tcPr>
            <w:tcW w:w="3132" w:type="dxa"/>
            <w:shd w:val="clear" w:color="auto" w:fill="01653F"/>
            <w:vAlign w:val="bottom"/>
          </w:tcPr>
          <w:p w14:paraId="7DB27977" w14:textId="77777777" w:rsidR="000B2CCD" w:rsidRPr="00C33C0B" w:rsidRDefault="000B2CCD" w:rsidP="00BD6890">
            <w:pPr>
              <w:spacing w:before="20" w:after="20" w:line="240" w:lineRule="auto"/>
              <w:rPr>
                <w:rFonts w:cstheme="minorHAnsi"/>
                <w:color w:val="FFFFFF" w:themeColor="background1"/>
                <w:sz w:val="18"/>
                <w:szCs w:val="18"/>
                <w:lang w:val="en-GB"/>
              </w:rPr>
            </w:pPr>
            <w:r w:rsidRPr="00C33C0B">
              <w:rPr>
                <w:rFonts w:cstheme="minorHAnsi"/>
                <w:b/>
                <w:color w:val="FFFFFF" w:themeColor="background1"/>
                <w:sz w:val="18"/>
                <w:szCs w:val="18"/>
                <w:lang w:val="en-GB"/>
              </w:rPr>
              <w:t>Member</w:t>
            </w:r>
          </w:p>
        </w:tc>
        <w:tc>
          <w:tcPr>
            <w:tcW w:w="3132" w:type="dxa"/>
            <w:shd w:val="clear" w:color="auto" w:fill="01653F"/>
            <w:vAlign w:val="bottom"/>
          </w:tcPr>
          <w:p w14:paraId="42EAD094" w14:textId="77777777" w:rsidR="000B2CCD" w:rsidRPr="00C33C0B" w:rsidRDefault="003B25F4" w:rsidP="00BD6890">
            <w:pPr>
              <w:spacing w:before="20" w:after="20" w:line="240" w:lineRule="auto"/>
              <w:ind w:left="270" w:hanging="270"/>
              <w:rPr>
                <w:rFonts w:cstheme="minorHAnsi"/>
                <w:color w:val="FFFFFF" w:themeColor="background1"/>
                <w:sz w:val="18"/>
                <w:szCs w:val="18"/>
                <w:lang w:val="en-GB"/>
              </w:rPr>
            </w:pPr>
            <w:r>
              <w:rPr>
                <w:rFonts w:cstheme="minorHAnsi"/>
                <w:b/>
                <w:color w:val="FFFFFF" w:themeColor="background1"/>
                <w:sz w:val="18"/>
                <w:szCs w:val="18"/>
                <w:lang w:val="en-GB"/>
              </w:rPr>
              <w:t>Position/organisation</w:t>
            </w:r>
          </w:p>
        </w:tc>
        <w:tc>
          <w:tcPr>
            <w:tcW w:w="3132" w:type="dxa"/>
            <w:shd w:val="clear" w:color="auto" w:fill="01653F"/>
            <w:vAlign w:val="bottom"/>
          </w:tcPr>
          <w:p w14:paraId="45508B77" w14:textId="77777777" w:rsidR="000B2CCD" w:rsidRPr="00C33C0B" w:rsidRDefault="000B2CCD" w:rsidP="00BD6890">
            <w:pPr>
              <w:spacing w:before="20" w:after="20" w:line="240" w:lineRule="auto"/>
              <w:ind w:left="257" w:hanging="257"/>
              <w:rPr>
                <w:rFonts w:cstheme="minorHAnsi"/>
                <w:color w:val="FFFFFF" w:themeColor="background1"/>
                <w:sz w:val="18"/>
                <w:szCs w:val="18"/>
                <w:lang w:val="en-GB"/>
              </w:rPr>
            </w:pPr>
            <w:r w:rsidRPr="00C33C0B">
              <w:rPr>
                <w:rFonts w:cstheme="minorHAnsi"/>
                <w:b/>
                <w:color w:val="FFFFFF" w:themeColor="background1"/>
                <w:sz w:val="18"/>
                <w:szCs w:val="18"/>
                <w:lang w:val="en-GB"/>
              </w:rPr>
              <w:t>Declared</w:t>
            </w:r>
            <w:r w:rsidR="003B25F4">
              <w:rPr>
                <w:rFonts w:cstheme="minorHAnsi"/>
                <w:b/>
                <w:color w:val="FFFFFF" w:themeColor="background1"/>
                <w:sz w:val="18"/>
                <w:szCs w:val="18"/>
                <w:lang w:val="en-GB"/>
              </w:rPr>
              <w:t xml:space="preserve"> conflict</w:t>
            </w:r>
            <w:r w:rsidR="00BD2658">
              <w:rPr>
                <w:rFonts w:cstheme="minorHAnsi"/>
                <w:b/>
                <w:color w:val="FFFFFF" w:themeColor="background1"/>
                <w:sz w:val="18"/>
                <w:szCs w:val="18"/>
                <w:lang w:val="en-GB"/>
              </w:rPr>
              <w:t>s</w:t>
            </w:r>
            <w:r w:rsidR="003B25F4">
              <w:rPr>
                <w:rFonts w:cstheme="minorHAnsi"/>
                <w:b/>
                <w:color w:val="FFFFFF" w:themeColor="background1"/>
                <w:sz w:val="18"/>
                <w:szCs w:val="18"/>
                <w:lang w:val="en-GB"/>
              </w:rPr>
              <w:t xml:space="preserve"> of</w:t>
            </w:r>
            <w:r w:rsidRPr="00C33C0B">
              <w:rPr>
                <w:rFonts w:cstheme="minorHAnsi"/>
                <w:b/>
                <w:color w:val="FFFFFF" w:themeColor="background1"/>
                <w:sz w:val="18"/>
                <w:szCs w:val="18"/>
                <w:lang w:val="en-GB"/>
              </w:rPr>
              <w:t xml:space="preserve"> interest</w:t>
            </w:r>
          </w:p>
        </w:tc>
      </w:tr>
      <w:tr w:rsidR="000B2CCD" w:rsidRPr="00C33C0B" w14:paraId="4DF1CCA8" w14:textId="77777777" w:rsidTr="00FC0467">
        <w:tc>
          <w:tcPr>
            <w:tcW w:w="3132" w:type="dxa"/>
          </w:tcPr>
          <w:p w14:paraId="1D1F024A" w14:textId="77777777" w:rsidR="000B2CCD" w:rsidRPr="00C33C0B" w:rsidRDefault="000B2CCD" w:rsidP="00BD6890">
            <w:pPr>
              <w:spacing w:before="20" w:after="20" w:line="240" w:lineRule="auto"/>
              <w:rPr>
                <w:rFonts w:cstheme="minorHAnsi"/>
                <w:sz w:val="18"/>
                <w:szCs w:val="18"/>
                <w:lang w:val="en-GB"/>
              </w:rPr>
            </w:pPr>
            <w:r w:rsidRPr="00C33C0B">
              <w:rPr>
                <w:rFonts w:cstheme="minorHAnsi"/>
                <w:sz w:val="18"/>
                <w:szCs w:val="18"/>
                <w:lang w:val="en-GB"/>
              </w:rPr>
              <w:t xml:space="preserve">Dr Paul Blackman </w:t>
            </w:r>
          </w:p>
        </w:tc>
        <w:tc>
          <w:tcPr>
            <w:tcW w:w="3132" w:type="dxa"/>
          </w:tcPr>
          <w:p w14:paraId="49A788C7" w14:textId="77777777" w:rsidR="000B2CCD" w:rsidRPr="00A3113B" w:rsidRDefault="000B2CCD" w:rsidP="00C2224D">
            <w:pPr>
              <w:pStyle w:val="Bullet-green"/>
              <w:numPr>
                <w:ilvl w:val="0"/>
                <w:numId w:val="0"/>
              </w:numPr>
              <w:spacing w:before="20" w:after="20" w:line="240" w:lineRule="auto"/>
              <w:rPr>
                <w:sz w:val="18"/>
                <w:szCs w:val="18"/>
                <w:lang w:val="en-GB"/>
              </w:rPr>
            </w:pPr>
            <w:r w:rsidRPr="00C33C0B">
              <w:rPr>
                <w:sz w:val="18"/>
                <w:szCs w:val="18"/>
                <w:lang w:val="en-GB"/>
              </w:rPr>
              <w:t xml:space="preserve">Sport and </w:t>
            </w:r>
            <w:r w:rsidR="00A3113B">
              <w:rPr>
                <w:sz w:val="18"/>
                <w:szCs w:val="18"/>
                <w:lang w:val="en-GB"/>
              </w:rPr>
              <w:t>E</w:t>
            </w:r>
            <w:r w:rsidRPr="00C33C0B">
              <w:rPr>
                <w:sz w:val="18"/>
                <w:szCs w:val="18"/>
                <w:lang w:val="en-GB"/>
              </w:rPr>
              <w:t xml:space="preserve">xercise </w:t>
            </w:r>
            <w:r w:rsidR="00A3113B">
              <w:rPr>
                <w:sz w:val="18"/>
                <w:szCs w:val="18"/>
                <w:lang w:val="en-GB"/>
              </w:rPr>
              <w:t>P</w:t>
            </w:r>
            <w:r w:rsidRPr="00C33C0B">
              <w:rPr>
                <w:sz w:val="18"/>
                <w:szCs w:val="18"/>
                <w:lang w:val="en-GB"/>
              </w:rPr>
              <w:t>hysician</w:t>
            </w:r>
            <w:r w:rsidR="00A3113B">
              <w:rPr>
                <w:sz w:val="18"/>
                <w:szCs w:val="18"/>
                <w:lang w:val="en-GB"/>
              </w:rPr>
              <w:t xml:space="preserve">, </w:t>
            </w:r>
            <w:r w:rsidRPr="00A3113B">
              <w:rPr>
                <w:sz w:val="18"/>
                <w:szCs w:val="18"/>
                <w:lang w:val="en-GB"/>
              </w:rPr>
              <w:t>Olympic Park Sports Centre Medicine</w:t>
            </w:r>
          </w:p>
        </w:tc>
        <w:tc>
          <w:tcPr>
            <w:tcW w:w="3132" w:type="dxa"/>
          </w:tcPr>
          <w:p w14:paraId="3B372777" w14:textId="77777777" w:rsidR="000B2CCD" w:rsidRPr="00C33C0B" w:rsidRDefault="000B2CCD" w:rsidP="00C2224D">
            <w:pPr>
              <w:pStyle w:val="Bullet-green"/>
              <w:numPr>
                <w:ilvl w:val="0"/>
                <w:numId w:val="0"/>
              </w:numPr>
              <w:spacing w:before="20" w:after="20" w:line="240" w:lineRule="auto"/>
              <w:rPr>
                <w:sz w:val="18"/>
                <w:szCs w:val="18"/>
                <w:lang w:val="en-GB"/>
              </w:rPr>
            </w:pPr>
            <w:r w:rsidRPr="00C33C0B">
              <w:rPr>
                <w:sz w:val="18"/>
                <w:szCs w:val="18"/>
                <w:lang w:val="en-GB"/>
              </w:rPr>
              <w:t xml:space="preserve">Board Member of </w:t>
            </w:r>
            <w:r w:rsidR="00C2224D">
              <w:rPr>
                <w:sz w:val="18"/>
                <w:szCs w:val="18"/>
                <w:lang w:val="en-GB"/>
              </w:rPr>
              <w:t xml:space="preserve">the </w:t>
            </w:r>
            <w:r w:rsidRPr="00C33C0B">
              <w:rPr>
                <w:sz w:val="18"/>
                <w:szCs w:val="18"/>
                <w:lang w:val="en-GB"/>
              </w:rPr>
              <w:t xml:space="preserve">Australasian College of Sports and Exercise </w:t>
            </w:r>
            <w:r w:rsidR="00F34696" w:rsidRPr="00C33C0B">
              <w:rPr>
                <w:sz w:val="18"/>
                <w:szCs w:val="18"/>
                <w:lang w:val="en-GB"/>
              </w:rPr>
              <w:t>Physicians</w:t>
            </w:r>
          </w:p>
        </w:tc>
      </w:tr>
      <w:tr w:rsidR="000B2CCD" w:rsidRPr="00C33C0B" w14:paraId="6A4DFE57" w14:textId="77777777" w:rsidTr="00FC0467">
        <w:tc>
          <w:tcPr>
            <w:tcW w:w="3132" w:type="dxa"/>
          </w:tcPr>
          <w:p w14:paraId="50452D5C" w14:textId="77777777" w:rsidR="000B2CCD" w:rsidRPr="00C33C0B" w:rsidRDefault="000B2CCD" w:rsidP="00BD6890">
            <w:pPr>
              <w:spacing w:before="20" w:after="20" w:line="240" w:lineRule="auto"/>
              <w:rPr>
                <w:rFonts w:cstheme="minorHAnsi"/>
                <w:sz w:val="18"/>
                <w:szCs w:val="18"/>
                <w:lang w:val="en-GB"/>
              </w:rPr>
            </w:pPr>
            <w:r w:rsidRPr="00C33C0B">
              <w:rPr>
                <w:rFonts w:cstheme="minorHAnsi"/>
                <w:sz w:val="18"/>
                <w:szCs w:val="18"/>
                <w:lang w:val="en-GB"/>
              </w:rPr>
              <w:t xml:space="preserve">Ms Debra Kay PSM </w:t>
            </w:r>
          </w:p>
        </w:tc>
        <w:tc>
          <w:tcPr>
            <w:tcW w:w="3132" w:type="dxa"/>
          </w:tcPr>
          <w:p w14:paraId="08EA0495" w14:textId="77777777" w:rsidR="000B2CCD" w:rsidRPr="00C33C0B" w:rsidRDefault="000B2CCD" w:rsidP="00C2224D">
            <w:pPr>
              <w:pStyle w:val="Bullet-green"/>
              <w:numPr>
                <w:ilvl w:val="0"/>
                <w:numId w:val="0"/>
              </w:numPr>
              <w:spacing w:before="20" w:after="20" w:line="240" w:lineRule="auto"/>
              <w:rPr>
                <w:sz w:val="18"/>
                <w:szCs w:val="18"/>
                <w:lang w:val="en-GB"/>
              </w:rPr>
            </w:pPr>
            <w:r w:rsidRPr="00C33C0B">
              <w:rPr>
                <w:sz w:val="18"/>
                <w:szCs w:val="18"/>
                <w:lang w:val="en-GB"/>
              </w:rPr>
              <w:t xml:space="preserve">Consumer </w:t>
            </w:r>
            <w:r w:rsidR="00463557">
              <w:rPr>
                <w:sz w:val="18"/>
                <w:szCs w:val="18"/>
                <w:lang w:val="en-GB"/>
              </w:rPr>
              <w:t>M</w:t>
            </w:r>
            <w:r w:rsidRPr="00C33C0B">
              <w:rPr>
                <w:sz w:val="18"/>
                <w:szCs w:val="18"/>
                <w:lang w:val="en-GB"/>
              </w:rPr>
              <w:t>ember, Medical Services Advisory Committee (MSAC) and Health Technology Assessment Consumer Consultative Committee (CCC)</w:t>
            </w:r>
            <w:r w:rsidR="00C2224D">
              <w:rPr>
                <w:sz w:val="18"/>
                <w:szCs w:val="18"/>
                <w:lang w:val="en-GB"/>
              </w:rPr>
              <w:t>;</w:t>
            </w:r>
            <w:r w:rsidR="00E43B94">
              <w:rPr>
                <w:sz w:val="18"/>
                <w:szCs w:val="18"/>
                <w:lang w:val="en-GB"/>
              </w:rPr>
              <w:t xml:space="preserve"> </w:t>
            </w:r>
            <w:r w:rsidRPr="00C33C0B">
              <w:rPr>
                <w:sz w:val="18"/>
                <w:szCs w:val="18"/>
                <w:lang w:val="en-GB"/>
              </w:rPr>
              <w:t>Chair</w:t>
            </w:r>
            <w:r w:rsidR="00463557">
              <w:rPr>
                <w:sz w:val="18"/>
                <w:szCs w:val="18"/>
                <w:lang w:val="en-GB"/>
              </w:rPr>
              <w:t>,</w:t>
            </w:r>
            <w:r w:rsidRPr="00C33C0B">
              <w:rPr>
                <w:sz w:val="18"/>
                <w:szCs w:val="18"/>
                <w:lang w:val="en-GB"/>
              </w:rPr>
              <w:t xml:space="preserve"> MBS Review Consumer Panel</w:t>
            </w:r>
            <w:r w:rsidR="00463557">
              <w:rPr>
                <w:sz w:val="18"/>
                <w:szCs w:val="18"/>
                <w:lang w:val="en-GB"/>
              </w:rPr>
              <w:t>; M</w:t>
            </w:r>
            <w:r w:rsidRPr="00C33C0B">
              <w:rPr>
                <w:sz w:val="18"/>
                <w:szCs w:val="18"/>
                <w:lang w:val="en-GB"/>
              </w:rPr>
              <w:t>ember of</w:t>
            </w:r>
            <w:r w:rsidR="00463557">
              <w:rPr>
                <w:sz w:val="18"/>
                <w:szCs w:val="18"/>
                <w:lang w:val="en-GB"/>
              </w:rPr>
              <w:t xml:space="preserve"> the</w:t>
            </w:r>
            <w:r w:rsidRPr="00C33C0B">
              <w:rPr>
                <w:sz w:val="18"/>
                <w:szCs w:val="18"/>
                <w:lang w:val="en-GB"/>
              </w:rPr>
              <w:t xml:space="preserve"> MBS Review Principles and Rules Committee</w:t>
            </w:r>
          </w:p>
        </w:tc>
        <w:tc>
          <w:tcPr>
            <w:tcW w:w="3132" w:type="dxa"/>
          </w:tcPr>
          <w:p w14:paraId="14BE79A9" w14:textId="77777777" w:rsidR="000B2CCD" w:rsidRPr="00C33C0B" w:rsidRDefault="000B2CCD" w:rsidP="00C2224D">
            <w:pPr>
              <w:pStyle w:val="Bullet-green"/>
              <w:numPr>
                <w:ilvl w:val="0"/>
                <w:numId w:val="0"/>
              </w:numPr>
              <w:spacing w:before="20" w:after="20" w:line="240" w:lineRule="auto"/>
              <w:rPr>
                <w:sz w:val="18"/>
                <w:szCs w:val="18"/>
                <w:lang w:val="en-GB"/>
              </w:rPr>
            </w:pPr>
            <w:r w:rsidRPr="00C33C0B">
              <w:rPr>
                <w:sz w:val="18"/>
                <w:szCs w:val="18"/>
                <w:lang w:val="en-GB"/>
              </w:rPr>
              <w:t>None</w:t>
            </w:r>
          </w:p>
        </w:tc>
      </w:tr>
      <w:tr w:rsidR="000B2CCD" w:rsidRPr="00C33C0B" w14:paraId="78716BEE" w14:textId="77777777" w:rsidTr="00FC0467">
        <w:tc>
          <w:tcPr>
            <w:tcW w:w="3132" w:type="dxa"/>
          </w:tcPr>
          <w:p w14:paraId="4D23476A" w14:textId="77777777" w:rsidR="000B2CCD" w:rsidRPr="00C33C0B" w:rsidRDefault="000B2CCD" w:rsidP="00BD6890">
            <w:pPr>
              <w:spacing w:before="20" w:after="20" w:line="240" w:lineRule="auto"/>
              <w:rPr>
                <w:rFonts w:cstheme="minorHAnsi"/>
                <w:sz w:val="18"/>
                <w:szCs w:val="18"/>
                <w:lang w:val="en-GB"/>
              </w:rPr>
            </w:pPr>
            <w:r w:rsidRPr="00C33C0B">
              <w:rPr>
                <w:rFonts w:cstheme="minorHAnsi"/>
                <w:sz w:val="18"/>
                <w:szCs w:val="18"/>
                <w:lang w:val="en-GB"/>
              </w:rPr>
              <w:t>Prof</w:t>
            </w:r>
            <w:r w:rsidR="00A3113B">
              <w:rPr>
                <w:rFonts w:cstheme="minorHAnsi"/>
                <w:sz w:val="18"/>
                <w:szCs w:val="18"/>
                <w:lang w:val="en-GB"/>
              </w:rPr>
              <w:t xml:space="preserve">. </w:t>
            </w:r>
            <w:r w:rsidRPr="00C33C0B">
              <w:rPr>
                <w:rFonts w:cstheme="minorHAnsi"/>
                <w:sz w:val="18"/>
                <w:szCs w:val="18"/>
                <w:lang w:val="en-GB"/>
              </w:rPr>
              <w:t>David Story</w:t>
            </w:r>
          </w:p>
        </w:tc>
        <w:tc>
          <w:tcPr>
            <w:tcW w:w="3132" w:type="dxa"/>
          </w:tcPr>
          <w:p w14:paraId="5D77985B" w14:textId="77777777" w:rsidR="000B2CCD" w:rsidRPr="00C33C0B" w:rsidRDefault="000B2CCD" w:rsidP="00C2224D">
            <w:pPr>
              <w:pStyle w:val="Bullet-green"/>
              <w:numPr>
                <w:ilvl w:val="0"/>
                <w:numId w:val="0"/>
              </w:numPr>
              <w:spacing w:before="20" w:after="20" w:line="240" w:lineRule="auto"/>
              <w:rPr>
                <w:sz w:val="18"/>
                <w:szCs w:val="18"/>
                <w:lang w:val="en-GB"/>
              </w:rPr>
            </w:pPr>
            <w:r w:rsidRPr="00C33C0B">
              <w:rPr>
                <w:sz w:val="18"/>
                <w:szCs w:val="18"/>
                <w:lang w:val="en-GB"/>
              </w:rPr>
              <w:t>Professor and Chair of Anaesthesia, University of Melbourne</w:t>
            </w:r>
            <w:r w:rsidR="00C2224D">
              <w:rPr>
                <w:sz w:val="18"/>
                <w:szCs w:val="18"/>
                <w:lang w:val="en-GB"/>
              </w:rPr>
              <w:t>;</w:t>
            </w:r>
            <w:r w:rsidR="00E43B94">
              <w:rPr>
                <w:sz w:val="18"/>
                <w:szCs w:val="18"/>
                <w:lang w:val="en-GB"/>
              </w:rPr>
              <w:t xml:space="preserve"> </w:t>
            </w:r>
            <w:r w:rsidRPr="00C33C0B">
              <w:rPr>
                <w:sz w:val="18"/>
                <w:szCs w:val="18"/>
                <w:lang w:val="en-GB"/>
              </w:rPr>
              <w:t>Staff Anaesthetist</w:t>
            </w:r>
            <w:r w:rsidR="00FA0C9B">
              <w:rPr>
                <w:sz w:val="18"/>
                <w:szCs w:val="18"/>
                <w:lang w:val="en-GB"/>
              </w:rPr>
              <w:t xml:space="preserve">, </w:t>
            </w:r>
            <w:r w:rsidRPr="00C33C0B">
              <w:rPr>
                <w:sz w:val="18"/>
                <w:szCs w:val="18"/>
                <w:lang w:val="en-GB"/>
              </w:rPr>
              <w:t>Austin Hospital, Melbourne</w:t>
            </w:r>
            <w:r w:rsidR="00C2224D">
              <w:rPr>
                <w:sz w:val="18"/>
                <w:szCs w:val="18"/>
                <w:lang w:val="en-GB"/>
              </w:rPr>
              <w:t>;</w:t>
            </w:r>
            <w:r w:rsidR="00E43B94">
              <w:rPr>
                <w:sz w:val="18"/>
                <w:szCs w:val="18"/>
                <w:lang w:val="en-GB"/>
              </w:rPr>
              <w:t xml:space="preserve"> </w:t>
            </w:r>
            <w:r w:rsidRPr="00C33C0B">
              <w:rPr>
                <w:sz w:val="18"/>
                <w:szCs w:val="18"/>
                <w:lang w:val="en-GB"/>
              </w:rPr>
              <w:t xml:space="preserve">Part of the MBS </w:t>
            </w:r>
            <w:r w:rsidR="003E5D20">
              <w:rPr>
                <w:sz w:val="18"/>
                <w:szCs w:val="18"/>
                <w:lang w:val="en-GB"/>
              </w:rPr>
              <w:t>R</w:t>
            </w:r>
            <w:r w:rsidRPr="00C33C0B">
              <w:rPr>
                <w:sz w:val="18"/>
                <w:szCs w:val="18"/>
                <w:lang w:val="en-GB"/>
              </w:rPr>
              <w:t>eview for Urology</w:t>
            </w:r>
          </w:p>
        </w:tc>
        <w:tc>
          <w:tcPr>
            <w:tcW w:w="3132" w:type="dxa"/>
          </w:tcPr>
          <w:p w14:paraId="501CB5A5" w14:textId="77777777" w:rsidR="000B2CCD" w:rsidRPr="00C33C0B" w:rsidRDefault="000B2CCD" w:rsidP="00C2224D">
            <w:pPr>
              <w:pStyle w:val="Bullet-green"/>
              <w:numPr>
                <w:ilvl w:val="0"/>
                <w:numId w:val="0"/>
              </w:numPr>
              <w:spacing w:before="20" w:after="20" w:line="240" w:lineRule="auto"/>
              <w:rPr>
                <w:sz w:val="18"/>
                <w:szCs w:val="18"/>
                <w:lang w:val="en-GB"/>
              </w:rPr>
            </w:pPr>
            <w:r w:rsidRPr="00C33C0B">
              <w:rPr>
                <w:sz w:val="18"/>
                <w:szCs w:val="18"/>
                <w:lang w:val="en-GB"/>
              </w:rPr>
              <w:t>None</w:t>
            </w:r>
          </w:p>
        </w:tc>
      </w:tr>
      <w:tr w:rsidR="000B2CCD" w:rsidRPr="00C33C0B" w14:paraId="67356487" w14:textId="77777777" w:rsidTr="00FC0467">
        <w:tc>
          <w:tcPr>
            <w:tcW w:w="3132" w:type="dxa"/>
          </w:tcPr>
          <w:p w14:paraId="3246865E" w14:textId="77777777" w:rsidR="000B2CCD" w:rsidRPr="00C33C0B" w:rsidRDefault="000B2CCD" w:rsidP="00BD6890">
            <w:pPr>
              <w:spacing w:before="20" w:after="20" w:line="240" w:lineRule="auto"/>
              <w:rPr>
                <w:rFonts w:cstheme="minorHAnsi"/>
                <w:sz w:val="18"/>
                <w:szCs w:val="18"/>
                <w:lang w:val="en-GB"/>
              </w:rPr>
            </w:pPr>
            <w:r w:rsidRPr="00C33C0B">
              <w:rPr>
                <w:rFonts w:cstheme="minorHAnsi"/>
                <w:sz w:val="18"/>
                <w:szCs w:val="18"/>
                <w:lang w:val="en-GB"/>
              </w:rPr>
              <w:t>Prof</w:t>
            </w:r>
            <w:r w:rsidR="00A3113B">
              <w:rPr>
                <w:rFonts w:cstheme="minorHAnsi"/>
                <w:sz w:val="18"/>
                <w:szCs w:val="18"/>
                <w:lang w:val="en-GB"/>
              </w:rPr>
              <w:t xml:space="preserve">. </w:t>
            </w:r>
            <w:r w:rsidRPr="00C33C0B">
              <w:rPr>
                <w:rFonts w:cstheme="minorHAnsi"/>
                <w:sz w:val="18"/>
                <w:szCs w:val="18"/>
                <w:lang w:val="en-GB"/>
              </w:rPr>
              <w:t xml:space="preserve">David Watters OBE </w:t>
            </w:r>
          </w:p>
        </w:tc>
        <w:tc>
          <w:tcPr>
            <w:tcW w:w="3132" w:type="dxa"/>
          </w:tcPr>
          <w:p w14:paraId="569D9632" w14:textId="77777777" w:rsidR="000B2CCD" w:rsidRPr="00C33C0B" w:rsidRDefault="000B2CCD" w:rsidP="00C2224D">
            <w:pPr>
              <w:pStyle w:val="Bullet-green"/>
              <w:numPr>
                <w:ilvl w:val="0"/>
                <w:numId w:val="0"/>
              </w:numPr>
              <w:spacing w:before="20" w:after="20" w:line="240" w:lineRule="auto"/>
              <w:rPr>
                <w:sz w:val="18"/>
                <w:szCs w:val="18"/>
                <w:lang w:val="en-GB"/>
              </w:rPr>
            </w:pPr>
            <w:r w:rsidRPr="00C33C0B">
              <w:rPr>
                <w:sz w:val="18"/>
                <w:szCs w:val="18"/>
                <w:lang w:val="en-GB"/>
              </w:rPr>
              <w:t xml:space="preserve">Chair of </w:t>
            </w:r>
            <w:r w:rsidR="000B21A6">
              <w:rPr>
                <w:sz w:val="18"/>
                <w:szCs w:val="18"/>
                <w:lang w:val="en-GB"/>
              </w:rPr>
              <w:t xml:space="preserve">the </w:t>
            </w:r>
            <w:r w:rsidRPr="00C33C0B">
              <w:rPr>
                <w:sz w:val="18"/>
                <w:szCs w:val="18"/>
                <w:lang w:val="en-GB"/>
              </w:rPr>
              <w:t>Surgical and Critical Care Program</w:t>
            </w:r>
            <w:r w:rsidR="00630271">
              <w:rPr>
                <w:sz w:val="18"/>
                <w:szCs w:val="18"/>
                <w:lang w:val="en-GB"/>
              </w:rPr>
              <w:t>me</w:t>
            </w:r>
            <w:r w:rsidRPr="00C33C0B">
              <w:rPr>
                <w:sz w:val="18"/>
                <w:szCs w:val="18"/>
                <w:lang w:val="en-GB"/>
              </w:rPr>
              <w:t xml:space="preserve"> Safety and Quality Committee</w:t>
            </w:r>
            <w:r w:rsidR="00C2224D">
              <w:rPr>
                <w:sz w:val="18"/>
                <w:szCs w:val="18"/>
                <w:lang w:val="en-GB"/>
              </w:rPr>
              <w:t>;</w:t>
            </w:r>
          </w:p>
          <w:p w14:paraId="7697D207" w14:textId="77777777" w:rsidR="000B2CCD" w:rsidRPr="00C33C0B" w:rsidRDefault="000B2CCD" w:rsidP="00C2224D">
            <w:pPr>
              <w:pStyle w:val="Bullet-green"/>
              <w:numPr>
                <w:ilvl w:val="0"/>
                <w:numId w:val="0"/>
              </w:numPr>
              <w:spacing w:before="20" w:after="20" w:line="240" w:lineRule="auto"/>
              <w:rPr>
                <w:sz w:val="18"/>
                <w:szCs w:val="18"/>
                <w:lang w:val="en-GB"/>
              </w:rPr>
            </w:pPr>
            <w:r w:rsidRPr="00C33C0B">
              <w:rPr>
                <w:sz w:val="18"/>
                <w:szCs w:val="18"/>
                <w:lang w:val="en-GB"/>
              </w:rPr>
              <w:t>General and Endocrine Surgeon at University Hospital and St John of God Hospital, Geelong</w:t>
            </w:r>
            <w:r w:rsidR="00C2224D">
              <w:rPr>
                <w:sz w:val="18"/>
                <w:szCs w:val="18"/>
                <w:lang w:val="en-GB"/>
              </w:rPr>
              <w:t>;</w:t>
            </w:r>
            <w:r w:rsidR="00E43B94">
              <w:rPr>
                <w:sz w:val="18"/>
                <w:szCs w:val="18"/>
                <w:lang w:val="en-GB"/>
              </w:rPr>
              <w:t xml:space="preserve"> </w:t>
            </w:r>
            <w:r w:rsidRPr="00C33C0B">
              <w:rPr>
                <w:sz w:val="18"/>
                <w:szCs w:val="18"/>
                <w:lang w:val="en-GB"/>
              </w:rPr>
              <w:t>Professor of Surgery, Deakin University</w:t>
            </w:r>
          </w:p>
        </w:tc>
        <w:tc>
          <w:tcPr>
            <w:tcW w:w="3132" w:type="dxa"/>
          </w:tcPr>
          <w:p w14:paraId="39615CE4" w14:textId="77777777" w:rsidR="000B2CCD" w:rsidRPr="00C33C0B" w:rsidRDefault="000B2CCD" w:rsidP="00C2224D">
            <w:pPr>
              <w:pStyle w:val="Bullet-green"/>
              <w:numPr>
                <w:ilvl w:val="0"/>
                <w:numId w:val="0"/>
              </w:numPr>
              <w:spacing w:before="20" w:after="20" w:line="240" w:lineRule="auto"/>
              <w:rPr>
                <w:sz w:val="18"/>
                <w:szCs w:val="18"/>
                <w:lang w:val="en-GB"/>
              </w:rPr>
            </w:pPr>
            <w:r w:rsidRPr="00C33C0B">
              <w:rPr>
                <w:sz w:val="18"/>
                <w:szCs w:val="18"/>
                <w:lang w:val="en-GB"/>
              </w:rPr>
              <w:t xml:space="preserve">Member of </w:t>
            </w:r>
            <w:r w:rsidR="00181812">
              <w:rPr>
                <w:sz w:val="18"/>
                <w:szCs w:val="18"/>
                <w:lang w:val="en-GB"/>
              </w:rPr>
              <w:t xml:space="preserve">the </w:t>
            </w:r>
            <w:r w:rsidRPr="00C33C0B">
              <w:rPr>
                <w:sz w:val="18"/>
                <w:szCs w:val="18"/>
                <w:lang w:val="en-GB"/>
              </w:rPr>
              <w:t>Clinical Measurement and Reporting Group for the Victorian Agency of Health Information (VAHI)</w:t>
            </w:r>
          </w:p>
        </w:tc>
      </w:tr>
    </w:tbl>
    <w:p w14:paraId="065E76BF" w14:textId="77777777" w:rsidR="000B2CCD" w:rsidRPr="00C33C0B" w:rsidRDefault="002355E9" w:rsidP="001671D2">
      <w:pPr>
        <w:pStyle w:val="Heading2"/>
        <w:numPr>
          <w:ilvl w:val="0"/>
          <w:numId w:val="0"/>
        </w:numPr>
        <w:rPr>
          <w:lang w:val="en-GB"/>
        </w:rPr>
      </w:pPr>
      <w:bookmarkStart w:id="276" w:name="_Toc521442224"/>
      <w:bookmarkStart w:id="277" w:name="_Toc24544766"/>
      <w:r>
        <w:rPr>
          <w:lang w:val="en-GB"/>
        </w:rPr>
        <w:t xml:space="preserve">Table </w:t>
      </w:r>
      <w:r w:rsidR="00933553">
        <w:rPr>
          <w:lang w:val="en-GB"/>
        </w:rPr>
        <w:t>C</w:t>
      </w:r>
      <w:r>
        <w:rPr>
          <w:lang w:val="en-GB"/>
        </w:rPr>
        <w:t>.</w:t>
      </w:r>
      <w:r w:rsidR="000B2CCD" w:rsidRPr="00C33C0B">
        <w:rPr>
          <w:lang w:val="en-GB"/>
        </w:rPr>
        <w:t xml:space="preserve">4: </w:t>
      </w:r>
      <w:r w:rsidR="00D404D8">
        <w:rPr>
          <w:lang w:val="en-GB"/>
        </w:rPr>
        <w:t>U</w:t>
      </w:r>
      <w:r w:rsidR="000B2CCD" w:rsidRPr="00C33C0B">
        <w:rPr>
          <w:lang w:val="en-GB"/>
        </w:rPr>
        <w:t xml:space="preserve">se of data to </w:t>
      </w:r>
      <w:r w:rsidR="001F6CB0">
        <w:rPr>
          <w:lang w:val="en-GB"/>
        </w:rPr>
        <w:t>inform</w:t>
      </w:r>
      <w:r w:rsidR="00D404D8">
        <w:rPr>
          <w:lang w:val="en-GB"/>
        </w:rPr>
        <w:t xml:space="preserve"> quality care and</w:t>
      </w:r>
      <w:r w:rsidR="00D404D8" w:rsidRPr="00C33C0B">
        <w:rPr>
          <w:lang w:val="en-GB"/>
        </w:rPr>
        <w:t xml:space="preserve"> </w:t>
      </w:r>
      <w:r w:rsidR="000B2CCD" w:rsidRPr="00C33C0B">
        <w:rPr>
          <w:lang w:val="en-GB"/>
        </w:rPr>
        <w:t>patient choice</w:t>
      </w:r>
      <w:bookmarkEnd w:id="276"/>
      <w:bookmarkEnd w:id="277"/>
      <w:r w:rsidR="000B2CCD" w:rsidRPr="00C33C0B">
        <w:rPr>
          <w:lang w:val="en-GB"/>
        </w:rPr>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C - Use of data to inform quality care and patient choice working group membership"/>
        <w:tblDescription w:val="Table C.4 has 3 columns. Column 1 is the working group member. Column 2 is the member's position and/or organisation. Column 3 lists the member's declared conflicts of interests. "/>
      </w:tblPr>
      <w:tblGrid>
        <w:gridCol w:w="2747"/>
        <w:gridCol w:w="2782"/>
        <w:gridCol w:w="2773"/>
      </w:tblGrid>
      <w:tr w:rsidR="001671D2" w:rsidRPr="00C33C0B" w14:paraId="571C4036" w14:textId="77777777" w:rsidTr="001671D2">
        <w:trPr>
          <w:tblHeader/>
        </w:trPr>
        <w:tc>
          <w:tcPr>
            <w:tcW w:w="2747" w:type="dxa"/>
            <w:shd w:val="clear" w:color="auto" w:fill="01653F"/>
            <w:vAlign w:val="bottom"/>
          </w:tcPr>
          <w:p w14:paraId="70FE3FD8" w14:textId="77777777" w:rsidR="000B2CCD" w:rsidRPr="00C33C0B" w:rsidRDefault="000B2CCD" w:rsidP="00BD6890">
            <w:pPr>
              <w:spacing w:before="20" w:after="20" w:line="240" w:lineRule="auto"/>
              <w:rPr>
                <w:rFonts w:cstheme="minorHAnsi"/>
                <w:color w:val="FFFFFF" w:themeColor="background1"/>
                <w:sz w:val="18"/>
                <w:szCs w:val="18"/>
                <w:lang w:val="en-GB"/>
              </w:rPr>
            </w:pPr>
            <w:r w:rsidRPr="00C33C0B">
              <w:rPr>
                <w:rFonts w:cstheme="minorHAnsi"/>
                <w:b/>
                <w:color w:val="FFFFFF" w:themeColor="background1"/>
                <w:sz w:val="18"/>
                <w:szCs w:val="18"/>
                <w:lang w:val="en-GB"/>
              </w:rPr>
              <w:t>Member</w:t>
            </w:r>
          </w:p>
        </w:tc>
        <w:tc>
          <w:tcPr>
            <w:tcW w:w="2782" w:type="dxa"/>
            <w:shd w:val="clear" w:color="auto" w:fill="01653F"/>
            <w:vAlign w:val="bottom"/>
          </w:tcPr>
          <w:p w14:paraId="64E44617" w14:textId="77777777" w:rsidR="000B2CCD" w:rsidRPr="00C33C0B" w:rsidRDefault="000708D6" w:rsidP="00BD6890">
            <w:pPr>
              <w:spacing w:before="20" w:after="20" w:line="240" w:lineRule="auto"/>
              <w:rPr>
                <w:rFonts w:cstheme="minorHAnsi"/>
                <w:color w:val="FFFFFF" w:themeColor="background1"/>
                <w:sz w:val="18"/>
                <w:szCs w:val="18"/>
                <w:lang w:val="en-GB"/>
              </w:rPr>
            </w:pPr>
            <w:r>
              <w:rPr>
                <w:rFonts w:cstheme="minorHAnsi"/>
                <w:b/>
                <w:color w:val="FFFFFF" w:themeColor="background1"/>
                <w:sz w:val="18"/>
                <w:szCs w:val="18"/>
                <w:lang w:val="en-GB"/>
              </w:rPr>
              <w:t>Position/organisation</w:t>
            </w:r>
          </w:p>
        </w:tc>
        <w:tc>
          <w:tcPr>
            <w:tcW w:w="2773" w:type="dxa"/>
            <w:shd w:val="clear" w:color="auto" w:fill="01653F"/>
            <w:vAlign w:val="bottom"/>
          </w:tcPr>
          <w:p w14:paraId="2461CDAE" w14:textId="77777777" w:rsidR="000B2CCD" w:rsidRPr="00C33C0B" w:rsidRDefault="000B2CCD" w:rsidP="00BD6890">
            <w:pPr>
              <w:spacing w:before="20" w:after="20" w:line="240" w:lineRule="auto"/>
              <w:rPr>
                <w:rFonts w:cstheme="minorHAnsi"/>
                <w:color w:val="FFFFFF" w:themeColor="background1"/>
                <w:sz w:val="18"/>
                <w:szCs w:val="18"/>
                <w:lang w:val="en-GB"/>
              </w:rPr>
            </w:pPr>
            <w:r w:rsidRPr="00C33C0B">
              <w:rPr>
                <w:rFonts w:cstheme="minorHAnsi"/>
                <w:b/>
                <w:color w:val="FFFFFF" w:themeColor="background1"/>
                <w:sz w:val="18"/>
                <w:szCs w:val="18"/>
                <w:lang w:val="en-GB"/>
              </w:rPr>
              <w:t xml:space="preserve">Declared </w:t>
            </w:r>
            <w:r w:rsidR="000708D6">
              <w:rPr>
                <w:rFonts w:cstheme="minorHAnsi"/>
                <w:b/>
                <w:color w:val="FFFFFF" w:themeColor="background1"/>
                <w:sz w:val="18"/>
                <w:szCs w:val="18"/>
                <w:lang w:val="en-GB"/>
              </w:rPr>
              <w:t>conflict</w:t>
            </w:r>
            <w:r w:rsidR="0064480D">
              <w:rPr>
                <w:rFonts w:cstheme="minorHAnsi"/>
                <w:b/>
                <w:color w:val="FFFFFF" w:themeColor="background1"/>
                <w:sz w:val="18"/>
                <w:szCs w:val="18"/>
                <w:lang w:val="en-GB"/>
              </w:rPr>
              <w:t>s</w:t>
            </w:r>
            <w:r w:rsidR="000708D6">
              <w:rPr>
                <w:rFonts w:cstheme="minorHAnsi"/>
                <w:b/>
                <w:color w:val="FFFFFF" w:themeColor="background1"/>
                <w:sz w:val="18"/>
                <w:szCs w:val="18"/>
                <w:lang w:val="en-GB"/>
              </w:rPr>
              <w:t xml:space="preserve"> of </w:t>
            </w:r>
            <w:r w:rsidRPr="00C33C0B">
              <w:rPr>
                <w:rFonts w:cstheme="minorHAnsi"/>
                <w:b/>
                <w:color w:val="FFFFFF" w:themeColor="background1"/>
                <w:sz w:val="18"/>
                <w:szCs w:val="18"/>
                <w:lang w:val="en-GB"/>
              </w:rPr>
              <w:t>interest</w:t>
            </w:r>
          </w:p>
        </w:tc>
      </w:tr>
      <w:tr w:rsidR="000B2CCD" w:rsidRPr="00C33C0B" w14:paraId="186A00F9" w14:textId="77777777" w:rsidTr="001671D2">
        <w:tc>
          <w:tcPr>
            <w:tcW w:w="2747" w:type="dxa"/>
          </w:tcPr>
          <w:p w14:paraId="71D833B4" w14:textId="77777777" w:rsidR="000B2CCD" w:rsidRPr="00C33C0B" w:rsidRDefault="000B2CCD" w:rsidP="00BD6890">
            <w:pPr>
              <w:spacing w:before="20" w:after="20" w:line="240" w:lineRule="auto"/>
              <w:rPr>
                <w:rFonts w:cstheme="minorHAnsi"/>
                <w:sz w:val="18"/>
                <w:szCs w:val="18"/>
                <w:lang w:val="en-GB"/>
              </w:rPr>
            </w:pPr>
            <w:r w:rsidRPr="00C33C0B">
              <w:rPr>
                <w:rFonts w:cstheme="minorHAnsi"/>
                <w:sz w:val="18"/>
                <w:szCs w:val="18"/>
                <w:lang w:val="en-GB"/>
              </w:rPr>
              <w:t>Dr Eleanor Chew (Ex-Officio)</w:t>
            </w:r>
          </w:p>
        </w:tc>
        <w:tc>
          <w:tcPr>
            <w:tcW w:w="2782" w:type="dxa"/>
          </w:tcPr>
          <w:p w14:paraId="0E44634D" w14:textId="77777777" w:rsidR="000B2CCD" w:rsidRPr="00C33C0B" w:rsidRDefault="000B2CCD" w:rsidP="004F73A6">
            <w:pPr>
              <w:pStyle w:val="Bullet-green"/>
              <w:numPr>
                <w:ilvl w:val="0"/>
                <w:numId w:val="0"/>
              </w:numPr>
              <w:spacing w:before="20" w:after="20" w:line="240" w:lineRule="auto"/>
              <w:rPr>
                <w:sz w:val="18"/>
                <w:szCs w:val="18"/>
                <w:lang w:val="en-GB"/>
              </w:rPr>
            </w:pPr>
            <w:r w:rsidRPr="00C33C0B">
              <w:rPr>
                <w:sz w:val="18"/>
                <w:szCs w:val="18"/>
                <w:lang w:val="en-GB"/>
              </w:rPr>
              <w:t xml:space="preserve">GP </w:t>
            </w:r>
            <w:r w:rsidR="00396147">
              <w:rPr>
                <w:sz w:val="18"/>
                <w:szCs w:val="18"/>
                <w:lang w:val="en-GB"/>
              </w:rPr>
              <w:t>practising</w:t>
            </w:r>
            <w:r w:rsidR="00396147" w:rsidRPr="00C33C0B">
              <w:rPr>
                <w:sz w:val="18"/>
                <w:szCs w:val="18"/>
                <w:lang w:val="en-GB"/>
              </w:rPr>
              <w:t xml:space="preserve"> </w:t>
            </w:r>
            <w:r w:rsidRPr="00C33C0B">
              <w:rPr>
                <w:sz w:val="18"/>
                <w:szCs w:val="18"/>
                <w:lang w:val="en-GB"/>
              </w:rPr>
              <w:t>in Brisbane</w:t>
            </w:r>
            <w:r w:rsidR="00E43B94">
              <w:rPr>
                <w:sz w:val="18"/>
                <w:szCs w:val="18"/>
                <w:lang w:val="en-GB"/>
              </w:rPr>
              <w:t xml:space="preserve">; </w:t>
            </w:r>
            <w:r w:rsidRPr="00C33C0B">
              <w:rPr>
                <w:sz w:val="18"/>
                <w:szCs w:val="18"/>
                <w:lang w:val="en-GB"/>
              </w:rPr>
              <w:t xml:space="preserve">Member of the MBS </w:t>
            </w:r>
            <w:r w:rsidR="00BC1CFB">
              <w:rPr>
                <w:sz w:val="18"/>
                <w:szCs w:val="18"/>
                <w:lang w:val="en-GB"/>
              </w:rPr>
              <w:t>R</w:t>
            </w:r>
            <w:r w:rsidRPr="00C33C0B">
              <w:rPr>
                <w:sz w:val="18"/>
                <w:szCs w:val="18"/>
                <w:lang w:val="en-GB"/>
              </w:rPr>
              <w:t>eview Principles and Rules</w:t>
            </w:r>
            <w:r w:rsidR="00BC1CFB">
              <w:rPr>
                <w:sz w:val="18"/>
                <w:szCs w:val="18"/>
                <w:lang w:val="en-GB"/>
              </w:rPr>
              <w:t xml:space="preserve"> Committee</w:t>
            </w:r>
            <w:r w:rsidRPr="00C33C0B">
              <w:rPr>
                <w:sz w:val="18"/>
                <w:szCs w:val="18"/>
                <w:lang w:val="en-GB"/>
              </w:rPr>
              <w:t xml:space="preserve"> (PARC) and GP and Primary Care Clinical Committee</w:t>
            </w:r>
          </w:p>
        </w:tc>
        <w:tc>
          <w:tcPr>
            <w:tcW w:w="2773" w:type="dxa"/>
          </w:tcPr>
          <w:p w14:paraId="70A22B74" w14:textId="77777777" w:rsidR="000B2CCD" w:rsidRPr="00C33C0B" w:rsidRDefault="000B2CCD" w:rsidP="004F73A6">
            <w:pPr>
              <w:pStyle w:val="Bullet-green"/>
              <w:numPr>
                <w:ilvl w:val="0"/>
                <w:numId w:val="0"/>
              </w:numPr>
              <w:spacing w:before="20" w:after="20" w:line="240" w:lineRule="auto"/>
              <w:rPr>
                <w:sz w:val="18"/>
                <w:szCs w:val="18"/>
                <w:lang w:val="en-GB"/>
              </w:rPr>
            </w:pPr>
            <w:r w:rsidRPr="00C33C0B">
              <w:rPr>
                <w:sz w:val="18"/>
                <w:szCs w:val="18"/>
                <w:lang w:val="en-GB"/>
              </w:rPr>
              <w:t xml:space="preserve">MBS </w:t>
            </w:r>
            <w:r w:rsidR="00F47E64">
              <w:rPr>
                <w:sz w:val="18"/>
                <w:szCs w:val="18"/>
                <w:lang w:val="en-GB"/>
              </w:rPr>
              <w:t>T</w:t>
            </w:r>
            <w:r w:rsidRPr="00C33C0B">
              <w:rPr>
                <w:sz w:val="18"/>
                <w:szCs w:val="18"/>
                <w:lang w:val="en-GB"/>
              </w:rPr>
              <w:t>askforce</w:t>
            </w:r>
            <w:r w:rsidR="00FD7B4D">
              <w:rPr>
                <w:sz w:val="18"/>
                <w:szCs w:val="18"/>
                <w:lang w:val="en-GB"/>
              </w:rPr>
              <w:t xml:space="preserve">; </w:t>
            </w:r>
            <w:r w:rsidRPr="00C33C0B">
              <w:rPr>
                <w:sz w:val="18"/>
                <w:szCs w:val="18"/>
                <w:lang w:val="en-GB"/>
              </w:rPr>
              <w:t xml:space="preserve">Board </w:t>
            </w:r>
            <w:r w:rsidR="00FD7B4D">
              <w:rPr>
                <w:sz w:val="18"/>
                <w:szCs w:val="18"/>
                <w:lang w:val="en-GB"/>
              </w:rPr>
              <w:t>M</w:t>
            </w:r>
            <w:r w:rsidRPr="00C33C0B">
              <w:rPr>
                <w:sz w:val="18"/>
                <w:szCs w:val="18"/>
                <w:lang w:val="en-GB"/>
              </w:rPr>
              <w:t xml:space="preserve">ember of </w:t>
            </w:r>
            <w:r w:rsidR="00F47E64">
              <w:rPr>
                <w:sz w:val="18"/>
                <w:szCs w:val="18"/>
                <w:lang w:val="en-GB"/>
              </w:rPr>
              <w:t xml:space="preserve">the </w:t>
            </w:r>
            <w:r w:rsidRPr="00C33C0B">
              <w:rPr>
                <w:sz w:val="18"/>
                <w:szCs w:val="18"/>
                <w:lang w:val="en-GB"/>
              </w:rPr>
              <w:t>Australian Digital Health Agency</w:t>
            </w:r>
            <w:r w:rsidR="00FD7B4D">
              <w:rPr>
                <w:sz w:val="18"/>
                <w:szCs w:val="18"/>
                <w:lang w:val="en-GB"/>
              </w:rPr>
              <w:t xml:space="preserve">; </w:t>
            </w:r>
            <w:r w:rsidRPr="00C33C0B">
              <w:rPr>
                <w:sz w:val="18"/>
                <w:szCs w:val="18"/>
                <w:lang w:val="en-GB"/>
              </w:rPr>
              <w:t xml:space="preserve">Member of </w:t>
            </w:r>
            <w:r w:rsidR="00F47E64">
              <w:rPr>
                <w:sz w:val="18"/>
                <w:szCs w:val="18"/>
                <w:lang w:val="en-GB"/>
              </w:rPr>
              <w:t xml:space="preserve">the </w:t>
            </w:r>
            <w:r w:rsidRPr="00C33C0B">
              <w:rPr>
                <w:sz w:val="18"/>
                <w:szCs w:val="18"/>
                <w:lang w:val="en-GB"/>
              </w:rPr>
              <w:t>Professional Services Review Panel</w:t>
            </w:r>
            <w:r w:rsidR="00FD7B4D">
              <w:rPr>
                <w:sz w:val="18"/>
                <w:szCs w:val="18"/>
                <w:lang w:val="en-GB"/>
              </w:rPr>
              <w:t>;</w:t>
            </w:r>
            <w:r w:rsidRPr="00C33C0B">
              <w:rPr>
                <w:sz w:val="18"/>
                <w:szCs w:val="18"/>
                <w:lang w:val="en-GB"/>
              </w:rPr>
              <w:t xml:space="preserve"> Member of </w:t>
            </w:r>
            <w:r w:rsidR="00F47E64">
              <w:rPr>
                <w:sz w:val="18"/>
                <w:szCs w:val="18"/>
                <w:lang w:val="en-GB"/>
              </w:rPr>
              <w:t xml:space="preserve">the </w:t>
            </w:r>
            <w:r w:rsidRPr="00C33C0B">
              <w:rPr>
                <w:sz w:val="18"/>
                <w:szCs w:val="18"/>
                <w:lang w:val="en-GB"/>
              </w:rPr>
              <w:t>A</w:t>
            </w:r>
            <w:r w:rsidR="00505FF1">
              <w:rPr>
                <w:sz w:val="18"/>
                <w:szCs w:val="18"/>
                <w:lang w:val="en-GB"/>
              </w:rPr>
              <w:t>H</w:t>
            </w:r>
            <w:r w:rsidRPr="00C33C0B">
              <w:rPr>
                <w:sz w:val="18"/>
                <w:szCs w:val="18"/>
                <w:lang w:val="en-GB"/>
              </w:rPr>
              <w:t>PRA panel</w:t>
            </w:r>
          </w:p>
        </w:tc>
      </w:tr>
      <w:tr w:rsidR="000B2CCD" w:rsidRPr="00C33C0B" w14:paraId="31DE3B1A" w14:textId="77777777" w:rsidTr="001671D2">
        <w:tc>
          <w:tcPr>
            <w:tcW w:w="2747" w:type="dxa"/>
          </w:tcPr>
          <w:p w14:paraId="35B3FF70" w14:textId="77777777" w:rsidR="000B2CCD" w:rsidRPr="00C33C0B" w:rsidRDefault="000B2CCD" w:rsidP="00BD6890">
            <w:pPr>
              <w:spacing w:before="20" w:after="20" w:line="240" w:lineRule="auto"/>
              <w:rPr>
                <w:rFonts w:cstheme="minorHAnsi"/>
                <w:sz w:val="18"/>
                <w:szCs w:val="18"/>
                <w:lang w:val="en-GB"/>
              </w:rPr>
            </w:pPr>
            <w:r w:rsidRPr="00C33C0B">
              <w:rPr>
                <w:rFonts w:cstheme="minorHAnsi"/>
                <w:sz w:val="18"/>
                <w:szCs w:val="18"/>
                <w:lang w:val="en-GB"/>
              </w:rPr>
              <w:t>D</w:t>
            </w:r>
            <w:r w:rsidR="00396147">
              <w:rPr>
                <w:rFonts w:cstheme="minorHAnsi"/>
                <w:sz w:val="18"/>
                <w:szCs w:val="18"/>
                <w:lang w:val="en-GB"/>
              </w:rPr>
              <w:t>r</w:t>
            </w:r>
            <w:r w:rsidRPr="00C33C0B">
              <w:rPr>
                <w:rFonts w:cstheme="minorHAnsi"/>
                <w:sz w:val="18"/>
                <w:szCs w:val="18"/>
                <w:lang w:val="en-GB"/>
              </w:rPr>
              <w:t xml:space="preserve">  John North</w:t>
            </w:r>
          </w:p>
        </w:tc>
        <w:tc>
          <w:tcPr>
            <w:tcW w:w="2782" w:type="dxa"/>
          </w:tcPr>
          <w:p w14:paraId="555B4141" w14:textId="77777777" w:rsidR="000B2CCD" w:rsidRPr="00C33C0B" w:rsidRDefault="000B2CCD" w:rsidP="004F73A6">
            <w:pPr>
              <w:pStyle w:val="Bullet-green"/>
              <w:numPr>
                <w:ilvl w:val="0"/>
                <w:numId w:val="0"/>
              </w:numPr>
              <w:spacing w:before="20" w:after="20" w:line="240" w:lineRule="auto"/>
              <w:rPr>
                <w:sz w:val="18"/>
                <w:szCs w:val="18"/>
                <w:lang w:val="en-GB"/>
              </w:rPr>
            </w:pPr>
            <w:r w:rsidRPr="00C33C0B">
              <w:rPr>
                <w:sz w:val="18"/>
                <w:szCs w:val="18"/>
                <w:lang w:val="en-GB"/>
              </w:rPr>
              <w:t xml:space="preserve">Senior </w:t>
            </w:r>
            <w:r w:rsidR="001F4ED5">
              <w:rPr>
                <w:sz w:val="18"/>
                <w:szCs w:val="18"/>
                <w:lang w:val="en-GB"/>
              </w:rPr>
              <w:t>V</w:t>
            </w:r>
            <w:r w:rsidRPr="00C33C0B">
              <w:rPr>
                <w:sz w:val="18"/>
                <w:szCs w:val="18"/>
                <w:lang w:val="en-GB"/>
              </w:rPr>
              <w:t xml:space="preserve">isiting </w:t>
            </w:r>
            <w:r w:rsidR="001F4ED5">
              <w:rPr>
                <w:sz w:val="18"/>
                <w:szCs w:val="18"/>
                <w:lang w:val="en-GB"/>
              </w:rPr>
              <w:t>O</w:t>
            </w:r>
            <w:r w:rsidRPr="00C33C0B">
              <w:rPr>
                <w:sz w:val="18"/>
                <w:szCs w:val="18"/>
                <w:lang w:val="en-GB"/>
              </w:rPr>
              <w:t xml:space="preserve">rthopaedic </w:t>
            </w:r>
            <w:r w:rsidR="001F4ED5">
              <w:rPr>
                <w:sz w:val="18"/>
                <w:szCs w:val="18"/>
                <w:lang w:val="en-GB"/>
              </w:rPr>
              <w:t>S</w:t>
            </w:r>
            <w:r w:rsidRPr="00C33C0B">
              <w:rPr>
                <w:sz w:val="18"/>
                <w:szCs w:val="18"/>
                <w:lang w:val="en-GB"/>
              </w:rPr>
              <w:t>urgeon</w:t>
            </w:r>
            <w:r w:rsidR="001F4ED5">
              <w:rPr>
                <w:sz w:val="18"/>
                <w:szCs w:val="18"/>
                <w:lang w:val="en-GB"/>
              </w:rPr>
              <w:t>,</w:t>
            </w:r>
            <w:r w:rsidRPr="00C33C0B">
              <w:rPr>
                <w:sz w:val="18"/>
                <w:szCs w:val="18"/>
                <w:lang w:val="en-GB"/>
              </w:rPr>
              <w:t xml:space="preserve"> </w:t>
            </w:r>
            <w:r w:rsidRPr="001F4ED5">
              <w:rPr>
                <w:sz w:val="18"/>
                <w:szCs w:val="18"/>
                <w:lang w:val="en-GB"/>
              </w:rPr>
              <w:t>Princess Alexandra Hospital</w:t>
            </w:r>
            <w:r w:rsidR="001F4ED5">
              <w:rPr>
                <w:sz w:val="18"/>
                <w:szCs w:val="18"/>
                <w:lang w:val="en-GB"/>
              </w:rPr>
              <w:t>,</w:t>
            </w:r>
            <w:r w:rsidRPr="001F4ED5">
              <w:rPr>
                <w:sz w:val="18"/>
                <w:szCs w:val="18"/>
                <w:lang w:val="en-GB"/>
              </w:rPr>
              <w:t xml:space="preserve"> Brisbane</w:t>
            </w:r>
            <w:r w:rsidR="004F73A6">
              <w:rPr>
                <w:sz w:val="18"/>
                <w:szCs w:val="18"/>
                <w:lang w:val="en-GB"/>
              </w:rPr>
              <w:t>;</w:t>
            </w:r>
            <w:r w:rsidRPr="001F4ED5">
              <w:rPr>
                <w:sz w:val="18"/>
                <w:szCs w:val="18"/>
                <w:lang w:val="en-GB"/>
              </w:rPr>
              <w:t xml:space="preserve"> </w:t>
            </w:r>
            <w:r w:rsidRPr="00C33C0B">
              <w:rPr>
                <w:sz w:val="18"/>
                <w:szCs w:val="18"/>
                <w:lang w:val="en-GB"/>
              </w:rPr>
              <w:t xml:space="preserve">Senior </w:t>
            </w:r>
            <w:r w:rsidR="001F4ED5">
              <w:rPr>
                <w:sz w:val="18"/>
                <w:szCs w:val="18"/>
                <w:lang w:val="en-GB"/>
              </w:rPr>
              <w:t>V</w:t>
            </w:r>
            <w:r w:rsidRPr="00C33C0B">
              <w:rPr>
                <w:sz w:val="18"/>
                <w:szCs w:val="18"/>
                <w:lang w:val="en-GB"/>
              </w:rPr>
              <w:t xml:space="preserve">isiting </w:t>
            </w:r>
            <w:r w:rsidR="001F4ED5">
              <w:rPr>
                <w:sz w:val="18"/>
                <w:szCs w:val="18"/>
                <w:lang w:val="en-GB"/>
              </w:rPr>
              <w:t>O</w:t>
            </w:r>
            <w:r w:rsidRPr="00C33C0B">
              <w:rPr>
                <w:sz w:val="18"/>
                <w:szCs w:val="18"/>
                <w:lang w:val="en-GB"/>
              </w:rPr>
              <w:t xml:space="preserve">rthopaedic </w:t>
            </w:r>
            <w:r w:rsidR="001F4ED5">
              <w:rPr>
                <w:sz w:val="18"/>
                <w:szCs w:val="18"/>
                <w:lang w:val="en-GB"/>
              </w:rPr>
              <w:t>S</w:t>
            </w:r>
            <w:r w:rsidRPr="00C33C0B">
              <w:rPr>
                <w:sz w:val="18"/>
                <w:szCs w:val="18"/>
                <w:lang w:val="en-GB"/>
              </w:rPr>
              <w:t>urgeon (Telehealth)</w:t>
            </w:r>
            <w:r w:rsidR="001F4ED5">
              <w:rPr>
                <w:sz w:val="18"/>
                <w:szCs w:val="18"/>
                <w:lang w:val="en-GB"/>
              </w:rPr>
              <w:t>,</w:t>
            </w:r>
            <w:r w:rsidRPr="00C33C0B">
              <w:rPr>
                <w:sz w:val="18"/>
                <w:szCs w:val="18"/>
                <w:lang w:val="en-GB"/>
              </w:rPr>
              <w:t xml:space="preserve"> Mt Isa Hospital and NWHHS</w:t>
            </w:r>
            <w:r w:rsidR="004F73A6">
              <w:rPr>
                <w:sz w:val="18"/>
                <w:szCs w:val="18"/>
                <w:lang w:val="en-GB"/>
              </w:rPr>
              <w:t xml:space="preserve">; </w:t>
            </w:r>
            <w:r w:rsidRPr="00C33C0B">
              <w:rPr>
                <w:sz w:val="18"/>
                <w:szCs w:val="18"/>
                <w:lang w:val="en-GB"/>
              </w:rPr>
              <w:t>Chair of the MBS Review Orthopaedic Committee</w:t>
            </w:r>
          </w:p>
        </w:tc>
        <w:tc>
          <w:tcPr>
            <w:tcW w:w="2773" w:type="dxa"/>
          </w:tcPr>
          <w:p w14:paraId="28E34517" w14:textId="77777777" w:rsidR="000B2CCD" w:rsidRPr="00367F67" w:rsidRDefault="000B2CCD" w:rsidP="004F73A6">
            <w:pPr>
              <w:pStyle w:val="Bullet-green"/>
              <w:numPr>
                <w:ilvl w:val="0"/>
                <w:numId w:val="0"/>
              </w:numPr>
              <w:spacing w:before="20" w:after="20" w:line="240" w:lineRule="auto"/>
              <w:rPr>
                <w:sz w:val="18"/>
                <w:szCs w:val="18"/>
                <w:lang w:val="en-GB"/>
              </w:rPr>
            </w:pPr>
            <w:r w:rsidRPr="00C33C0B">
              <w:rPr>
                <w:sz w:val="18"/>
                <w:szCs w:val="18"/>
                <w:lang w:val="en-GB"/>
              </w:rPr>
              <w:t>Panel member for A</w:t>
            </w:r>
            <w:r w:rsidR="00505FF1">
              <w:rPr>
                <w:sz w:val="18"/>
                <w:szCs w:val="18"/>
                <w:lang w:val="en-GB"/>
              </w:rPr>
              <w:t>H</w:t>
            </w:r>
            <w:r w:rsidRPr="00C33C0B">
              <w:rPr>
                <w:sz w:val="18"/>
                <w:szCs w:val="18"/>
                <w:lang w:val="en-GB"/>
              </w:rPr>
              <w:t>PRA</w:t>
            </w:r>
          </w:p>
        </w:tc>
      </w:tr>
      <w:tr w:rsidR="000B2CCD" w:rsidRPr="00C33C0B" w14:paraId="75BEB99F" w14:textId="77777777" w:rsidTr="001671D2">
        <w:tc>
          <w:tcPr>
            <w:tcW w:w="2747" w:type="dxa"/>
          </w:tcPr>
          <w:p w14:paraId="358E33AE" w14:textId="77777777" w:rsidR="000B2CCD" w:rsidRPr="00C33C0B" w:rsidRDefault="000B2CCD" w:rsidP="00BD6890">
            <w:pPr>
              <w:spacing w:before="20" w:after="20" w:line="240" w:lineRule="auto"/>
              <w:rPr>
                <w:rFonts w:cstheme="minorHAnsi"/>
                <w:sz w:val="18"/>
                <w:szCs w:val="18"/>
                <w:lang w:val="en-GB"/>
              </w:rPr>
            </w:pPr>
            <w:r w:rsidRPr="00C33C0B">
              <w:rPr>
                <w:rFonts w:cstheme="minorHAnsi"/>
                <w:sz w:val="18"/>
                <w:szCs w:val="18"/>
                <w:lang w:val="en-GB"/>
              </w:rPr>
              <w:t>Prof</w:t>
            </w:r>
            <w:r w:rsidR="00396147">
              <w:rPr>
                <w:rFonts w:cstheme="minorHAnsi"/>
                <w:sz w:val="18"/>
                <w:szCs w:val="18"/>
                <w:lang w:val="en-GB"/>
              </w:rPr>
              <w:t>.</w:t>
            </w:r>
            <w:r w:rsidRPr="00C33C0B">
              <w:rPr>
                <w:rFonts w:cstheme="minorHAnsi"/>
                <w:sz w:val="18"/>
                <w:szCs w:val="18"/>
                <w:lang w:val="en-GB"/>
              </w:rPr>
              <w:t xml:space="preserve"> Graeme Samuel AC</w:t>
            </w:r>
          </w:p>
        </w:tc>
        <w:tc>
          <w:tcPr>
            <w:tcW w:w="2782" w:type="dxa"/>
          </w:tcPr>
          <w:p w14:paraId="2B616EE2" w14:textId="77777777" w:rsidR="000B2CCD" w:rsidRPr="00C33C0B" w:rsidRDefault="000B2CCD" w:rsidP="004F73A6">
            <w:pPr>
              <w:pStyle w:val="Bullet-green"/>
              <w:numPr>
                <w:ilvl w:val="0"/>
                <w:numId w:val="0"/>
              </w:numPr>
              <w:spacing w:before="20" w:after="20" w:line="240" w:lineRule="auto"/>
              <w:rPr>
                <w:sz w:val="18"/>
                <w:szCs w:val="18"/>
                <w:lang w:val="en-GB"/>
              </w:rPr>
            </w:pPr>
            <w:r w:rsidRPr="00C33C0B">
              <w:rPr>
                <w:sz w:val="18"/>
                <w:szCs w:val="18"/>
                <w:lang w:val="en-GB"/>
              </w:rPr>
              <w:t>Non-clinician</w:t>
            </w:r>
            <w:r w:rsidR="004F73A6">
              <w:rPr>
                <w:sz w:val="18"/>
                <w:szCs w:val="18"/>
                <w:lang w:val="en-GB"/>
              </w:rPr>
              <w:t xml:space="preserve">; </w:t>
            </w:r>
            <w:r w:rsidRPr="00C33C0B">
              <w:rPr>
                <w:sz w:val="18"/>
                <w:szCs w:val="18"/>
                <w:lang w:val="en-GB"/>
              </w:rPr>
              <w:t>Professional Fellow in Monash University’s Business School and School of Public Health and Preventative Medicine</w:t>
            </w:r>
          </w:p>
        </w:tc>
        <w:tc>
          <w:tcPr>
            <w:tcW w:w="2773" w:type="dxa"/>
          </w:tcPr>
          <w:p w14:paraId="53E79151" w14:textId="77777777" w:rsidR="000B2CCD" w:rsidRPr="00C33C0B" w:rsidRDefault="00B46DC3" w:rsidP="004F73A6">
            <w:pPr>
              <w:pStyle w:val="Bullet-green"/>
              <w:numPr>
                <w:ilvl w:val="0"/>
                <w:numId w:val="0"/>
              </w:numPr>
              <w:spacing w:before="20" w:after="20" w:line="240" w:lineRule="auto"/>
              <w:rPr>
                <w:sz w:val="18"/>
                <w:szCs w:val="18"/>
                <w:lang w:val="en-GB"/>
              </w:rPr>
            </w:pPr>
            <w:r w:rsidRPr="004A1AB0">
              <w:rPr>
                <w:sz w:val="18"/>
                <w:szCs w:val="18"/>
                <w:lang w:val="en-GB"/>
              </w:rPr>
              <w:t>Member of the Sub-Committee on Specialist Out of Pocket Fees; Chair of South East Melbourne Primary Health Network; Chair of Dementia Australia; Director and Minority Sharholder of Mupharma Pty Ltd; Chair of Lorica Health Pty Ltd.</w:t>
            </w:r>
          </w:p>
        </w:tc>
      </w:tr>
    </w:tbl>
    <w:p w14:paraId="30E409DD" w14:textId="77777777" w:rsidR="00FD3BE7" w:rsidRDefault="00FD3BE7" w:rsidP="00FD3BE7">
      <w:pPr>
        <w:rPr>
          <w:lang w:val="en-GB"/>
        </w:rPr>
      </w:pPr>
      <w:bookmarkStart w:id="278" w:name="_Toc521442225"/>
      <w:r>
        <w:rPr>
          <w:lang w:val="en-GB"/>
        </w:rPr>
        <w:br w:type="page"/>
      </w:r>
    </w:p>
    <w:p w14:paraId="375B3BED" w14:textId="77777777" w:rsidR="00FD3BE7" w:rsidRDefault="00FD3BE7" w:rsidP="00FD3BE7">
      <w:pPr>
        <w:rPr>
          <w:lang w:val="en-GB"/>
        </w:rPr>
      </w:pPr>
    </w:p>
    <w:p w14:paraId="4216C85E" w14:textId="77777777" w:rsidR="000B2CCD" w:rsidRPr="00C33C0B" w:rsidRDefault="002355E9" w:rsidP="001671D2">
      <w:pPr>
        <w:pStyle w:val="Heading2"/>
        <w:numPr>
          <w:ilvl w:val="0"/>
          <w:numId w:val="0"/>
        </w:numPr>
        <w:rPr>
          <w:lang w:val="en-GB"/>
        </w:rPr>
      </w:pPr>
      <w:bookmarkStart w:id="279" w:name="_Toc24544767"/>
      <w:r>
        <w:rPr>
          <w:lang w:val="en-GB"/>
        </w:rPr>
        <w:t xml:space="preserve">Table </w:t>
      </w:r>
      <w:r w:rsidR="00933553">
        <w:rPr>
          <w:lang w:val="en-GB"/>
        </w:rPr>
        <w:t>C</w:t>
      </w:r>
      <w:r>
        <w:rPr>
          <w:lang w:val="en-GB"/>
        </w:rPr>
        <w:t>.</w:t>
      </w:r>
      <w:r w:rsidR="000B2CCD" w:rsidRPr="00C33C0B">
        <w:rPr>
          <w:lang w:val="en-GB"/>
        </w:rPr>
        <w:t xml:space="preserve">5: </w:t>
      </w:r>
      <w:r w:rsidR="00506ADC">
        <w:rPr>
          <w:lang w:val="en-GB"/>
        </w:rPr>
        <w:t>Encouraging</w:t>
      </w:r>
      <w:r w:rsidR="00506ADC" w:rsidRPr="00C33C0B">
        <w:rPr>
          <w:lang w:val="en-GB"/>
        </w:rPr>
        <w:t xml:space="preserve"> </w:t>
      </w:r>
      <w:r w:rsidR="000B2CCD" w:rsidRPr="00C33C0B">
        <w:rPr>
          <w:lang w:val="en-GB"/>
        </w:rPr>
        <w:t xml:space="preserve">use of </w:t>
      </w:r>
      <w:r w:rsidR="00337E9D" w:rsidRPr="00C33C0B">
        <w:rPr>
          <w:lang w:val="en-GB"/>
        </w:rPr>
        <w:t>case conferenc</w:t>
      </w:r>
      <w:bookmarkEnd w:id="278"/>
      <w:r w:rsidR="00337E9D" w:rsidRPr="00C33C0B">
        <w:rPr>
          <w:lang w:val="en-GB"/>
        </w:rPr>
        <w:t>e items</w:t>
      </w:r>
      <w:bookmarkEnd w:id="279"/>
      <w:r w:rsidR="000B2CCD" w:rsidRPr="00C33C0B">
        <w:rPr>
          <w:lang w:val="en-GB"/>
        </w:rPr>
        <w:t xml:space="preserv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c - Encouraging use of case conference items working group membership"/>
        <w:tblDescription w:val="Table C.5 has 3 columns. Column 1 is the working group member. Column 2 is the member's position and/or organisation. Column 3 lists the member's declared conflicts of interests. "/>
      </w:tblPr>
      <w:tblGrid>
        <w:gridCol w:w="2736"/>
        <w:gridCol w:w="2849"/>
        <w:gridCol w:w="2717"/>
      </w:tblGrid>
      <w:tr w:rsidR="001671D2" w:rsidRPr="00C33C0B" w14:paraId="4312DD20" w14:textId="77777777" w:rsidTr="001671D2">
        <w:trPr>
          <w:tblHeader/>
        </w:trPr>
        <w:tc>
          <w:tcPr>
            <w:tcW w:w="2736" w:type="dxa"/>
            <w:shd w:val="clear" w:color="auto" w:fill="01653F"/>
            <w:vAlign w:val="bottom"/>
          </w:tcPr>
          <w:p w14:paraId="7F118CBF" w14:textId="77777777" w:rsidR="000B2CCD" w:rsidRPr="00C33C0B" w:rsidRDefault="000B2CCD" w:rsidP="00BD6890">
            <w:pPr>
              <w:spacing w:before="20" w:after="20" w:line="240" w:lineRule="auto"/>
              <w:rPr>
                <w:rFonts w:cstheme="minorHAnsi"/>
                <w:color w:val="FFFFFF" w:themeColor="background1"/>
                <w:sz w:val="18"/>
                <w:szCs w:val="18"/>
                <w:lang w:val="en-GB"/>
              </w:rPr>
            </w:pPr>
            <w:r w:rsidRPr="00C33C0B">
              <w:rPr>
                <w:rFonts w:cstheme="minorHAnsi"/>
                <w:b/>
                <w:color w:val="FFFFFF" w:themeColor="background1"/>
                <w:sz w:val="18"/>
                <w:szCs w:val="18"/>
                <w:lang w:val="en-GB"/>
              </w:rPr>
              <w:t>Member</w:t>
            </w:r>
          </w:p>
        </w:tc>
        <w:tc>
          <w:tcPr>
            <w:tcW w:w="2849" w:type="dxa"/>
            <w:shd w:val="clear" w:color="auto" w:fill="01653F"/>
            <w:vAlign w:val="bottom"/>
          </w:tcPr>
          <w:p w14:paraId="5F5169FB" w14:textId="77777777" w:rsidR="000B2CCD" w:rsidRPr="00C33C0B" w:rsidRDefault="00890B83" w:rsidP="00BD6890">
            <w:pPr>
              <w:spacing w:before="20" w:after="20" w:line="240" w:lineRule="auto"/>
              <w:rPr>
                <w:rFonts w:cstheme="minorHAnsi"/>
                <w:color w:val="FFFFFF" w:themeColor="background1"/>
                <w:sz w:val="18"/>
                <w:szCs w:val="18"/>
                <w:lang w:val="en-GB"/>
              </w:rPr>
            </w:pPr>
            <w:r>
              <w:rPr>
                <w:rFonts w:cstheme="minorHAnsi"/>
                <w:b/>
                <w:color w:val="FFFFFF" w:themeColor="background1"/>
                <w:sz w:val="18"/>
                <w:szCs w:val="18"/>
                <w:lang w:val="en-GB"/>
              </w:rPr>
              <w:t>Position/organisation</w:t>
            </w:r>
          </w:p>
        </w:tc>
        <w:tc>
          <w:tcPr>
            <w:tcW w:w="2717" w:type="dxa"/>
            <w:shd w:val="clear" w:color="auto" w:fill="01653F"/>
            <w:vAlign w:val="bottom"/>
          </w:tcPr>
          <w:p w14:paraId="515B9FEB" w14:textId="77777777" w:rsidR="000B2CCD" w:rsidRPr="00C33C0B" w:rsidRDefault="000B2CCD" w:rsidP="00BD6890">
            <w:pPr>
              <w:spacing w:before="20" w:after="20" w:line="240" w:lineRule="auto"/>
              <w:rPr>
                <w:rFonts w:cstheme="minorHAnsi"/>
                <w:color w:val="FFFFFF" w:themeColor="background1"/>
                <w:sz w:val="18"/>
                <w:szCs w:val="18"/>
                <w:lang w:val="en-GB"/>
              </w:rPr>
            </w:pPr>
            <w:r w:rsidRPr="00C33C0B">
              <w:rPr>
                <w:rFonts w:cstheme="minorHAnsi"/>
                <w:b/>
                <w:color w:val="FFFFFF" w:themeColor="background1"/>
                <w:sz w:val="18"/>
                <w:szCs w:val="18"/>
                <w:lang w:val="en-GB"/>
              </w:rPr>
              <w:t xml:space="preserve">Declared </w:t>
            </w:r>
            <w:r w:rsidR="00A12967">
              <w:rPr>
                <w:rFonts w:cstheme="minorHAnsi"/>
                <w:b/>
                <w:color w:val="FFFFFF" w:themeColor="background1"/>
                <w:sz w:val="18"/>
                <w:szCs w:val="18"/>
                <w:lang w:val="en-GB"/>
              </w:rPr>
              <w:t>conflict</w:t>
            </w:r>
            <w:r w:rsidR="00C352D4">
              <w:rPr>
                <w:rFonts w:cstheme="minorHAnsi"/>
                <w:b/>
                <w:color w:val="FFFFFF" w:themeColor="background1"/>
                <w:sz w:val="18"/>
                <w:szCs w:val="18"/>
                <w:lang w:val="en-GB"/>
              </w:rPr>
              <w:t>s</w:t>
            </w:r>
            <w:r w:rsidR="00A12967">
              <w:rPr>
                <w:rFonts w:cstheme="minorHAnsi"/>
                <w:b/>
                <w:color w:val="FFFFFF" w:themeColor="background1"/>
                <w:sz w:val="18"/>
                <w:szCs w:val="18"/>
                <w:lang w:val="en-GB"/>
              </w:rPr>
              <w:t xml:space="preserve"> of </w:t>
            </w:r>
            <w:r w:rsidRPr="00C33C0B">
              <w:rPr>
                <w:rFonts w:cstheme="minorHAnsi"/>
                <w:b/>
                <w:color w:val="FFFFFF" w:themeColor="background1"/>
                <w:sz w:val="18"/>
                <w:szCs w:val="18"/>
                <w:lang w:val="en-GB"/>
              </w:rPr>
              <w:t>interest</w:t>
            </w:r>
          </w:p>
        </w:tc>
      </w:tr>
      <w:tr w:rsidR="000B2CCD" w:rsidRPr="00C33C0B" w14:paraId="3C9965B2" w14:textId="77777777" w:rsidTr="001671D2">
        <w:tc>
          <w:tcPr>
            <w:tcW w:w="2736" w:type="dxa"/>
          </w:tcPr>
          <w:p w14:paraId="45B9FDE6" w14:textId="77777777" w:rsidR="000B2CCD" w:rsidRPr="00C33C0B" w:rsidRDefault="000B2CCD" w:rsidP="00BD6890">
            <w:pPr>
              <w:spacing w:before="20" w:after="20" w:line="240" w:lineRule="auto"/>
              <w:rPr>
                <w:rFonts w:cstheme="minorHAnsi"/>
                <w:sz w:val="18"/>
                <w:szCs w:val="18"/>
                <w:lang w:val="en-GB"/>
              </w:rPr>
            </w:pPr>
            <w:r w:rsidRPr="00C33C0B">
              <w:rPr>
                <w:rFonts w:cstheme="minorHAnsi"/>
                <w:sz w:val="18"/>
                <w:szCs w:val="18"/>
                <w:lang w:val="en-GB"/>
              </w:rPr>
              <w:t>Prof</w:t>
            </w:r>
            <w:r w:rsidR="003221B8">
              <w:rPr>
                <w:rFonts w:cstheme="minorHAnsi"/>
                <w:sz w:val="18"/>
                <w:szCs w:val="18"/>
                <w:lang w:val="en-GB"/>
              </w:rPr>
              <w:t>.</w:t>
            </w:r>
            <w:r w:rsidRPr="00C33C0B">
              <w:rPr>
                <w:rFonts w:cstheme="minorHAnsi"/>
                <w:sz w:val="18"/>
                <w:szCs w:val="18"/>
                <w:lang w:val="en-GB"/>
              </w:rPr>
              <w:t xml:space="preserve"> Derek Chew</w:t>
            </w:r>
          </w:p>
        </w:tc>
        <w:tc>
          <w:tcPr>
            <w:tcW w:w="2849" w:type="dxa"/>
          </w:tcPr>
          <w:p w14:paraId="0B4E4244" w14:textId="77777777" w:rsidR="000B2CCD" w:rsidRPr="00C33C0B" w:rsidRDefault="000B2CCD" w:rsidP="009727EC">
            <w:pPr>
              <w:pStyle w:val="Bullet-green"/>
              <w:numPr>
                <w:ilvl w:val="0"/>
                <w:numId w:val="0"/>
              </w:numPr>
              <w:spacing w:before="20" w:after="20" w:line="240" w:lineRule="auto"/>
              <w:rPr>
                <w:sz w:val="18"/>
                <w:szCs w:val="18"/>
                <w:lang w:val="en-GB"/>
              </w:rPr>
            </w:pPr>
            <w:r w:rsidRPr="00C33C0B">
              <w:rPr>
                <w:sz w:val="18"/>
                <w:szCs w:val="18"/>
                <w:lang w:val="en-GB"/>
              </w:rPr>
              <w:t xml:space="preserve">Director of Cardiology, Flinders Medical Centre and </w:t>
            </w:r>
            <w:r w:rsidR="003221B8">
              <w:rPr>
                <w:sz w:val="18"/>
                <w:szCs w:val="18"/>
                <w:lang w:val="en-GB"/>
              </w:rPr>
              <w:t>A</w:t>
            </w:r>
            <w:r w:rsidRPr="00C33C0B">
              <w:rPr>
                <w:sz w:val="18"/>
                <w:szCs w:val="18"/>
                <w:lang w:val="en-GB"/>
              </w:rPr>
              <w:t>cademic at Flinders University</w:t>
            </w:r>
            <w:r w:rsidR="007624B1">
              <w:rPr>
                <w:sz w:val="18"/>
                <w:szCs w:val="18"/>
                <w:lang w:val="en-GB"/>
              </w:rPr>
              <w:t>;</w:t>
            </w:r>
            <w:r w:rsidRPr="00C33C0B">
              <w:rPr>
                <w:sz w:val="18"/>
                <w:szCs w:val="18"/>
                <w:lang w:val="en-GB"/>
              </w:rPr>
              <w:t xml:space="preserve"> Committee </w:t>
            </w:r>
            <w:r w:rsidR="007624B1">
              <w:rPr>
                <w:sz w:val="18"/>
                <w:szCs w:val="18"/>
                <w:lang w:val="en-GB"/>
              </w:rPr>
              <w:t>M</w:t>
            </w:r>
            <w:r w:rsidRPr="00C33C0B">
              <w:rPr>
                <w:sz w:val="18"/>
                <w:szCs w:val="18"/>
                <w:lang w:val="en-GB"/>
              </w:rPr>
              <w:t>ember of the Cardiac Services Clinical Committee</w:t>
            </w:r>
          </w:p>
        </w:tc>
        <w:tc>
          <w:tcPr>
            <w:tcW w:w="2717" w:type="dxa"/>
          </w:tcPr>
          <w:p w14:paraId="5450D8C8" w14:textId="77777777" w:rsidR="000B2CCD" w:rsidRPr="00C33C0B" w:rsidRDefault="000B2CCD" w:rsidP="009727EC">
            <w:pPr>
              <w:pStyle w:val="Bullet-green"/>
              <w:numPr>
                <w:ilvl w:val="0"/>
                <w:numId w:val="0"/>
              </w:numPr>
              <w:spacing w:before="20" w:after="20" w:line="240" w:lineRule="auto"/>
              <w:rPr>
                <w:sz w:val="18"/>
                <w:szCs w:val="18"/>
                <w:lang w:val="en-GB"/>
              </w:rPr>
            </w:pPr>
            <w:r w:rsidRPr="00C33C0B">
              <w:rPr>
                <w:sz w:val="18"/>
                <w:szCs w:val="18"/>
                <w:lang w:val="en-GB"/>
              </w:rPr>
              <w:t>None</w:t>
            </w:r>
          </w:p>
        </w:tc>
      </w:tr>
      <w:tr w:rsidR="000B2CCD" w:rsidRPr="00C33C0B" w14:paraId="23E49C54" w14:textId="77777777" w:rsidTr="001671D2">
        <w:tc>
          <w:tcPr>
            <w:tcW w:w="2736" w:type="dxa"/>
          </w:tcPr>
          <w:p w14:paraId="63DF2CDD" w14:textId="77777777" w:rsidR="000B2CCD" w:rsidRPr="00C33C0B" w:rsidRDefault="000B2CCD" w:rsidP="00BD6890">
            <w:pPr>
              <w:spacing w:before="20" w:after="20" w:line="240" w:lineRule="auto"/>
              <w:rPr>
                <w:rFonts w:cstheme="minorHAnsi"/>
                <w:sz w:val="18"/>
                <w:szCs w:val="18"/>
                <w:lang w:val="en-GB"/>
              </w:rPr>
            </w:pPr>
            <w:r w:rsidRPr="00C33C0B">
              <w:rPr>
                <w:rFonts w:cstheme="minorHAnsi"/>
                <w:sz w:val="18"/>
                <w:szCs w:val="18"/>
                <w:lang w:val="en-GB"/>
              </w:rPr>
              <w:t>Dr Steve De Graaf, Chair</w:t>
            </w:r>
          </w:p>
        </w:tc>
        <w:tc>
          <w:tcPr>
            <w:tcW w:w="2849" w:type="dxa"/>
          </w:tcPr>
          <w:p w14:paraId="03C8F3E7" w14:textId="77777777" w:rsidR="000B2CCD" w:rsidRPr="00C33C0B" w:rsidRDefault="000B2CCD" w:rsidP="009727EC">
            <w:pPr>
              <w:pStyle w:val="Bullet-green"/>
              <w:numPr>
                <w:ilvl w:val="0"/>
                <w:numId w:val="0"/>
              </w:numPr>
              <w:spacing w:before="20" w:after="20" w:line="240" w:lineRule="auto"/>
              <w:rPr>
                <w:sz w:val="18"/>
                <w:szCs w:val="18"/>
                <w:lang w:val="en-GB"/>
              </w:rPr>
            </w:pPr>
            <w:r w:rsidRPr="00C33C0B">
              <w:rPr>
                <w:sz w:val="18"/>
                <w:szCs w:val="18"/>
                <w:lang w:val="en-GB"/>
              </w:rPr>
              <w:t>Senior Rehabilitation Physician and Director of Pain Services, Epworth HealthCare</w:t>
            </w:r>
            <w:r w:rsidR="007624B1">
              <w:rPr>
                <w:sz w:val="18"/>
                <w:szCs w:val="18"/>
                <w:lang w:val="en-GB"/>
              </w:rPr>
              <w:t xml:space="preserve">; </w:t>
            </w:r>
            <w:r w:rsidRPr="00C33C0B">
              <w:rPr>
                <w:sz w:val="18"/>
                <w:szCs w:val="18"/>
                <w:lang w:val="en-GB"/>
              </w:rPr>
              <w:t>Past President, Australasian Faculty of Rehabilitation Medicine (RACP)</w:t>
            </w:r>
          </w:p>
        </w:tc>
        <w:tc>
          <w:tcPr>
            <w:tcW w:w="2717" w:type="dxa"/>
          </w:tcPr>
          <w:p w14:paraId="4F41A1AF" w14:textId="77777777" w:rsidR="000B2CCD" w:rsidRPr="00C33C0B" w:rsidRDefault="00337E9D" w:rsidP="009727EC">
            <w:pPr>
              <w:pStyle w:val="Bullet-green"/>
              <w:numPr>
                <w:ilvl w:val="0"/>
                <w:numId w:val="0"/>
              </w:numPr>
              <w:spacing w:before="20" w:after="20" w:line="240" w:lineRule="auto"/>
              <w:rPr>
                <w:sz w:val="18"/>
                <w:szCs w:val="18"/>
                <w:lang w:val="en-GB"/>
              </w:rPr>
            </w:pPr>
            <w:r w:rsidRPr="00C33C0B">
              <w:rPr>
                <w:sz w:val="18"/>
                <w:szCs w:val="18"/>
                <w:lang w:val="en-GB"/>
              </w:rPr>
              <w:t>Wife is a</w:t>
            </w:r>
            <w:r w:rsidR="003221B8">
              <w:rPr>
                <w:sz w:val="18"/>
                <w:szCs w:val="18"/>
                <w:lang w:val="en-GB"/>
              </w:rPr>
              <w:t>n</w:t>
            </w:r>
            <w:r w:rsidRPr="00C33C0B">
              <w:rPr>
                <w:sz w:val="18"/>
                <w:szCs w:val="18"/>
                <w:lang w:val="en-GB"/>
              </w:rPr>
              <w:t xml:space="preserve"> </w:t>
            </w:r>
            <w:r w:rsidR="00D557D2">
              <w:rPr>
                <w:sz w:val="18"/>
                <w:szCs w:val="18"/>
                <w:lang w:val="en-GB"/>
              </w:rPr>
              <w:t>a</w:t>
            </w:r>
            <w:r w:rsidRPr="00C33C0B">
              <w:rPr>
                <w:sz w:val="18"/>
                <w:szCs w:val="18"/>
                <w:lang w:val="en-GB"/>
              </w:rPr>
              <w:t xml:space="preserve">llied </w:t>
            </w:r>
            <w:r w:rsidR="00D557D2">
              <w:rPr>
                <w:sz w:val="18"/>
                <w:szCs w:val="18"/>
                <w:lang w:val="en-GB"/>
              </w:rPr>
              <w:t>h</w:t>
            </w:r>
            <w:r w:rsidRPr="00C33C0B">
              <w:rPr>
                <w:sz w:val="18"/>
                <w:szCs w:val="18"/>
                <w:lang w:val="en-GB"/>
              </w:rPr>
              <w:t xml:space="preserve">ealth </w:t>
            </w:r>
            <w:r w:rsidR="00D557D2">
              <w:rPr>
                <w:sz w:val="18"/>
                <w:szCs w:val="18"/>
                <w:lang w:val="en-GB"/>
              </w:rPr>
              <w:t>p</w:t>
            </w:r>
            <w:r w:rsidRPr="00C33C0B">
              <w:rPr>
                <w:sz w:val="18"/>
                <w:szCs w:val="18"/>
                <w:lang w:val="en-GB"/>
              </w:rPr>
              <w:t>rofessional</w:t>
            </w:r>
          </w:p>
        </w:tc>
      </w:tr>
      <w:tr w:rsidR="000B2CCD" w:rsidRPr="00C33C0B" w14:paraId="342E9EE9" w14:textId="77777777" w:rsidTr="001671D2">
        <w:tc>
          <w:tcPr>
            <w:tcW w:w="2736" w:type="dxa"/>
          </w:tcPr>
          <w:p w14:paraId="144E0F9F" w14:textId="77777777" w:rsidR="000B2CCD" w:rsidRPr="00C33C0B" w:rsidRDefault="000B2CCD" w:rsidP="00BD6890">
            <w:pPr>
              <w:spacing w:before="20" w:after="20" w:line="240" w:lineRule="auto"/>
              <w:rPr>
                <w:rFonts w:cstheme="minorHAnsi"/>
                <w:sz w:val="18"/>
                <w:szCs w:val="18"/>
                <w:lang w:val="en-GB"/>
              </w:rPr>
            </w:pPr>
            <w:r w:rsidRPr="00C33C0B">
              <w:rPr>
                <w:rFonts w:cstheme="minorHAnsi"/>
                <w:sz w:val="18"/>
                <w:szCs w:val="18"/>
                <w:lang w:val="en-GB"/>
              </w:rPr>
              <w:t>Mr Adam Friederich</w:t>
            </w:r>
          </w:p>
        </w:tc>
        <w:tc>
          <w:tcPr>
            <w:tcW w:w="2849" w:type="dxa"/>
          </w:tcPr>
          <w:p w14:paraId="11B9F6B8" w14:textId="77777777" w:rsidR="000B2CCD" w:rsidRPr="004F5595" w:rsidRDefault="000B2CCD" w:rsidP="009727EC">
            <w:pPr>
              <w:pStyle w:val="Bullet-green"/>
              <w:numPr>
                <w:ilvl w:val="0"/>
                <w:numId w:val="0"/>
              </w:numPr>
              <w:spacing w:before="20" w:after="20" w:line="240" w:lineRule="auto"/>
              <w:rPr>
                <w:rFonts w:cstheme="minorHAnsi"/>
                <w:sz w:val="18"/>
                <w:szCs w:val="18"/>
                <w:lang w:val="en-GB"/>
              </w:rPr>
            </w:pPr>
            <w:r w:rsidRPr="00C33C0B">
              <w:rPr>
                <w:sz w:val="18"/>
                <w:szCs w:val="18"/>
                <w:lang w:val="en-GB"/>
              </w:rPr>
              <w:t xml:space="preserve">Consumer </w:t>
            </w:r>
            <w:r w:rsidR="003221B8">
              <w:rPr>
                <w:sz w:val="18"/>
                <w:szCs w:val="18"/>
                <w:lang w:val="en-GB"/>
              </w:rPr>
              <w:t>R</w:t>
            </w:r>
            <w:r w:rsidRPr="00C33C0B">
              <w:rPr>
                <w:sz w:val="18"/>
                <w:szCs w:val="18"/>
                <w:lang w:val="en-GB"/>
              </w:rPr>
              <w:t>epresentative</w:t>
            </w:r>
            <w:r w:rsidR="00D557D2">
              <w:rPr>
                <w:sz w:val="18"/>
                <w:szCs w:val="18"/>
                <w:lang w:val="en-GB"/>
              </w:rPr>
              <w:t xml:space="preserve">; </w:t>
            </w:r>
            <w:r w:rsidRPr="00C33C0B">
              <w:rPr>
                <w:sz w:val="18"/>
                <w:szCs w:val="18"/>
                <w:lang w:val="en-GB"/>
              </w:rPr>
              <w:t xml:space="preserve">Works in </w:t>
            </w:r>
            <w:r w:rsidR="003221B8">
              <w:rPr>
                <w:sz w:val="18"/>
                <w:szCs w:val="18"/>
                <w:lang w:val="en-GB"/>
              </w:rPr>
              <w:t xml:space="preserve">the </w:t>
            </w:r>
            <w:r w:rsidRPr="00C33C0B">
              <w:rPr>
                <w:sz w:val="18"/>
                <w:szCs w:val="18"/>
                <w:lang w:val="en-GB"/>
              </w:rPr>
              <w:t>Australian public service</w:t>
            </w:r>
            <w:r w:rsidR="00D557D2">
              <w:rPr>
                <w:sz w:val="18"/>
                <w:szCs w:val="18"/>
                <w:lang w:val="en-GB"/>
              </w:rPr>
              <w:t xml:space="preserve">; </w:t>
            </w:r>
            <w:r w:rsidRPr="00C33C0B">
              <w:rPr>
                <w:sz w:val="18"/>
                <w:szCs w:val="18"/>
                <w:lang w:val="en-GB"/>
              </w:rPr>
              <w:t>Strong interest in health consumer issues</w:t>
            </w:r>
            <w:r w:rsidR="00D557D2">
              <w:rPr>
                <w:sz w:val="18"/>
                <w:szCs w:val="18"/>
                <w:lang w:val="en-GB"/>
              </w:rPr>
              <w:t xml:space="preserve">; </w:t>
            </w:r>
            <w:r w:rsidRPr="004F5595">
              <w:rPr>
                <w:rFonts w:cstheme="minorHAnsi"/>
                <w:sz w:val="18"/>
                <w:szCs w:val="18"/>
                <w:lang w:val="en-GB"/>
              </w:rPr>
              <w:t xml:space="preserve">Served on other committees for the MBS </w:t>
            </w:r>
            <w:r w:rsidR="004F5595">
              <w:rPr>
                <w:rFonts w:cstheme="minorHAnsi"/>
                <w:sz w:val="18"/>
                <w:szCs w:val="18"/>
                <w:lang w:val="en-GB"/>
              </w:rPr>
              <w:t>R</w:t>
            </w:r>
            <w:r w:rsidRPr="004F5595">
              <w:rPr>
                <w:rFonts w:cstheme="minorHAnsi"/>
                <w:sz w:val="18"/>
                <w:szCs w:val="18"/>
                <w:lang w:val="en-GB"/>
              </w:rPr>
              <w:t>eview</w:t>
            </w:r>
          </w:p>
        </w:tc>
        <w:tc>
          <w:tcPr>
            <w:tcW w:w="2717" w:type="dxa"/>
          </w:tcPr>
          <w:p w14:paraId="263AADEA" w14:textId="77777777" w:rsidR="000B2CCD" w:rsidRPr="00C33C0B" w:rsidRDefault="000B2CCD" w:rsidP="009727EC">
            <w:pPr>
              <w:pStyle w:val="Bullet-green"/>
              <w:numPr>
                <w:ilvl w:val="0"/>
                <w:numId w:val="0"/>
              </w:numPr>
              <w:spacing w:before="20" w:after="20" w:line="240" w:lineRule="auto"/>
              <w:rPr>
                <w:sz w:val="18"/>
                <w:szCs w:val="18"/>
                <w:lang w:val="en-GB"/>
              </w:rPr>
            </w:pPr>
            <w:r w:rsidRPr="00C33C0B">
              <w:rPr>
                <w:color w:val="222222"/>
                <w:sz w:val="18"/>
                <w:szCs w:val="18"/>
                <w:lang w:val="en-GB"/>
              </w:rPr>
              <w:t>None</w:t>
            </w:r>
          </w:p>
        </w:tc>
      </w:tr>
      <w:tr w:rsidR="000B2CCD" w:rsidRPr="00C33C0B" w14:paraId="072FC0F2" w14:textId="77777777" w:rsidTr="001671D2">
        <w:tc>
          <w:tcPr>
            <w:tcW w:w="2736" w:type="dxa"/>
          </w:tcPr>
          <w:p w14:paraId="7B930D42" w14:textId="77777777" w:rsidR="000B2CCD" w:rsidRPr="00C33C0B" w:rsidRDefault="000B2CCD" w:rsidP="00BD6890">
            <w:pPr>
              <w:spacing w:before="20" w:after="20" w:line="240" w:lineRule="auto"/>
              <w:rPr>
                <w:rFonts w:cstheme="minorHAnsi"/>
                <w:sz w:val="18"/>
                <w:szCs w:val="18"/>
                <w:lang w:val="en-GB"/>
              </w:rPr>
            </w:pPr>
            <w:r w:rsidRPr="00C33C0B">
              <w:rPr>
                <w:rFonts w:cstheme="minorHAnsi"/>
                <w:sz w:val="18"/>
                <w:szCs w:val="18"/>
                <w:lang w:val="en-GB"/>
              </w:rPr>
              <w:t>Dr Julie Thompson</w:t>
            </w:r>
          </w:p>
        </w:tc>
        <w:tc>
          <w:tcPr>
            <w:tcW w:w="2849" w:type="dxa"/>
          </w:tcPr>
          <w:p w14:paraId="53709B28" w14:textId="77777777" w:rsidR="000B2CCD" w:rsidRPr="00C33C0B" w:rsidRDefault="000B2CCD" w:rsidP="009727EC">
            <w:pPr>
              <w:spacing w:before="20" w:after="20" w:line="240" w:lineRule="auto"/>
              <w:rPr>
                <w:rFonts w:cstheme="minorHAnsi"/>
                <w:sz w:val="18"/>
                <w:szCs w:val="18"/>
                <w:lang w:val="en-GB"/>
              </w:rPr>
            </w:pPr>
            <w:r w:rsidRPr="00C33C0B">
              <w:rPr>
                <w:rFonts w:cstheme="minorHAnsi"/>
                <w:sz w:val="18"/>
                <w:szCs w:val="18"/>
                <w:lang w:val="en-GB"/>
              </w:rPr>
              <w:t>General Practitioner in Victoria</w:t>
            </w:r>
          </w:p>
        </w:tc>
        <w:tc>
          <w:tcPr>
            <w:tcW w:w="2717" w:type="dxa"/>
          </w:tcPr>
          <w:p w14:paraId="21FD22E0" w14:textId="77777777" w:rsidR="000B2CCD" w:rsidRPr="00C33C0B" w:rsidRDefault="000B2CCD" w:rsidP="009727EC">
            <w:pPr>
              <w:pStyle w:val="Bullet-green"/>
              <w:numPr>
                <w:ilvl w:val="0"/>
                <w:numId w:val="0"/>
              </w:numPr>
              <w:spacing w:before="20" w:after="20" w:line="240" w:lineRule="auto"/>
              <w:rPr>
                <w:sz w:val="18"/>
                <w:szCs w:val="18"/>
                <w:lang w:val="en-GB"/>
              </w:rPr>
            </w:pPr>
            <w:r w:rsidRPr="00C33C0B">
              <w:rPr>
                <w:sz w:val="18"/>
                <w:szCs w:val="18"/>
                <w:lang w:val="en-GB"/>
              </w:rPr>
              <w:t>None</w:t>
            </w:r>
          </w:p>
        </w:tc>
      </w:tr>
    </w:tbl>
    <w:p w14:paraId="4E09C806" w14:textId="77777777" w:rsidR="000B2CCD" w:rsidRPr="00C33C0B" w:rsidRDefault="002355E9" w:rsidP="002345D8">
      <w:pPr>
        <w:pStyle w:val="Heading2"/>
        <w:numPr>
          <w:ilvl w:val="0"/>
          <w:numId w:val="0"/>
        </w:numPr>
        <w:rPr>
          <w:lang w:val="en-GB"/>
        </w:rPr>
      </w:pPr>
      <w:bookmarkStart w:id="280" w:name="_Toc521442226"/>
      <w:bookmarkStart w:id="281" w:name="_Toc24544768"/>
      <w:r>
        <w:rPr>
          <w:lang w:val="en-GB"/>
        </w:rPr>
        <w:t xml:space="preserve">Table </w:t>
      </w:r>
      <w:r w:rsidR="00933553">
        <w:rPr>
          <w:lang w:val="en-GB"/>
        </w:rPr>
        <w:t>C</w:t>
      </w:r>
      <w:r>
        <w:rPr>
          <w:lang w:val="en-GB"/>
        </w:rPr>
        <w:t>.</w:t>
      </w:r>
      <w:r w:rsidR="000B2CCD" w:rsidRPr="00C33C0B">
        <w:rPr>
          <w:lang w:val="en-GB"/>
        </w:rPr>
        <w:t xml:space="preserve">6: Acute </w:t>
      </w:r>
      <w:bookmarkEnd w:id="280"/>
      <w:r w:rsidR="005E6B44" w:rsidRPr="00C33C0B">
        <w:rPr>
          <w:lang w:val="en-GB"/>
        </w:rPr>
        <w:t>attendances</w:t>
      </w:r>
      <w:bookmarkEnd w:id="281"/>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C - Acute attendances working group membership"/>
        <w:tblDescription w:val="Table C.6 has 3 columns. Column 1 is the working group member. Column 2 is the member's position and/or organisation. Column 3 lists the member's declared conflicts of interests. "/>
      </w:tblPr>
      <w:tblGrid>
        <w:gridCol w:w="2729"/>
        <w:gridCol w:w="2856"/>
        <w:gridCol w:w="2717"/>
      </w:tblGrid>
      <w:tr w:rsidR="00995E1F" w:rsidRPr="00C33C0B" w14:paraId="7D070741" w14:textId="77777777" w:rsidTr="005A57E4">
        <w:trPr>
          <w:tblHeader/>
        </w:trPr>
        <w:tc>
          <w:tcPr>
            <w:tcW w:w="2757" w:type="dxa"/>
            <w:shd w:val="clear" w:color="auto" w:fill="01653F"/>
            <w:vAlign w:val="bottom"/>
          </w:tcPr>
          <w:p w14:paraId="684B6C4A" w14:textId="77777777" w:rsidR="00995E1F" w:rsidRPr="00C33C0B" w:rsidRDefault="00995E1F" w:rsidP="00AF3BAB">
            <w:pPr>
              <w:spacing w:before="20" w:after="20" w:line="240" w:lineRule="auto"/>
              <w:rPr>
                <w:rFonts w:cstheme="minorHAnsi"/>
                <w:color w:val="FFFFFF" w:themeColor="background1"/>
                <w:sz w:val="18"/>
                <w:szCs w:val="18"/>
                <w:lang w:val="en-GB"/>
              </w:rPr>
            </w:pPr>
            <w:r w:rsidRPr="00C33C0B">
              <w:rPr>
                <w:rFonts w:cstheme="minorHAnsi"/>
                <w:b/>
                <w:color w:val="FFFFFF" w:themeColor="background1"/>
                <w:sz w:val="18"/>
                <w:szCs w:val="18"/>
                <w:lang w:val="en-GB"/>
              </w:rPr>
              <w:t>Member</w:t>
            </w:r>
          </w:p>
        </w:tc>
        <w:tc>
          <w:tcPr>
            <w:tcW w:w="2872" w:type="dxa"/>
            <w:shd w:val="clear" w:color="auto" w:fill="01653F"/>
            <w:vAlign w:val="bottom"/>
          </w:tcPr>
          <w:p w14:paraId="3086321E" w14:textId="77777777" w:rsidR="00995E1F" w:rsidRPr="00C33C0B" w:rsidRDefault="00EF3655" w:rsidP="00AF3BAB">
            <w:pPr>
              <w:spacing w:before="20" w:after="20" w:line="240" w:lineRule="auto"/>
              <w:rPr>
                <w:rFonts w:cstheme="minorHAnsi"/>
                <w:color w:val="FFFFFF" w:themeColor="background1"/>
                <w:sz w:val="18"/>
                <w:szCs w:val="18"/>
                <w:lang w:val="en-GB"/>
              </w:rPr>
            </w:pPr>
            <w:r>
              <w:rPr>
                <w:rFonts w:cstheme="minorHAnsi"/>
                <w:b/>
                <w:color w:val="FFFFFF" w:themeColor="background1"/>
                <w:sz w:val="18"/>
                <w:szCs w:val="18"/>
                <w:lang w:val="en-GB"/>
              </w:rPr>
              <w:t>Position/organisation</w:t>
            </w:r>
          </w:p>
        </w:tc>
        <w:tc>
          <w:tcPr>
            <w:tcW w:w="2739" w:type="dxa"/>
            <w:shd w:val="clear" w:color="auto" w:fill="01653F"/>
            <w:vAlign w:val="bottom"/>
          </w:tcPr>
          <w:p w14:paraId="273D7D92" w14:textId="77777777" w:rsidR="00995E1F" w:rsidRPr="00C33C0B" w:rsidRDefault="00995E1F" w:rsidP="00AF3BAB">
            <w:pPr>
              <w:spacing w:before="20" w:after="20" w:line="240" w:lineRule="auto"/>
              <w:rPr>
                <w:rFonts w:cstheme="minorHAnsi"/>
                <w:color w:val="FFFFFF" w:themeColor="background1"/>
                <w:sz w:val="18"/>
                <w:szCs w:val="18"/>
                <w:lang w:val="en-GB"/>
              </w:rPr>
            </w:pPr>
            <w:r w:rsidRPr="00C33C0B">
              <w:rPr>
                <w:rFonts w:cstheme="minorHAnsi"/>
                <w:b/>
                <w:color w:val="FFFFFF" w:themeColor="background1"/>
                <w:sz w:val="18"/>
                <w:szCs w:val="18"/>
                <w:lang w:val="en-GB"/>
              </w:rPr>
              <w:t>Declared</w:t>
            </w:r>
            <w:r w:rsidR="00EF3655">
              <w:rPr>
                <w:rFonts w:cstheme="minorHAnsi"/>
                <w:b/>
                <w:color w:val="FFFFFF" w:themeColor="background1"/>
                <w:sz w:val="18"/>
                <w:szCs w:val="18"/>
                <w:lang w:val="en-GB"/>
              </w:rPr>
              <w:t xml:space="preserve"> conflict</w:t>
            </w:r>
            <w:r w:rsidR="00FE670C">
              <w:rPr>
                <w:rFonts w:cstheme="minorHAnsi"/>
                <w:b/>
                <w:color w:val="FFFFFF" w:themeColor="background1"/>
                <w:sz w:val="18"/>
                <w:szCs w:val="18"/>
                <w:lang w:val="en-GB"/>
              </w:rPr>
              <w:t>s</w:t>
            </w:r>
            <w:r w:rsidR="00EF3655">
              <w:rPr>
                <w:rFonts w:cstheme="minorHAnsi"/>
                <w:b/>
                <w:color w:val="FFFFFF" w:themeColor="background1"/>
                <w:sz w:val="18"/>
                <w:szCs w:val="18"/>
                <w:lang w:val="en-GB"/>
              </w:rPr>
              <w:t xml:space="preserve"> of</w:t>
            </w:r>
            <w:r w:rsidRPr="00C33C0B">
              <w:rPr>
                <w:rFonts w:cstheme="minorHAnsi"/>
                <w:b/>
                <w:color w:val="FFFFFF" w:themeColor="background1"/>
                <w:sz w:val="18"/>
                <w:szCs w:val="18"/>
                <w:lang w:val="en-GB"/>
              </w:rPr>
              <w:t xml:space="preserve"> interest</w:t>
            </w:r>
          </w:p>
        </w:tc>
      </w:tr>
      <w:tr w:rsidR="00995E1F" w:rsidRPr="00C33C0B" w14:paraId="3336C16F" w14:textId="77777777" w:rsidTr="005A57E4">
        <w:tc>
          <w:tcPr>
            <w:tcW w:w="2757" w:type="dxa"/>
          </w:tcPr>
          <w:p w14:paraId="11AE31D1" w14:textId="77777777" w:rsidR="00995E1F" w:rsidRPr="00C33C0B" w:rsidRDefault="00995E1F" w:rsidP="00AF3BAB">
            <w:pPr>
              <w:spacing w:before="20" w:after="20" w:line="240" w:lineRule="auto"/>
              <w:rPr>
                <w:rFonts w:cstheme="minorHAnsi"/>
                <w:sz w:val="18"/>
                <w:szCs w:val="18"/>
                <w:lang w:val="en-GB"/>
              </w:rPr>
            </w:pPr>
            <w:r w:rsidRPr="00C33C0B">
              <w:rPr>
                <w:rFonts w:cstheme="minorHAnsi"/>
                <w:sz w:val="18"/>
                <w:szCs w:val="18"/>
                <w:lang w:val="en-GB"/>
              </w:rPr>
              <w:t>Prof</w:t>
            </w:r>
            <w:r w:rsidR="00C5215F">
              <w:rPr>
                <w:rFonts w:cstheme="minorHAnsi"/>
                <w:sz w:val="18"/>
                <w:szCs w:val="18"/>
                <w:lang w:val="en-GB"/>
              </w:rPr>
              <w:t>.</w:t>
            </w:r>
            <w:r w:rsidRPr="00C33C0B">
              <w:rPr>
                <w:rFonts w:cstheme="minorHAnsi"/>
                <w:sz w:val="18"/>
                <w:szCs w:val="18"/>
                <w:lang w:val="en-GB"/>
              </w:rPr>
              <w:t xml:space="preserve"> Derek Chew</w:t>
            </w:r>
          </w:p>
        </w:tc>
        <w:tc>
          <w:tcPr>
            <w:tcW w:w="2872" w:type="dxa"/>
          </w:tcPr>
          <w:p w14:paraId="62B9D34D" w14:textId="77777777" w:rsidR="00995E1F" w:rsidRPr="00C33C0B" w:rsidRDefault="00995E1F" w:rsidP="00DA7B48">
            <w:pPr>
              <w:pStyle w:val="Bullet-green"/>
              <w:numPr>
                <w:ilvl w:val="0"/>
                <w:numId w:val="0"/>
              </w:numPr>
              <w:spacing w:before="20" w:after="20" w:line="240" w:lineRule="auto"/>
              <w:rPr>
                <w:sz w:val="18"/>
                <w:szCs w:val="18"/>
                <w:lang w:val="en-GB"/>
              </w:rPr>
            </w:pPr>
            <w:r w:rsidRPr="00C33C0B">
              <w:rPr>
                <w:sz w:val="18"/>
                <w:szCs w:val="18"/>
                <w:lang w:val="en-GB"/>
              </w:rPr>
              <w:t xml:space="preserve">Director of Cardiology, Flinders Medical Centre and </w:t>
            </w:r>
            <w:r w:rsidR="00C5215F">
              <w:rPr>
                <w:sz w:val="18"/>
                <w:szCs w:val="18"/>
                <w:lang w:val="en-GB"/>
              </w:rPr>
              <w:t>A</w:t>
            </w:r>
            <w:r w:rsidRPr="00C33C0B">
              <w:rPr>
                <w:sz w:val="18"/>
                <w:szCs w:val="18"/>
                <w:lang w:val="en-GB"/>
              </w:rPr>
              <w:t>cademic at Flinders University</w:t>
            </w:r>
            <w:r w:rsidR="00DA7B48">
              <w:rPr>
                <w:sz w:val="18"/>
                <w:szCs w:val="18"/>
                <w:lang w:val="en-GB"/>
              </w:rPr>
              <w:t xml:space="preserve">; </w:t>
            </w:r>
            <w:r w:rsidRPr="00C33C0B">
              <w:rPr>
                <w:sz w:val="18"/>
                <w:szCs w:val="18"/>
                <w:lang w:val="en-GB"/>
              </w:rPr>
              <w:t xml:space="preserve">Committee </w:t>
            </w:r>
            <w:r w:rsidR="00DA7B48">
              <w:rPr>
                <w:sz w:val="18"/>
                <w:szCs w:val="18"/>
                <w:lang w:val="en-GB"/>
              </w:rPr>
              <w:t>M</w:t>
            </w:r>
            <w:r w:rsidRPr="00C33C0B">
              <w:rPr>
                <w:sz w:val="18"/>
                <w:szCs w:val="18"/>
                <w:lang w:val="en-GB"/>
              </w:rPr>
              <w:t>ember of the Cardiac Services Clinical Committee</w:t>
            </w:r>
          </w:p>
        </w:tc>
        <w:tc>
          <w:tcPr>
            <w:tcW w:w="2739" w:type="dxa"/>
          </w:tcPr>
          <w:p w14:paraId="0DEC098B" w14:textId="77777777" w:rsidR="00995E1F" w:rsidRPr="00C33C0B" w:rsidRDefault="00995E1F" w:rsidP="00DA7B48">
            <w:pPr>
              <w:pStyle w:val="Bullet-green"/>
              <w:numPr>
                <w:ilvl w:val="0"/>
                <w:numId w:val="0"/>
              </w:numPr>
              <w:spacing w:before="20" w:after="20" w:line="240" w:lineRule="auto"/>
              <w:rPr>
                <w:sz w:val="18"/>
                <w:szCs w:val="18"/>
                <w:lang w:val="en-GB"/>
              </w:rPr>
            </w:pPr>
            <w:r w:rsidRPr="00C33C0B">
              <w:rPr>
                <w:sz w:val="18"/>
                <w:szCs w:val="18"/>
                <w:lang w:val="en-GB"/>
              </w:rPr>
              <w:t>None</w:t>
            </w:r>
          </w:p>
        </w:tc>
      </w:tr>
      <w:tr w:rsidR="00995E1F" w:rsidRPr="00C33C0B" w14:paraId="7368464E" w14:textId="77777777" w:rsidTr="005A57E4">
        <w:tc>
          <w:tcPr>
            <w:tcW w:w="2757" w:type="dxa"/>
          </w:tcPr>
          <w:p w14:paraId="56A7920B" w14:textId="77777777" w:rsidR="00995E1F" w:rsidRPr="00C33C0B" w:rsidRDefault="005E6B44" w:rsidP="00AF3BAB">
            <w:pPr>
              <w:spacing w:before="20" w:after="20" w:line="240" w:lineRule="auto"/>
              <w:rPr>
                <w:rFonts w:cstheme="minorHAnsi"/>
                <w:sz w:val="18"/>
                <w:szCs w:val="18"/>
                <w:lang w:val="en-GB"/>
              </w:rPr>
            </w:pPr>
            <w:r w:rsidRPr="00C33C0B">
              <w:rPr>
                <w:rFonts w:cstheme="minorHAnsi"/>
                <w:sz w:val="18"/>
                <w:szCs w:val="18"/>
                <w:lang w:val="en-GB"/>
              </w:rPr>
              <w:t>Dr</w:t>
            </w:r>
            <w:r w:rsidR="00995E1F" w:rsidRPr="00C33C0B">
              <w:rPr>
                <w:rFonts w:cstheme="minorHAnsi"/>
                <w:sz w:val="18"/>
                <w:szCs w:val="18"/>
                <w:lang w:val="en-GB"/>
              </w:rPr>
              <w:t xml:space="preserve"> Robert Carroll</w:t>
            </w:r>
          </w:p>
        </w:tc>
        <w:tc>
          <w:tcPr>
            <w:tcW w:w="2872" w:type="dxa"/>
          </w:tcPr>
          <w:p w14:paraId="759A9E36" w14:textId="77777777" w:rsidR="00995E1F" w:rsidRPr="00C33C0B" w:rsidRDefault="005E6B44" w:rsidP="00DA7B48">
            <w:pPr>
              <w:pStyle w:val="Bullet-green"/>
              <w:numPr>
                <w:ilvl w:val="0"/>
                <w:numId w:val="0"/>
              </w:numPr>
              <w:spacing w:before="20" w:after="20" w:line="240" w:lineRule="auto"/>
              <w:rPr>
                <w:sz w:val="18"/>
                <w:szCs w:val="18"/>
                <w:lang w:val="en-GB"/>
              </w:rPr>
            </w:pPr>
            <w:r w:rsidRPr="00C33C0B">
              <w:rPr>
                <w:sz w:val="18"/>
                <w:szCs w:val="18"/>
                <w:lang w:val="en-GB"/>
              </w:rPr>
              <w:t>Nephrologist, University of Adelaide</w:t>
            </w:r>
          </w:p>
        </w:tc>
        <w:tc>
          <w:tcPr>
            <w:tcW w:w="2739" w:type="dxa"/>
          </w:tcPr>
          <w:p w14:paraId="47B4853D" w14:textId="77777777" w:rsidR="00995E1F" w:rsidRPr="00C33C0B" w:rsidRDefault="00995E1F" w:rsidP="00DA7B48">
            <w:pPr>
              <w:pStyle w:val="Bullet-green"/>
              <w:numPr>
                <w:ilvl w:val="0"/>
                <w:numId w:val="0"/>
              </w:numPr>
              <w:spacing w:before="20" w:after="20" w:line="240" w:lineRule="auto"/>
              <w:rPr>
                <w:sz w:val="18"/>
                <w:szCs w:val="18"/>
                <w:lang w:val="en-GB"/>
              </w:rPr>
            </w:pPr>
            <w:r w:rsidRPr="00C33C0B">
              <w:rPr>
                <w:sz w:val="18"/>
                <w:szCs w:val="18"/>
                <w:lang w:val="en-GB"/>
              </w:rPr>
              <w:t>None</w:t>
            </w:r>
          </w:p>
        </w:tc>
      </w:tr>
      <w:tr w:rsidR="005E6B44" w:rsidRPr="00C33C0B" w14:paraId="0BF121C2" w14:textId="77777777" w:rsidTr="005A57E4">
        <w:tc>
          <w:tcPr>
            <w:tcW w:w="2757" w:type="dxa"/>
          </w:tcPr>
          <w:p w14:paraId="025E13AE" w14:textId="77777777" w:rsidR="005E6B44" w:rsidRPr="00C33C0B" w:rsidRDefault="005E6B44" w:rsidP="005E6B44">
            <w:pPr>
              <w:spacing w:before="20" w:after="20" w:line="240" w:lineRule="auto"/>
              <w:rPr>
                <w:rFonts w:cstheme="minorHAnsi"/>
                <w:sz w:val="18"/>
                <w:szCs w:val="18"/>
                <w:lang w:val="en-GB"/>
              </w:rPr>
            </w:pPr>
            <w:r w:rsidRPr="00C33C0B">
              <w:rPr>
                <w:sz w:val="18"/>
                <w:szCs w:val="18"/>
                <w:lang w:val="en-GB"/>
              </w:rPr>
              <w:t>Prof</w:t>
            </w:r>
            <w:r w:rsidR="00C5215F">
              <w:rPr>
                <w:sz w:val="18"/>
                <w:szCs w:val="18"/>
                <w:lang w:val="en-GB"/>
              </w:rPr>
              <w:t>.</w:t>
            </w:r>
            <w:r w:rsidRPr="00C33C0B">
              <w:rPr>
                <w:sz w:val="18"/>
                <w:szCs w:val="18"/>
                <w:lang w:val="en-GB"/>
              </w:rPr>
              <w:t xml:space="preserve"> David Watters OBE</w:t>
            </w:r>
          </w:p>
        </w:tc>
        <w:tc>
          <w:tcPr>
            <w:tcW w:w="2872" w:type="dxa"/>
          </w:tcPr>
          <w:p w14:paraId="6E2598B4" w14:textId="77777777" w:rsidR="005E6B44" w:rsidRPr="00C33C0B" w:rsidRDefault="005E6B44" w:rsidP="00DA7B48">
            <w:pPr>
              <w:pStyle w:val="Bullet-green"/>
              <w:numPr>
                <w:ilvl w:val="0"/>
                <w:numId w:val="0"/>
              </w:numPr>
              <w:spacing w:before="20" w:after="20" w:line="240" w:lineRule="auto"/>
              <w:rPr>
                <w:sz w:val="18"/>
                <w:szCs w:val="18"/>
                <w:lang w:val="en-GB"/>
              </w:rPr>
            </w:pPr>
            <w:r w:rsidRPr="00C33C0B">
              <w:rPr>
                <w:sz w:val="18"/>
                <w:szCs w:val="18"/>
                <w:lang w:val="en-GB"/>
              </w:rPr>
              <w:t>Chair of Surgical and Critical Care Program</w:t>
            </w:r>
            <w:r w:rsidR="00630271">
              <w:rPr>
                <w:sz w:val="18"/>
                <w:szCs w:val="18"/>
                <w:lang w:val="en-GB"/>
              </w:rPr>
              <w:t>me</w:t>
            </w:r>
            <w:r w:rsidRPr="00C33C0B">
              <w:rPr>
                <w:sz w:val="18"/>
                <w:szCs w:val="18"/>
                <w:lang w:val="en-GB"/>
              </w:rPr>
              <w:t xml:space="preserve"> Safety and Quality Committee</w:t>
            </w:r>
            <w:r w:rsidR="00DA7B48">
              <w:rPr>
                <w:sz w:val="18"/>
                <w:szCs w:val="18"/>
                <w:lang w:val="en-GB"/>
              </w:rPr>
              <w:t xml:space="preserve">; </w:t>
            </w:r>
            <w:r w:rsidRPr="00C33C0B">
              <w:rPr>
                <w:sz w:val="18"/>
                <w:szCs w:val="18"/>
                <w:lang w:val="en-GB"/>
              </w:rPr>
              <w:t>General and Endocrine Surgeon at University Hospital and St John of God Hospital</w:t>
            </w:r>
            <w:r w:rsidR="007526F1">
              <w:rPr>
                <w:sz w:val="18"/>
                <w:szCs w:val="18"/>
                <w:lang w:val="en-GB"/>
              </w:rPr>
              <w:t>,</w:t>
            </w:r>
            <w:r w:rsidRPr="00C33C0B">
              <w:rPr>
                <w:sz w:val="18"/>
                <w:szCs w:val="18"/>
                <w:lang w:val="en-GB"/>
              </w:rPr>
              <w:t xml:space="preserve"> Geelong</w:t>
            </w:r>
            <w:r w:rsidR="00DA7B48">
              <w:rPr>
                <w:sz w:val="18"/>
                <w:szCs w:val="18"/>
                <w:lang w:val="en-GB"/>
              </w:rPr>
              <w:t xml:space="preserve">; </w:t>
            </w:r>
            <w:r w:rsidRPr="00C33C0B">
              <w:rPr>
                <w:sz w:val="18"/>
                <w:szCs w:val="18"/>
                <w:lang w:val="en-GB"/>
              </w:rPr>
              <w:t>Professor of Surgery, Deakin University</w:t>
            </w:r>
          </w:p>
        </w:tc>
        <w:tc>
          <w:tcPr>
            <w:tcW w:w="2739" w:type="dxa"/>
          </w:tcPr>
          <w:p w14:paraId="33602ED3" w14:textId="77777777" w:rsidR="005E6B44" w:rsidRPr="00C33C0B" w:rsidRDefault="005E6B44" w:rsidP="00DA7B48">
            <w:pPr>
              <w:pStyle w:val="Bullet-green"/>
              <w:numPr>
                <w:ilvl w:val="0"/>
                <w:numId w:val="0"/>
              </w:numPr>
              <w:spacing w:before="20" w:after="20" w:line="240" w:lineRule="auto"/>
              <w:rPr>
                <w:sz w:val="18"/>
                <w:szCs w:val="18"/>
                <w:lang w:val="en-GB"/>
              </w:rPr>
            </w:pPr>
            <w:r w:rsidRPr="00C33C0B">
              <w:rPr>
                <w:sz w:val="18"/>
                <w:szCs w:val="18"/>
                <w:lang w:val="en-GB"/>
              </w:rPr>
              <w:t xml:space="preserve">Member of </w:t>
            </w:r>
            <w:r w:rsidR="007526F1">
              <w:rPr>
                <w:sz w:val="18"/>
                <w:szCs w:val="18"/>
                <w:lang w:val="en-GB"/>
              </w:rPr>
              <w:t xml:space="preserve">the </w:t>
            </w:r>
            <w:r w:rsidRPr="00C33C0B">
              <w:rPr>
                <w:sz w:val="18"/>
                <w:szCs w:val="18"/>
                <w:lang w:val="en-GB"/>
              </w:rPr>
              <w:t>Clinical Measurement and Reporting Group for the Victorian Agency of Health Information (VAHI)</w:t>
            </w:r>
          </w:p>
        </w:tc>
      </w:tr>
    </w:tbl>
    <w:p w14:paraId="3CA8BF6E" w14:textId="77777777" w:rsidR="00337E9D" w:rsidRPr="00C33C0B" w:rsidRDefault="002355E9" w:rsidP="00337E9D">
      <w:pPr>
        <w:pStyle w:val="Heading2"/>
        <w:numPr>
          <w:ilvl w:val="0"/>
          <w:numId w:val="0"/>
        </w:numPr>
        <w:rPr>
          <w:lang w:val="en-GB"/>
        </w:rPr>
      </w:pPr>
      <w:bookmarkStart w:id="282" w:name="_Toc24544769"/>
      <w:r>
        <w:rPr>
          <w:lang w:val="en-GB"/>
        </w:rPr>
        <w:t xml:space="preserve">Table </w:t>
      </w:r>
      <w:r w:rsidR="00933553">
        <w:rPr>
          <w:lang w:val="en-GB"/>
        </w:rPr>
        <w:t>C</w:t>
      </w:r>
      <w:r>
        <w:rPr>
          <w:lang w:val="en-GB"/>
        </w:rPr>
        <w:t>.</w:t>
      </w:r>
      <w:r w:rsidR="00337E9D" w:rsidRPr="00C33C0B">
        <w:rPr>
          <w:lang w:val="en-GB"/>
        </w:rPr>
        <w:t>7: Case conference cost-shifting</w:t>
      </w:r>
      <w:bookmarkEnd w:id="282"/>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C - Case conference cost-shifting working group membership"/>
        <w:tblDescription w:val="Table C.7 has 3 columns. Column 1 is the working group member. Column 2 is the member's position and/or organisation. Column 3 lists the member's declared conflicts of interests. "/>
      </w:tblPr>
      <w:tblGrid>
        <w:gridCol w:w="2736"/>
        <w:gridCol w:w="2849"/>
        <w:gridCol w:w="2717"/>
      </w:tblGrid>
      <w:tr w:rsidR="00337E9D" w:rsidRPr="00C33C0B" w14:paraId="0D841990" w14:textId="77777777" w:rsidTr="00337E9D">
        <w:trPr>
          <w:tblHeader/>
        </w:trPr>
        <w:tc>
          <w:tcPr>
            <w:tcW w:w="2736" w:type="dxa"/>
            <w:shd w:val="clear" w:color="auto" w:fill="01653F"/>
            <w:vAlign w:val="bottom"/>
          </w:tcPr>
          <w:p w14:paraId="30C4C264" w14:textId="77777777" w:rsidR="00337E9D" w:rsidRPr="00C33C0B" w:rsidRDefault="00337E9D" w:rsidP="00337E9D">
            <w:pPr>
              <w:spacing w:before="20" w:after="20" w:line="240" w:lineRule="auto"/>
              <w:rPr>
                <w:rFonts w:cstheme="minorHAnsi"/>
                <w:color w:val="FFFFFF" w:themeColor="background1"/>
                <w:sz w:val="18"/>
                <w:szCs w:val="18"/>
                <w:lang w:val="en-GB"/>
              </w:rPr>
            </w:pPr>
            <w:r w:rsidRPr="00C33C0B">
              <w:rPr>
                <w:rFonts w:cstheme="minorHAnsi"/>
                <w:b/>
                <w:color w:val="FFFFFF" w:themeColor="background1"/>
                <w:sz w:val="18"/>
                <w:szCs w:val="18"/>
                <w:lang w:val="en-GB"/>
              </w:rPr>
              <w:t>Member</w:t>
            </w:r>
          </w:p>
        </w:tc>
        <w:tc>
          <w:tcPr>
            <w:tcW w:w="2849" w:type="dxa"/>
            <w:shd w:val="clear" w:color="auto" w:fill="01653F"/>
            <w:vAlign w:val="bottom"/>
          </w:tcPr>
          <w:p w14:paraId="07625198" w14:textId="77777777" w:rsidR="00337E9D" w:rsidRPr="00C33C0B" w:rsidRDefault="00D12D87" w:rsidP="00337E9D">
            <w:pPr>
              <w:spacing w:before="20" w:after="20" w:line="240" w:lineRule="auto"/>
              <w:rPr>
                <w:rFonts w:cstheme="minorHAnsi"/>
                <w:color w:val="FFFFFF" w:themeColor="background1"/>
                <w:sz w:val="18"/>
                <w:szCs w:val="18"/>
                <w:lang w:val="en-GB"/>
              </w:rPr>
            </w:pPr>
            <w:r>
              <w:rPr>
                <w:rFonts w:cstheme="minorHAnsi"/>
                <w:b/>
                <w:color w:val="FFFFFF" w:themeColor="background1"/>
                <w:sz w:val="18"/>
                <w:szCs w:val="18"/>
                <w:lang w:val="en-GB"/>
              </w:rPr>
              <w:t>Position/organisation</w:t>
            </w:r>
          </w:p>
        </w:tc>
        <w:tc>
          <w:tcPr>
            <w:tcW w:w="2717" w:type="dxa"/>
            <w:shd w:val="clear" w:color="auto" w:fill="01653F"/>
            <w:vAlign w:val="bottom"/>
          </w:tcPr>
          <w:p w14:paraId="61E0F0D6" w14:textId="77777777" w:rsidR="00337E9D" w:rsidRPr="00C33C0B" w:rsidRDefault="00337E9D" w:rsidP="00337E9D">
            <w:pPr>
              <w:spacing w:before="20" w:after="20" w:line="240" w:lineRule="auto"/>
              <w:rPr>
                <w:rFonts w:cstheme="minorHAnsi"/>
                <w:color w:val="FFFFFF" w:themeColor="background1"/>
                <w:sz w:val="18"/>
                <w:szCs w:val="18"/>
                <w:lang w:val="en-GB"/>
              </w:rPr>
            </w:pPr>
            <w:r w:rsidRPr="00C33C0B">
              <w:rPr>
                <w:rFonts w:cstheme="minorHAnsi"/>
                <w:b/>
                <w:color w:val="FFFFFF" w:themeColor="background1"/>
                <w:sz w:val="18"/>
                <w:szCs w:val="18"/>
                <w:lang w:val="en-GB"/>
              </w:rPr>
              <w:t>Declared</w:t>
            </w:r>
            <w:r w:rsidR="00D12D87">
              <w:rPr>
                <w:rFonts w:cstheme="minorHAnsi"/>
                <w:b/>
                <w:color w:val="FFFFFF" w:themeColor="background1"/>
                <w:sz w:val="18"/>
                <w:szCs w:val="18"/>
                <w:lang w:val="en-GB"/>
              </w:rPr>
              <w:t xml:space="preserve"> conflict</w:t>
            </w:r>
            <w:r w:rsidR="006D36F2">
              <w:rPr>
                <w:rFonts w:cstheme="minorHAnsi"/>
                <w:b/>
                <w:color w:val="FFFFFF" w:themeColor="background1"/>
                <w:sz w:val="18"/>
                <w:szCs w:val="18"/>
                <w:lang w:val="en-GB"/>
              </w:rPr>
              <w:t xml:space="preserve">s </w:t>
            </w:r>
            <w:r w:rsidR="00D12D87">
              <w:rPr>
                <w:rFonts w:cstheme="minorHAnsi"/>
                <w:b/>
                <w:color w:val="FFFFFF" w:themeColor="background1"/>
                <w:sz w:val="18"/>
                <w:szCs w:val="18"/>
                <w:lang w:val="en-GB"/>
              </w:rPr>
              <w:t>of</w:t>
            </w:r>
            <w:r w:rsidRPr="00C33C0B">
              <w:rPr>
                <w:rFonts w:cstheme="minorHAnsi"/>
                <w:b/>
                <w:color w:val="FFFFFF" w:themeColor="background1"/>
                <w:sz w:val="18"/>
                <w:szCs w:val="18"/>
                <w:lang w:val="en-GB"/>
              </w:rPr>
              <w:t xml:space="preserve"> interest</w:t>
            </w:r>
          </w:p>
        </w:tc>
      </w:tr>
      <w:tr w:rsidR="00235E50" w:rsidRPr="00C33C0B" w14:paraId="52710F61" w14:textId="77777777" w:rsidTr="00337E9D">
        <w:tc>
          <w:tcPr>
            <w:tcW w:w="2736" w:type="dxa"/>
          </w:tcPr>
          <w:p w14:paraId="1FD5584B" w14:textId="77777777" w:rsidR="00235E50" w:rsidRPr="00C33C0B" w:rsidRDefault="00235E50" w:rsidP="00235E50">
            <w:pPr>
              <w:spacing w:before="20" w:after="20" w:line="240" w:lineRule="auto"/>
              <w:rPr>
                <w:rFonts w:cstheme="minorHAnsi"/>
                <w:sz w:val="18"/>
                <w:szCs w:val="18"/>
                <w:lang w:val="en-GB"/>
              </w:rPr>
            </w:pPr>
            <w:r w:rsidRPr="00C33C0B">
              <w:rPr>
                <w:rFonts w:cstheme="minorHAnsi"/>
                <w:sz w:val="18"/>
                <w:szCs w:val="18"/>
                <w:lang w:val="en-GB"/>
              </w:rPr>
              <w:t>Dr Steve De Graaf, Chair</w:t>
            </w:r>
          </w:p>
        </w:tc>
        <w:tc>
          <w:tcPr>
            <w:tcW w:w="2849" w:type="dxa"/>
          </w:tcPr>
          <w:p w14:paraId="56A90AD0" w14:textId="77777777" w:rsidR="00235E50" w:rsidRPr="00C33C0B" w:rsidRDefault="00235E50" w:rsidP="00DA7B48">
            <w:pPr>
              <w:pStyle w:val="Bullet-green"/>
              <w:numPr>
                <w:ilvl w:val="0"/>
                <w:numId w:val="0"/>
              </w:numPr>
              <w:spacing w:before="20" w:after="20" w:line="240" w:lineRule="auto"/>
              <w:rPr>
                <w:sz w:val="18"/>
                <w:szCs w:val="18"/>
                <w:lang w:val="en-GB"/>
              </w:rPr>
            </w:pPr>
            <w:r w:rsidRPr="00C33C0B">
              <w:rPr>
                <w:sz w:val="18"/>
                <w:szCs w:val="18"/>
                <w:lang w:val="en-GB"/>
              </w:rPr>
              <w:t>Senior Rehabilitation Physician and Director of Pain Services, Epworth HealthCare</w:t>
            </w:r>
            <w:r w:rsidR="00DA7B48">
              <w:rPr>
                <w:sz w:val="18"/>
                <w:szCs w:val="18"/>
                <w:lang w:val="en-GB"/>
              </w:rPr>
              <w:t xml:space="preserve">; </w:t>
            </w:r>
            <w:r w:rsidRPr="00C33C0B">
              <w:rPr>
                <w:sz w:val="18"/>
                <w:szCs w:val="18"/>
                <w:lang w:val="en-GB"/>
              </w:rPr>
              <w:t>Past President, Australasian Faculty of Rehabilitation Medicine (RACP)</w:t>
            </w:r>
          </w:p>
        </w:tc>
        <w:tc>
          <w:tcPr>
            <w:tcW w:w="2717" w:type="dxa"/>
          </w:tcPr>
          <w:p w14:paraId="2E10B809" w14:textId="77777777" w:rsidR="00235E50" w:rsidRPr="00C33C0B" w:rsidRDefault="00235E50" w:rsidP="00DA7B48">
            <w:pPr>
              <w:pStyle w:val="Bullet-green"/>
              <w:numPr>
                <w:ilvl w:val="0"/>
                <w:numId w:val="0"/>
              </w:numPr>
              <w:spacing w:before="20" w:after="20" w:line="240" w:lineRule="auto"/>
              <w:rPr>
                <w:sz w:val="18"/>
                <w:szCs w:val="18"/>
                <w:lang w:val="en-GB"/>
              </w:rPr>
            </w:pPr>
            <w:r w:rsidRPr="00C33C0B">
              <w:rPr>
                <w:sz w:val="18"/>
                <w:szCs w:val="18"/>
                <w:lang w:val="en-GB"/>
              </w:rPr>
              <w:t>Wife is a</w:t>
            </w:r>
            <w:r w:rsidR="002821CA">
              <w:rPr>
                <w:sz w:val="18"/>
                <w:szCs w:val="18"/>
                <w:lang w:val="en-GB"/>
              </w:rPr>
              <w:t>n</w:t>
            </w:r>
            <w:r w:rsidRPr="00C33C0B">
              <w:rPr>
                <w:sz w:val="18"/>
                <w:szCs w:val="18"/>
                <w:lang w:val="en-GB"/>
              </w:rPr>
              <w:t xml:space="preserve"> </w:t>
            </w:r>
            <w:r w:rsidR="00DA7B48">
              <w:rPr>
                <w:sz w:val="18"/>
                <w:szCs w:val="18"/>
                <w:lang w:val="en-GB"/>
              </w:rPr>
              <w:t>a</w:t>
            </w:r>
            <w:r w:rsidRPr="00C33C0B">
              <w:rPr>
                <w:sz w:val="18"/>
                <w:szCs w:val="18"/>
                <w:lang w:val="en-GB"/>
              </w:rPr>
              <w:t xml:space="preserve">llied </w:t>
            </w:r>
            <w:r w:rsidR="00DA7B48">
              <w:rPr>
                <w:sz w:val="18"/>
                <w:szCs w:val="18"/>
                <w:lang w:val="en-GB"/>
              </w:rPr>
              <w:t>h</w:t>
            </w:r>
            <w:r w:rsidRPr="00C33C0B">
              <w:rPr>
                <w:sz w:val="18"/>
                <w:szCs w:val="18"/>
                <w:lang w:val="en-GB"/>
              </w:rPr>
              <w:t xml:space="preserve">ealth </w:t>
            </w:r>
            <w:r w:rsidR="00DA7B48">
              <w:rPr>
                <w:sz w:val="18"/>
                <w:szCs w:val="18"/>
                <w:lang w:val="en-GB"/>
              </w:rPr>
              <w:t>p</w:t>
            </w:r>
            <w:r w:rsidRPr="00C33C0B">
              <w:rPr>
                <w:sz w:val="18"/>
                <w:szCs w:val="18"/>
                <w:lang w:val="en-GB"/>
              </w:rPr>
              <w:t>rofessional</w:t>
            </w:r>
          </w:p>
        </w:tc>
      </w:tr>
      <w:tr w:rsidR="00235E50" w:rsidRPr="00C33C0B" w14:paraId="75669896" w14:textId="77777777" w:rsidTr="00337E9D">
        <w:tc>
          <w:tcPr>
            <w:tcW w:w="2736" w:type="dxa"/>
          </w:tcPr>
          <w:p w14:paraId="5667DB79" w14:textId="77777777" w:rsidR="00235E50" w:rsidRPr="00C33C0B" w:rsidRDefault="00235E50" w:rsidP="00235E50">
            <w:pPr>
              <w:spacing w:before="20" w:after="20" w:line="240" w:lineRule="auto"/>
              <w:rPr>
                <w:rFonts w:cstheme="minorHAnsi"/>
                <w:sz w:val="18"/>
                <w:szCs w:val="18"/>
                <w:lang w:val="en-GB"/>
              </w:rPr>
            </w:pPr>
            <w:r w:rsidRPr="00C33C0B">
              <w:rPr>
                <w:rFonts w:cstheme="minorHAnsi"/>
                <w:sz w:val="18"/>
                <w:szCs w:val="18"/>
                <w:lang w:val="en-GB"/>
              </w:rPr>
              <w:t xml:space="preserve">Dr </w:t>
            </w:r>
            <w:r w:rsidR="00885661">
              <w:rPr>
                <w:rFonts w:cstheme="minorHAnsi"/>
                <w:sz w:val="18"/>
                <w:szCs w:val="18"/>
                <w:lang w:val="en-GB"/>
              </w:rPr>
              <w:t>Philip Truskett AM (</w:t>
            </w:r>
            <w:r w:rsidRPr="00C33C0B">
              <w:rPr>
                <w:rFonts w:cstheme="minorHAnsi"/>
                <w:sz w:val="18"/>
                <w:szCs w:val="18"/>
                <w:lang w:val="en-GB"/>
              </w:rPr>
              <w:t>Co-chair)</w:t>
            </w:r>
          </w:p>
        </w:tc>
        <w:tc>
          <w:tcPr>
            <w:tcW w:w="2849" w:type="dxa"/>
          </w:tcPr>
          <w:p w14:paraId="695B85A0" w14:textId="77777777" w:rsidR="00235E50" w:rsidRPr="00C33C0B" w:rsidRDefault="00235E50" w:rsidP="00DA7B48">
            <w:pPr>
              <w:pStyle w:val="Bullet-green"/>
              <w:numPr>
                <w:ilvl w:val="0"/>
                <w:numId w:val="0"/>
              </w:numPr>
              <w:spacing w:before="20" w:after="20" w:line="240" w:lineRule="auto"/>
              <w:rPr>
                <w:sz w:val="18"/>
                <w:szCs w:val="18"/>
                <w:lang w:val="en-GB"/>
              </w:rPr>
            </w:pPr>
            <w:r w:rsidRPr="00C33C0B">
              <w:rPr>
                <w:sz w:val="18"/>
                <w:szCs w:val="18"/>
                <w:lang w:val="en-GB"/>
              </w:rPr>
              <w:t xml:space="preserve">General </w:t>
            </w:r>
            <w:r w:rsidR="00D27D35">
              <w:rPr>
                <w:sz w:val="18"/>
                <w:szCs w:val="18"/>
                <w:lang w:val="en-GB"/>
              </w:rPr>
              <w:t>S</w:t>
            </w:r>
            <w:r w:rsidRPr="00C33C0B">
              <w:rPr>
                <w:sz w:val="18"/>
                <w:szCs w:val="18"/>
                <w:lang w:val="en-GB"/>
              </w:rPr>
              <w:t>urgeon at</w:t>
            </w:r>
            <w:r w:rsidR="00D27D35">
              <w:rPr>
                <w:sz w:val="18"/>
                <w:szCs w:val="18"/>
                <w:lang w:val="en-GB"/>
              </w:rPr>
              <w:t xml:space="preserve"> the</w:t>
            </w:r>
            <w:r w:rsidRPr="00C33C0B">
              <w:rPr>
                <w:sz w:val="18"/>
                <w:szCs w:val="18"/>
                <w:lang w:val="en-GB"/>
              </w:rPr>
              <w:t xml:space="preserve"> Prince of Wales Hospital</w:t>
            </w:r>
            <w:r w:rsidR="00D27D35">
              <w:rPr>
                <w:sz w:val="18"/>
                <w:szCs w:val="18"/>
                <w:lang w:val="en-GB"/>
              </w:rPr>
              <w:t>,</w:t>
            </w:r>
            <w:r w:rsidRPr="00C33C0B">
              <w:rPr>
                <w:sz w:val="18"/>
                <w:szCs w:val="18"/>
                <w:lang w:val="en-GB"/>
              </w:rPr>
              <w:t xml:space="preserve"> Sydney</w:t>
            </w:r>
          </w:p>
        </w:tc>
        <w:tc>
          <w:tcPr>
            <w:tcW w:w="2717" w:type="dxa"/>
          </w:tcPr>
          <w:p w14:paraId="77222EB4" w14:textId="77777777" w:rsidR="00235E50" w:rsidRPr="00C33C0B" w:rsidRDefault="00235E50" w:rsidP="00DA7B48">
            <w:pPr>
              <w:pStyle w:val="Bullet-green"/>
              <w:numPr>
                <w:ilvl w:val="0"/>
                <w:numId w:val="0"/>
              </w:numPr>
              <w:spacing w:before="20" w:after="20" w:line="240" w:lineRule="auto"/>
              <w:rPr>
                <w:sz w:val="18"/>
                <w:szCs w:val="18"/>
                <w:lang w:val="en-GB"/>
              </w:rPr>
            </w:pPr>
            <w:r w:rsidRPr="00C33C0B">
              <w:rPr>
                <w:sz w:val="18"/>
                <w:szCs w:val="18"/>
                <w:lang w:val="en-GB"/>
              </w:rPr>
              <w:t>None</w:t>
            </w:r>
          </w:p>
        </w:tc>
      </w:tr>
      <w:tr w:rsidR="00337E9D" w:rsidRPr="00C33C0B" w14:paraId="06A0A28B" w14:textId="77777777" w:rsidTr="00337E9D">
        <w:tc>
          <w:tcPr>
            <w:tcW w:w="2736" w:type="dxa"/>
          </w:tcPr>
          <w:p w14:paraId="7BF8B397" w14:textId="77777777" w:rsidR="00337E9D" w:rsidRPr="00C33C0B" w:rsidRDefault="00235E50" w:rsidP="00337E9D">
            <w:pPr>
              <w:spacing w:before="20" w:after="20" w:line="240" w:lineRule="auto"/>
              <w:rPr>
                <w:rFonts w:cstheme="minorHAnsi"/>
                <w:sz w:val="18"/>
                <w:szCs w:val="18"/>
                <w:lang w:val="en-GB"/>
              </w:rPr>
            </w:pPr>
            <w:r w:rsidRPr="00C33C0B">
              <w:rPr>
                <w:rFonts w:cstheme="minorHAnsi"/>
                <w:sz w:val="18"/>
                <w:szCs w:val="18"/>
                <w:lang w:val="en-GB"/>
              </w:rPr>
              <w:t>Dr Andrew Singer</w:t>
            </w:r>
          </w:p>
        </w:tc>
        <w:tc>
          <w:tcPr>
            <w:tcW w:w="2849" w:type="dxa"/>
          </w:tcPr>
          <w:p w14:paraId="0F0EA6DD" w14:textId="77777777" w:rsidR="00BF1DDB" w:rsidRPr="00C33C0B" w:rsidRDefault="00235E50" w:rsidP="00DA7B48">
            <w:pPr>
              <w:pStyle w:val="Bullet-green"/>
              <w:numPr>
                <w:ilvl w:val="0"/>
                <w:numId w:val="0"/>
              </w:numPr>
              <w:spacing w:before="20" w:after="20" w:line="240" w:lineRule="auto"/>
              <w:rPr>
                <w:sz w:val="18"/>
                <w:szCs w:val="18"/>
                <w:lang w:val="en-GB"/>
              </w:rPr>
            </w:pPr>
            <w:r w:rsidRPr="00C33C0B">
              <w:rPr>
                <w:sz w:val="18"/>
                <w:szCs w:val="18"/>
                <w:lang w:val="en-GB"/>
              </w:rPr>
              <w:t xml:space="preserve">Principle Medical Adviser </w:t>
            </w:r>
            <w:r w:rsidR="00BF1DDB" w:rsidRPr="00C33C0B">
              <w:rPr>
                <w:sz w:val="18"/>
                <w:szCs w:val="18"/>
                <w:lang w:val="en-GB"/>
              </w:rPr>
              <w:t>in the Department of Health</w:t>
            </w:r>
            <w:r w:rsidR="00DA7B48">
              <w:rPr>
                <w:sz w:val="18"/>
                <w:szCs w:val="18"/>
                <w:lang w:val="en-GB"/>
              </w:rPr>
              <w:t xml:space="preserve">; </w:t>
            </w:r>
            <w:r w:rsidR="00BF1DDB" w:rsidRPr="00C33C0B">
              <w:rPr>
                <w:sz w:val="18"/>
                <w:szCs w:val="18"/>
                <w:lang w:val="en-GB"/>
              </w:rPr>
              <w:t>Adjunct Associate Professor in the Australian National University Medical School</w:t>
            </w:r>
            <w:r w:rsidR="00DA7B48">
              <w:rPr>
                <w:sz w:val="18"/>
                <w:szCs w:val="18"/>
                <w:lang w:val="en-GB"/>
              </w:rPr>
              <w:t>;</w:t>
            </w:r>
          </w:p>
          <w:p w14:paraId="40241B44" w14:textId="77777777" w:rsidR="00BF1DDB" w:rsidRPr="00C33C0B" w:rsidRDefault="00BF1DDB" w:rsidP="00DA7B48">
            <w:pPr>
              <w:pStyle w:val="Bullet-green"/>
              <w:numPr>
                <w:ilvl w:val="0"/>
                <w:numId w:val="0"/>
              </w:numPr>
              <w:spacing w:before="20" w:after="20" w:line="240" w:lineRule="auto"/>
              <w:rPr>
                <w:sz w:val="18"/>
                <w:szCs w:val="18"/>
                <w:lang w:val="en-GB"/>
              </w:rPr>
            </w:pPr>
            <w:r w:rsidRPr="00C33C0B">
              <w:rPr>
                <w:sz w:val="18"/>
                <w:szCs w:val="18"/>
                <w:lang w:val="en-GB"/>
              </w:rPr>
              <w:t xml:space="preserve">Emergency Medicine </w:t>
            </w:r>
            <w:r w:rsidR="0097261F">
              <w:rPr>
                <w:sz w:val="18"/>
                <w:szCs w:val="18"/>
                <w:lang w:val="en-GB"/>
              </w:rPr>
              <w:t>P</w:t>
            </w:r>
            <w:r w:rsidRPr="00C33C0B">
              <w:rPr>
                <w:sz w:val="18"/>
                <w:szCs w:val="18"/>
                <w:lang w:val="en-GB"/>
              </w:rPr>
              <w:t>hysician</w:t>
            </w:r>
          </w:p>
        </w:tc>
        <w:tc>
          <w:tcPr>
            <w:tcW w:w="2717" w:type="dxa"/>
          </w:tcPr>
          <w:p w14:paraId="4436D545" w14:textId="77777777" w:rsidR="00337E9D" w:rsidRPr="00C33C0B" w:rsidRDefault="00BF1DDB" w:rsidP="00DA7B48">
            <w:pPr>
              <w:pStyle w:val="Bullet-green"/>
              <w:numPr>
                <w:ilvl w:val="0"/>
                <w:numId w:val="0"/>
              </w:numPr>
              <w:spacing w:before="20" w:after="20" w:line="240" w:lineRule="auto"/>
              <w:rPr>
                <w:sz w:val="18"/>
                <w:szCs w:val="18"/>
                <w:lang w:val="en-GB"/>
              </w:rPr>
            </w:pPr>
            <w:r w:rsidRPr="00C33C0B">
              <w:rPr>
                <w:color w:val="222222"/>
                <w:sz w:val="18"/>
                <w:szCs w:val="18"/>
                <w:lang w:val="en-GB"/>
              </w:rPr>
              <w:t xml:space="preserve">Department of Health </w:t>
            </w:r>
            <w:r w:rsidR="00521625">
              <w:rPr>
                <w:color w:val="222222"/>
                <w:sz w:val="18"/>
                <w:szCs w:val="18"/>
                <w:lang w:val="en-GB"/>
              </w:rPr>
              <w:t>E</w:t>
            </w:r>
            <w:r w:rsidRPr="00C33C0B">
              <w:rPr>
                <w:color w:val="222222"/>
                <w:sz w:val="18"/>
                <w:szCs w:val="18"/>
                <w:lang w:val="en-GB"/>
              </w:rPr>
              <w:t>mployee</w:t>
            </w:r>
          </w:p>
        </w:tc>
      </w:tr>
    </w:tbl>
    <w:p w14:paraId="5B88663E" w14:textId="77777777" w:rsidR="00D16F8B" w:rsidRPr="00C33C0B" w:rsidRDefault="002355E9" w:rsidP="00D16F8B">
      <w:pPr>
        <w:pStyle w:val="Heading2"/>
        <w:numPr>
          <w:ilvl w:val="0"/>
          <w:numId w:val="0"/>
        </w:numPr>
        <w:rPr>
          <w:lang w:val="en-GB"/>
        </w:rPr>
      </w:pPr>
      <w:bookmarkStart w:id="283" w:name="_Toc24544770"/>
      <w:r>
        <w:rPr>
          <w:lang w:val="en-GB"/>
        </w:rPr>
        <w:t>Table C.</w:t>
      </w:r>
      <w:r w:rsidR="00F32D7B">
        <w:rPr>
          <w:lang w:val="en-GB"/>
        </w:rPr>
        <w:t xml:space="preserve">8: </w:t>
      </w:r>
      <w:r w:rsidR="00976FA2">
        <w:rPr>
          <w:lang w:val="en-GB"/>
        </w:rPr>
        <w:t>Fetal alcohol spectrum disorder and other complex neurodevelopmental disorders</w:t>
      </w:r>
      <w:bookmarkEnd w:id="28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C - Fetal alcohol spectrum disorder and other complex neurodevelopmental disorders working group membership"/>
        <w:tblDescription w:val="Table C.8 has 3 columns. Column 1 is the working group member. Column 2 is the member's position and/or organisation. Column 3 lists the member's declared conflicts of interests. "/>
      </w:tblPr>
      <w:tblGrid>
        <w:gridCol w:w="2732"/>
        <w:gridCol w:w="2855"/>
        <w:gridCol w:w="2715"/>
      </w:tblGrid>
      <w:tr w:rsidR="00D16F8B" w:rsidRPr="00C33C0B" w14:paraId="47876E04" w14:textId="77777777" w:rsidTr="00976FA2">
        <w:trPr>
          <w:tblHeader/>
        </w:trPr>
        <w:tc>
          <w:tcPr>
            <w:tcW w:w="2757" w:type="dxa"/>
            <w:shd w:val="clear" w:color="auto" w:fill="01653F"/>
            <w:vAlign w:val="bottom"/>
          </w:tcPr>
          <w:p w14:paraId="1AC737C3" w14:textId="77777777" w:rsidR="00D16F8B" w:rsidRPr="00C33C0B" w:rsidRDefault="00D16F8B" w:rsidP="00D16F8B">
            <w:pPr>
              <w:spacing w:before="20" w:after="20" w:line="240" w:lineRule="auto"/>
              <w:rPr>
                <w:rFonts w:cstheme="minorHAnsi"/>
                <w:color w:val="FFFFFF" w:themeColor="background1"/>
                <w:sz w:val="18"/>
                <w:szCs w:val="18"/>
                <w:lang w:val="en-GB"/>
              </w:rPr>
            </w:pPr>
            <w:r w:rsidRPr="00C33C0B">
              <w:rPr>
                <w:rFonts w:cstheme="minorHAnsi"/>
                <w:b/>
                <w:color w:val="FFFFFF" w:themeColor="background1"/>
                <w:sz w:val="18"/>
                <w:szCs w:val="18"/>
                <w:lang w:val="en-GB"/>
              </w:rPr>
              <w:t>Member</w:t>
            </w:r>
          </w:p>
        </w:tc>
        <w:tc>
          <w:tcPr>
            <w:tcW w:w="2872" w:type="dxa"/>
            <w:shd w:val="clear" w:color="auto" w:fill="01653F"/>
            <w:vAlign w:val="bottom"/>
          </w:tcPr>
          <w:p w14:paraId="67B2E225" w14:textId="77777777" w:rsidR="00D16F8B" w:rsidRPr="00C33C0B" w:rsidRDefault="00D16F8B" w:rsidP="00D16F8B">
            <w:pPr>
              <w:spacing w:before="20" w:after="20" w:line="240" w:lineRule="auto"/>
              <w:rPr>
                <w:rFonts w:cstheme="minorHAnsi"/>
                <w:color w:val="FFFFFF" w:themeColor="background1"/>
                <w:sz w:val="18"/>
                <w:szCs w:val="18"/>
                <w:lang w:val="en-GB"/>
              </w:rPr>
            </w:pPr>
            <w:r>
              <w:rPr>
                <w:rFonts w:cstheme="minorHAnsi"/>
                <w:b/>
                <w:color w:val="FFFFFF" w:themeColor="background1"/>
                <w:sz w:val="18"/>
                <w:szCs w:val="18"/>
                <w:lang w:val="en-GB"/>
              </w:rPr>
              <w:t>Position/organisation</w:t>
            </w:r>
          </w:p>
        </w:tc>
        <w:tc>
          <w:tcPr>
            <w:tcW w:w="2739" w:type="dxa"/>
            <w:shd w:val="clear" w:color="auto" w:fill="01653F"/>
            <w:vAlign w:val="bottom"/>
          </w:tcPr>
          <w:p w14:paraId="549A8905" w14:textId="77777777" w:rsidR="00D16F8B" w:rsidRPr="00C33C0B" w:rsidRDefault="00D16F8B" w:rsidP="00D16F8B">
            <w:pPr>
              <w:spacing w:before="20" w:after="20" w:line="240" w:lineRule="auto"/>
              <w:rPr>
                <w:rFonts w:cstheme="minorHAnsi"/>
                <w:color w:val="FFFFFF" w:themeColor="background1"/>
                <w:sz w:val="18"/>
                <w:szCs w:val="18"/>
                <w:lang w:val="en-GB"/>
              </w:rPr>
            </w:pPr>
            <w:r w:rsidRPr="00C33C0B">
              <w:rPr>
                <w:rFonts w:cstheme="minorHAnsi"/>
                <w:b/>
                <w:color w:val="FFFFFF" w:themeColor="background1"/>
                <w:sz w:val="18"/>
                <w:szCs w:val="18"/>
                <w:lang w:val="en-GB"/>
              </w:rPr>
              <w:t>Declared</w:t>
            </w:r>
            <w:r>
              <w:rPr>
                <w:rFonts w:cstheme="minorHAnsi"/>
                <w:b/>
                <w:color w:val="FFFFFF" w:themeColor="background1"/>
                <w:sz w:val="18"/>
                <w:szCs w:val="18"/>
                <w:lang w:val="en-GB"/>
              </w:rPr>
              <w:t xml:space="preserve"> conflicts of</w:t>
            </w:r>
            <w:r w:rsidRPr="00C33C0B">
              <w:rPr>
                <w:rFonts w:cstheme="minorHAnsi"/>
                <w:b/>
                <w:color w:val="FFFFFF" w:themeColor="background1"/>
                <w:sz w:val="18"/>
                <w:szCs w:val="18"/>
                <w:lang w:val="en-GB"/>
              </w:rPr>
              <w:t xml:space="preserve"> interest</w:t>
            </w:r>
          </w:p>
        </w:tc>
      </w:tr>
      <w:tr w:rsidR="00976FA2" w:rsidRPr="00C33C0B" w14:paraId="34BAA480" w14:textId="77777777" w:rsidTr="00976FA2">
        <w:tc>
          <w:tcPr>
            <w:tcW w:w="2757" w:type="dxa"/>
          </w:tcPr>
          <w:p w14:paraId="31946A31" w14:textId="77777777" w:rsidR="00976FA2" w:rsidRPr="00A66484" w:rsidRDefault="00976FA2" w:rsidP="00976FA2">
            <w:pPr>
              <w:spacing w:before="20" w:after="20" w:line="240" w:lineRule="auto"/>
              <w:rPr>
                <w:rFonts w:cstheme="minorHAnsi"/>
                <w:sz w:val="18"/>
                <w:szCs w:val="18"/>
                <w:lang w:val="en-GB"/>
              </w:rPr>
            </w:pPr>
            <w:r w:rsidRPr="00A66484">
              <w:rPr>
                <w:sz w:val="18"/>
                <w:szCs w:val="18"/>
                <w:lang w:val="en-GB"/>
              </w:rPr>
              <w:t>Prof. Anthony Lawler (Co-Chair)</w:t>
            </w:r>
          </w:p>
        </w:tc>
        <w:tc>
          <w:tcPr>
            <w:tcW w:w="2872" w:type="dxa"/>
          </w:tcPr>
          <w:p w14:paraId="25BAB25E" w14:textId="77777777" w:rsidR="00976FA2" w:rsidRPr="00A66484" w:rsidRDefault="00976FA2" w:rsidP="00976FA2">
            <w:pPr>
              <w:pStyle w:val="Bullet-green"/>
              <w:numPr>
                <w:ilvl w:val="0"/>
                <w:numId w:val="0"/>
              </w:numPr>
              <w:spacing w:before="20" w:after="20" w:line="240" w:lineRule="auto"/>
              <w:rPr>
                <w:sz w:val="18"/>
                <w:szCs w:val="18"/>
                <w:lang w:val="en-GB"/>
              </w:rPr>
            </w:pPr>
            <w:r w:rsidRPr="00A66484">
              <w:rPr>
                <w:sz w:val="18"/>
                <w:szCs w:val="18"/>
                <w:lang w:val="en-GB"/>
              </w:rPr>
              <w:t>Emergency Physician; Past President of the Australasian College for Emergency Medicine (ACEM); Chief Medical Officer in Tasmania</w:t>
            </w:r>
          </w:p>
        </w:tc>
        <w:tc>
          <w:tcPr>
            <w:tcW w:w="2739" w:type="dxa"/>
          </w:tcPr>
          <w:p w14:paraId="06598E74" w14:textId="77777777" w:rsidR="00976FA2" w:rsidRPr="00A66484" w:rsidRDefault="00976FA2" w:rsidP="00976FA2">
            <w:pPr>
              <w:pStyle w:val="Bullet-green"/>
              <w:numPr>
                <w:ilvl w:val="0"/>
                <w:numId w:val="0"/>
              </w:numPr>
              <w:spacing w:before="20" w:after="20" w:line="240" w:lineRule="auto"/>
              <w:rPr>
                <w:sz w:val="18"/>
                <w:szCs w:val="18"/>
                <w:lang w:val="en-GB"/>
              </w:rPr>
            </w:pPr>
            <w:r w:rsidRPr="00A66484">
              <w:rPr>
                <w:rFonts w:cstheme="minorHAnsi"/>
                <w:sz w:val="18"/>
                <w:szCs w:val="18"/>
                <w:lang w:val="en-GB"/>
              </w:rPr>
              <w:t>Board member of ACEM; Jurisdictional employee in Tasmania</w:t>
            </w:r>
          </w:p>
        </w:tc>
      </w:tr>
      <w:tr w:rsidR="002337EE" w:rsidRPr="00C33C0B" w14:paraId="64DCD060" w14:textId="77777777" w:rsidTr="00976FA2">
        <w:tc>
          <w:tcPr>
            <w:tcW w:w="2757" w:type="dxa"/>
          </w:tcPr>
          <w:p w14:paraId="77458A5A" w14:textId="77777777" w:rsidR="002337EE" w:rsidRPr="002337EE" w:rsidRDefault="002337EE" w:rsidP="002337EE">
            <w:pPr>
              <w:spacing w:before="20" w:after="20" w:line="240" w:lineRule="auto"/>
              <w:rPr>
                <w:rFonts w:cstheme="minorHAnsi"/>
                <w:sz w:val="18"/>
                <w:szCs w:val="18"/>
                <w:lang w:val="en-GB"/>
              </w:rPr>
            </w:pPr>
            <w:r w:rsidRPr="002337EE">
              <w:rPr>
                <w:sz w:val="18"/>
                <w:szCs w:val="18"/>
                <w:lang w:val="en-GB"/>
              </w:rPr>
              <w:t xml:space="preserve">Dr </w:t>
            </w:r>
            <w:r w:rsidR="00885661">
              <w:rPr>
                <w:sz w:val="18"/>
                <w:szCs w:val="18"/>
                <w:lang w:val="en-GB"/>
              </w:rPr>
              <w:t>Philip Truskett AM (</w:t>
            </w:r>
            <w:r w:rsidRPr="002337EE">
              <w:rPr>
                <w:sz w:val="18"/>
                <w:szCs w:val="18"/>
                <w:lang w:val="en-GB"/>
              </w:rPr>
              <w:t>Co-Chair)</w:t>
            </w:r>
          </w:p>
        </w:tc>
        <w:tc>
          <w:tcPr>
            <w:tcW w:w="2872" w:type="dxa"/>
          </w:tcPr>
          <w:p w14:paraId="41D9A651" w14:textId="77777777" w:rsidR="002337EE" w:rsidRPr="002337EE" w:rsidRDefault="002337EE" w:rsidP="002337EE">
            <w:pPr>
              <w:pStyle w:val="Bullet-green"/>
              <w:numPr>
                <w:ilvl w:val="0"/>
                <w:numId w:val="0"/>
              </w:numPr>
              <w:spacing w:before="20" w:after="20" w:line="240" w:lineRule="auto"/>
              <w:rPr>
                <w:sz w:val="18"/>
                <w:szCs w:val="18"/>
                <w:lang w:val="en-GB"/>
              </w:rPr>
            </w:pPr>
            <w:r w:rsidRPr="002337EE">
              <w:rPr>
                <w:sz w:val="18"/>
                <w:szCs w:val="18"/>
                <w:lang w:val="en-GB"/>
              </w:rPr>
              <w:t>General Surgeon at the Prince of Wales Hospital, Sydney</w:t>
            </w:r>
          </w:p>
        </w:tc>
        <w:tc>
          <w:tcPr>
            <w:tcW w:w="2739" w:type="dxa"/>
          </w:tcPr>
          <w:p w14:paraId="55CE4292" w14:textId="77777777" w:rsidR="002337EE" w:rsidRPr="002337EE" w:rsidRDefault="002337EE" w:rsidP="002337EE">
            <w:pPr>
              <w:pStyle w:val="Bullet-green"/>
              <w:numPr>
                <w:ilvl w:val="0"/>
                <w:numId w:val="0"/>
              </w:numPr>
              <w:spacing w:before="20" w:after="20" w:line="240" w:lineRule="auto"/>
              <w:rPr>
                <w:sz w:val="18"/>
                <w:szCs w:val="18"/>
                <w:lang w:val="en-GB"/>
              </w:rPr>
            </w:pPr>
            <w:r w:rsidRPr="002337EE">
              <w:rPr>
                <w:sz w:val="18"/>
                <w:szCs w:val="18"/>
                <w:lang w:val="en-GB"/>
              </w:rPr>
              <w:t>None</w:t>
            </w:r>
          </w:p>
        </w:tc>
      </w:tr>
      <w:tr w:rsidR="002337EE" w:rsidRPr="00C33C0B" w14:paraId="6A7F41CF" w14:textId="77777777" w:rsidTr="00976FA2">
        <w:tc>
          <w:tcPr>
            <w:tcW w:w="2757" w:type="dxa"/>
          </w:tcPr>
          <w:p w14:paraId="0632DDF4" w14:textId="77777777" w:rsidR="002337EE" w:rsidRPr="00A66484" w:rsidRDefault="002337EE" w:rsidP="00A66484">
            <w:pPr>
              <w:spacing w:before="20" w:after="20" w:line="240" w:lineRule="auto"/>
              <w:rPr>
                <w:rFonts w:cstheme="minorHAnsi"/>
                <w:sz w:val="18"/>
                <w:szCs w:val="18"/>
                <w:lang w:val="en-GB"/>
              </w:rPr>
            </w:pPr>
            <w:r w:rsidRPr="00A66484">
              <w:rPr>
                <w:rFonts w:cstheme="minorHAnsi"/>
                <w:sz w:val="18"/>
                <w:szCs w:val="18"/>
                <w:lang w:val="en-GB"/>
              </w:rPr>
              <w:t>Prof. Malcolm Hopwood</w:t>
            </w:r>
            <w:r>
              <w:rPr>
                <w:rFonts w:cstheme="minorHAnsi"/>
                <w:sz w:val="18"/>
                <w:szCs w:val="18"/>
                <w:lang w:val="en-GB"/>
              </w:rPr>
              <w:t xml:space="preserve"> (Chair of Psychiatry Clinical Committee)</w:t>
            </w:r>
          </w:p>
        </w:tc>
        <w:tc>
          <w:tcPr>
            <w:tcW w:w="2872" w:type="dxa"/>
          </w:tcPr>
          <w:p w14:paraId="68797C68" w14:textId="77777777" w:rsidR="002337EE" w:rsidRPr="00A66484" w:rsidRDefault="002337EE" w:rsidP="00A66484">
            <w:pPr>
              <w:pStyle w:val="Bullet-green"/>
              <w:numPr>
                <w:ilvl w:val="0"/>
                <w:numId w:val="0"/>
              </w:numPr>
              <w:spacing w:before="20" w:after="20" w:line="240" w:lineRule="auto"/>
              <w:rPr>
                <w:sz w:val="18"/>
                <w:szCs w:val="18"/>
                <w:lang w:val="en-GB"/>
              </w:rPr>
            </w:pPr>
            <w:r w:rsidRPr="00B75BD4">
              <w:rPr>
                <w:sz w:val="18"/>
                <w:szCs w:val="18"/>
                <w:lang w:val="en-GB"/>
              </w:rPr>
              <w:t>Professor of Psychiatry, Ramsay Health Care; Member of the Board of the Sumner Foundation; Member of the Board of Phoenix Australia</w:t>
            </w:r>
          </w:p>
        </w:tc>
        <w:tc>
          <w:tcPr>
            <w:tcW w:w="2739" w:type="dxa"/>
          </w:tcPr>
          <w:p w14:paraId="17A6866A" w14:textId="77777777" w:rsidR="002337EE" w:rsidRPr="00A66484" w:rsidRDefault="002337EE" w:rsidP="00A66484">
            <w:pPr>
              <w:pStyle w:val="Bullet-green"/>
              <w:numPr>
                <w:ilvl w:val="0"/>
                <w:numId w:val="0"/>
              </w:numPr>
              <w:spacing w:before="20" w:after="20" w:line="240" w:lineRule="auto"/>
              <w:rPr>
                <w:sz w:val="18"/>
                <w:szCs w:val="18"/>
                <w:lang w:val="en-GB"/>
              </w:rPr>
            </w:pPr>
            <w:r>
              <w:rPr>
                <w:sz w:val="18"/>
                <w:szCs w:val="18"/>
                <w:lang w:val="en-GB"/>
              </w:rPr>
              <w:t>None</w:t>
            </w:r>
          </w:p>
        </w:tc>
      </w:tr>
      <w:tr w:rsidR="00A66484" w:rsidRPr="00C33C0B" w14:paraId="68CD6103" w14:textId="77777777" w:rsidTr="00976FA2">
        <w:tc>
          <w:tcPr>
            <w:tcW w:w="2757" w:type="dxa"/>
          </w:tcPr>
          <w:p w14:paraId="2F0C8FF8" w14:textId="77777777" w:rsidR="00A66484" w:rsidRPr="00A66484" w:rsidRDefault="00A66484" w:rsidP="00A66484">
            <w:pPr>
              <w:spacing w:before="20" w:after="0" w:line="240" w:lineRule="auto"/>
              <w:rPr>
                <w:sz w:val="18"/>
                <w:szCs w:val="18"/>
                <w:lang w:val="en-GB"/>
              </w:rPr>
            </w:pPr>
            <w:r w:rsidRPr="00A66484">
              <w:rPr>
                <w:sz w:val="18"/>
                <w:szCs w:val="18"/>
                <w:lang w:val="en-GB"/>
              </w:rPr>
              <w:t>Prof. Elizabeth Elliott</w:t>
            </w:r>
          </w:p>
          <w:p w14:paraId="0FFBFAE8" w14:textId="77777777" w:rsidR="00A66484" w:rsidRPr="00A66484" w:rsidRDefault="00A66484" w:rsidP="00A66484">
            <w:pPr>
              <w:spacing w:before="20" w:after="20" w:line="240" w:lineRule="auto"/>
              <w:rPr>
                <w:rFonts w:cstheme="minorHAnsi"/>
                <w:sz w:val="18"/>
                <w:szCs w:val="18"/>
                <w:lang w:val="en-GB"/>
              </w:rPr>
            </w:pPr>
          </w:p>
        </w:tc>
        <w:tc>
          <w:tcPr>
            <w:tcW w:w="2872" w:type="dxa"/>
          </w:tcPr>
          <w:p w14:paraId="50D559A4" w14:textId="77777777" w:rsidR="00A66484" w:rsidRPr="00A66484" w:rsidRDefault="00A66484" w:rsidP="00A66484">
            <w:pPr>
              <w:pStyle w:val="Bullet-green"/>
              <w:numPr>
                <w:ilvl w:val="0"/>
                <w:numId w:val="0"/>
              </w:numPr>
              <w:spacing w:before="20" w:after="20" w:line="240" w:lineRule="auto"/>
              <w:rPr>
                <w:sz w:val="18"/>
                <w:szCs w:val="18"/>
                <w:lang w:val="en-GB"/>
              </w:rPr>
            </w:pPr>
            <w:r w:rsidRPr="00A66484">
              <w:rPr>
                <w:sz w:val="18"/>
                <w:szCs w:val="18"/>
                <w:lang w:val="en-GB"/>
              </w:rPr>
              <w:t>Clinical Academic at the University of Sydney; Consultant Paediatrician Sydney Children’s Hospital Network (Westmead); Recent research focus on fetal alcohol spectrum disorders</w:t>
            </w:r>
          </w:p>
        </w:tc>
        <w:tc>
          <w:tcPr>
            <w:tcW w:w="2739" w:type="dxa"/>
          </w:tcPr>
          <w:p w14:paraId="23DCCDBC" w14:textId="77777777" w:rsidR="00A66484" w:rsidRPr="00A66484" w:rsidRDefault="00A66484" w:rsidP="00A66484">
            <w:pPr>
              <w:pStyle w:val="Bullet-green"/>
              <w:numPr>
                <w:ilvl w:val="0"/>
                <w:numId w:val="0"/>
              </w:numPr>
              <w:spacing w:before="20" w:after="20" w:line="240" w:lineRule="auto"/>
              <w:rPr>
                <w:sz w:val="18"/>
                <w:szCs w:val="18"/>
                <w:lang w:val="en-GB"/>
              </w:rPr>
            </w:pPr>
            <w:r w:rsidRPr="00A66484">
              <w:rPr>
                <w:rFonts w:cstheme="minorHAnsi"/>
                <w:sz w:val="18"/>
                <w:szCs w:val="18"/>
                <w:lang w:val="en-GB"/>
              </w:rPr>
              <w:t>None</w:t>
            </w:r>
          </w:p>
        </w:tc>
      </w:tr>
      <w:tr w:rsidR="00B75BD4" w:rsidRPr="00C33C0B" w14:paraId="338DFCF0" w14:textId="77777777" w:rsidTr="00976FA2">
        <w:tc>
          <w:tcPr>
            <w:tcW w:w="2757" w:type="dxa"/>
          </w:tcPr>
          <w:p w14:paraId="2A0FA761" w14:textId="77777777" w:rsidR="00B75BD4" w:rsidRPr="00A66484" w:rsidRDefault="00B75BD4" w:rsidP="00A66484">
            <w:pPr>
              <w:spacing w:before="20" w:after="20" w:line="240" w:lineRule="auto"/>
              <w:rPr>
                <w:rFonts w:cstheme="minorHAnsi"/>
                <w:sz w:val="18"/>
                <w:szCs w:val="18"/>
                <w:lang w:val="en-GB"/>
              </w:rPr>
            </w:pPr>
            <w:r w:rsidRPr="00B75BD4">
              <w:rPr>
                <w:rFonts w:cstheme="minorHAnsi"/>
                <w:sz w:val="18"/>
                <w:szCs w:val="18"/>
                <w:lang w:val="en-GB"/>
              </w:rPr>
              <w:t>Dr James Oldham</w:t>
            </w:r>
            <w:r w:rsidR="002337EE">
              <w:rPr>
                <w:rFonts w:cstheme="minorHAnsi"/>
                <w:sz w:val="18"/>
                <w:szCs w:val="18"/>
                <w:lang w:val="en-GB"/>
              </w:rPr>
              <w:t xml:space="preserve"> (Member of Psychiatry Clinical Committee)</w:t>
            </w:r>
          </w:p>
        </w:tc>
        <w:tc>
          <w:tcPr>
            <w:tcW w:w="2872" w:type="dxa"/>
          </w:tcPr>
          <w:p w14:paraId="3594EE4F" w14:textId="77777777" w:rsidR="00B75BD4" w:rsidRPr="00B75BD4" w:rsidRDefault="002337EE" w:rsidP="00A66484">
            <w:pPr>
              <w:pStyle w:val="Bullet-green"/>
              <w:numPr>
                <w:ilvl w:val="0"/>
                <w:numId w:val="0"/>
              </w:numPr>
              <w:spacing w:before="20" w:after="20" w:line="240" w:lineRule="auto"/>
              <w:rPr>
                <w:sz w:val="18"/>
                <w:szCs w:val="18"/>
                <w:lang w:val="en-GB"/>
              </w:rPr>
            </w:pPr>
            <w:r w:rsidRPr="002337EE">
              <w:rPr>
                <w:sz w:val="18"/>
                <w:szCs w:val="18"/>
                <w:lang w:val="en-GB"/>
              </w:rPr>
              <w:t>Senior Staff Specialist Psychiatrist, Child and Mental Health Services, Adolescent Inpatient Service &amp; Adolescent Day Unit, Shellharbour Hospital</w:t>
            </w:r>
          </w:p>
        </w:tc>
        <w:tc>
          <w:tcPr>
            <w:tcW w:w="2739" w:type="dxa"/>
          </w:tcPr>
          <w:p w14:paraId="2D871DC6" w14:textId="77777777" w:rsidR="00B75BD4" w:rsidRPr="00A66484" w:rsidRDefault="002337EE" w:rsidP="00A66484">
            <w:pPr>
              <w:pStyle w:val="Bullet-green"/>
              <w:numPr>
                <w:ilvl w:val="0"/>
                <w:numId w:val="0"/>
              </w:numPr>
              <w:spacing w:before="20" w:after="20" w:line="240" w:lineRule="auto"/>
              <w:rPr>
                <w:sz w:val="18"/>
                <w:szCs w:val="18"/>
                <w:lang w:val="en-GB"/>
              </w:rPr>
            </w:pPr>
            <w:r>
              <w:rPr>
                <w:sz w:val="18"/>
                <w:szCs w:val="18"/>
                <w:lang w:val="en-GB"/>
              </w:rPr>
              <w:t>None</w:t>
            </w:r>
          </w:p>
        </w:tc>
      </w:tr>
      <w:tr w:rsidR="00DE2B4E" w:rsidRPr="00C33C0B" w14:paraId="2A8C19A7" w14:textId="77777777" w:rsidTr="00976FA2">
        <w:tc>
          <w:tcPr>
            <w:tcW w:w="2757" w:type="dxa"/>
          </w:tcPr>
          <w:p w14:paraId="692D4C04" w14:textId="77777777" w:rsidR="00A95950" w:rsidRPr="00885661" w:rsidRDefault="00A95950" w:rsidP="00885661">
            <w:pPr>
              <w:spacing w:before="20" w:after="0" w:line="240" w:lineRule="auto"/>
              <w:rPr>
                <w:sz w:val="18"/>
                <w:szCs w:val="18"/>
                <w:lang w:val="en-GB"/>
              </w:rPr>
            </w:pPr>
            <w:r w:rsidRPr="00885661">
              <w:rPr>
                <w:sz w:val="18"/>
                <w:szCs w:val="18"/>
                <w:lang w:val="en-GB"/>
              </w:rPr>
              <w:t>A/Professor Beth Kotze (Member of Psychiatry Clinical Committee)</w:t>
            </w:r>
          </w:p>
          <w:p w14:paraId="09CA2493" w14:textId="77777777" w:rsidR="00DE2B4E" w:rsidRPr="00885661" w:rsidRDefault="00DE2B4E" w:rsidP="00885661">
            <w:pPr>
              <w:spacing w:before="20" w:after="0" w:line="240" w:lineRule="auto"/>
              <w:rPr>
                <w:sz w:val="18"/>
                <w:szCs w:val="18"/>
                <w:lang w:val="en-GB"/>
              </w:rPr>
            </w:pPr>
          </w:p>
        </w:tc>
        <w:tc>
          <w:tcPr>
            <w:tcW w:w="2872" w:type="dxa"/>
          </w:tcPr>
          <w:p w14:paraId="2AE9DD31" w14:textId="77777777" w:rsidR="00DE2B4E" w:rsidRPr="002337EE" w:rsidRDefault="00885661" w:rsidP="00885661">
            <w:pPr>
              <w:pStyle w:val="Bullet-green"/>
              <w:numPr>
                <w:ilvl w:val="0"/>
                <w:numId w:val="0"/>
              </w:numPr>
              <w:spacing w:before="20" w:after="0" w:line="240" w:lineRule="auto"/>
              <w:rPr>
                <w:sz w:val="18"/>
                <w:szCs w:val="18"/>
                <w:lang w:val="en-GB"/>
              </w:rPr>
            </w:pPr>
            <w:r w:rsidRPr="00885661">
              <w:rPr>
                <w:sz w:val="18"/>
                <w:szCs w:val="18"/>
                <w:lang w:val="en-GB"/>
              </w:rPr>
              <w:t>Executive Director Mental Health, Western Sydney Local Health District</w:t>
            </w:r>
          </w:p>
        </w:tc>
        <w:tc>
          <w:tcPr>
            <w:tcW w:w="2739" w:type="dxa"/>
          </w:tcPr>
          <w:p w14:paraId="68D766B5" w14:textId="77777777" w:rsidR="00DE2B4E" w:rsidRDefault="005051F0" w:rsidP="00885661">
            <w:pPr>
              <w:pStyle w:val="Bullet-green"/>
              <w:numPr>
                <w:ilvl w:val="0"/>
                <w:numId w:val="0"/>
              </w:numPr>
              <w:spacing w:before="20" w:after="0" w:line="240" w:lineRule="auto"/>
              <w:rPr>
                <w:sz w:val="18"/>
                <w:szCs w:val="18"/>
                <w:lang w:val="en-GB"/>
              </w:rPr>
            </w:pPr>
            <w:r>
              <w:rPr>
                <w:sz w:val="18"/>
                <w:szCs w:val="18"/>
                <w:lang w:val="en-GB"/>
              </w:rPr>
              <w:t>None</w:t>
            </w:r>
          </w:p>
        </w:tc>
      </w:tr>
      <w:tr w:rsidR="00885661" w:rsidRPr="00C33C0B" w14:paraId="701F69B8" w14:textId="77777777" w:rsidTr="00976FA2">
        <w:tc>
          <w:tcPr>
            <w:tcW w:w="2757" w:type="dxa"/>
          </w:tcPr>
          <w:p w14:paraId="5BC0E4B9" w14:textId="77777777" w:rsidR="00885661" w:rsidRPr="00885661" w:rsidRDefault="00885661" w:rsidP="00885661">
            <w:pPr>
              <w:spacing w:before="20" w:after="0" w:line="240" w:lineRule="auto"/>
              <w:rPr>
                <w:sz w:val="18"/>
                <w:szCs w:val="18"/>
                <w:lang w:val="en-GB"/>
              </w:rPr>
            </w:pPr>
            <w:r w:rsidRPr="00885661">
              <w:rPr>
                <w:sz w:val="18"/>
                <w:szCs w:val="18"/>
                <w:lang w:val="en-GB"/>
              </w:rPr>
              <w:t>Dr Peter Jenkins (Member of Psychiatry Clinical Committee)</w:t>
            </w:r>
          </w:p>
        </w:tc>
        <w:tc>
          <w:tcPr>
            <w:tcW w:w="2872" w:type="dxa"/>
          </w:tcPr>
          <w:p w14:paraId="12136ADF" w14:textId="77777777" w:rsidR="00885661" w:rsidRPr="00885661" w:rsidRDefault="00885661" w:rsidP="00885661">
            <w:pPr>
              <w:spacing w:before="20" w:after="0" w:line="240" w:lineRule="auto"/>
              <w:rPr>
                <w:sz w:val="18"/>
                <w:szCs w:val="18"/>
                <w:lang w:val="en-GB"/>
              </w:rPr>
            </w:pPr>
            <w:r w:rsidRPr="00885661">
              <w:rPr>
                <w:sz w:val="18"/>
                <w:szCs w:val="18"/>
                <w:lang w:val="en-GB"/>
              </w:rPr>
              <w:t>Psychiatrist</w:t>
            </w:r>
          </w:p>
        </w:tc>
        <w:tc>
          <w:tcPr>
            <w:tcW w:w="2739" w:type="dxa"/>
          </w:tcPr>
          <w:p w14:paraId="0DF7A270" w14:textId="77777777" w:rsidR="00885661" w:rsidRDefault="00885661" w:rsidP="00885661">
            <w:pPr>
              <w:pStyle w:val="Bullet-green"/>
              <w:numPr>
                <w:ilvl w:val="0"/>
                <w:numId w:val="0"/>
              </w:numPr>
              <w:spacing w:before="20" w:after="0" w:line="240" w:lineRule="auto"/>
              <w:rPr>
                <w:sz w:val="18"/>
                <w:szCs w:val="18"/>
                <w:lang w:val="en-GB"/>
              </w:rPr>
            </w:pPr>
            <w:r w:rsidRPr="00885661">
              <w:rPr>
                <w:sz w:val="18"/>
                <w:szCs w:val="18"/>
                <w:lang w:val="en-GB"/>
              </w:rPr>
              <w:t>Board Director of RANZCP; Chair of the MBS Review Working Group of RANZCP</w:t>
            </w:r>
          </w:p>
        </w:tc>
      </w:tr>
    </w:tbl>
    <w:p w14:paraId="0027992E" w14:textId="77777777" w:rsidR="00D16F8B" w:rsidRPr="00C33C0B" w:rsidRDefault="00D16F8B">
      <w:pPr>
        <w:spacing w:before="0" w:after="0" w:line="240" w:lineRule="auto"/>
        <w:rPr>
          <w:lang w:val="en-GB"/>
        </w:rPr>
      </w:pPr>
    </w:p>
    <w:p w14:paraId="0A2C2B64" w14:textId="77777777" w:rsidR="00C70F2D" w:rsidRDefault="00235E50">
      <w:pPr>
        <w:spacing w:before="0" w:after="0" w:line="240" w:lineRule="auto"/>
        <w:rPr>
          <w:rFonts w:cs="Arial"/>
          <w:b/>
          <w:color w:val="01653F"/>
          <w:sz w:val="32"/>
          <w:lang w:val="en-GB" w:eastAsia="en-US"/>
        </w:rPr>
      </w:pPr>
      <w:bookmarkStart w:id="284" w:name="_Toc521442227"/>
      <w:r w:rsidRPr="00C33C0B">
        <w:rPr>
          <w:lang w:val="en-GB"/>
        </w:rPr>
        <w:br w:type="page"/>
      </w:r>
      <w:bookmarkEnd w:id="284"/>
    </w:p>
    <w:p w14:paraId="5B895F37" w14:textId="77777777" w:rsidR="00313E1E" w:rsidRPr="0086743C" w:rsidRDefault="00313E1E" w:rsidP="00313E1E">
      <w:pPr>
        <w:pStyle w:val="AppendixStyle1"/>
      </w:pPr>
      <w:bookmarkStart w:id="285" w:name="_Toc522617046"/>
      <w:bookmarkStart w:id="286" w:name="_Toc24544771"/>
      <w:r w:rsidRPr="0086743C">
        <w:t>Summary for consumers</w:t>
      </w:r>
      <w:bookmarkEnd w:id="285"/>
      <w:bookmarkEnd w:id="286"/>
    </w:p>
    <w:p w14:paraId="40169890" w14:textId="77777777" w:rsidR="00313E1E" w:rsidRDefault="00313E1E" w:rsidP="00313E1E">
      <w:r>
        <w:t xml:space="preserve">This table describes the medical service, the recommendation(s) of the </w:t>
      </w:r>
      <w:r w:rsidR="00DB4B6E">
        <w:t xml:space="preserve">Committee </w:t>
      </w:r>
      <w:r>
        <w:t>and why the recommendation(s) has been made.</w:t>
      </w:r>
    </w:p>
    <w:p w14:paraId="3DE7A3D4" w14:textId="77777777" w:rsidR="00313E1E" w:rsidRDefault="00313E1E" w:rsidP="00313E1E"/>
    <w:p w14:paraId="7A84DBD8" w14:textId="77777777" w:rsidR="00313E1E" w:rsidRPr="00C33C0B" w:rsidRDefault="002355E9" w:rsidP="00313E1E">
      <w:pPr>
        <w:pStyle w:val="Heading2"/>
        <w:numPr>
          <w:ilvl w:val="0"/>
          <w:numId w:val="0"/>
        </w:numPr>
        <w:rPr>
          <w:lang w:val="en-GB"/>
        </w:rPr>
      </w:pPr>
      <w:bookmarkStart w:id="287" w:name="_Toc24544772"/>
      <w:r>
        <w:rPr>
          <w:lang w:val="en-GB"/>
        </w:rPr>
        <w:t xml:space="preserve">Table </w:t>
      </w:r>
      <w:r w:rsidR="00C52816">
        <w:rPr>
          <w:lang w:val="en-GB"/>
        </w:rPr>
        <w:t>D</w:t>
      </w:r>
      <w:r w:rsidR="00313E1E" w:rsidRPr="00C33C0B">
        <w:rPr>
          <w:lang w:val="en-GB"/>
        </w:rPr>
        <w:t>.1. Standard attendance items</w:t>
      </w:r>
      <w:bookmarkEnd w:id="287"/>
    </w:p>
    <w:tbl>
      <w:tblPr>
        <w:tblStyle w:val="TableGrid"/>
        <w:tblW w:w="5632"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Appendix D - Standard attendance items summary for consumers"/>
        <w:tblDescription w:val="Table D.1 is a 5 column table. Column 1 is the item number. Column 2 describes what the item does. Column 3 is the committee's recommendation. Column 4 describes what would be different about the item. Column 5 describes why it would be different. "/>
      </w:tblPr>
      <w:tblGrid>
        <w:gridCol w:w="1286"/>
        <w:gridCol w:w="2962"/>
        <w:gridCol w:w="1277"/>
        <w:gridCol w:w="1003"/>
        <w:gridCol w:w="2823"/>
      </w:tblGrid>
      <w:tr w:rsidR="00313E1E" w:rsidRPr="00C33C0B" w14:paraId="331295BA" w14:textId="77777777" w:rsidTr="00313E1E">
        <w:trPr>
          <w:tblHeader/>
        </w:trPr>
        <w:tc>
          <w:tcPr>
            <w:tcW w:w="1286" w:type="dxa"/>
            <w:shd w:val="clear" w:color="auto" w:fill="E36C0A" w:themeFill="accent6" w:themeFillShade="BF"/>
            <w:vAlign w:val="bottom"/>
            <w:hideMark/>
          </w:tcPr>
          <w:p w14:paraId="55F2F9E2" w14:textId="77777777" w:rsidR="00313E1E" w:rsidRPr="00C33C0B" w:rsidRDefault="00313E1E" w:rsidP="00313E1E">
            <w:pPr>
              <w:spacing w:before="20" w:after="20" w:line="240" w:lineRule="auto"/>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 xml:space="preserve">Item </w:t>
            </w:r>
          </w:p>
        </w:tc>
        <w:tc>
          <w:tcPr>
            <w:tcW w:w="2962" w:type="dxa"/>
            <w:shd w:val="clear" w:color="auto" w:fill="E36C0A" w:themeFill="accent6" w:themeFillShade="BF"/>
            <w:vAlign w:val="bottom"/>
            <w:hideMark/>
          </w:tcPr>
          <w:p w14:paraId="65693C39" w14:textId="77777777" w:rsidR="00313E1E" w:rsidRPr="00C33C0B" w:rsidRDefault="00313E1E" w:rsidP="00313E1E">
            <w:pPr>
              <w:spacing w:before="20" w:after="20" w:line="240" w:lineRule="auto"/>
              <w:rPr>
                <w:rFonts w:ascii="Calibri" w:hAnsi="Calibri" w:cs="Calibri"/>
                <w:b/>
                <w:color w:val="FFFFFF" w:themeColor="background1"/>
                <w:sz w:val="17"/>
                <w:szCs w:val="17"/>
                <w:lang w:val="en-GB"/>
              </w:rPr>
            </w:pPr>
            <w:r>
              <w:rPr>
                <w:rFonts w:ascii="Calibri" w:hAnsi="Calibri" w:cs="Calibri"/>
                <w:b/>
                <w:color w:val="FFFFFF" w:themeColor="background1"/>
                <w:sz w:val="17"/>
                <w:szCs w:val="17"/>
                <w:lang w:val="en-GB"/>
              </w:rPr>
              <w:t>What it does</w:t>
            </w:r>
          </w:p>
        </w:tc>
        <w:tc>
          <w:tcPr>
            <w:tcW w:w="1277" w:type="dxa"/>
            <w:shd w:val="clear" w:color="auto" w:fill="E36C0A" w:themeFill="accent6" w:themeFillShade="BF"/>
            <w:vAlign w:val="bottom"/>
            <w:hideMark/>
          </w:tcPr>
          <w:p w14:paraId="113850D8" w14:textId="77777777" w:rsidR="00313E1E" w:rsidRPr="00C33C0B" w:rsidRDefault="00313E1E" w:rsidP="00313E1E">
            <w:pPr>
              <w:spacing w:before="20" w:after="20" w:line="240" w:lineRule="auto"/>
              <w:rPr>
                <w:rFonts w:ascii="Calibri" w:hAnsi="Calibri" w:cs="Calibri"/>
                <w:b/>
                <w:color w:val="FFFFFF" w:themeColor="background1"/>
                <w:sz w:val="17"/>
                <w:szCs w:val="17"/>
                <w:lang w:val="en-GB"/>
              </w:rPr>
            </w:pPr>
            <w:r>
              <w:rPr>
                <w:rFonts w:ascii="Calibri" w:hAnsi="Calibri" w:cs="Calibri"/>
                <w:b/>
                <w:color w:val="FFFFFF" w:themeColor="background1"/>
                <w:sz w:val="17"/>
                <w:szCs w:val="17"/>
                <w:lang w:val="en-GB"/>
              </w:rPr>
              <w:t>Committee recommendation</w:t>
            </w:r>
          </w:p>
        </w:tc>
        <w:tc>
          <w:tcPr>
            <w:tcW w:w="1003" w:type="dxa"/>
            <w:shd w:val="clear" w:color="auto" w:fill="E36C0A" w:themeFill="accent6" w:themeFillShade="BF"/>
            <w:vAlign w:val="bottom"/>
            <w:hideMark/>
          </w:tcPr>
          <w:p w14:paraId="388224CB" w14:textId="77777777" w:rsidR="00313E1E" w:rsidRPr="00C33C0B" w:rsidRDefault="00313E1E" w:rsidP="00313E1E">
            <w:pPr>
              <w:spacing w:before="20" w:after="20" w:line="240" w:lineRule="auto"/>
              <w:rPr>
                <w:rFonts w:ascii="Calibri" w:hAnsi="Calibri" w:cs="Calibri"/>
                <w:b/>
                <w:color w:val="FFFFFF" w:themeColor="background1"/>
                <w:sz w:val="17"/>
                <w:szCs w:val="17"/>
                <w:lang w:val="en-GB"/>
              </w:rPr>
            </w:pPr>
            <w:r>
              <w:rPr>
                <w:rFonts w:ascii="Calibri" w:hAnsi="Calibri" w:cs="Calibri"/>
                <w:b/>
                <w:color w:val="FFFFFF" w:themeColor="background1"/>
                <w:sz w:val="17"/>
                <w:szCs w:val="17"/>
                <w:lang w:val="en-GB"/>
              </w:rPr>
              <w:t>What would be different</w:t>
            </w:r>
          </w:p>
        </w:tc>
        <w:tc>
          <w:tcPr>
            <w:tcW w:w="2823" w:type="dxa"/>
            <w:shd w:val="clear" w:color="auto" w:fill="E36C0A" w:themeFill="accent6" w:themeFillShade="BF"/>
            <w:vAlign w:val="bottom"/>
            <w:hideMark/>
          </w:tcPr>
          <w:p w14:paraId="73CA4DAB" w14:textId="77777777" w:rsidR="00313E1E" w:rsidRPr="00C33C0B" w:rsidRDefault="00313E1E" w:rsidP="00313E1E">
            <w:pPr>
              <w:spacing w:before="20" w:after="20" w:line="240" w:lineRule="auto"/>
              <w:rPr>
                <w:rFonts w:ascii="Calibri" w:hAnsi="Calibri" w:cs="Calibri"/>
                <w:b/>
                <w:color w:val="FFFFFF" w:themeColor="background1"/>
                <w:sz w:val="17"/>
                <w:szCs w:val="17"/>
                <w:lang w:val="en-GB"/>
              </w:rPr>
            </w:pPr>
            <w:r>
              <w:rPr>
                <w:rFonts w:ascii="Calibri" w:hAnsi="Calibri" w:cs="Calibri"/>
                <w:b/>
                <w:color w:val="FFFFFF" w:themeColor="background1"/>
                <w:sz w:val="17"/>
                <w:szCs w:val="17"/>
                <w:lang w:val="en-GB"/>
              </w:rPr>
              <w:t xml:space="preserve">Why </w:t>
            </w:r>
          </w:p>
        </w:tc>
      </w:tr>
      <w:tr w:rsidR="00313E1E" w:rsidRPr="00C33C0B" w14:paraId="4E2BF955" w14:textId="77777777" w:rsidTr="00313E1E">
        <w:tc>
          <w:tcPr>
            <w:tcW w:w="1286" w:type="dxa"/>
            <w:shd w:val="clear" w:color="auto" w:fill="auto"/>
            <w:noWrap/>
            <w:hideMark/>
          </w:tcPr>
          <w:p w14:paraId="6B06DD1B"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104</w:t>
            </w:r>
          </w:p>
        </w:tc>
        <w:tc>
          <w:tcPr>
            <w:tcW w:w="2962" w:type="dxa"/>
            <w:shd w:val="clear" w:color="auto" w:fill="auto"/>
            <w:noWrap/>
            <w:hideMark/>
          </w:tcPr>
          <w:p w14:paraId="015D3B2A"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in the practice of his or her specialty after referral of the patient to him or her—each attendance, other than a second or subsequent attendance, in a single course of treatment, other than a service to which item 106, 109 or 16401 applies</w:t>
            </w:r>
          </w:p>
        </w:tc>
        <w:tc>
          <w:tcPr>
            <w:tcW w:w="1277" w:type="dxa"/>
            <w:shd w:val="clear" w:color="auto" w:fill="auto"/>
            <w:noWrap/>
            <w:hideMark/>
          </w:tcPr>
          <w:p w14:paraId="70B37287"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hideMark/>
          </w:tcPr>
          <w:p w14:paraId="2F3D8EB2"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hideMark/>
          </w:tcPr>
          <w:p w14:paraId="67980606"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3D57AE0F" w14:textId="77777777" w:rsidTr="00313E1E">
        <w:tc>
          <w:tcPr>
            <w:tcW w:w="1286" w:type="dxa"/>
            <w:shd w:val="clear" w:color="auto" w:fill="auto"/>
            <w:noWrap/>
            <w:hideMark/>
          </w:tcPr>
          <w:p w14:paraId="080913F7" w14:textId="77777777" w:rsidR="00313E1E" w:rsidRPr="00C33C0B" w:rsidRDefault="00313E1E" w:rsidP="00313E1E">
            <w:pPr>
              <w:spacing w:before="20" w:after="20" w:line="240" w:lineRule="auto"/>
              <w:rPr>
                <w:rFonts w:ascii="Calibri" w:hAnsi="Calibri" w:cs="Calibri"/>
                <w:bCs/>
                <w:color w:val="000000"/>
                <w:sz w:val="17"/>
                <w:szCs w:val="17"/>
                <w:lang w:val="en-GB"/>
              </w:rPr>
            </w:pPr>
            <w:r w:rsidRPr="00C33C0B">
              <w:rPr>
                <w:rFonts w:ascii="Calibri" w:hAnsi="Calibri" w:cs="Calibri"/>
                <w:bCs/>
                <w:color w:val="000000"/>
                <w:sz w:val="17"/>
                <w:szCs w:val="17"/>
                <w:lang w:val="en-GB"/>
              </w:rPr>
              <w:t>105</w:t>
            </w:r>
          </w:p>
        </w:tc>
        <w:tc>
          <w:tcPr>
            <w:tcW w:w="2962" w:type="dxa"/>
            <w:shd w:val="clear" w:color="auto" w:fill="auto"/>
            <w:noWrap/>
            <w:hideMark/>
          </w:tcPr>
          <w:p w14:paraId="5F4F954A"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his or her specialty following referral of the patient to him or her—an attendance after the first in a single course of treatment, if that attendance is at consulting rooms or hospital</w:t>
            </w:r>
          </w:p>
        </w:tc>
        <w:tc>
          <w:tcPr>
            <w:tcW w:w="1277" w:type="dxa"/>
            <w:shd w:val="clear" w:color="auto" w:fill="auto"/>
            <w:noWrap/>
          </w:tcPr>
          <w:p w14:paraId="0B1F1852"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42F4AC80"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3F8A7282"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21111DD9" w14:textId="77777777" w:rsidTr="00313E1E">
        <w:tc>
          <w:tcPr>
            <w:tcW w:w="1286" w:type="dxa"/>
            <w:shd w:val="clear" w:color="auto" w:fill="auto"/>
            <w:noWrap/>
            <w:hideMark/>
          </w:tcPr>
          <w:p w14:paraId="67BD3E34"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106</w:t>
            </w:r>
          </w:p>
        </w:tc>
        <w:tc>
          <w:tcPr>
            <w:tcW w:w="2962" w:type="dxa"/>
            <w:shd w:val="clear" w:color="auto" w:fill="auto"/>
            <w:noWrap/>
            <w:hideMark/>
          </w:tcPr>
          <w:p w14:paraId="6208390A"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his or her specialty of ophthalmology and following referral of the patient to him or her—an attendance (other than a second or subsequent attendance in a single course of treatment) at which the only service provided is refraction testing for the issue of a prescription for spectacles or contact lenses, if that attendance is at consulting rooms or hospital (other than a service to which any of items 104, 109 and 10801 to 10816 applies)</w:t>
            </w:r>
          </w:p>
        </w:tc>
        <w:tc>
          <w:tcPr>
            <w:tcW w:w="1277" w:type="dxa"/>
            <w:shd w:val="clear" w:color="auto" w:fill="auto"/>
            <w:noWrap/>
          </w:tcPr>
          <w:p w14:paraId="708120E7"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24D829D1"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13C8FFFC"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0C2A249A" w14:textId="77777777" w:rsidTr="00313E1E">
        <w:tc>
          <w:tcPr>
            <w:tcW w:w="1286" w:type="dxa"/>
            <w:shd w:val="clear" w:color="auto" w:fill="auto"/>
            <w:noWrap/>
            <w:hideMark/>
          </w:tcPr>
          <w:p w14:paraId="28B2C342"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107</w:t>
            </w:r>
          </w:p>
        </w:tc>
        <w:tc>
          <w:tcPr>
            <w:tcW w:w="2962" w:type="dxa"/>
            <w:shd w:val="clear" w:color="auto" w:fill="auto"/>
            <w:noWrap/>
            <w:hideMark/>
          </w:tcPr>
          <w:p w14:paraId="6CF98202"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his or her specialty following referral of the patient to him or her—an attendance (other than a second or subsequent attendance in a single course of treatment), if that attendance is at a place other than consulting rooms or hospital</w:t>
            </w:r>
          </w:p>
        </w:tc>
        <w:tc>
          <w:tcPr>
            <w:tcW w:w="1277" w:type="dxa"/>
            <w:shd w:val="clear" w:color="auto" w:fill="auto"/>
            <w:noWrap/>
          </w:tcPr>
          <w:p w14:paraId="3AFD680F"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268DDF7E"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2BC3A8A9"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636058D0" w14:textId="77777777" w:rsidTr="00313E1E">
        <w:tc>
          <w:tcPr>
            <w:tcW w:w="1286" w:type="dxa"/>
            <w:shd w:val="clear" w:color="auto" w:fill="auto"/>
            <w:noWrap/>
            <w:hideMark/>
          </w:tcPr>
          <w:p w14:paraId="47CAED2E" w14:textId="77777777" w:rsidR="00313E1E" w:rsidRPr="00C33C0B" w:rsidRDefault="00313E1E" w:rsidP="00313E1E">
            <w:pPr>
              <w:spacing w:before="20" w:after="20" w:line="240" w:lineRule="auto"/>
              <w:rPr>
                <w:rFonts w:ascii="Calibri" w:hAnsi="Calibri" w:cs="Calibri"/>
                <w:bCs/>
                <w:color w:val="000000"/>
                <w:sz w:val="17"/>
                <w:szCs w:val="17"/>
                <w:lang w:val="en-GB"/>
              </w:rPr>
            </w:pPr>
            <w:r w:rsidRPr="00C33C0B">
              <w:rPr>
                <w:rFonts w:ascii="Calibri" w:hAnsi="Calibri" w:cs="Calibri"/>
                <w:bCs/>
                <w:color w:val="000000"/>
                <w:sz w:val="17"/>
                <w:szCs w:val="17"/>
                <w:lang w:val="en-GB"/>
              </w:rPr>
              <w:t>108</w:t>
            </w:r>
          </w:p>
        </w:tc>
        <w:tc>
          <w:tcPr>
            <w:tcW w:w="2962" w:type="dxa"/>
            <w:shd w:val="clear" w:color="auto" w:fill="auto"/>
            <w:noWrap/>
            <w:hideMark/>
          </w:tcPr>
          <w:p w14:paraId="4EF9D141"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his or her specialty following referral of the patient to him or her—each attendance after the first in a single course of treatment, if that attendance is at a place other than consulting rooms or hospital</w:t>
            </w:r>
          </w:p>
        </w:tc>
        <w:tc>
          <w:tcPr>
            <w:tcW w:w="1277" w:type="dxa"/>
            <w:shd w:val="clear" w:color="auto" w:fill="auto"/>
            <w:noWrap/>
          </w:tcPr>
          <w:p w14:paraId="60DD98C2"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303A24C4"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41A14852"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110752AA" w14:textId="77777777" w:rsidTr="00313E1E">
        <w:tc>
          <w:tcPr>
            <w:tcW w:w="1286" w:type="dxa"/>
            <w:shd w:val="clear" w:color="auto" w:fill="auto"/>
            <w:noWrap/>
            <w:hideMark/>
          </w:tcPr>
          <w:p w14:paraId="023C1A67"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109</w:t>
            </w:r>
          </w:p>
        </w:tc>
        <w:tc>
          <w:tcPr>
            <w:tcW w:w="2962" w:type="dxa"/>
            <w:shd w:val="clear" w:color="auto" w:fill="auto"/>
            <w:noWrap/>
            <w:hideMark/>
          </w:tcPr>
          <w:p w14:paraId="56CD980A"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his or her specialty of ophthalmology following referral of the patient to him or her—an attendance (other than a second or subsequent attendance in a single course of treatment) at which a comprehensive eye examination, including pupil dilation, is performed on: (a) a patient aged 9 years or younger; or (b) a patient aged 14 years or younger with developmental delay;(other than a service to which any of items 104, 106 and 10801 to 10816 applies)</w:t>
            </w:r>
          </w:p>
        </w:tc>
        <w:tc>
          <w:tcPr>
            <w:tcW w:w="1277" w:type="dxa"/>
            <w:shd w:val="clear" w:color="auto" w:fill="auto"/>
            <w:noWrap/>
          </w:tcPr>
          <w:p w14:paraId="284EA170"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6B93FC15"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273AACE3"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572BAA1B" w14:textId="77777777" w:rsidTr="00313E1E">
        <w:tc>
          <w:tcPr>
            <w:tcW w:w="1286" w:type="dxa"/>
            <w:shd w:val="clear" w:color="auto" w:fill="auto"/>
            <w:noWrap/>
            <w:hideMark/>
          </w:tcPr>
          <w:p w14:paraId="60FB0133"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110</w:t>
            </w:r>
          </w:p>
        </w:tc>
        <w:tc>
          <w:tcPr>
            <w:tcW w:w="2962" w:type="dxa"/>
            <w:shd w:val="clear" w:color="auto" w:fill="auto"/>
            <w:noWrap/>
            <w:hideMark/>
          </w:tcPr>
          <w:p w14:paraId="1869D945"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consultant physician in the practice of his or her specialty (other than psychiatry) following referral of the patient to him or her by a referring practitioner—initial attendance in a single course of treatment</w:t>
            </w:r>
          </w:p>
        </w:tc>
        <w:tc>
          <w:tcPr>
            <w:tcW w:w="1277" w:type="dxa"/>
            <w:shd w:val="clear" w:color="auto" w:fill="auto"/>
            <w:noWrap/>
          </w:tcPr>
          <w:p w14:paraId="2FC0FA71"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19549ABE"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5DC12EC2"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037AC239" w14:textId="77777777" w:rsidTr="00313E1E">
        <w:tc>
          <w:tcPr>
            <w:tcW w:w="1286" w:type="dxa"/>
            <w:shd w:val="clear" w:color="auto" w:fill="auto"/>
            <w:noWrap/>
            <w:hideMark/>
          </w:tcPr>
          <w:p w14:paraId="4129C1A6"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111</w:t>
            </w:r>
          </w:p>
        </w:tc>
        <w:tc>
          <w:tcPr>
            <w:tcW w:w="2962" w:type="dxa"/>
            <w:shd w:val="clear" w:color="auto" w:fill="auto"/>
            <w:noWrap/>
            <w:hideMark/>
          </w:tcPr>
          <w:p w14:paraId="79F6D019"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in hospital by a specialist in the practice of his or her specialty following referral of the patient to him or her by a referring practitioner—an attendance after the first attendance in a single course of treatment, if: (a) during the attendance, the specialist determines the need to perform an operation on the patient that had not otherwise been scheduled; and (b) the specialist subsequently performs the operation on the patient, on the same day; and (c) the operation is a service to which an item in Group T8 applies; and (d) the amount specified in the item in Group T8 as the fee for a service to which that item applies is$300 or more For any particular patient, once only on the same day</w:t>
            </w:r>
          </w:p>
        </w:tc>
        <w:tc>
          <w:tcPr>
            <w:tcW w:w="1277" w:type="dxa"/>
            <w:shd w:val="clear" w:color="auto" w:fill="auto"/>
            <w:noWrap/>
          </w:tcPr>
          <w:p w14:paraId="0C9A4446" w14:textId="77777777" w:rsidR="00313E1E" w:rsidRPr="001528CD" w:rsidRDefault="00313E1E" w:rsidP="00313E1E">
            <w:pPr>
              <w:spacing w:before="20" w:after="20" w:line="240" w:lineRule="auto"/>
              <w:rPr>
                <w:rFonts w:ascii="Calibri" w:hAnsi="Calibri" w:cs="Calibri"/>
                <w:b/>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1539E835"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698DE443"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7D39D94D" w14:textId="77777777" w:rsidTr="00313E1E">
        <w:tc>
          <w:tcPr>
            <w:tcW w:w="1286" w:type="dxa"/>
            <w:shd w:val="clear" w:color="auto" w:fill="auto"/>
            <w:noWrap/>
            <w:hideMark/>
          </w:tcPr>
          <w:p w14:paraId="1779BD0E"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116</w:t>
            </w:r>
          </w:p>
        </w:tc>
        <w:tc>
          <w:tcPr>
            <w:tcW w:w="2962" w:type="dxa"/>
            <w:shd w:val="clear" w:color="auto" w:fill="auto"/>
            <w:noWrap/>
            <w:hideMark/>
          </w:tcPr>
          <w:p w14:paraId="34568C57"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consultant physician in the practice of his or her specialty (other than psychiatry) following referral of the patient to him or her by a referring practitioner—each attendance (other than a service to which item 119 applies) after the first in a single course of treatment</w:t>
            </w:r>
          </w:p>
        </w:tc>
        <w:tc>
          <w:tcPr>
            <w:tcW w:w="1277" w:type="dxa"/>
            <w:shd w:val="clear" w:color="auto" w:fill="auto"/>
            <w:noWrap/>
          </w:tcPr>
          <w:p w14:paraId="7752BFAB"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3C8FE9B3"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78054520"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01DB6910" w14:textId="77777777" w:rsidTr="00313E1E">
        <w:tc>
          <w:tcPr>
            <w:tcW w:w="1286" w:type="dxa"/>
            <w:shd w:val="clear" w:color="auto" w:fill="auto"/>
            <w:noWrap/>
            <w:hideMark/>
          </w:tcPr>
          <w:p w14:paraId="2F5268C4"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117</w:t>
            </w:r>
          </w:p>
        </w:tc>
        <w:tc>
          <w:tcPr>
            <w:tcW w:w="2962" w:type="dxa"/>
            <w:shd w:val="clear" w:color="auto" w:fill="auto"/>
            <w:noWrap/>
            <w:hideMark/>
          </w:tcPr>
          <w:p w14:paraId="078A028B"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in hospital, by a consultant physician in the practice of his or her specialty (other than psychiatry) following referral of the patient to him or her by a referring practitioner—an attendance after the first attendance in a single course of treatment, if: (a) the attendance is not a minor attendance; and (b) during the attendance, the consultant physician determines the need to perform an operation on the patient that had not otherwise been scheduled; and (c) the consultant physician subsequently performs the operation on the patient, on the same day; and (d) the operation is a service to which an item in Group T8 applies; and (e) the amount specified in the item in Group T8 as the fee for a service to which that item applies is$300 or more For any particular patient, once only on the same day</w:t>
            </w:r>
          </w:p>
        </w:tc>
        <w:tc>
          <w:tcPr>
            <w:tcW w:w="1277" w:type="dxa"/>
            <w:shd w:val="clear" w:color="auto" w:fill="auto"/>
            <w:noWrap/>
          </w:tcPr>
          <w:p w14:paraId="54905215"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3FA9C353"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6EB71CDE"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3BB08EA1" w14:textId="77777777" w:rsidTr="00313E1E">
        <w:tc>
          <w:tcPr>
            <w:tcW w:w="1286" w:type="dxa"/>
            <w:shd w:val="clear" w:color="auto" w:fill="auto"/>
            <w:noWrap/>
            <w:hideMark/>
          </w:tcPr>
          <w:p w14:paraId="595A3A64"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119</w:t>
            </w:r>
          </w:p>
        </w:tc>
        <w:tc>
          <w:tcPr>
            <w:tcW w:w="2962" w:type="dxa"/>
            <w:shd w:val="clear" w:color="auto" w:fill="auto"/>
            <w:noWrap/>
            <w:hideMark/>
          </w:tcPr>
          <w:p w14:paraId="757EF547"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consultant physician in the practice of his or her specialty (other than psychiatry) following referral of the patient to him or her by a referring practitioner—each minor attendance after the first in a single course of treatment</w:t>
            </w:r>
          </w:p>
        </w:tc>
        <w:tc>
          <w:tcPr>
            <w:tcW w:w="1277" w:type="dxa"/>
            <w:shd w:val="clear" w:color="auto" w:fill="auto"/>
            <w:noWrap/>
          </w:tcPr>
          <w:p w14:paraId="2294ABAA"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3C8A70CD"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26162C5C"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6A95B3C6" w14:textId="77777777" w:rsidTr="00313E1E">
        <w:tc>
          <w:tcPr>
            <w:tcW w:w="1286" w:type="dxa"/>
            <w:shd w:val="clear" w:color="auto" w:fill="auto"/>
            <w:noWrap/>
            <w:hideMark/>
          </w:tcPr>
          <w:p w14:paraId="7F5C7BB8"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120</w:t>
            </w:r>
          </w:p>
        </w:tc>
        <w:tc>
          <w:tcPr>
            <w:tcW w:w="2962" w:type="dxa"/>
            <w:shd w:val="clear" w:color="auto" w:fill="auto"/>
            <w:noWrap/>
            <w:hideMark/>
          </w:tcPr>
          <w:p w14:paraId="1A033BC1"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in hospital by a consultant physician in the practice of his or her specialty (other than psychiatry) following referral of the patient to him or her by a referring practitioner—an attendance after the first attendance in a single course of treatment, if: (a) the attendance is a minor attendance; and (b) during the attendance, the consultant physician determines the need to perform an operation on the patient that had not otherwise been scheduled; and (c) the consultant physician subsequently performs the operation on the patient, on the same day; and (d) the operation is a service to which an item in Group T8 applies; and (e) the amount specified in the item in Group T8 as the fee for a service to which that item applies is$300 or more For any particular patient, once only on the same day</w:t>
            </w:r>
          </w:p>
        </w:tc>
        <w:tc>
          <w:tcPr>
            <w:tcW w:w="1277" w:type="dxa"/>
            <w:shd w:val="clear" w:color="auto" w:fill="auto"/>
            <w:noWrap/>
          </w:tcPr>
          <w:p w14:paraId="091822F9"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7E026559"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3CF6FEB1"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2CE21DE0" w14:textId="77777777" w:rsidTr="00313E1E">
        <w:tc>
          <w:tcPr>
            <w:tcW w:w="1286" w:type="dxa"/>
            <w:shd w:val="clear" w:color="auto" w:fill="auto"/>
            <w:noWrap/>
            <w:hideMark/>
          </w:tcPr>
          <w:p w14:paraId="0C1EAD37"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122</w:t>
            </w:r>
          </w:p>
        </w:tc>
        <w:tc>
          <w:tcPr>
            <w:tcW w:w="2962" w:type="dxa"/>
            <w:shd w:val="clear" w:color="auto" w:fill="auto"/>
            <w:noWrap/>
            <w:hideMark/>
          </w:tcPr>
          <w:p w14:paraId="0FE7DB3E"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consultant physician in the practice of his or her specialty (other than psychiatry) following referral of the patient to him or her by a referring practitioner—initial attendance in a single course of treatment</w:t>
            </w:r>
          </w:p>
        </w:tc>
        <w:tc>
          <w:tcPr>
            <w:tcW w:w="1277" w:type="dxa"/>
            <w:shd w:val="clear" w:color="auto" w:fill="auto"/>
            <w:noWrap/>
          </w:tcPr>
          <w:p w14:paraId="4CD29F35"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47328B3F"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7914C54D"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5C472883" w14:textId="77777777" w:rsidTr="00313E1E">
        <w:tc>
          <w:tcPr>
            <w:tcW w:w="1286" w:type="dxa"/>
            <w:shd w:val="clear" w:color="auto" w:fill="auto"/>
            <w:noWrap/>
            <w:hideMark/>
          </w:tcPr>
          <w:p w14:paraId="79A0DA6F"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128</w:t>
            </w:r>
          </w:p>
        </w:tc>
        <w:tc>
          <w:tcPr>
            <w:tcW w:w="2962" w:type="dxa"/>
            <w:shd w:val="clear" w:color="auto" w:fill="auto"/>
            <w:noWrap/>
            <w:hideMark/>
          </w:tcPr>
          <w:p w14:paraId="2AE8E024"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consultant physician in the practice of his or her specialty (other than psychiatry) following referral of the patient to him or her by a referring practitioner—each attendance (other than a service to which item 131 applies) after the first in a single course of treatment</w:t>
            </w:r>
          </w:p>
        </w:tc>
        <w:tc>
          <w:tcPr>
            <w:tcW w:w="1277" w:type="dxa"/>
            <w:shd w:val="clear" w:color="auto" w:fill="auto"/>
            <w:noWrap/>
          </w:tcPr>
          <w:p w14:paraId="42EB9CD2"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63EBF2AA"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6DC93D72"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2CD51830" w14:textId="77777777" w:rsidTr="00313E1E">
        <w:tc>
          <w:tcPr>
            <w:tcW w:w="1286" w:type="dxa"/>
            <w:shd w:val="clear" w:color="auto" w:fill="auto"/>
            <w:noWrap/>
            <w:hideMark/>
          </w:tcPr>
          <w:p w14:paraId="30EA0B39"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131</w:t>
            </w:r>
          </w:p>
        </w:tc>
        <w:tc>
          <w:tcPr>
            <w:tcW w:w="2962" w:type="dxa"/>
            <w:shd w:val="clear" w:color="auto" w:fill="auto"/>
            <w:noWrap/>
            <w:hideMark/>
          </w:tcPr>
          <w:p w14:paraId="1DBD572F"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consultant physician in the practice of his or her specialty (other than psychiatry) following referral of the patient to him or her by a referring practitioner—each minor attendance after the first in a single course of treatment</w:t>
            </w:r>
          </w:p>
        </w:tc>
        <w:tc>
          <w:tcPr>
            <w:tcW w:w="1277" w:type="dxa"/>
            <w:shd w:val="clear" w:color="auto" w:fill="auto"/>
            <w:noWrap/>
          </w:tcPr>
          <w:p w14:paraId="03C678E0"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7017D1D5"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5CD9DBE0"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3AEB6566" w14:textId="77777777" w:rsidTr="00313E1E">
        <w:tc>
          <w:tcPr>
            <w:tcW w:w="1286" w:type="dxa"/>
            <w:shd w:val="clear" w:color="auto" w:fill="auto"/>
            <w:noWrap/>
            <w:hideMark/>
          </w:tcPr>
          <w:p w14:paraId="060DADED"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160</w:t>
            </w:r>
          </w:p>
        </w:tc>
        <w:tc>
          <w:tcPr>
            <w:tcW w:w="2962" w:type="dxa"/>
            <w:shd w:val="clear" w:color="auto" w:fill="auto"/>
            <w:noWrap/>
            <w:hideMark/>
          </w:tcPr>
          <w:p w14:paraId="55D61152"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for a period of not less than 1 hour but less than 2 hours (other than a service to which another item applies) on a patient in imminent danger of death</w:t>
            </w:r>
          </w:p>
        </w:tc>
        <w:tc>
          <w:tcPr>
            <w:tcW w:w="1277" w:type="dxa"/>
            <w:shd w:val="clear" w:color="auto" w:fill="auto"/>
            <w:noWrap/>
          </w:tcPr>
          <w:p w14:paraId="106367C9"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No change</w:t>
            </w:r>
            <w:r w:rsidRPr="00C33C0B">
              <w:rPr>
                <w:rFonts w:ascii="Calibri" w:hAnsi="Calibri" w:cs="Calibri"/>
                <w:color w:val="000000"/>
                <w:sz w:val="17"/>
                <w:szCs w:val="17"/>
                <w:lang w:val="en-GB"/>
              </w:rPr>
              <w:t xml:space="preserve"> </w:t>
            </w:r>
          </w:p>
        </w:tc>
        <w:tc>
          <w:tcPr>
            <w:tcW w:w="1003" w:type="dxa"/>
            <w:shd w:val="clear" w:color="auto" w:fill="auto"/>
            <w:noWrap/>
          </w:tcPr>
          <w:p w14:paraId="50913A33"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w:t>
            </w:r>
          </w:p>
        </w:tc>
        <w:tc>
          <w:tcPr>
            <w:tcW w:w="2823" w:type="dxa"/>
            <w:shd w:val="clear" w:color="auto" w:fill="auto"/>
            <w:noWrap/>
          </w:tcPr>
          <w:p w14:paraId="6E72887F"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w:t>
            </w:r>
          </w:p>
        </w:tc>
      </w:tr>
      <w:tr w:rsidR="00313E1E" w:rsidRPr="00C33C0B" w14:paraId="7FDB5D18" w14:textId="77777777" w:rsidTr="00313E1E">
        <w:tc>
          <w:tcPr>
            <w:tcW w:w="1286" w:type="dxa"/>
            <w:shd w:val="clear" w:color="auto" w:fill="auto"/>
            <w:noWrap/>
            <w:hideMark/>
          </w:tcPr>
          <w:p w14:paraId="739DDE3B"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161</w:t>
            </w:r>
          </w:p>
        </w:tc>
        <w:tc>
          <w:tcPr>
            <w:tcW w:w="2962" w:type="dxa"/>
            <w:shd w:val="clear" w:color="auto" w:fill="auto"/>
            <w:noWrap/>
            <w:hideMark/>
          </w:tcPr>
          <w:p w14:paraId="0A637805"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for a period of not less than 2 hours but less than 3 hours (other than a service to which another item applies) on a patient in imminent danger of death</w:t>
            </w:r>
          </w:p>
        </w:tc>
        <w:tc>
          <w:tcPr>
            <w:tcW w:w="1277" w:type="dxa"/>
            <w:shd w:val="clear" w:color="auto" w:fill="auto"/>
            <w:noWrap/>
          </w:tcPr>
          <w:p w14:paraId="25001197"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No change</w:t>
            </w:r>
            <w:r w:rsidRPr="00C33C0B">
              <w:rPr>
                <w:rFonts w:ascii="Calibri" w:hAnsi="Calibri" w:cs="Calibri"/>
                <w:color w:val="000000"/>
                <w:sz w:val="17"/>
                <w:szCs w:val="17"/>
                <w:lang w:val="en-GB"/>
              </w:rPr>
              <w:t xml:space="preserve"> </w:t>
            </w:r>
          </w:p>
        </w:tc>
        <w:tc>
          <w:tcPr>
            <w:tcW w:w="1003" w:type="dxa"/>
            <w:shd w:val="clear" w:color="auto" w:fill="auto"/>
            <w:noWrap/>
          </w:tcPr>
          <w:p w14:paraId="0EAF830F"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w:t>
            </w:r>
          </w:p>
        </w:tc>
        <w:tc>
          <w:tcPr>
            <w:tcW w:w="2823" w:type="dxa"/>
            <w:shd w:val="clear" w:color="auto" w:fill="auto"/>
            <w:noWrap/>
          </w:tcPr>
          <w:p w14:paraId="7E438893"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w:t>
            </w:r>
          </w:p>
        </w:tc>
      </w:tr>
      <w:tr w:rsidR="00313E1E" w:rsidRPr="00C33C0B" w14:paraId="38114F9A" w14:textId="77777777" w:rsidTr="00313E1E">
        <w:tc>
          <w:tcPr>
            <w:tcW w:w="1286" w:type="dxa"/>
            <w:shd w:val="clear" w:color="auto" w:fill="auto"/>
            <w:noWrap/>
            <w:hideMark/>
          </w:tcPr>
          <w:p w14:paraId="1D8F5EED"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162</w:t>
            </w:r>
          </w:p>
        </w:tc>
        <w:tc>
          <w:tcPr>
            <w:tcW w:w="2962" w:type="dxa"/>
            <w:shd w:val="clear" w:color="auto" w:fill="auto"/>
            <w:noWrap/>
            <w:hideMark/>
          </w:tcPr>
          <w:p w14:paraId="203971A8"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for a period of not less than 3 hours but less than 4 hours (other than a service to which another item applies) on a patient in imminent danger of death</w:t>
            </w:r>
          </w:p>
        </w:tc>
        <w:tc>
          <w:tcPr>
            <w:tcW w:w="1277" w:type="dxa"/>
            <w:shd w:val="clear" w:color="auto" w:fill="auto"/>
            <w:noWrap/>
          </w:tcPr>
          <w:p w14:paraId="56C9FF6A"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No change</w:t>
            </w:r>
            <w:r w:rsidRPr="00C33C0B">
              <w:rPr>
                <w:rFonts w:ascii="Calibri" w:hAnsi="Calibri" w:cs="Calibri"/>
                <w:color w:val="000000"/>
                <w:sz w:val="17"/>
                <w:szCs w:val="17"/>
                <w:lang w:val="en-GB"/>
              </w:rPr>
              <w:t xml:space="preserve"> </w:t>
            </w:r>
          </w:p>
        </w:tc>
        <w:tc>
          <w:tcPr>
            <w:tcW w:w="1003" w:type="dxa"/>
            <w:shd w:val="clear" w:color="auto" w:fill="auto"/>
            <w:noWrap/>
          </w:tcPr>
          <w:p w14:paraId="1E5866FE"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w:t>
            </w:r>
          </w:p>
        </w:tc>
        <w:tc>
          <w:tcPr>
            <w:tcW w:w="2823" w:type="dxa"/>
            <w:shd w:val="clear" w:color="auto" w:fill="auto"/>
            <w:noWrap/>
          </w:tcPr>
          <w:p w14:paraId="4073DDD0"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w:t>
            </w:r>
          </w:p>
        </w:tc>
      </w:tr>
      <w:tr w:rsidR="00313E1E" w:rsidRPr="00C33C0B" w14:paraId="360662ED" w14:textId="77777777" w:rsidTr="00313E1E">
        <w:tc>
          <w:tcPr>
            <w:tcW w:w="1286" w:type="dxa"/>
            <w:shd w:val="clear" w:color="auto" w:fill="auto"/>
            <w:noWrap/>
            <w:hideMark/>
          </w:tcPr>
          <w:p w14:paraId="0B279506"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163</w:t>
            </w:r>
          </w:p>
        </w:tc>
        <w:tc>
          <w:tcPr>
            <w:tcW w:w="2962" w:type="dxa"/>
            <w:shd w:val="clear" w:color="auto" w:fill="auto"/>
            <w:noWrap/>
            <w:hideMark/>
          </w:tcPr>
          <w:p w14:paraId="088CC500"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for a period of not less than 4 hours but less than 5 hours (other than a service to which another item applies) on a patient in imminent danger of death</w:t>
            </w:r>
          </w:p>
        </w:tc>
        <w:tc>
          <w:tcPr>
            <w:tcW w:w="1277" w:type="dxa"/>
            <w:shd w:val="clear" w:color="auto" w:fill="auto"/>
            <w:noWrap/>
          </w:tcPr>
          <w:p w14:paraId="1B6E3EDC"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No change</w:t>
            </w:r>
            <w:r w:rsidRPr="00C33C0B">
              <w:rPr>
                <w:rFonts w:ascii="Calibri" w:hAnsi="Calibri" w:cs="Calibri"/>
                <w:color w:val="000000"/>
                <w:sz w:val="17"/>
                <w:szCs w:val="17"/>
                <w:lang w:val="en-GB"/>
              </w:rPr>
              <w:t xml:space="preserve"> </w:t>
            </w:r>
          </w:p>
        </w:tc>
        <w:tc>
          <w:tcPr>
            <w:tcW w:w="1003" w:type="dxa"/>
            <w:shd w:val="clear" w:color="auto" w:fill="auto"/>
            <w:noWrap/>
          </w:tcPr>
          <w:p w14:paraId="6F6E37B0"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w:t>
            </w:r>
          </w:p>
        </w:tc>
        <w:tc>
          <w:tcPr>
            <w:tcW w:w="2823" w:type="dxa"/>
            <w:shd w:val="clear" w:color="auto" w:fill="auto"/>
            <w:noWrap/>
          </w:tcPr>
          <w:p w14:paraId="725B5CDC"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w:t>
            </w:r>
          </w:p>
        </w:tc>
      </w:tr>
      <w:tr w:rsidR="00313E1E" w:rsidRPr="00C33C0B" w14:paraId="3F870FE2" w14:textId="77777777" w:rsidTr="00313E1E">
        <w:tc>
          <w:tcPr>
            <w:tcW w:w="1286" w:type="dxa"/>
            <w:shd w:val="clear" w:color="auto" w:fill="auto"/>
            <w:noWrap/>
            <w:hideMark/>
          </w:tcPr>
          <w:p w14:paraId="2E0DF371"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164</w:t>
            </w:r>
          </w:p>
        </w:tc>
        <w:tc>
          <w:tcPr>
            <w:tcW w:w="2962" w:type="dxa"/>
            <w:shd w:val="clear" w:color="auto" w:fill="auto"/>
            <w:noWrap/>
            <w:hideMark/>
          </w:tcPr>
          <w:p w14:paraId="68410B9E"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for a period of 5 hours or more (other than a service to which another item applies) on a patient in imminent danger of death</w:t>
            </w:r>
          </w:p>
        </w:tc>
        <w:tc>
          <w:tcPr>
            <w:tcW w:w="1277" w:type="dxa"/>
            <w:shd w:val="clear" w:color="auto" w:fill="auto"/>
            <w:noWrap/>
          </w:tcPr>
          <w:p w14:paraId="226796E0"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No change</w:t>
            </w:r>
            <w:r w:rsidRPr="00C33C0B">
              <w:rPr>
                <w:rFonts w:ascii="Calibri" w:hAnsi="Calibri" w:cs="Calibri"/>
                <w:color w:val="000000"/>
                <w:sz w:val="17"/>
                <w:szCs w:val="17"/>
                <w:lang w:val="en-GB"/>
              </w:rPr>
              <w:t xml:space="preserve"> </w:t>
            </w:r>
          </w:p>
        </w:tc>
        <w:tc>
          <w:tcPr>
            <w:tcW w:w="1003" w:type="dxa"/>
            <w:shd w:val="clear" w:color="auto" w:fill="auto"/>
            <w:noWrap/>
          </w:tcPr>
          <w:p w14:paraId="7B13C71E"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w:t>
            </w:r>
          </w:p>
        </w:tc>
        <w:tc>
          <w:tcPr>
            <w:tcW w:w="2823" w:type="dxa"/>
            <w:shd w:val="clear" w:color="auto" w:fill="auto"/>
            <w:noWrap/>
          </w:tcPr>
          <w:p w14:paraId="40CACF7F"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w:t>
            </w:r>
          </w:p>
        </w:tc>
      </w:tr>
      <w:tr w:rsidR="00313E1E" w:rsidRPr="00C33C0B" w14:paraId="0D6E2A29" w14:textId="77777777" w:rsidTr="00313E1E">
        <w:tc>
          <w:tcPr>
            <w:tcW w:w="1286" w:type="dxa"/>
            <w:shd w:val="clear" w:color="auto" w:fill="auto"/>
            <w:noWrap/>
            <w:hideMark/>
          </w:tcPr>
          <w:p w14:paraId="3B791549"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385</w:t>
            </w:r>
          </w:p>
        </w:tc>
        <w:tc>
          <w:tcPr>
            <w:tcW w:w="2962" w:type="dxa"/>
            <w:shd w:val="clear" w:color="auto" w:fill="auto"/>
            <w:noWrap/>
            <w:hideMark/>
          </w:tcPr>
          <w:p w14:paraId="2F327699"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consultant occupational physician in the practice of his or her specialty of occupational medicine following referral of the patient to him or her by a referring practitioner--initial attendance in a single course of treatment</w:t>
            </w:r>
          </w:p>
        </w:tc>
        <w:tc>
          <w:tcPr>
            <w:tcW w:w="1277" w:type="dxa"/>
            <w:shd w:val="clear" w:color="auto" w:fill="auto"/>
            <w:noWrap/>
          </w:tcPr>
          <w:p w14:paraId="3DFCA6B2"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2093CFB6"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619432CF"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6B7CA245" w14:textId="77777777" w:rsidTr="00313E1E">
        <w:tc>
          <w:tcPr>
            <w:tcW w:w="1286" w:type="dxa"/>
            <w:shd w:val="clear" w:color="auto" w:fill="auto"/>
            <w:noWrap/>
            <w:hideMark/>
          </w:tcPr>
          <w:p w14:paraId="56541D24"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386</w:t>
            </w:r>
          </w:p>
        </w:tc>
        <w:tc>
          <w:tcPr>
            <w:tcW w:w="2962" w:type="dxa"/>
            <w:shd w:val="clear" w:color="auto" w:fill="auto"/>
            <w:noWrap/>
            <w:hideMark/>
          </w:tcPr>
          <w:p w14:paraId="73EEDB65"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consultant occupational physician in the practice of his or her specialty of occupational medicine following referral of the patient to him or her by a referring practitioner--each attendance after the first in a single course of treatment</w:t>
            </w:r>
          </w:p>
        </w:tc>
        <w:tc>
          <w:tcPr>
            <w:tcW w:w="1277" w:type="dxa"/>
            <w:shd w:val="clear" w:color="auto" w:fill="auto"/>
            <w:noWrap/>
          </w:tcPr>
          <w:p w14:paraId="2D63B26B"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64C08F1B"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4A3EEFA6"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42C26C5D" w14:textId="77777777" w:rsidTr="00313E1E">
        <w:tc>
          <w:tcPr>
            <w:tcW w:w="1286" w:type="dxa"/>
            <w:shd w:val="clear" w:color="auto" w:fill="auto"/>
            <w:noWrap/>
            <w:hideMark/>
          </w:tcPr>
          <w:p w14:paraId="276A31A5"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387</w:t>
            </w:r>
          </w:p>
        </w:tc>
        <w:tc>
          <w:tcPr>
            <w:tcW w:w="2962" w:type="dxa"/>
            <w:shd w:val="clear" w:color="auto" w:fill="auto"/>
            <w:noWrap/>
            <w:hideMark/>
          </w:tcPr>
          <w:p w14:paraId="2FFF5518"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consultant occupational physician in the practice of his or her specialty of occupational medicine following referral of the patient to him or her by a referring practitioner--initial attendance in a single course of treatment</w:t>
            </w:r>
          </w:p>
        </w:tc>
        <w:tc>
          <w:tcPr>
            <w:tcW w:w="1277" w:type="dxa"/>
            <w:shd w:val="clear" w:color="auto" w:fill="auto"/>
            <w:noWrap/>
          </w:tcPr>
          <w:p w14:paraId="71703E80"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7A1AAAF5"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6C1D7FF3"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7D86B1EE" w14:textId="77777777" w:rsidTr="00313E1E">
        <w:tc>
          <w:tcPr>
            <w:tcW w:w="1286" w:type="dxa"/>
            <w:shd w:val="clear" w:color="auto" w:fill="auto"/>
            <w:noWrap/>
            <w:hideMark/>
          </w:tcPr>
          <w:p w14:paraId="37C3F298"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388</w:t>
            </w:r>
          </w:p>
        </w:tc>
        <w:tc>
          <w:tcPr>
            <w:tcW w:w="2962" w:type="dxa"/>
            <w:shd w:val="clear" w:color="auto" w:fill="auto"/>
            <w:noWrap/>
            <w:hideMark/>
          </w:tcPr>
          <w:p w14:paraId="733E7DA5"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consultant occupational physician in the practice of his or her specialty of occupational medicine following referral of the patient to him or her by a referring practitioner--each attendance after the first in a single course of treatment</w:t>
            </w:r>
          </w:p>
        </w:tc>
        <w:tc>
          <w:tcPr>
            <w:tcW w:w="1277" w:type="dxa"/>
            <w:shd w:val="clear" w:color="auto" w:fill="auto"/>
            <w:noWrap/>
          </w:tcPr>
          <w:p w14:paraId="3F670745"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6E8EC44B"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760D7677"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3DD7D546" w14:textId="77777777" w:rsidTr="00313E1E">
        <w:tc>
          <w:tcPr>
            <w:tcW w:w="1286" w:type="dxa"/>
            <w:shd w:val="clear" w:color="auto" w:fill="auto"/>
            <w:noWrap/>
            <w:hideMark/>
          </w:tcPr>
          <w:p w14:paraId="3364FDA9"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410</w:t>
            </w:r>
          </w:p>
        </w:tc>
        <w:tc>
          <w:tcPr>
            <w:tcW w:w="2962" w:type="dxa"/>
            <w:shd w:val="clear" w:color="auto" w:fill="auto"/>
            <w:noWrap/>
            <w:hideMark/>
          </w:tcPr>
          <w:p w14:paraId="4463FC29"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by a public health physician in the practice of his or her specialty of public health medicine--attendance for an obvious problem characterised by the straightforward nature of the task that requires a short patient history and, if required, limited examination and management.</w:t>
            </w:r>
          </w:p>
        </w:tc>
        <w:tc>
          <w:tcPr>
            <w:tcW w:w="1277" w:type="dxa"/>
            <w:shd w:val="clear" w:color="auto" w:fill="auto"/>
            <w:noWrap/>
          </w:tcPr>
          <w:p w14:paraId="4ACD7A79"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47E05C08"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05378437"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389E5F4F" w14:textId="77777777" w:rsidTr="00313E1E">
        <w:tc>
          <w:tcPr>
            <w:tcW w:w="1286" w:type="dxa"/>
            <w:shd w:val="clear" w:color="auto" w:fill="auto"/>
            <w:noWrap/>
            <w:hideMark/>
          </w:tcPr>
          <w:p w14:paraId="1C1DA71D"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411</w:t>
            </w:r>
          </w:p>
        </w:tc>
        <w:tc>
          <w:tcPr>
            <w:tcW w:w="2962" w:type="dxa"/>
            <w:shd w:val="clear" w:color="auto" w:fill="auto"/>
            <w:noWrap/>
            <w:hideMark/>
          </w:tcPr>
          <w:p w14:paraId="38A0BE5B"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consulting rooms, lasting less than 20 minutes and including any of the following that are clinically relevant: (a) taking a patient history; (b) performing a clinical examination; (c) arranging any necessary investigation; (d) implementing a management plan; (e) providing appropriate preventive health care; for one or more health-related issues, with appropriate documentation.</w:t>
            </w:r>
          </w:p>
        </w:tc>
        <w:tc>
          <w:tcPr>
            <w:tcW w:w="1277" w:type="dxa"/>
            <w:shd w:val="clear" w:color="auto" w:fill="auto"/>
            <w:noWrap/>
          </w:tcPr>
          <w:p w14:paraId="09B37317"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4452FE84"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3EFADA88"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74B646AA" w14:textId="77777777" w:rsidTr="00313E1E">
        <w:tc>
          <w:tcPr>
            <w:tcW w:w="1286" w:type="dxa"/>
            <w:shd w:val="clear" w:color="auto" w:fill="auto"/>
            <w:noWrap/>
            <w:hideMark/>
          </w:tcPr>
          <w:p w14:paraId="2EBB339D"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412</w:t>
            </w:r>
          </w:p>
        </w:tc>
        <w:tc>
          <w:tcPr>
            <w:tcW w:w="2962" w:type="dxa"/>
            <w:shd w:val="clear" w:color="auto" w:fill="auto"/>
            <w:noWrap/>
            <w:hideMark/>
          </w:tcPr>
          <w:p w14:paraId="5EB7E6AC"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consulting rooms, lasting at least 20 minutes and including any of the following that are clinically relevant: (a) taking a detailed patient history; (b) performing a clinical examination; (c) arranging any necessary investigation; (d) implementing a management plan; (e) providing appropriate preventive health care; for one or more health-related issues, with appropriate documentation</w:t>
            </w:r>
          </w:p>
        </w:tc>
        <w:tc>
          <w:tcPr>
            <w:tcW w:w="1277" w:type="dxa"/>
            <w:shd w:val="clear" w:color="auto" w:fill="auto"/>
            <w:noWrap/>
          </w:tcPr>
          <w:p w14:paraId="5019501E"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76235D7F"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45C6BFBB"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2E3A0439" w14:textId="77777777" w:rsidTr="00313E1E">
        <w:tc>
          <w:tcPr>
            <w:tcW w:w="1286" w:type="dxa"/>
            <w:shd w:val="clear" w:color="auto" w:fill="auto"/>
            <w:noWrap/>
            <w:hideMark/>
          </w:tcPr>
          <w:p w14:paraId="0FC1F0E1"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413</w:t>
            </w:r>
          </w:p>
        </w:tc>
        <w:tc>
          <w:tcPr>
            <w:tcW w:w="2962" w:type="dxa"/>
            <w:shd w:val="clear" w:color="auto" w:fill="auto"/>
            <w:noWrap/>
            <w:hideMark/>
          </w:tcPr>
          <w:p w14:paraId="1E42AACD"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consulting rooms, lasting at least 40 minutes and including any of the following that are clinically relevant: (a) taking an extensive patient history; (b) performing a clinical examination; (c) arranging any necessary investigation; (d) implementing a management plan; (e) providing appropriate preventive health care; for one or more health-related issues, with appropriate documentation</w:t>
            </w:r>
          </w:p>
        </w:tc>
        <w:tc>
          <w:tcPr>
            <w:tcW w:w="1277" w:type="dxa"/>
            <w:shd w:val="clear" w:color="auto" w:fill="auto"/>
            <w:noWrap/>
          </w:tcPr>
          <w:p w14:paraId="7E9F43C0"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3EF70F51"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271365ED"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5C2B2407" w14:textId="77777777" w:rsidTr="00313E1E">
        <w:tc>
          <w:tcPr>
            <w:tcW w:w="1286" w:type="dxa"/>
            <w:shd w:val="clear" w:color="auto" w:fill="auto"/>
            <w:noWrap/>
            <w:hideMark/>
          </w:tcPr>
          <w:p w14:paraId="02C0D15B"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414</w:t>
            </w:r>
          </w:p>
        </w:tc>
        <w:tc>
          <w:tcPr>
            <w:tcW w:w="2962" w:type="dxa"/>
            <w:shd w:val="clear" w:color="auto" w:fill="auto"/>
            <w:noWrap/>
            <w:hideMark/>
          </w:tcPr>
          <w:p w14:paraId="3A2C50F2"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other than consulting rooms by a public health physician in the practice of his or her specialty of public health medicine--attendance for an obvious problem characterised by the straightforward nature of the task that requires a short patient history and, if required, limited examination and management</w:t>
            </w:r>
          </w:p>
        </w:tc>
        <w:tc>
          <w:tcPr>
            <w:tcW w:w="1277" w:type="dxa"/>
            <w:shd w:val="clear" w:color="auto" w:fill="auto"/>
            <w:noWrap/>
          </w:tcPr>
          <w:p w14:paraId="512A394B"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5BE4D9DF"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758721DD"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2DF31BF8" w14:textId="77777777" w:rsidTr="00313E1E">
        <w:tc>
          <w:tcPr>
            <w:tcW w:w="1286" w:type="dxa"/>
            <w:shd w:val="clear" w:color="auto" w:fill="auto"/>
            <w:noWrap/>
            <w:hideMark/>
          </w:tcPr>
          <w:p w14:paraId="7E120D69"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415</w:t>
            </w:r>
          </w:p>
        </w:tc>
        <w:tc>
          <w:tcPr>
            <w:tcW w:w="2962" w:type="dxa"/>
            <w:shd w:val="clear" w:color="auto" w:fill="auto"/>
            <w:noWrap/>
            <w:hideMark/>
          </w:tcPr>
          <w:p w14:paraId="1599726D"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other than consulting rooms, lasting less than 20 minutes and including any of the following that are clinically relevant: (a) taking a patient history; (b) performing a clinical examination; (c) arranging any necessary investigation; (d) implementing a management plan; (e) providing appropriate preventive health care; for one or more health-related issues, with appropriate documentation</w:t>
            </w:r>
          </w:p>
        </w:tc>
        <w:tc>
          <w:tcPr>
            <w:tcW w:w="1277" w:type="dxa"/>
            <w:shd w:val="clear" w:color="auto" w:fill="auto"/>
            <w:noWrap/>
          </w:tcPr>
          <w:p w14:paraId="3AC78E0C"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14A14305"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0994D66F"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35FD581A" w14:textId="77777777" w:rsidTr="00313E1E">
        <w:tc>
          <w:tcPr>
            <w:tcW w:w="1286" w:type="dxa"/>
            <w:shd w:val="clear" w:color="auto" w:fill="auto"/>
            <w:noWrap/>
            <w:hideMark/>
          </w:tcPr>
          <w:p w14:paraId="6284C30C"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416</w:t>
            </w:r>
          </w:p>
        </w:tc>
        <w:tc>
          <w:tcPr>
            <w:tcW w:w="2962" w:type="dxa"/>
            <w:shd w:val="clear" w:color="auto" w:fill="auto"/>
            <w:noWrap/>
            <w:hideMark/>
          </w:tcPr>
          <w:p w14:paraId="1A3B87EA"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other than consulting rooms, lasting at least 20 minutes and including any of the following that are clinically relevant: (a) taking a detailed patient history; (b) performing a clinical examination; (c) arranging any necessary investigation; (d) implementing a management plan; (e) providing appropriate preventive health care; for one or more health-related issues, with appropriate documentation</w:t>
            </w:r>
          </w:p>
        </w:tc>
        <w:tc>
          <w:tcPr>
            <w:tcW w:w="1277" w:type="dxa"/>
            <w:shd w:val="clear" w:color="auto" w:fill="auto"/>
            <w:noWrap/>
          </w:tcPr>
          <w:p w14:paraId="78D9ECB4"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5B5AA748"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3FD05298"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499101E5" w14:textId="77777777" w:rsidTr="00313E1E">
        <w:tc>
          <w:tcPr>
            <w:tcW w:w="1286" w:type="dxa"/>
            <w:shd w:val="clear" w:color="auto" w:fill="auto"/>
            <w:noWrap/>
            <w:hideMark/>
          </w:tcPr>
          <w:p w14:paraId="5329B0D7"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417</w:t>
            </w:r>
          </w:p>
        </w:tc>
        <w:tc>
          <w:tcPr>
            <w:tcW w:w="2962" w:type="dxa"/>
            <w:shd w:val="clear" w:color="auto" w:fill="auto"/>
            <w:noWrap/>
            <w:hideMark/>
          </w:tcPr>
          <w:p w14:paraId="01720851"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public health physician in the practice of his or her specialty of public health medicine at other than consulting rooms, lasting at least 40 minutes and including any of the following that are clinically relevant: (a) taking an extensive patient history; (b) performing a clinical examination; (c) arranging any necessary investigation; (d) implementing a management plan; (e) providing appropriate preventive health care; for one or more health-related issues, with appropriate documentation</w:t>
            </w:r>
          </w:p>
        </w:tc>
        <w:tc>
          <w:tcPr>
            <w:tcW w:w="1277" w:type="dxa"/>
            <w:shd w:val="clear" w:color="auto" w:fill="auto"/>
            <w:noWrap/>
          </w:tcPr>
          <w:p w14:paraId="0EB5C799"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6EB6E696"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79B9020F"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18ECAD32" w14:textId="77777777" w:rsidTr="00313E1E">
        <w:tc>
          <w:tcPr>
            <w:tcW w:w="1286" w:type="dxa"/>
            <w:shd w:val="clear" w:color="auto" w:fill="auto"/>
            <w:noWrap/>
            <w:hideMark/>
          </w:tcPr>
          <w:p w14:paraId="5B027F30"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2801</w:t>
            </w:r>
          </w:p>
        </w:tc>
        <w:tc>
          <w:tcPr>
            <w:tcW w:w="2962" w:type="dxa"/>
            <w:shd w:val="clear" w:color="auto" w:fill="auto"/>
            <w:noWrap/>
            <w:hideMark/>
          </w:tcPr>
          <w:p w14:paraId="09D63BD8"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pain medicine following referral of the patient to him or her by a referring practitioner--initial attendance in a single course of treatment</w:t>
            </w:r>
          </w:p>
        </w:tc>
        <w:tc>
          <w:tcPr>
            <w:tcW w:w="1277" w:type="dxa"/>
            <w:shd w:val="clear" w:color="auto" w:fill="auto"/>
            <w:noWrap/>
          </w:tcPr>
          <w:p w14:paraId="7AC2740E"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10EB2BD5"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28FD4FD7"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3BFEF2EB" w14:textId="77777777" w:rsidTr="00313E1E">
        <w:tc>
          <w:tcPr>
            <w:tcW w:w="1286" w:type="dxa"/>
            <w:shd w:val="clear" w:color="auto" w:fill="auto"/>
            <w:noWrap/>
            <w:hideMark/>
          </w:tcPr>
          <w:p w14:paraId="4ABD1295"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2806</w:t>
            </w:r>
          </w:p>
        </w:tc>
        <w:tc>
          <w:tcPr>
            <w:tcW w:w="2962" w:type="dxa"/>
            <w:shd w:val="clear" w:color="auto" w:fill="auto"/>
            <w:noWrap/>
            <w:hideMark/>
          </w:tcPr>
          <w:p w14:paraId="527EB98A"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pain medicine following referral of the patient to him or her by a referring practitioner--each attendance (other than a service to which item 2814 applies) after the first in a single course of treatment</w:t>
            </w:r>
          </w:p>
        </w:tc>
        <w:tc>
          <w:tcPr>
            <w:tcW w:w="1277" w:type="dxa"/>
            <w:shd w:val="clear" w:color="auto" w:fill="auto"/>
            <w:noWrap/>
          </w:tcPr>
          <w:p w14:paraId="62A0D40C"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4EF3C64C"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790B27B3"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23F9DE94" w14:textId="77777777" w:rsidTr="00313E1E">
        <w:tc>
          <w:tcPr>
            <w:tcW w:w="1286" w:type="dxa"/>
            <w:shd w:val="clear" w:color="auto" w:fill="auto"/>
            <w:noWrap/>
            <w:hideMark/>
          </w:tcPr>
          <w:p w14:paraId="3EB9E2A2"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2814</w:t>
            </w:r>
          </w:p>
        </w:tc>
        <w:tc>
          <w:tcPr>
            <w:tcW w:w="2962" w:type="dxa"/>
            <w:shd w:val="clear" w:color="auto" w:fill="auto"/>
            <w:noWrap/>
            <w:hideMark/>
          </w:tcPr>
          <w:p w14:paraId="7C3842B4"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pain medicine following referral of the patient to him or her by a referring practitioner--each minor attendance after the first attendance in a single course of treatment</w:t>
            </w:r>
          </w:p>
        </w:tc>
        <w:tc>
          <w:tcPr>
            <w:tcW w:w="1277" w:type="dxa"/>
            <w:shd w:val="clear" w:color="auto" w:fill="auto"/>
            <w:noWrap/>
          </w:tcPr>
          <w:p w14:paraId="1563FC23"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37CC9139"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3DEC0EA0"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0A547A0B" w14:textId="77777777" w:rsidTr="00313E1E">
        <w:tc>
          <w:tcPr>
            <w:tcW w:w="1286" w:type="dxa"/>
            <w:shd w:val="clear" w:color="auto" w:fill="auto"/>
            <w:noWrap/>
            <w:hideMark/>
          </w:tcPr>
          <w:p w14:paraId="43DC8E0F"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2824</w:t>
            </w:r>
          </w:p>
        </w:tc>
        <w:tc>
          <w:tcPr>
            <w:tcW w:w="2962" w:type="dxa"/>
            <w:shd w:val="clear" w:color="auto" w:fill="auto"/>
            <w:noWrap/>
            <w:hideMark/>
          </w:tcPr>
          <w:p w14:paraId="7F42BB6C"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pain medicine following referral of the patient to him or her by a referring practitioner--initial attendance in a single course of treatment</w:t>
            </w:r>
          </w:p>
        </w:tc>
        <w:tc>
          <w:tcPr>
            <w:tcW w:w="1277" w:type="dxa"/>
            <w:shd w:val="clear" w:color="auto" w:fill="auto"/>
            <w:noWrap/>
          </w:tcPr>
          <w:p w14:paraId="3E1D269B"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7F5ED242"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73B538E4"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625E8466" w14:textId="77777777" w:rsidTr="00313E1E">
        <w:tc>
          <w:tcPr>
            <w:tcW w:w="1286" w:type="dxa"/>
            <w:shd w:val="clear" w:color="auto" w:fill="auto"/>
            <w:noWrap/>
            <w:hideMark/>
          </w:tcPr>
          <w:p w14:paraId="65DAAB2C"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2832</w:t>
            </w:r>
          </w:p>
        </w:tc>
        <w:tc>
          <w:tcPr>
            <w:tcW w:w="2962" w:type="dxa"/>
            <w:shd w:val="clear" w:color="auto" w:fill="auto"/>
            <w:noWrap/>
            <w:hideMark/>
          </w:tcPr>
          <w:p w14:paraId="10E59326"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pain medicine following referral of the patient to him or her by a referring practitioner--each attendance (other than a service to which item 2840 applies) after the first in a single course of treatment</w:t>
            </w:r>
          </w:p>
        </w:tc>
        <w:tc>
          <w:tcPr>
            <w:tcW w:w="1277" w:type="dxa"/>
            <w:shd w:val="clear" w:color="auto" w:fill="auto"/>
            <w:noWrap/>
          </w:tcPr>
          <w:p w14:paraId="524ADC50"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1CF2DC28"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2BF49E02"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44C3C192" w14:textId="77777777" w:rsidTr="00313E1E">
        <w:tc>
          <w:tcPr>
            <w:tcW w:w="1286" w:type="dxa"/>
            <w:shd w:val="clear" w:color="auto" w:fill="auto"/>
            <w:noWrap/>
            <w:hideMark/>
          </w:tcPr>
          <w:p w14:paraId="5F0A1671"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2840</w:t>
            </w:r>
          </w:p>
        </w:tc>
        <w:tc>
          <w:tcPr>
            <w:tcW w:w="2962" w:type="dxa"/>
            <w:shd w:val="clear" w:color="auto" w:fill="auto"/>
            <w:noWrap/>
            <w:hideMark/>
          </w:tcPr>
          <w:p w14:paraId="210BE1A4"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pain medicine following referral of the patient to him or her by a referring practitioner--each minor attendance after the first attendance in a single course of treatment</w:t>
            </w:r>
          </w:p>
        </w:tc>
        <w:tc>
          <w:tcPr>
            <w:tcW w:w="1277" w:type="dxa"/>
            <w:shd w:val="clear" w:color="auto" w:fill="auto"/>
            <w:noWrap/>
          </w:tcPr>
          <w:p w14:paraId="5FDC1C54"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1A37B4DC"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66221670"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563D698B" w14:textId="77777777" w:rsidTr="00313E1E">
        <w:tc>
          <w:tcPr>
            <w:tcW w:w="1286" w:type="dxa"/>
            <w:shd w:val="clear" w:color="auto" w:fill="auto"/>
            <w:noWrap/>
            <w:hideMark/>
          </w:tcPr>
          <w:p w14:paraId="24E5D3AF"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3005</w:t>
            </w:r>
          </w:p>
        </w:tc>
        <w:tc>
          <w:tcPr>
            <w:tcW w:w="2962" w:type="dxa"/>
            <w:shd w:val="clear" w:color="auto" w:fill="auto"/>
            <w:noWrap/>
            <w:hideMark/>
          </w:tcPr>
          <w:p w14:paraId="1FF6ABA8"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palliative medicine following referral of the patient to him or her by a referring practitioner--initial attendance in a single course of treatment</w:t>
            </w:r>
          </w:p>
        </w:tc>
        <w:tc>
          <w:tcPr>
            <w:tcW w:w="1277" w:type="dxa"/>
            <w:shd w:val="clear" w:color="auto" w:fill="auto"/>
            <w:noWrap/>
          </w:tcPr>
          <w:p w14:paraId="5523FFA8"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6113AFA3"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4B45F7BA"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7634E01A" w14:textId="77777777" w:rsidTr="00313E1E">
        <w:tc>
          <w:tcPr>
            <w:tcW w:w="1286" w:type="dxa"/>
            <w:shd w:val="clear" w:color="auto" w:fill="auto"/>
            <w:noWrap/>
            <w:hideMark/>
          </w:tcPr>
          <w:p w14:paraId="0D06E492"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3010</w:t>
            </w:r>
          </w:p>
        </w:tc>
        <w:tc>
          <w:tcPr>
            <w:tcW w:w="2962" w:type="dxa"/>
            <w:shd w:val="clear" w:color="auto" w:fill="auto"/>
            <w:noWrap/>
            <w:hideMark/>
          </w:tcPr>
          <w:p w14:paraId="5C7B7E2B"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palliative medicine following referral of the patient to him or her by a referring practitioner--each attendance (other than a service to which item 3014 applies) after the first in a single course of treatment</w:t>
            </w:r>
          </w:p>
        </w:tc>
        <w:tc>
          <w:tcPr>
            <w:tcW w:w="1277" w:type="dxa"/>
            <w:shd w:val="clear" w:color="auto" w:fill="auto"/>
            <w:noWrap/>
          </w:tcPr>
          <w:p w14:paraId="08A41C41"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1ADC9AEB"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1C2FF0C8"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216EC720" w14:textId="77777777" w:rsidTr="00313E1E">
        <w:tc>
          <w:tcPr>
            <w:tcW w:w="1286" w:type="dxa"/>
            <w:shd w:val="clear" w:color="auto" w:fill="auto"/>
            <w:noWrap/>
            <w:hideMark/>
          </w:tcPr>
          <w:p w14:paraId="65862F2B"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3014</w:t>
            </w:r>
          </w:p>
        </w:tc>
        <w:tc>
          <w:tcPr>
            <w:tcW w:w="2962" w:type="dxa"/>
            <w:shd w:val="clear" w:color="auto" w:fill="auto"/>
            <w:noWrap/>
            <w:hideMark/>
          </w:tcPr>
          <w:p w14:paraId="67CC69D9"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consulting rooms or hospital by a specialist, or consultant physician, in the practice of his or her specialty of palliative medicine following referral of the patient to him or her by a referring practitioner--each minor attendance after the first attendance in a single course of treatment</w:t>
            </w:r>
          </w:p>
        </w:tc>
        <w:tc>
          <w:tcPr>
            <w:tcW w:w="1277" w:type="dxa"/>
            <w:shd w:val="clear" w:color="auto" w:fill="auto"/>
            <w:noWrap/>
          </w:tcPr>
          <w:p w14:paraId="280592E2"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78E0B4E6"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5F88E2B9"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23ACE42C" w14:textId="77777777" w:rsidTr="00313E1E">
        <w:tc>
          <w:tcPr>
            <w:tcW w:w="1286" w:type="dxa"/>
            <w:shd w:val="clear" w:color="auto" w:fill="auto"/>
            <w:noWrap/>
            <w:hideMark/>
          </w:tcPr>
          <w:p w14:paraId="31D9CA07"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3018</w:t>
            </w:r>
          </w:p>
        </w:tc>
        <w:tc>
          <w:tcPr>
            <w:tcW w:w="2962" w:type="dxa"/>
            <w:shd w:val="clear" w:color="auto" w:fill="auto"/>
            <w:noWrap/>
            <w:hideMark/>
          </w:tcPr>
          <w:p w14:paraId="0B283940"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palliative medicine following referral of the patient to him or her by a referring practitioner--initial attendance in a single course of treatment</w:t>
            </w:r>
          </w:p>
        </w:tc>
        <w:tc>
          <w:tcPr>
            <w:tcW w:w="1277" w:type="dxa"/>
            <w:shd w:val="clear" w:color="auto" w:fill="auto"/>
            <w:noWrap/>
          </w:tcPr>
          <w:p w14:paraId="21290366"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3D742DE8"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2D11EC8F"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4689C5CB" w14:textId="77777777" w:rsidTr="00313E1E">
        <w:tc>
          <w:tcPr>
            <w:tcW w:w="1286" w:type="dxa"/>
            <w:shd w:val="clear" w:color="auto" w:fill="auto"/>
            <w:noWrap/>
            <w:hideMark/>
          </w:tcPr>
          <w:p w14:paraId="3ABA24A1"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3023</w:t>
            </w:r>
          </w:p>
        </w:tc>
        <w:tc>
          <w:tcPr>
            <w:tcW w:w="2962" w:type="dxa"/>
            <w:shd w:val="clear" w:color="auto" w:fill="auto"/>
            <w:noWrap/>
            <w:hideMark/>
          </w:tcPr>
          <w:p w14:paraId="121C1A9E"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palliative medicine following referral of the patient to him or her by a referring practitioner--each attendance (other than a service to which item 3028 applies) after the first in a single course of treatment</w:t>
            </w:r>
          </w:p>
        </w:tc>
        <w:tc>
          <w:tcPr>
            <w:tcW w:w="1277" w:type="dxa"/>
            <w:shd w:val="clear" w:color="auto" w:fill="auto"/>
            <w:noWrap/>
          </w:tcPr>
          <w:p w14:paraId="5B35E8FA"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3E37A6E5"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780A847E"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4D309918" w14:textId="77777777" w:rsidTr="00313E1E">
        <w:tc>
          <w:tcPr>
            <w:tcW w:w="1286" w:type="dxa"/>
            <w:shd w:val="clear" w:color="auto" w:fill="auto"/>
            <w:noWrap/>
            <w:hideMark/>
          </w:tcPr>
          <w:p w14:paraId="2E75C581"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3028</w:t>
            </w:r>
          </w:p>
        </w:tc>
        <w:tc>
          <w:tcPr>
            <w:tcW w:w="2962" w:type="dxa"/>
            <w:shd w:val="clear" w:color="auto" w:fill="auto"/>
            <w:noWrap/>
            <w:hideMark/>
          </w:tcPr>
          <w:p w14:paraId="7726A7A6"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hospital by a specialist, or consultant physician, in the practice of his or her specialty of palliative medicine following referral of the patient to him or her by a referring practitioner--each minor attendance after the first attendance in a single course of treatment</w:t>
            </w:r>
          </w:p>
        </w:tc>
        <w:tc>
          <w:tcPr>
            <w:tcW w:w="1277" w:type="dxa"/>
            <w:shd w:val="clear" w:color="auto" w:fill="auto"/>
            <w:noWrap/>
          </w:tcPr>
          <w:p w14:paraId="20FA7794"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43CA2E60"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3E61E8E6"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735CF26F" w14:textId="77777777" w:rsidTr="00313E1E">
        <w:tc>
          <w:tcPr>
            <w:tcW w:w="1286" w:type="dxa"/>
            <w:shd w:val="clear" w:color="auto" w:fill="auto"/>
            <w:noWrap/>
            <w:hideMark/>
          </w:tcPr>
          <w:p w14:paraId="5C6E09E1"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6007</w:t>
            </w:r>
          </w:p>
        </w:tc>
        <w:tc>
          <w:tcPr>
            <w:tcW w:w="2962" w:type="dxa"/>
            <w:shd w:val="clear" w:color="auto" w:fill="auto"/>
            <w:noWrap/>
            <w:hideMark/>
          </w:tcPr>
          <w:p w14:paraId="047DE69E"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neurosurgery following referral of the patient to him or her--an attendance (other than a second or subsequent attendance in a single course of treatment) at consulting rooms or hospital</w:t>
            </w:r>
          </w:p>
        </w:tc>
        <w:tc>
          <w:tcPr>
            <w:tcW w:w="1277" w:type="dxa"/>
            <w:shd w:val="clear" w:color="auto" w:fill="auto"/>
            <w:noWrap/>
          </w:tcPr>
          <w:p w14:paraId="6D04E1C2"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6F55CFAD"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4A0D17F5"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73214CAB" w14:textId="77777777" w:rsidTr="00313E1E">
        <w:tc>
          <w:tcPr>
            <w:tcW w:w="1286" w:type="dxa"/>
            <w:shd w:val="clear" w:color="auto" w:fill="auto"/>
            <w:noWrap/>
            <w:hideMark/>
          </w:tcPr>
          <w:p w14:paraId="4FCD83C2"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6009</w:t>
            </w:r>
          </w:p>
        </w:tc>
        <w:tc>
          <w:tcPr>
            <w:tcW w:w="2962" w:type="dxa"/>
            <w:shd w:val="clear" w:color="auto" w:fill="auto"/>
            <w:noWrap/>
            <w:hideMark/>
          </w:tcPr>
          <w:p w14:paraId="1A449800"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neurosurgery following referral of the patient to him or her--a minor attendance after the first in a single course of treatment at consulting rooms or hospital</w:t>
            </w:r>
          </w:p>
        </w:tc>
        <w:tc>
          <w:tcPr>
            <w:tcW w:w="1277" w:type="dxa"/>
            <w:shd w:val="clear" w:color="auto" w:fill="auto"/>
            <w:noWrap/>
          </w:tcPr>
          <w:p w14:paraId="5487E867"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7CEB9E4B"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76248C25"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1CDE1A08" w14:textId="77777777" w:rsidTr="00313E1E">
        <w:tc>
          <w:tcPr>
            <w:tcW w:w="1286" w:type="dxa"/>
            <w:shd w:val="clear" w:color="auto" w:fill="auto"/>
            <w:noWrap/>
            <w:hideMark/>
          </w:tcPr>
          <w:p w14:paraId="5F87253E"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6011</w:t>
            </w:r>
          </w:p>
        </w:tc>
        <w:tc>
          <w:tcPr>
            <w:tcW w:w="2962" w:type="dxa"/>
            <w:shd w:val="clear" w:color="auto" w:fill="auto"/>
            <w:noWrap/>
            <w:hideMark/>
          </w:tcPr>
          <w:p w14:paraId="5EACB5BB"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neurosurgery following referral of the patient to him or her--an attendance after the first in a single course of treatment, involving an extensive and comprehensive examination, arranging any necessary investigations in relation to one or more complex problems and of more than 15 minutes in duration but not more than 30 minutes in duration at consulting rooms or hospital</w:t>
            </w:r>
          </w:p>
        </w:tc>
        <w:tc>
          <w:tcPr>
            <w:tcW w:w="1277" w:type="dxa"/>
            <w:shd w:val="clear" w:color="auto" w:fill="auto"/>
            <w:noWrap/>
          </w:tcPr>
          <w:p w14:paraId="22C4AA97"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6DD12CA8"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0CAB2604"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541207A2" w14:textId="77777777" w:rsidTr="00313E1E">
        <w:tc>
          <w:tcPr>
            <w:tcW w:w="1286" w:type="dxa"/>
            <w:shd w:val="clear" w:color="auto" w:fill="auto"/>
            <w:noWrap/>
            <w:hideMark/>
          </w:tcPr>
          <w:p w14:paraId="0F996FB0"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6013</w:t>
            </w:r>
          </w:p>
        </w:tc>
        <w:tc>
          <w:tcPr>
            <w:tcW w:w="2962" w:type="dxa"/>
            <w:shd w:val="clear" w:color="auto" w:fill="auto"/>
            <w:noWrap/>
            <w:hideMark/>
          </w:tcPr>
          <w:p w14:paraId="0C5E710E"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neurosurgery following referral of the patient to him or her--an attendance after the first in a single course of treatment, involving a detailed and comprehensive examination, arranging any necessary investigations in relation to one or more complex problems and of more than 30 minutes in duration but not more than 45 minutes in duration at consulting rooms or hospital</w:t>
            </w:r>
          </w:p>
        </w:tc>
        <w:tc>
          <w:tcPr>
            <w:tcW w:w="1277" w:type="dxa"/>
            <w:shd w:val="clear" w:color="auto" w:fill="auto"/>
            <w:noWrap/>
          </w:tcPr>
          <w:p w14:paraId="1E23EFD1"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63B3F493"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09BA8878"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5DFD492F" w14:textId="77777777" w:rsidTr="00313E1E">
        <w:tc>
          <w:tcPr>
            <w:tcW w:w="1286" w:type="dxa"/>
            <w:shd w:val="clear" w:color="auto" w:fill="auto"/>
            <w:noWrap/>
            <w:hideMark/>
          </w:tcPr>
          <w:p w14:paraId="52BBB9DA"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6015</w:t>
            </w:r>
          </w:p>
        </w:tc>
        <w:tc>
          <w:tcPr>
            <w:tcW w:w="2962" w:type="dxa"/>
            <w:shd w:val="clear" w:color="auto" w:fill="auto"/>
            <w:noWrap/>
            <w:hideMark/>
          </w:tcPr>
          <w:p w14:paraId="06D5BE89"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specialist in the practice of neurosurgery following referral of the patient to him or her--an attendance after the first in a single course of treatment, involving an exhaustive and comprehensive examination, arranging any necessary investigations in relation to one or more complex problems and of more than 45 minutes in duration at consulting rooms or hospital</w:t>
            </w:r>
          </w:p>
        </w:tc>
        <w:tc>
          <w:tcPr>
            <w:tcW w:w="1277" w:type="dxa"/>
            <w:shd w:val="clear" w:color="auto" w:fill="auto"/>
            <w:noWrap/>
          </w:tcPr>
          <w:p w14:paraId="50FB352E"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50341461"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78FEB1F0"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66AA42CD" w14:textId="77777777" w:rsidTr="00313E1E">
        <w:tc>
          <w:tcPr>
            <w:tcW w:w="1286" w:type="dxa"/>
            <w:shd w:val="clear" w:color="auto" w:fill="auto"/>
            <w:noWrap/>
          </w:tcPr>
          <w:p w14:paraId="58ED79CC"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6018</w:t>
            </w:r>
          </w:p>
        </w:tc>
        <w:tc>
          <w:tcPr>
            <w:tcW w:w="2962" w:type="dxa"/>
            <w:shd w:val="clear" w:color="auto" w:fill="auto"/>
            <w:noWrap/>
          </w:tcPr>
          <w:p w14:paraId="29666C44"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an addiction medicine specialist in the practice of his or her specialty following referral of the patient to him or her by a referring practitioner, if the attendance: (a) includes a comprehensive assessment; and (b) is the first or only time in a single course of treatment that a comprehensive assessment is provided</w:t>
            </w:r>
          </w:p>
        </w:tc>
        <w:tc>
          <w:tcPr>
            <w:tcW w:w="1277" w:type="dxa"/>
            <w:shd w:val="clear" w:color="auto" w:fill="auto"/>
            <w:noWrap/>
          </w:tcPr>
          <w:p w14:paraId="5954286B"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0C9F8829"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5F3746F6"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6BF25C9D" w14:textId="77777777" w:rsidTr="00313E1E">
        <w:tc>
          <w:tcPr>
            <w:tcW w:w="1286" w:type="dxa"/>
            <w:shd w:val="clear" w:color="auto" w:fill="auto"/>
            <w:noWrap/>
          </w:tcPr>
          <w:p w14:paraId="2CD1A0D8"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6019</w:t>
            </w:r>
          </w:p>
        </w:tc>
        <w:tc>
          <w:tcPr>
            <w:tcW w:w="2962" w:type="dxa"/>
            <w:shd w:val="clear" w:color="auto" w:fill="auto"/>
            <w:noWrap/>
          </w:tcPr>
          <w:p w14:paraId="0114474E"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an addiction medicine specialist in the practice of his or her specialty following referral of the patient to him or her by a referring practitioner, if the attendance is a patient assessment: (a) before or after a comprehensive assessment under item 6018 in a single course of treatment; or (b) that follows an initial assessment under item 6023 in a single course of treatment; or (c) that follows a review under item 6024 in a single course of treatment</w:t>
            </w:r>
          </w:p>
        </w:tc>
        <w:tc>
          <w:tcPr>
            <w:tcW w:w="1277" w:type="dxa"/>
            <w:shd w:val="clear" w:color="auto" w:fill="auto"/>
            <w:noWrap/>
          </w:tcPr>
          <w:p w14:paraId="02001DBB"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598150B8"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51029A9D"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28BCB434" w14:textId="77777777" w:rsidTr="00313E1E">
        <w:tc>
          <w:tcPr>
            <w:tcW w:w="1286" w:type="dxa"/>
            <w:shd w:val="clear" w:color="auto" w:fill="auto"/>
            <w:noWrap/>
          </w:tcPr>
          <w:p w14:paraId="4BD7DC3C"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6051</w:t>
            </w:r>
          </w:p>
        </w:tc>
        <w:tc>
          <w:tcPr>
            <w:tcW w:w="2962" w:type="dxa"/>
            <w:shd w:val="clear" w:color="auto" w:fill="auto"/>
            <w:noWrap/>
          </w:tcPr>
          <w:p w14:paraId="3328C489"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sexual health medicine specialist in the practice of his or her specialty following referral of the patient to him or her by a referring practitioner, if the attendance: (a) includes a comprehensive assessment; and (b) is the first or only time in a single course of treatment that a comprehensive assessment is provided</w:t>
            </w:r>
          </w:p>
        </w:tc>
        <w:tc>
          <w:tcPr>
            <w:tcW w:w="1277" w:type="dxa"/>
            <w:shd w:val="clear" w:color="auto" w:fill="auto"/>
            <w:noWrap/>
          </w:tcPr>
          <w:p w14:paraId="3E089456"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6A2F758A"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39BD2838"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0E3F6DC5" w14:textId="77777777" w:rsidTr="00313E1E">
        <w:tc>
          <w:tcPr>
            <w:tcW w:w="1286" w:type="dxa"/>
            <w:shd w:val="clear" w:color="auto" w:fill="auto"/>
            <w:noWrap/>
          </w:tcPr>
          <w:p w14:paraId="6A59E9C8"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6052</w:t>
            </w:r>
          </w:p>
        </w:tc>
        <w:tc>
          <w:tcPr>
            <w:tcW w:w="2962" w:type="dxa"/>
            <w:shd w:val="clear" w:color="auto" w:fill="auto"/>
            <w:noWrap/>
          </w:tcPr>
          <w:p w14:paraId="166A9505"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sexual health medicine specialist in the practice of his or her specialty following referral of the patient to him or her by a referring practitioner, if the attendance is a patient assessment: (a) before or after a comprehensive assessment under item 6051 in a single course of treatment; or (b) that follows an initial assessment under item 6057 in a single course of treatment; or (c) that follows a review under item 6058 in a single course of treatment</w:t>
            </w:r>
          </w:p>
        </w:tc>
        <w:tc>
          <w:tcPr>
            <w:tcW w:w="1277" w:type="dxa"/>
            <w:shd w:val="clear" w:color="auto" w:fill="auto"/>
            <w:noWrap/>
          </w:tcPr>
          <w:p w14:paraId="11E3A1DB"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64C51B82"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78BD38F8"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77911A40" w14:textId="77777777" w:rsidTr="00313E1E">
        <w:tc>
          <w:tcPr>
            <w:tcW w:w="1286" w:type="dxa"/>
            <w:shd w:val="clear" w:color="auto" w:fill="auto"/>
            <w:noWrap/>
          </w:tcPr>
          <w:p w14:paraId="3262D2CB"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6062</w:t>
            </w:r>
          </w:p>
        </w:tc>
        <w:tc>
          <w:tcPr>
            <w:tcW w:w="2962" w:type="dxa"/>
            <w:shd w:val="clear" w:color="auto" w:fill="auto"/>
            <w:noWrap/>
          </w:tcPr>
          <w:p w14:paraId="143D8061"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a hospital by a sexual health medicine specialist in the practice of his or her specialty following referral of the patient to him or her by a referring practitioner--initial attendance in a single course of treatment</w:t>
            </w:r>
          </w:p>
        </w:tc>
        <w:tc>
          <w:tcPr>
            <w:tcW w:w="1277" w:type="dxa"/>
            <w:shd w:val="clear" w:color="auto" w:fill="auto"/>
            <w:noWrap/>
          </w:tcPr>
          <w:p w14:paraId="1672B96C"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4A400FD8"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16ACA05F"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0527D47C" w14:textId="77777777" w:rsidTr="00313E1E">
        <w:tc>
          <w:tcPr>
            <w:tcW w:w="1286" w:type="dxa"/>
            <w:shd w:val="clear" w:color="auto" w:fill="auto"/>
            <w:noWrap/>
          </w:tcPr>
          <w:p w14:paraId="14A8FCDE"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6063</w:t>
            </w:r>
          </w:p>
        </w:tc>
        <w:tc>
          <w:tcPr>
            <w:tcW w:w="2962" w:type="dxa"/>
            <w:shd w:val="clear" w:color="auto" w:fill="auto"/>
            <w:noWrap/>
          </w:tcPr>
          <w:p w14:paraId="31F98E9E"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at a place other than consulting rooms or a hospital by a sexual health medicine specialist in the practice of his or her specialty following referral of the patient to him or her by a referring practitioner--each attendance after the attendance under item 6062 in a single course of treatment</w:t>
            </w:r>
          </w:p>
        </w:tc>
        <w:tc>
          <w:tcPr>
            <w:tcW w:w="1277" w:type="dxa"/>
            <w:shd w:val="clear" w:color="auto" w:fill="auto"/>
            <w:noWrap/>
          </w:tcPr>
          <w:p w14:paraId="4DE0FF31"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replace with time-tiered standard attendances</w:t>
            </w:r>
            <w:r w:rsidRPr="00C33C0B">
              <w:rPr>
                <w:rFonts w:ascii="Calibri" w:hAnsi="Calibri" w:cs="Calibri"/>
                <w:color w:val="000000"/>
                <w:sz w:val="17"/>
                <w:szCs w:val="17"/>
                <w:lang w:val="en-GB"/>
              </w:rPr>
              <w:t xml:space="preserve"> </w:t>
            </w:r>
          </w:p>
        </w:tc>
        <w:tc>
          <w:tcPr>
            <w:tcW w:w="1003" w:type="dxa"/>
            <w:shd w:val="clear" w:color="auto" w:fill="auto"/>
            <w:noWrap/>
          </w:tcPr>
          <w:p w14:paraId="4BAAD2B1"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w:t>
            </w:r>
            <w:r w:rsidRPr="00C33C0B">
              <w:rPr>
                <w:rFonts w:ascii="Calibri" w:hAnsi="Calibri" w:cs="Calibri"/>
                <w:color w:val="000000"/>
                <w:sz w:val="17"/>
                <w:szCs w:val="17"/>
                <w:lang w:val="en-GB"/>
              </w:rPr>
              <w:t xml:space="preserve"> </w:t>
            </w:r>
          </w:p>
        </w:tc>
        <w:tc>
          <w:tcPr>
            <w:tcW w:w="2823" w:type="dxa"/>
            <w:shd w:val="clear" w:color="auto" w:fill="auto"/>
            <w:noWrap/>
          </w:tcPr>
          <w:p w14:paraId="7361AC9C"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3FDFCBBA" w14:textId="77777777" w:rsidTr="00313E1E">
        <w:tc>
          <w:tcPr>
            <w:tcW w:w="1286" w:type="dxa"/>
            <w:shd w:val="clear" w:color="auto" w:fill="auto"/>
            <w:noWrap/>
          </w:tcPr>
          <w:p w14:paraId="640F5D9B"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Recommendation 2</w:t>
            </w:r>
          </w:p>
        </w:tc>
        <w:tc>
          <w:tcPr>
            <w:tcW w:w="2962" w:type="dxa"/>
            <w:shd w:val="clear" w:color="auto" w:fill="auto"/>
            <w:noWrap/>
          </w:tcPr>
          <w:p w14:paraId="3C86E4DE"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Introduce new attendance items for acute, urgent and unplanned attendances</w:t>
            </w:r>
          </w:p>
        </w:tc>
        <w:tc>
          <w:tcPr>
            <w:tcW w:w="1277" w:type="dxa"/>
            <w:shd w:val="clear" w:color="auto" w:fill="auto"/>
            <w:noWrap/>
          </w:tcPr>
          <w:p w14:paraId="1E06DF29" w14:textId="77777777" w:rsidR="00313E1E"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 xml:space="preserve">Introduce the new items </w:t>
            </w:r>
          </w:p>
        </w:tc>
        <w:tc>
          <w:tcPr>
            <w:tcW w:w="1003" w:type="dxa"/>
            <w:shd w:val="clear" w:color="auto" w:fill="auto"/>
            <w:noWrap/>
          </w:tcPr>
          <w:p w14:paraId="08ABD874" w14:textId="77777777" w:rsidR="00313E1E"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There would be four new time-tiered attendance items which could only be used in specific situations where the attendance is acute, urgent, unplanned, and does not take place in consulting rooms or in the ED of a public hospital</w:t>
            </w:r>
          </w:p>
        </w:tc>
        <w:tc>
          <w:tcPr>
            <w:tcW w:w="2823" w:type="dxa"/>
            <w:shd w:val="clear" w:color="auto" w:fill="auto"/>
            <w:noWrap/>
          </w:tcPr>
          <w:p w14:paraId="439B823A" w14:textId="77777777" w:rsidR="00313E1E"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To reimburse acute, urgent and unplanned attendances at a fee higher than the schedule fee for standard time-tiered attendances of an equivalent duration, recognising that they may result in a consultant specialist postponing or cancelling a previously scheduled procedural risk, and that these attendances often involve multiple face-to-face patient interactions, conversations with other medical professionals and liaising with carers to access patient information</w:t>
            </w:r>
          </w:p>
        </w:tc>
      </w:tr>
      <w:tr w:rsidR="00313E1E" w:rsidRPr="00C33C0B" w14:paraId="7217E10D" w14:textId="77777777" w:rsidTr="00313E1E">
        <w:tc>
          <w:tcPr>
            <w:tcW w:w="1286" w:type="dxa"/>
            <w:shd w:val="clear" w:color="auto" w:fill="auto"/>
            <w:noWrap/>
          </w:tcPr>
          <w:p w14:paraId="0797848D" w14:textId="77777777" w:rsidR="00313E1E"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Recommendation 3</w:t>
            </w:r>
          </w:p>
        </w:tc>
        <w:tc>
          <w:tcPr>
            <w:tcW w:w="2962" w:type="dxa"/>
            <w:shd w:val="clear" w:color="auto" w:fill="auto"/>
            <w:noWrap/>
          </w:tcPr>
          <w:p w14:paraId="5AC4D0DD" w14:textId="77777777" w:rsidR="00313E1E"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Consider further issues when implementing time-tiering</w:t>
            </w:r>
          </w:p>
        </w:tc>
        <w:tc>
          <w:tcPr>
            <w:tcW w:w="1277" w:type="dxa"/>
            <w:shd w:val="clear" w:color="auto" w:fill="auto"/>
            <w:noWrap/>
          </w:tcPr>
          <w:p w14:paraId="4B8D9E9A" w14:textId="77777777" w:rsidR="00313E1E"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Consider: (a) collecting data on the duration of attendances across specialties, and activities performed; (b) using this data to model the impact of time-tiering on service volume and benefits; (c) investing in change management; (d) making the model simple; € adding a longer time tier should the need be identified; (f) regular reviews of items post-implementation; (g) making descriptors detailed to enable auditing; (h) harmonising time-tiers in the MBS that apply to other consultant specialists; and (i) setting time-tiers that reduce the incentive to claim a higher time-tier</w:t>
            </w:r>
          </w:p>
        </w:tc>
        <w:tc>
          <w:tcPr>
            <w:tcW w:w="1003" w:type="dxa"/>
            <w:shd w:val="clear" w:color="auto" w:fill="auto"/>
            <w:noWrap/>
          </w:tcPr>
          <w:p w14:paraId="130A5E81" w14:textId="77777777" w:rsidR="00313E1E"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Ensures that time-tiering is effective in achieving its goals</w:t>
            </w:r>
          </w:p>
        </w:tc>
        <w:tc>
          <w:tcPr>
            <w:tcW w:w="2823" w:type="dxa"/>
            <w:shd w:val="clear" w:color="auto" w:fill="auto"/>
            <w:noWrap/>
          </w:tcPr>
          <w:p w14:paraId="0FD82533" w14:textId="77777777" w:rsidR="00313E1E"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To ensure that relevant considerations are addressed when time-tiering is implemented</w:t>
            </w:r>
          </w:p>
        </w:tc>
      </w:tr>
      <w:tr w:rsidR="00313E1E" w:rsidRPr="00C33C0B" w14:paraId="38A150AE" w14:textId="77777777" w:rsidTr="00313E1E">
        <w:tc>
          <w:tcPr>
            <w:tcW w:w="1286" w:type="dxa"/>
            <w:shd w:val="clear" w:color="auto" w:fill="auto"/>
            <w:noWrap/>
          </w:tcPr>
          <w:p w14:paraId="1921B386" w14:textId="77777777" w:rsidR="00313E1E"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Recommendation 4</w:t>
            </w:r>
          </w:p>
        </w:tc>
        <w:tc>
          <w:tcPr>
            <w:tcW w:w="2962" w:type="dxa"/>
            <w:shd w:val="clear" w:color="auto" w:fill="auto"/>
            <w:noWrap/>
          </w:tcPr>
          <w:p w14:paraId="3CF0E2A3" w14:textId="77777777" w:rsidR="00313E1E"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Approach to fee-setting</w:t>
            </w:r>
          </w:p>
        </w:tc>
        <w:tc>
          <w:tcPr>
            <w:tcW w:w="1277" w:type="dxa"/>
            <w:shd w:val="clear" w:color="auto" w:fill="auto"/>
            <w:noWrap/>
          </w:tcPr>
          <w:p w14:paraId="00336195" w14:textId="77777777" w:rsidR="00313E1E"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Consider the approach to fee-setting, including building support for the principles of time-tiering before introducing schedule fees; ensuring a linear relationship between attendance time tiers and schedule fees from the outset; recognising the non-face-to-face time spent on each attendance; and recognising the lack of current data</w:t>
            </w:r>
          </w:p>
        </w:tc>
        <w:tc>
          <w:tcPr>
            <w:tcW w:w="1003" w:type="dxa"/>
            <w:shd w:val="clear" w:color="auto" w:fill="auto"/>
            <w:noWrap/>
          </w:tcPr>
          <w:p w14:paraId="4E3346DA" w14:textId="77777777" w:rsidR="00313E1E"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Ensure that fees are supported and appropriately reflect the new workload for clinicians</w:t>
            </w:r>
          </w:p>
        </w:tc>
        <w:tc>
          <w:tcPr>
            <w:tcW w:w="2823" w:type="dxa"/>
            <w:shd w:val="clear" w:color="auto" w:fill="auto"/>
            <w:noWrap/>
          </w:tcPr>
          <w:p w14:paraId="2031FC1B" w14:textId="77777777" w:rsidR="00313E1E"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To assist the fee setting process to set appropriate fees</w:t>
            </w:r>
          </w:p>
        </w:tc>
      </w:tr>
    </w:tbl>
    <w:p w14:paraId="1FA0F7E2" w14:textId="77777777" w:rsidR="00313E1E" w:rsidRPr="00C33C0B" w:rsidRDefault="00313E1E" w:rsidP="00313E1E">
      <w:pPr>
        <w:rPr>
          <w:lang w:val="en-GB"/>
        </w:rPr>
      </w:pPr>
    </w:p>
    <w:p w14:paraId="7D525651" w14:textId="77777777" w:rsidR="00313E1E" w:rsidRPr="00C33C0B" w:rsidRDefault="002355E9" w:rsidP="00313E1E">
      <w:pPr>
        <w:pStyle w:val="Heading2"/>
        <w:numPr>
          <w:ilvl w:val="0"/>
          <w:numId w:val="0"/>
        </w:numPr>
        <w:rPr>
          <w:lang w:val="en-GB"/>
        </w:rPr>
      </w:pPr>
      <w:bookmarkStart w:id="288" w:name="_Toc24544773"/>
      <w:r>
        <w:rPr>
          <w:lang w:val="en-GB"/>
        </w:rPr>
        <w:t>Table D</w:t>
      </w:r>
      <w:r w:rsidR="00313E1E">
        <w:rPr>
          <w:lang w:val="en-GB"/>
        </w:rPr>
        <w:t>.2</w:t>
      </w:r>
      <w:r w:rsidR="00313E1E" w:rsidRPr="00C33C0B">
        <w:rPr>
          <w:lang w:val="en-GB"/>
        </w:rPr>
        <w:t>. Complex management plans attendance items</w:t>
      </w:r>
      <w:bookmarkEnd w:id="288"/>
    </w:p>
    <w:tbl>
      <w:tblPr>
        <w:tblStyle w:val="TableGrid"/>
        <w:tblW w:w="486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Caption w:val="Appendix D - Complex management plans attendance items summary for consumers"/>
        <w:tblDescription w:val="Table D.2 is a 5 column table. Column 1 is the item number. Column 2 describes what the item does. Column 3 is the committee's recommendation. Column 4 describes what would be different about the item. Column 5 describes why it would be different. "/>
      </w:tblPr>
      <w:tblGrid>
        <w:gridCol w:w="422"/>
        <w:gridCol w:w="2976"/>
        <w:gridCol w:w="1559"/>
        <w:gridCol w:w="1275"/>
        <w:gridCol w:w="1843"/>
      </w:tblGrid>
      <w:tr w:rsidR="00313E1E" w:rsidRPr="00C33C0B" w14:paraId="008256C8" w14:textId="77777777" w:rsidTr="00313E1E">
        <w:trPr>
          <w:tblHeader/>
        </w:trPr>
        <w:tc>
          <w:tcPr>
            <w:tcW w:w="422" w:type="dxa"/>
            <w:shd w:val="clear" w:color="auto" w:fill="E36C0A" w:themeFill="accent6" w:themeFillShade="BF"/>
            <w:vAlign w:val="bottom"/>
            <w:hideMark/>
          </w:tcPr>
          <w:p w14:paraId="5AC64AA0" w14:textId="77777777" w:rsidR="00313E1E" w:rsidRPr="00C33C0B" w:rsidRDefault="00313E1E" w:rsidP="00313E1E">
            <w:pPr>
              <w:spacing w:before="20" w:after="20" w:line="240" w:lineRule="auto"/>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 xml:space="preserve">Item </w:t>
            </w:r>
          </w:p>
        </w:tc>
        <w:tc>
          <w:tcPr>
            <w:tcW w:w="2976" w:type="dxa"/>
            <w:shd w:val="clear" w:color="auto" w:fill="E36C0A" w:themeFill="accent6" w:themeFillShade="BF"/>
            <w:vAlign w:val="bottom"/>
            <w:hideMark/>
          </w:tcPr>
          <w:p w14:paraId="0429B6DE" w14:textId="77777777" w:rsidR="00313E1E" w:rsidRPr="00C33C0B" w:rsidRDefault="00313E1E" w:rsidP="00313E1E">
            <w:pPr>
              <w:spacing w:before="20" w:after="20" w:line="240" w:lineRule="auto"/>
              <w:rPr>
                <w:rFonts w:ascii="Calibri" w:hAnsi="Calibri" w:cs="Calibri"/>
                <w:b/>
                <w:color w:val="FFFFFF" w:themeColor="background1"/>
                <w:sz w:val="17"/>
                <w:szCs w:val="17"/>
                <w:lang w:val="en-GB"/>
              </w:rPr>
            </w:pPr>
            <w:r>
              <w:rPr>
                <w:rFonts w:ascii="Calibri" w:hAnsi="Calibri" w:cs="Calibri"/>
                <w:b/>
                <w:color w:val="FFFFFF" w:themeColor="background1"/>
                <w:sz w:val="17"/>
                <w:szCs w:val="17"/>
                <w:lang w:val="en-GB"/>
              </w:rPr>
              <w:t>What it does</w:t>
            </w:r>
          </w:p>
        </w:tc>
        <w:tc>
          <w:tcPr>
            <w:tcW w:w="1559" w:type="dxa"/>
            <w:shd w:val="clear" w:color="auto" w:fill="E36C0A" w:themeFill="accent6" w:themeFillShade="BF"/>
            <w:vAlign w:val="bottom"/>
            <w:hideMark/>
          </w:tcPr>
          <w:p w14:paraId="4F5914DA" w14:textId="77777777" w:rsidR="00313E1E" w:rsidRPr="00C33C0B" w:rsidRDefault="00313E1E" w:rsidP="00313E1E">
            <w:pPr>
              <w:spacing w:before="20" w:after="20" w:line="240" w:lineRule="auto"/>
              <w:rPr>
                <w:rFonts w:ascii="Calibri" w:hAnsi="Calibri" w:cs="Calibri"/>
                <w:b/>
                <w:color w:val="FFFFFF" w:themeColor="background1"/>
                <w:sz w:val="17"/>
                <w:szCs w:val="17"/>
                <w:lang w:val="en-GB"/>
              </w:rPr>
            </w:pPr>
            <w:r>
              <w:rPr>
                <w:rFonts w:ascii="Calibri" w:hAnsi="Calibri" w:cs="Calibri"/>
                <w:b/>
                <w:color w:val="FFFFFF" w:themeColor="background1"/>
                <w:sz w:val="17"/>
                <w:szCs w:val="17"/>
                <w:lang w:val="en-GB"/>
              </w:rPr>
              <w:t>Committee recommendation</w:t>
            </w:r>
          </w:p>
        </w:tc>
        <w:tc>
          <w:tcPr>
            <w:tcW w:w="1275" w:type="dxa"/>
            <w:shd w:val="clear" w:color="auto" w:fill="E36C0A" w:themeFill="accent6" w:themeFillShade="BF"/>
            <w:vAlign w:val="bottom"/>
            <w:hideMark/>
          </w:tcPr>
          <w:p w14:paraId="2781BD7F" w14:textId="77777777" w:rsidR="00313E1E" w:rsidRPr="00C33C0B" w:rsidRDefault="00313E1E" w:rsidP="00313E1E">
            <w:pPr>
              <w:spacing w:before="20" w:after="20" w:line="240" w:lineRule="auto"/>
              <w:rPr>
                <w:rFonts w:ascii="Calibri" w:hAnsi="Calibri" w:cs="Calibri"/>
                <w:b/>
                <w:color w:val="FFFFFF" w:themeColor="background1"/>
                <w:sz w:val="17"/>
                <w:szCs w:val="17"/>
                <w:lang w:val="en-GB"/>
              </w:rPr>
            </w:pPr>
            <w:r>
              <w:rPr>
                <w:rFonts w:ascii="Calibri" w:hAnsi="Calibri" w:cs="Calibri"/>
                <w:b/>
                <w:color w:val="FFFFFF" w:themeColor="background1"/>
                <w:sz w:val="17"/>
                <w:szCs w:val="17"/>
                <w:lang w:val="en-GB"/>
              </w:rPr>
              <w:t>What would be different</w:t>
            </w:r>
          </w:p>
        </w:tc>
        <w:tc>
          <w:tcPr>
            <w:tcW w:w="1843" w:type="dxa"/>
            <w:shd w:val="clear" w:color="auto" w:fill="E36C0A" w:themeFill="accent6" w:themeFillShade="BF"/>
            <w:vAlign w:val="bottom"/>
            <w:hideMark/>
          </w:tcPr>
          <w:p w14:paraId="374F83DC" w14:textId="77777777" w:rsidR="00313E1E" w:rsidRPr="00C33C0B" w:rsidRDefault="00313E1E" w:rsidP="00313E1E">
            <w:pPr>
              <w:spacing w:before="20" w:after="20" w:line="240" w:lineRule="auto"/>
              <w:rPr>
                <w:rFonts w:ascii="Calibri" w:hAnsi="Calibri" w:cs="Calibri"/>
                <w:b/>
                <w:color w:val="FFFFFF" w:themeColor="background1"/>
                <w:sz w:val="17"/>
                <w:szCs w:val="17"/>
                <w:lang w:val="en-GB"/>
              </w:rPr>
            </w:pPr>
            <w:r>
              <w:rPr>
                <w:rFonts w:ascii="Calibri" w:hAnsi="Calibri" w:cs="Calibri"/>
                <w:b/>
                <w:color w:val="FFFFFF" w:themeColor="background1"/>
                <w:sz w:val="17"/>
                <w:szCs w:val="17"/>
                <w:lang w:val="en-GB"/>
              </w:rPr>
              <w:t xml:space="preserve">Why </w:t>
            </w:r>
          </w:p>
        </w:tc>
      </w:tr>
      <w:tr w:rsidR="00313E1E" w:rsidRPr="00C33C0B" w14:paraId="55CAA558" w14:textId="77777777" w:rsidTr="00313E1E">
        <w:tc>
          <w:tcPr>
            <w:tcW w:w="422" w:type="dxa"/>
            <w:shd w:val="clear" w:color="auto" w:fill="auto"/>
            <w:noWrap/>
            <w:hideMark/>
          </w:tcPr>
          <w:p w14:paraId="2347F18D"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132</w:t>
            </w:r>
          </w:p>
        </w:tc>
        <w:tc>
          <w:tcPr>
            <w:tcW w:w="2976" w:type="dxa"/>
            <w:shd w:val="clear" w:color="auto" w:fill="auto"/>
            <w:noWrap/>
            <w:hideMark/>
          </w:tcPr>
          <w:p w14:paraId="1A0A7F39"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consultant physician in the practice of his or her specialty (other than psychiatry) of at least 45 minutes in duration for an initial assessment of a patient with at least 2 morbidities (which may include complex congenital, developmental and behavioural disorders) following referral of the patient to him or her by a referring practitioner, if: (a) an assessment is undertaken that covers: (i) a comprehensive history, including psychosocial history and medication review; and (ii) comprehensive multi or detailed single organ system assessment; and (iii) the formulation of differential diagnoses; and (b) a consultant physician treatment and management plan of significant complexity is prepared and provided to the referring practitioner, which involves: (i) an opinion on diagnosis and risk assessment; and (ii) treatment options and decisions; and (iii) medication recommendations; and (c) an attendance on the patient to which item 110, 116 or 119 applies did not take place on the same day by the same consultant physician; and (d) this item has not applied to an attendance on the patient in the preceding 12 months by the same consultant physician</w:t>
            </w:r>
          </w:p>
        </w:tc>
        <w:tc>
          <w:tcPr>
            <w:tcW w:w="1559" w:type="dxa"/>
            <w:shd w:val="clear" w:color="auto" w:fill="auto"/>
            <w:noWrap/>
          </w:tcPr>
          <w:p w14:paraId="1FBF7A40"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Complex plans to be claimed via standard time-tiered standard attendances</w:t>
            </w:r>
            <w:r w:rsidRPr="00C33C0B">
              <w:rPr>
                <w:rFonts w:ascii="Calibri" w:hAnsi="Calibri" w:cs="Calibri"/>
                <w:color w:val="000000"/>
                <w:sz w:val="17"/>
                <w:szCs w:val="17"/>
                <w:lang w:val="en-GB"/>
              </w:rPr>
              <w:t xml:space="preserve"> </w:t>
            </w:r>
          </w:p>
        </w:tc>
        <w:tc>
          <w:tcPr>
            <w:tcW w:w="1275" w:type="dxa"/>
            <w:shd w:val="clear" w:color="auto" w:fill="auto"/>
            <w:noWrap/>
          </w:tcPr>
          <w:p w14:paraId="0FC19E7D"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items and complex management plans attendance items</w:t>
            </w:r>
            <w:r w:rsidRPr="00C33C0B">
              <w:rPr>
                <w:rFonts w:ascii="Calibri" w:hAnsi="Calibri" w:cs="Calibri"/>
                <w:color w:val="000000"/>
                <w:sz w:val="17"/>
                <w:szCs w:val="17"/>
                <w:lang w:val="en-GB"/>
              </w:rPr>
              <w:t xml:space="preserve"> </w:t>
            </w:r>
          </w:p>
        </w:tc>
        <w:tc>
          <w:tcPr>
            <w:tcW w:w="1843" w:type="dxa"/>
            <w:shd w:val="clear" w:color="auto" w:fill="auto"/>
            <w:noWrap/>
          </w:tcPr>
          <w:p w14:paraId="11E9EA35"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6EEBF1F6" w14:textId="77777777" w:rsidTr="00313E1E">
        <w:tc>
          <w:tcPr>
            <w:tcW w:w="422" w:type="dxa"/>
            <w:shd w:val="clear" w:color="auto" w:fill="auto"/>
            <w:noWrap/>
            <w:hideMark/>
          </w:tcPr>
          <w:p w14:paraId="5A35F7FF"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133</w:t>
            </w:r>
          </w:p>
        </w:tc>
        <w:tc>
          <w:tcPr>
            <w:tcW w:w="2976" w:type="dxa"/>
            <w:shd w:val="clear" w:color="auto" w:fill="auto"/>
            <w:noWrap/>
            <w:hideMark/>
          </w:tcPr>
          <w:p w14:paraId="6377DDAE"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at least 20 minutes duration subsequent to the first attendance in a single course of treatment for a review of a patient with at least two morbidities (this can include complex congenital, developmental and behavioural disorders), where</w:t>
            </w:r>
            <w:r>
              <w:rPr>
                <w:rFonts w:ascii="Calibri" w:hAnsi="Calibri" w:cs="Calibri"/>
                <w:color w:val="000000"/>
                <w:sz w:val="17"/>
                <w:szCs w:val="17"/>
                <w:lang w:val="en-GB"/>
              </w:rPr>
              <w:t xml:space="preserve"> </w:t>
            </w:r>
            <w:r w:rsidRPr="00C33C0B">
              <w:rPr>
                <w:rFonts w:ascii="Calibri" w:hAnsi="Calibri" w:cs="Calibri"/>
                <w:color w:val="000000"/>
                <w:sz w:val="17"/>
                <w:szCs w:val="17"/>
                <w:lang w:val="en-GB"/>
              </w:rPr>
              <w:t>a) a review is undertaken that covers:- review of initial presenting problem/s and results of diagnostic investigations- review of responses to treatment and medication plans initiated at time of initial consultation comprehensive multi or detailed single organ system assessment,- review of original and differential diagnoses; and b) a modified consultant physician treatment and management plan is provided to the referring practitioner that involves, where appropriate:- a revised opinion on the diagnosis and risk assessment - treatment options and decisions- revised medication recommendations not being an attendance on a patient in respect of whom, an attendance under item 110, 116 and 119 has been received on the same day by the same consultant physician or locum tenens. being an attendance on a patient in respect of whom, in the preceding 12 months, payment has been made under item 132. item 133 can be provided by either the same consultant physician or a locum tenens. payable no more than twice in any 12 month period.</w:t>
            </w:r>
          </w:p>
        </w:tc>
        <w:tc>
          <w:tcPr>
            <w:tcW w:w="1559" w:type="dxa"/>
            <w:shd w:val="clear" w:color="auto" w:fill="auto"/>
            <w:noWrap/>
          </w:tcPr>
          <w:p w14:paraId="08805992"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Complex plans to be claimed via standard time-tiered standard attendances</w:t>
            </w:r>
            <w:r w:rsidRPr="00C33C0B">
              <w:rPr>
                <w:rFonts w:ascii="Calibri" w:hAnsi="Calibri" w:cs="Calibri"/>
                <w:color w:val="000000"/>
                <w:sz w:val="17"/>
                <w:szCs w:val="17"/>
                <w:lang w:val="en-GB"/>
              </w:rPr>
              <w:t xml:space="preserve"> </w:t>
            </w:r>
          </w:p>
        </w:tc>
        <w:tc>
          <w:tcPr>
            <w:tcW w:w="1275" w:type="dxa"/>
            <w:shd w:val="clear" w:color="auto" w:fill="auto"/>
            <w:noWrap/>
          </w:tcPr>
          <w:p w14:paraId="3EF8E518"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items and complex management plans attendance items</w:t>
            </w:r>
            <w:r w:rsidRPr="00C33C0B">
              <w:rPr>
                <w:rFonts w:ascii="Calibri" w:hAnsi="Calibri" w:cs="Calibri"/>
                <w:color w:val="000000"/>
                <w:sz w:val="17"/>
                <w:szCs w:val="17"/>
                <w:lang w:val="en-GB"/>
              </w:rPr>
              <w:t xml:space="preserve"> </w:t>
            </w:r>
          </w:p>
        </w:tc>
        <w:tc>
          <w:tcPr>
            <w:tcW w:w="1843" w:type="dxa"/>
            <w:shd w:val="clear" w:color="auto" w:fill="auto"/>
            <w:noWrap/>
          </w:tcPr>
          <w:p w14:paraId="6D79A641"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241821A5" w14:textId="77777777" w:rsidTr="00313E1E">
        <w:tc>
          <w:tcPr>
            <w:tcW w:w="422" w:type="dxa"/>
            <w:shd w:val="clear" w:color="auto" w:fill="auto"/>
            <w:noWrap/>
            <w:hideMark/>
          </w:tcPr>
          <w:p w14:paraId="6CAE6F5D"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135</w:t>
            </w:r>
          </w:p>
        </w:tc>
        <w:tc>
          <w:tcPr>
            <w:tcW w:w="2976" w:type="dxa"/>
            <w:shd w:val="clear" w:color="auto" w:fill="auto"/>
            <w:noWrap/>
            <w:hideMark/>
          </w:tcPr>
          <w:p w14:paraId="7AF32C81"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at least 45 minutes in duration at consulting rooms or hospital, by a consultant physician in the practice of his or her specialty of paediatrics, following referral of the patient to the consultant by a referring practitioner, for assessment, diagnosis and preparation of a treatment and management plan for a patient aged under 13 years with autism or another pervasive developmental disorder, if the consultant paediatrician does all of the following: (a) undertakes a comprehensive assessment and makes a diagnosis (if appropriate, using information provided by an eligible allied health provider); (b) develops a treatment and management plan, which must include the following: (i) an assessment and diagnosis of the patient's condition; (ii) a risk assessment; (iii) treatment options and decisions; (iv) if necessary—medical recommendations; (c) provides a copy of the treatment and management plan to: (i) the referring practitioner; and (ii) one or more allied health providers, if appropriate, for the treatment of the patient;(other than attendance on a patient for whom payment has previously been made under this item or item 137, 139 or 289)</w:t>
            </w:r>
          </w:p>
        </w:tc>
        <w:tc>
          <w:tcPr>
            <w:tcW w:w="1559" w:type="dxa"/>
            <w:shd w:val="clear" w:color="auto" w:fill="auto"/>
            <w:noWrap/>
          </w:tcPr>
          <w:p w14:paraId="5DFF5C74"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Change item descriptor to ensure paediatric complex plans are performed by a consultant paediatrician including an assessment ‘</w:t>
            </w:r>
            <w:r w:rsidRPr="00D609C7">
              <w:rPr>
                <w:rFonts w:ascii="Calibri" w:hAnsi="Calibri" w:cs="Calibri"/>
                <w:i/>
                <w:color w:val="000000"/>
                <w:sz w:val="17"/>
                <w:szCs w:val="17"/>
                <w:lang w:val="en-GB"/>
              </w:rPr>
              <w:t>for the purposes of making a diagnosis</w:t>
            </w:r>
            <w:r>
              <w:rPr>
                <w:rFonts w:ascii="Calibri" w:hAnsi="Calibri" w:cs="Calibri"/>
                <w:i/>
                <w:color w:val="000000"/>
                <w:sz w:val="17"/>
                <w:szCs w:val="17"/>
                <w:lang w:val="en-GB"/>
              </w:rPr>
              <w:t>’</w:t>
            </w:r>
            <w:r>
              <w:rPr>
                <w:rFonts w:ascii="Calibri" w:hAnsi="Calibri" w:cs="Calibri"/>
                <w:color w:val="000000"/>
                <w:sz w:val="17"/>
                <w:szCs w:val="17"/>
                <w:lang w:val="en-GB"/>
              </w:rPr>
              <w:t xml:space="preserve"> of the patient’s condition</w:t>
            </w:r>
          </w:p>
        </w:tc>
        <w:tc>
          <w:tcPr>
            <w:tcW w:w="1275" w:type="dxa"/>
            <w:shd w:val="clear" w:color="auto" w:fill="auto"/>
            <w:noWrap/>
          </w:tcPr>
          <w:p w14:paraId="288AB744"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w:t>
            </w:r>
            <w:r>
              <w:rPr>
                <w:rFonts w:ascii="Calibri" w:hAnsi="Calibri" w:cs="Calibri"/>
                <w:color w:val="000000"/>
                <w:sz w:val="17"/>
                <w:szCs w:val="17"/>
                <w:lang w:val="en-GB"/>
              </w:rPr>
              <w:t>The item for paediatric complex plans remains in place with a strengthened descriptor</w:t>
            </w:r>
          </w:p>
        </w:tc>
        <w:tc>
          <w:tcPr>
            <w:tcW w:w="1843" w:type="dxa"/>
            <w:shd w:val="clear" w:color="auto" w:fill="auto"/>
            <w:noWrap/>
          </w:tcPr>
          <w:p w14:paraId="6CA57F78"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To allow appropriate access to paediatric complex plan items and their associated AHP services for appropriate patients, including children with fetal alcohol spectrum disorder and other complex neurodevelopmental disorders</w:t>
            </w:r>
          </w:p>
        </w:tc>
      </w:tr>
      <w:tr w:rsidR="00313E1E" w:rsidRPr="00C33C0B" w14:paraId="68AA92F1" w14:textId="77777777" w:rsidTr="00313E1E">
        <w:tc>
          <w:tcPr>
            <w:tcW w:w="422" w:type="dxa"/>
            <w:shd w:val="clear" w:color="auto" w:fill="auto"/>
            <w:noWrap/>
            <w:hideMark/>
          </w:tcPr>
          <w:p w14:paraId="4CCF84F1"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137</w:t>
            </w:r>
          </w:p>
        </w:tc>
        <w:tc>
          <w:tcPr>
            <w:tcW w:w="2976" w:type="dxa"/>
            <w:shd w:val="clear" w:color="auto" w:fill="auto"/>
            <w:noWrap/>
            <w:hideMark/>
          </w:tcPr>
          <w:p w14:paraId="502BEEC3"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Specialist or consultant physician, referred consultation for assessment, diagnosis and development of a treatment and management plan for a child with an eligible disability - surgery or hospital professional attendance of at least 45 minutes duration, at consulting rooms or hospital, by a specialist or consultant physician, for assessment, diagnosis and the preparation of a treatment and management plan for a child aged under 13 years, with an eligible disability, who has been referred to the specialist or consultant physician by a referring practitioner, if the specialist or consultant physician does the following:(a) undertakes a comprehensive assessment of the child and forms a diagnosis (using the assistance of one or more allied health providers where appropriate)(b) develops a treatment and management plan which must include the following: (i) the outcomes of the assessment; (ii) the diagnosis or diagnoses; (iii) opinion on risk assessment; (iv) treatment options and decisions; (v) appropriate medication recommendations, where necessary.(c) provides a copy of the treatment and management plan to the: (i) referring practitioner; and (ii) relevant allied health providers (where appropriate).not being an attendance on a child in respect of whom payment has previously been made under this item or items 135, 139 or 289.</w:t>
            </w:r>
          </w:p>
        </w:tc>
        <w:tc>
          <w:tcPr>
            <w:tcW w:w="1559" w:type="dxa"/>
            <w:shd w:val="clear" w:color="auto" w:fill="auto"/>
            <w:noWrap/>
          </w:tcPr>
          <w:p w14:paraId="4073872E"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Change item descriptor to ensure paediatric complex plans are performed by a consultant paediatrician including an assessment ‘</w:t>
            </w:r>
            <w:r w:rsidRPr="00D609C7">
              <w:rPr>
                <w:rFonts w:ascii="Calibri" w:hAnsi="Calibri" w:cs="Calibri"/>
                <w:i/>
                <w:color w:val="000000"/>
                <w:sz w:val="17"/>
                <w:szCs w:val="17"/>
                <w:lang w:val="en-GB"/>
              </w:rPr>
              <w:t>for the purposes of making a diagnosis</w:t>
            </w:r>
            <w:r>
              <w:rPr>
                <w:rFonts w:ascii="Calibri" w:hAnsi="Calibri" w:cs="Calibri"/>
                <w:i/>
                <w:color w:val="000000"/>
                <w:sz w:val="17"/>
                <w:szCs w:val="17"/>
                <w:lang w:val="en-GB"/>
              </w:rPr>
              <w:t>’</w:t>
            </w:r>
            <w:r>
              <w:rPr>
                <w:rFonts w:ascii="Calibri" w:hAnsi="Calibri" w:cs="Calibri"/>
                <w:color w:val="000000"/>
                <w:sz w:val="17"/>
                <w:szCs w:val="17"/>
                <w:lang w:val="en-GB"/>
              </w:rPr>
              <w:t xml:space="preserve"> of the patient’s condition</w:t>
            </w:r>
          </w:p>
        </w:tc>
        <w:tc>
          <w:tcPr>
            <w:tcW w:w="1275" w:type="dxa"/>
            <w:shd w:val="clear" w:color="auto" w:fill="auto"/>
            <w:noWrap/>
          </w:tcPr>
          <w:p w14:paraId="2B15CF79"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 xml:space="preserve"> </w:t>
            </w:r>
            <w:r>
              <w:rPr>
                <w:rFonts w:ascii="Calibri" w:hAnsi="Calibri" w:cs="Calibri"/>
                <w:color w:val="000000"/>
                <w:sz w:val="17"/>
                <w:szCs w:val="17"/>
                <w:lang w:val="en-GB"/>
              </w:rPr>
              <w:t>The item for paediatric complex plans remains in place with a strengthened descriptor</w:t>
            </w:r>
          </w:p>
        </w:tc>
        <w:tc>
          <w:tcPr>
            <w:tcW w:w="1843" w:type="dxa"/>
            <w:shd w:val="clear" w:color="auto" w:fill="auto"/>
            <w:noWrap/>
          </w:tcPr>
          <w:p w14:paraId="7EC50DAD"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To allow appropriate access to paediatric complex plan items and their associated AHP services for appropriate patients, including children with fetal alcohol spectrum disorder and other complex neurodevelopmental disorders</w:t>
            </w:r>
          </w:p>
        </w:tc>
      </w:tr>
      <w:tr w:rsidR="00313E1E" w:rsidRPr="00C33C0B" w14:paraId="19160889" w14:textId="77777777" w:rsidTr="00313E1E">
        <w:tc>
          <w:tcPr>
            <w:tcW w:w="422" w:type="dxa"/>
            <w:shd w:val="clear" w:color="auto" w:fill="auto"/>
            <w:noWrap/>
            <w:hideMark/>
          </w:tcPr>
          <w:p w14:paraId="72D4135F"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141</w:t>
            </w:r>
          </w:p>
        </w:tc>
        <w:tc>
          <w:tcPr>
            <w:tcW w:w="2976" w:type="dxa"/>
            <w:shd w:val="clear" w:color="auto" w:fill="auto"/>
            <w:noWrap/>
            <w:hideMark/>
          </w:tcPr>
          <w:p w14:paraId="4CF80BF6"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more than 60 minutes in duration at consulting rooms or hospital by a consultant physician or specialist in the practice of his or her specialty of geriatric medicine, if: (a) the patient is at least 65 years old and referred by a medical practitioner practising in general practice (including a general practitioner, but not including a specialist or consultant physician) or a participating nurse practitioner; and (b) the attendance is initiated by the referring practitioner for the provision of a comprehensive assessment and management plan; and (c) during the attendance: (i) the medical, physical, psychological and social aspects of the patient's health are evaluated in detail using appropriately validated assessment tools if indicated (the assessment); and (ii) the patient's various health problems and care needs are identified and prioritised (the formulation); and (iii) a detailed management plan is prepared (the management plan) setting out: (a) the prioritised list of health problems and care needs; and (b) short and longer term management goals; and (c) recommended actions or intervention strategies to be undertaken by the patient's general practitioner or another relevant health care provider that are likely to improve or maintain health status and are readily available and acceptable to the patient and the patient's family and carers; and (iv) the management plan is explained and discussed with the patient and, if appropriate, the patient's family and any carers; and (v) the management plan is communicated in writing to the referring practitioner; and (d) an attendance to which item 104, 105, 107, 108, 110, 116 or 119 applies has not been provided to the patient on the same day by the same practitioner; and (e) an attendance to which this item or item 145 applies has not been provided to the patient by the same practitioner in the preceding 12 months</w:t>
            </w:r>
          </w:p>
        </w:tc>
        <w:tc>
          <w:tcPr>
            <w:tcW w:w="1559" w:type="dxa"/>
            <w:shd w:val="clear" w:color="auto" w:fill="auto"/>
            <w:noWrap/>
          </w:tcPr>
          <w:p w14:paraId="62EFBE4C"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Complex plans to be claimed via standard time-tiered standard attendances</w:t>
            </w:r>
            <w:r w:rsidRPr="00C33C0B">
              <w:rPr>
                <w:rFonts w:ascii="Calibri" w:hAnsi="Calibri" w:cs="Calibri"/>
                <w:color w:val="000000"/>
                <w:sz w:val="17"/>
                <w:szCs w:val="17"/>
                <w:lang w:val="en-GB"/>
              </w:rPr>
              <w:t xml:space="preserve"> </w:t>
            </w:r>
          </w:p>
        </w:tc>
        <w:tc>
          <w:tcPr>
            <w:tcW w:w="1275" w:type="dxa"/>
            <w:shd w:val="clear" w:color="auto" w:fill="auto"/>
            <w:noWrap/>
          </w:tcPr>
          <w:p w14:paraId="226452F6"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items and complex management plans attendance items</w:t>
            </w:r>
            <w:r w:rsidRPr="00C33C0B">
              <w:rPr>
                <w:rFonts w:ascii="Calibri" w:hAnsi="Calibri" w:cs="Calibri"/>
                <w:color w:val="000000"/>
                <w:sz w:val="17"/>
                <w:szCs w:val="17"/>
                <w:lang w:val="en-GB"/>
              </w:rPr>
              <w:t xml:space="preserve"> </w:t>
            </w:r>
          </w:p>
        </w:tc>
        <w:tc>
          <w:tcPr>
            <w:tcW w:w="1843" w:type="dxa"/>
            <w:shd w:val="clear" w:color="auto" w:fill="auto"/>
            <w:noWrap/>
          </w:tcPr>
          <w:p w14:paraId="7DCF69AD"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41B9680C" w14:textId="77777777" w:rsidTr="00313E1E">
        <w:tc>
          <w:tcPr>
            <w:tcW w:w="422" w:type="dxa"/>
            <w:shd w:val="clear" w:color="auto" w:fill="auto"/>
            <w:noWrap/>
            <w:hideMark/>
          </w:tcPr>
          <w:p w14:paraId="7D523ED1"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143</w:t>
            </w:r>
          </w:p>
        </w:tc>
        <w:tc>
          <w:tcPr>
            <w:tcW w:w="2976" w:type="dxa"/>
            <w:shd w:val="clear" w:color="auto" w:fill="auto"/>
            <w:noWrap/>
            <w:hideMark/>
          </w:tcPr>
          <w:p w14:paraId="5740C9F7"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more than 30 minutes in duration at consulting rooms or hospital by a consultant physician or specialist in the practice of his or her specialty of geriatric medicine to review a management plan previously prepared by that consultant physician or specialist under item 141 or 145, if: (a) the review is initiated by the referring medical practitioner practising in general practice or a participating nurse practitioner; and (b) during the attendance: (i) the patient's health status is reassessed; and (ii) a management plan prepared under item 141 or 145 is reviewed and revised; and (iii) the revised management plan is explained to the patient and (if appropriate) the patient's family and any carers and communicated in writing to the referring practitioner; and (c) an attendance to which item 104, 105, 107, 108, 110, 116 or 119 applies was not provided to the patient on the same day by the same practitioner; and (d) an attendance to which item 141 or 145 applies has been provided to the patient by the same practitioner in the preceding 12 months; and (e) an attendance to which this item or item 147 applies has not been provided to the patient in the preceding 12 months, unless there has been a significant change in the patient's clinical condition or care circumstances that requires a further review</w:t>
            </w:r>
          </w:p>
        </w:tc>
        <w:tc>
          <w:tcPr>
            <w:tcW w:w="1559" w:type="dxa"/>
            <w:shd w:val="clear" w:color="auto" w:fill="auto"/>
            <w:noWrap/>
          </w:tcPr>
          <w:p w14:paraId="6B90F440"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Complex plans to be claimed via standard time-tiered standard attendances</w:t>
            </w:r>
            <w:r w:rsidRPr="00C33C0B">
              <w:rPr>
                <w:rFonts w:ascii="Calibri" w:hAnsi="Calibri" w:cs="Calibri"/>
                <w:color w:val="000000"/>
                <w:sz w:val="17"/>
                <w:szCs w:val="17"/>
                <w:lang w:val="en-GB"/>
              </w:rPr>
              <w:t xml:space="preserve"> </w:t>
            </w:r>
          </w:p>
        </w:tc>
        <w:tc>
          <w:tcPr>
            <w:tcW w:w="1275" w:type="dxa"/>
            <w:shd w:val="clear" w:color="auto" w:fill="auto"/>
            <w:noWrap/>
          </w:tcPr>
          <w:p w14:paraId="32F72E31"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items and complex management plans attendance items</w:t>
            </w:r>
            <w:r w:rsidRPr="00C33C0B">
              <w:rPr>
                <w:rFonts w:ascii="Calibri" w:hAnsi="Calibri" w:cs="Calibri"/>
                <w:color w:val="000000"/>
                <w:sz w:val="17"/>
                <w:szCs w:val="17"/>
                <w:lang w:val="en-GB"/>
              </w:rPr>
              <w:t xml:space="preserve"> </w:t>
            </w:r>
          </w:p>
        </w:tc>
        <w:tc>
          <w:tcPr>
            <w:tcW w:w="1843" w:type="dxa"/>
            <w:shd w:val="clear" w:color="auto" w:fill="auto"/>
            <w:noWrap/>
          </w:tcPr>
          <w:p w14:paraId="4FB3D9DA"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2A236E29" w14:textId="77777777" w:rsidTr="00313E1E">
        <w:tc>
          <w:tcPr>
            <w:tcW w:w="422" w:type="dxa"/>
            <w:shd w:val="clear" w:color="auto" w:fill="auto"/>
            <w:noWrap/>
            <w:hideMark/>
          </w:tcPr>
          <w:p w14:paraId="00D964C3"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145</w:t>
            </w:r>
          </w:p>
        </w:tc>
        <w:tc>
          <w:tcPr>
            <w:tcW w:w="2976" w:type="dxa"/>
            <w:shd w:val="clear" w:color="auto" w:fill="auto"/>
            <w:noWrap/>
            <w:hideMark/>
          </w:tcPr>
          <w:p w14:paraId="2EFB3C7F"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more than 60 minutes in duration at a place other than consulting rooms or hospital by a consultant physician or specialist in the practice of his or her specialty of geriatric medicine, if: (a) the patient is at least 65 years old and referred by a medical practitioner practising in general practice (including a general practitioner, but not including a specialist or consultant physician) or a participating nurse practitioner; and (b) the attendance is initiated by the referring practitioner for the provision of a comprehensive assessment and management plan; and(c) during the attendance: (i) the medical, physical, psychological and social aspects of the patient's health are evaluated in detail utilising appropriately validated assessment tools if indicated (the assessment); and (ii) the patient's various health problems and care needs are identified and prioritised (the formulation); and (iii) a detailed management plan is prepared (the management plan) setting out: (a) the prioritised list of health problems and care needs; and (b) short and longer term management goals; and (c) recommended actions or intervention strategies, to be undertaken by the patient's general practitioner or another relevant health care provider that are likely to improve or maintain health status and are readily available and acceptable to the patient, the patient's family and any carers; and (iv) the management plan is explained and discussed with the patient and, if appropriate, the patient's family and any carers; and (v) the management plan is communicated in writing to the referring practitioner; and (d) an attendance to which item 104, 105, 107, 108, 110, 116 or 119 applies has not been provided to the patient on the same day by the same practitioner; and (e) an attendance to which this item or item 141 applies has not been provided to the patient by the same practitioner in the preceding 12 months</w:t>
            </w:r>
          </w:p>
        </w:tc>
        <w:tc>
          <w:tcPr>
            <w:tcW w:w="1559" w:type="dxa"/>
            <w:shd w:val="clear" w:color="auto" w:fill="auto"/>
            <w:noWrap/>
          </w:tcPr>
          <w:p w14:paraId="774C9BB1"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Complex plans to be claimed via standard time-tiered standard attendances</w:t>
            </w:r>
            <w:r w:rsidRPr="00C33C0B">
              <w:rPr>
                <w:rFonts w:ascii="Calibri" w:hAnsi="Calibri" w:cs="Calibri"/>
                <w:color w:val="000000"/>
                <w:sz w:val="17"/>
                <w:szCs w:val="17"/>
                <w:lang w:val="en-GB"/>
              </w:rPr>
              <w:t xml:space="preserve"> </w:t>
            </w:r>
          </w:p>
        </w:tc>
        <w:tc>
          <w:tcPr>
            <w:tcW w:w="1275" w:type="dxa"/>
            <w:shd w:val="clear" w:color="auto" w:fill="auto"/>
            <w:noWrap/>
          </w:tcPr>
          <w:p w14:paraId="50FDCC8C"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items and complex management plans attendance items</w:t>
            </w:r>
            <w:r w:rsidRPr="00C33C0B">
              <w:rPr>
                <w:rFonts w:ascii="Calibri" w:hAnsi="Calibri" w:cs="Calibri"/>
                <w:color w:val="000000"/>
                <w:sz w:val="17"/>
                <w:szCs w:val="17"/>
                <w:lang w:val="en-GB"/>
              </w:rPr>
              <w:t xml:space="preserve"> </w:t>
            </w:r>
          </w:p>
        </w:tc>
        <w:tc>
          <w:tcPr>
            <w:tcW w:w="1843" w:type="dxa"/>
            <w:shd w:val="clear" w:color="auto" w:fill="auto"/>
            <w:noWrap/>
          </w:tcPr>
          <w:p w14:paraId="339D0707"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68D6742C" w14:textId="77777777" w:rsidTr="00313E1E">
        <w:tc>
          <w:tcPr>
            <w:tcW w:w="422" w:type="dxa"/>
            <w:shd w:val="clear" w:color="auto" w:fill="auto"/>
            <w:noWrap/>
            <w:hideMark/>
          </w:tcPr>
          <w:p w14:paraId="2C45F3D6"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147</w:t>
            </w:r>
          </w:p>
        </w:tc>
        <w:tc>
          <w:tcPr>
            <w:tcW w:w="2976" w:type="dxa"/>
            <w:shd w:val="clear" w:color="auto" w:fill="auto"/>
            <w:noWrap/>
            <w:hideMark/>
          </w:tcPr>
          <w:p w14:paraId="12A82386"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of more than 30 minutes in duration at a place other than consulting rooms or hospital by a consultant physician or specialist in the practice of his or her specialty of geriatric medicine to review a management plan previously prepared by that consultant physician or specialist under items 141 or 145, if: (a) the review is initiated by the referring medical practitioner practising in general practice or a participating nurse practitioner; and (b) during the attendance: (i) the patient's health status is reassessed; and (ii) a management plan that was prepared under item 141 or 145 is reviewed and revised; and (iii) the revised management plan is explained to the patient and (if appropriate) the patient's family and any carers and communicated in writing to the referring practitioner; and (c) an attendance to which item 104, 105, 107, 108, 110, 116 or 119 applies has not been provided to the patient on the same day by the same practitioner; and (d) an attendance to which item 141 or 145 applies has been provided to the patient by the same practitioner in the preceding 12 months; and (e) an attendance to which this item or 143 applies has not been provided by the same practitioner in the preceding 12 months, unless there has been a significant change in the patient's clinical condition or care circumstances that requires a further review</w:t>
            </w:r>
          </w:p>
        </w:tc>
        <w:tc>
          <w:tcPr>
            <w:tcW w:w="1559" w:type="dxa"/>
            <w:shd w:val="clear" w:color="auto" w:fill="auto"/>
            <w:noWrap/>
          </w:tcPr>
          <w:p w14:paraId="576789CB"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Complex plans to be claimed via standard time-tiered standard attendances</w:t>
            </w:r>
            <w:r w:rsidRPr="00C33C0B">
              <w:rPr>
                <w:rFonts w:ascii="Calibri" w:hAnsi="Calibri" w:cs="Calibri"/>
                <w:color w:val="000000"/>
                <w:sz w:val="17"/>
                <w:szCs w:val="17"/>
                <w:lang w:val="en-GB"/>
              </w:rPr>
              <w:t xml:space="preserve"> </w:t>
            </w:r>
          </w:p>
        </w:tc>
        <w:tc>
          <w:tcPr>
            <w:tcW w:w="1275" w:type="dxa"/>
            <w:shd w:val="clear" w:color="auto" w:fill="auto"/>
            <w:noWrap/>
          </w:tcPr>
          <w:p w14:paraId="3A1E20D7"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items and complex management plans attendance items</w:t>
            </w:r>
            <w:r w:rsidRPr="00C33C0B">
              <w:rPr>
                <w:rFonts w:ascii="Calibri" w:hAnsi="Calibri" w:cs="Calibri"/>
                <w:color w:val="000000"/>
                <w:sz w:val="17"/>
                <w:szCs w:val="17"/>
                <w:lang w:val="en-GB"/>
              </w:rPr>
              <w:t xml:space="preserve"> </w:t>
            </w:r>
          </w:p>
        </w:tc>
        <w:tc>
          <w:tcPr>
            <w:tcW w:w="1843" w:type="dxa"/>
            <w:shd w:val="clear" w:color="auto" w:fill="auto"/>
            <w:noWrap/>
          </w:tcPr>
          <w:p w14:paraId="30DEA7C1"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6FCAA237" w14:textId="77777777" w:rsidTr="00313E1E">
        <w:tc>
          <w:tcPr>
            <w:tcW w:w="422" w:type="dxa"/>
            <w:shd w:val="clear" w:color="auto" w:fill="auto"/>
            <w:noWrap/>
          </w:tcPr>
          <w:p w14:paraId="0633ACC1"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6023</w:t>
            </w:r>
          </w:p>
        </w:tc>
        <w:tc>
          <w:tcPr>
            <w:tcW w:w="2976" w:type="dxa"/>
            <w:shd w:val="clear" w:color="auto" w:fill="auto"/>
            <w:noWrap/>
          </w:tcPr>
          <w:p w14:paraId="077729C1"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an addiction medicine specialist in the practice of his or her specialty of at least 45 minutes for an initial assessment of a patient with at least 2 morbidities, following referral of the patient to him or her by a referring practitioner, if: (a) an assessment is undertaken that covers: (i) a comprehensive history, including psychosocial history and medication review; and (ii) a comprehensive multi or detailed single organ system assessment; and (iii) the formulation of differential diagnoses; and (b) an addiction medicine specialist treatment and management plan of significant complexity that includes the following is prepared and provided to the referring practitioner: (i) an opinion on diagnosis and risk assessment; (ii) treatment options and decisions; (iii) medication recommendations; and (c) an attendance on the patient to which item 104, 105, 110, 116, 119, 132, 133, 6018 or 6019 applies did not take place on the same day by the same addiction medicine specialist; and (d) neither this item nor item 132 has applied to an attendance on the patient in the preceding 12 months by the same addiction medicine specialist</w:t>
            </w:r>
          </w:p>
        </w:tc>
        <w:tc>
          <w:tcPr>
            <w:tcW w:w="1559" w:type="dxa"/>
            <w:shd w:val="clear" w:color="auto" w:fill="auto"/>
            <w:noWrap/>
          </w:tcPr>
          <w:p w14:paraId="01898917"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Complex plans to be claimed via standard time-tiered standard attendances</w:t>
            </w:r>
            <w:r w:rsidRPr="00C33C0B">
              <w:rPr>
                <w:rFonts w:ascii="Calibri" w:hAnsi="Calibri" w:cs="Calibri"/>
                <w:color w:val="000000"/>
                <w:sz w:val="17"/>
                <w:szCs w:val="17"/>
                <w:lang w:val="en-GB"/>
              </w:rPr>
              <w:t xml:space="preserve"> </w:t>
            </w:r>
          </w:p>
        </w:tc>
        <w:tc>
          <w:tcPr>
            <w:tcW w:w="1275" w:type="dxa"/>
            <w:shd w:val="clear" w:color="auto" w:fill="auto"/>
            <w:noWrap/>
          </w:tcPr>
          <w:p w14:paraId="145CDEC5"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items and complex management plans attendance items</w:t>
            </w:r>
            <w:r w:rsidRPr="00C33C0B">
              <w:rPr>
                <w:rFonts w:ascii="Calibri" w:hAnsi="Calibri" w:cs="Calibri"/>
                <w:color w:val="000000"/>
                <w:sz w:val="17"/>
                <w:szCs w:val="17"/>
                <w:lang w:val="en-GB"/>
              </w:rPr>
              <w:t xml:space="preserve"> </w:t>
            </w:r>
          </w:p>
        </w:tc>
        <w:tc>
          <w:tcPr>
            <w:tcW w:w="1843" w:type="dxa"/>
            <w:shd w:val="clear" w:color="auto" w:fill="auto"/>
            <w:noWrap/>
          </w:tcPr>
          <w:p w14:paraId="49DAF3E0"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753E6BEC" w14:textId="77777777" w:rsidTr="00313E1E">
        <w:tc>
          <w:tcPr>
            <w:tcW w:w="422" w:type="dxa"/>
            <w:shd w:val="clear" w:color="auto" w:fill="auto"/>
            <w:noWrap/>
          </w:tcPr>
          <w:p w14:paraId="4BBE053A"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6024</w:t>
            </w:r>
          </w:p>
        </w:tc>
        <w:tc>
          <w:tcPr>
            <w:tcW w:w="2976" w:type="dxa"/>
            <w:shd w:val="clear" w:color="auto" w:fill="auto"/>
            <w:noWrap/>
          </w:tcPr>
          <w:p w14:paraId="53DB559D"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an addiction medicine specialist in the practice of his or her specialty of at least 20 minutes, after the first attendance in a single course of treatment, for a review of a patient with at least 2 morbidities if: (a) a review is undertaken that covers: (i) review of initial presenting problems and results of diagnostic investigations; and (ii) review of responses to treatment and medication plans initiated at time of initial consultation; and (iii) comprehensive multi or detailed single organ system assessment; and (iv) review of original and differential diagnoses; and (b) the modified addiction medicine specialist treatment and management plan is provided to the referring practitioner, which involves, if appropriate: (i) a revised opinion on diagnosis and risk assessment; and (ii) treatment options and decisions; and (iii) revised medication recommendations; and (c) an attendance on the patient to which item 104, 105, 110, 116, 119, 132, 133, 6018 or 6019 applies did not take place on the same day by the same addiction medicine specialist; and (d) item 6023 applied to an attendance claimed in the preceding 12 months; and (e) the attendance under this item is claimed by the same addiction medicine specialist who claimed item 6023 or by a locum tenens; and (f) this item has not applied more than twice in any 12 month period</w:t>
            </w:r>
          </w:p>
        </w:tc>
        <w:tc>
          <w:tcPr>
            <w:tcW w:w="1559" w:type="dxa"/>
            <w:shd w:val="clear" w:color="auto" w:fill="auto"/>
            <w:noWrap/>
          </w:tcPr>
          <w:p w14:paraId="2070562F"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Complex plans to be claimed via standard time-tiered standard attendances</w:t>
            </w:r>
            <w:r w:rsidRPr="00C33C0B">
              <w:rPr>
                <w:rFonts w:ascii="Calibri" w:hAnsi="Calibri" w:cs="Calibri"/>
                <w:color w:val="000000"/>
                <w:sz w:val="17"/>
                <w:szCs w:val="17"/>
                <w:lang w:val="en-GB"/>
              </w:rPr>
              <w:t xml:space="preserve"> </w:t>
            </w:r>
          </w:p>
        </w:tc>
        <w:tc>
          <w:tcPr>
            <w:tcW w:w="1275" w:type="dxa"/>
            <w:shd w:val="clear" w:color="auto" w:fill="auto"/>
            <w:noWrap/>
          </w:tcPr>
          <w:p w14:paraId="10A6FD01"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items and complex management plans attendance items</w:t>
            </w:r>
            <w:r w:rsidRPr="00C33C0B">
              <w:rPr>
                <w:rFonts w:ascii="Calibri" w:hAnsi="Calibri" w:cs="Calibri"/>
                <w:color w:val="000000"/>
                <w:sz w:val="17"/>
                <w:szCs w:val="17"/>
                <w:lang w:val="en-GB"/>
              </w:rPr>
              <w:t xml:space="preserve"> </w:t>
            </w:r>
          </w:p>
        </w:tc>
        <w:tc>
          <w:tcPr>
            <w:tcW w:w="1843" w:type="dxa"/>
            <w:shd w:val="clear" w:color="auto" w:fill="auto"/>
            <w:noWrap/>
          </w:tcPr>
          <w:p w14:paraId="7144BE1E"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10B21E1C" w14:textId="77777777" w:rsidTr="00313E1E">
        <w:tc>
          <w:tcPr>
            <w:tcW w:w="422" w:type="dxa"/>
            <w:shd w:val="clear" w:color="auto" w:fill="auto"/>
            <w:noWrap/>
          </w:tcPr>
          <w:p w14:paraId="76BF33A4"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6057</w:t>
            </w:r>
          </w:p>
        </w:tc>
        <w:tc>
          <w:tcPr>
            <w:tcW w:w="2976" w:type="dxa"/>
            <w:shd w:val="clear" w:color="auto" w:fill="auto"/>
            <w:noWrap/>
          </w:tcPr>
          <w:p w14:paraId="202D24F9"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sexual health medicine specialist in the practice of his or her specialty of at least 45 minutes for an initial assessment of a patient with at least 2 morbidities, following referral of the patient to him or her by a referring practitioner, if: (a) an assessment is undertaken that covers: (i) a comprehensive history, including psychosocial history and medication review; and (ii) a comprehensive multi or detailed single organ system assessment; and (iii) the formulation of differential diagnoses; and (b) a sexual health medicine specialist treatment and management plan of significant complexity that includes the following is prepared and provided to the referring practitioner: (i) an opinion on diagnosis and risk assessment; (ii) treatment options and decisions; (iii) medication recommendations; and (c) an attendance on the patient to which item 104, 105, 110, 116, 119, 132, 133, 6051 or 6052 applies did not take place on the same day by the same sexual health medicine specialist; and (d) neither this item nor item 132 has applied to an attendance on the patient in the preceding 12 months by the same sexual health medicine specialist</w:t>
            </w:r>
          </w:p>
        </w:tc>
        <w:tc>
          <w:tcPr>
            <w:tcW w:w="1559" w:type="dxa"/>
            <w:shd w:val="clear" w:color="auto" w:fill="auto"/>
            <w:noWrap/>
          </w:tcPr>
          <w:p w14:paraId="7EF02AD0"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Complex plans to be claimed via standard time-tiered standard attendances</w:t>
            </w:r>
            <w:r w:rsidRPr="00C33C0B">
              <w:rPr>
                <w:rFonts w:ascii="Calibri" w:hAnsi="Calibri" w:cs="Calibri"/>
                <w:color w:val="000000"/>
                <w:sz w:val="17"/>
                <w:szCs w:val="17"/>
                <w:lang w:val="en-GB"/>
              </w:rPr>
              <w:t xml:space="preserve"> </w:t>
            </w:r>
          </w:p>
        </w:tc>
        <w:tc>
          <w:tcPr>
            <w:tcW w:w="1275" w:type="dxa"/>
            <w:shd w:val="clear" w:color="auto" w:fill="auto"/>
            <w:noWrap/>
          </w:tcPr>
          <w:p w14:paraId="5EA75CE8"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items and complex management plans attendance items</w:t>
            </w:r>
            <w:r w:rsidRPr="00C33C0B">
              <w:rPr>
                <w:rFonts w:ascii="Calibri" w:hAnsi="Calibri" w:cs="Calibri"/>
                <w:color w:val="000000"/>
                <w:sz w:val="17"/>
                <w:szCs w:val="17"/>
                <w:lang w:val="en-GB"/>
              </w:rPr>
              <w:t xml:space="preserve"> </w:t>
            </w:r>
          </w:p>
        </w:tc>
        <w:tc>
          <w:tcPr>
            <w:tcW w:w="1843" w:type="dxa"/>
            <w:shd w:val="clear" w:color="auto" w:fill="auto"/>
            <w:noWrap/>
          </w:tcPr>
          <w:p w14:paraId="55A4071F"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r w:rsidR="00313E1E" w:rsidRPr="00C33C0B" w14:paraId="39D7F7EB" w14:textId="77777777" w:rsidTr="00313E1E">
        <w:tc>
          <w:tcPr>
            <w:tcW w:w="422" w:type="dxa"/>
            <w:shd w:val="clear" w:color="auto" w:fill="auto"/>
            <w:noWrap/>
          </w:tcPr>
          <w:p w14:paraId="1C39D697"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6058</w:t>
            </w:r>
          </w:p>
        </w:tc>
        <w:tc>
          <w:tcPr>
            <w:tcW w:w="2976" w:type="dxa"/>
            <w:shd w:val="clear" w:color="auto" w:fill="auto"/>
            <w:noWrap/>
          </w:tcPr>
          <w:p w14:paraId="71EA1E18" w14:textId="77777777" w:rsidR="00313E1E" w:rsidRPr="00C33C0B" w:rsidRDefault="00313E1E" w:rsidP="00313E1E">
            <w:pPr>
              <w:spacing w:before="20" w:after="20" w:line="240" w:lineRule="auto"/>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by a sexual health medicine specialist in the practice of his or her specialty of at least 20 minutes, after the first attendance in a single course of treatment, for a review of a patient with at least 2 morbidities if: (a) a review is undertaken that covers: (i) review of initial presenting problems and results of diagnostic investigations; and (ii) review of responses to treatment and medication plans initiated at time of initial consultation; and (iii) comprehensive multi or detailed single organ system assessment; and (iv) review of original and differential diagnoses; and (b) the modified sexual health medicine specialist treatment and management plan is provided to the referring practitioner, which involves, if appropriate: (i) a revised opinion on diagnosis and risk assessment; and (ii) treatment options and decisions; and (iii) revised medication recommendations; and (c) an attendance on the patient, being an attendance to which item 104, 105, 110, 116, 119, 132, 133, 6051 or 6052 applies did not take place on the same day by the same sexual health medicine specialist; and (d) item 6057 applied to an attendance claimed in the preceding 12 months; and (e) the attendance under this item is claimed by the same sexual health medicine specialist who claimed item 6057 or by a locum tenens; and (f) this item has not applied more than twice in any 12 month period</w:t>
            </w:r>
          </w:p>
        </w:tc>
        <w:tc>
          <w:tcPr>
            <w:tcW w:w="1559" w:type="dxa"/>
            <w:shd w:val="clear" w:color="auto" w:fill="auto"/>
            <w:noWrap/>
          </w:tcPr>
          <w:p w14:paraId="3D91643F"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Remove from MBS; Complex plans to be claimed via standard time-tiered standard attendances</w:t>
            </w:r>
            <w:r w:rsidRPr="00C33C0B">
              <w:rPr>
                <w:rFonts w:ascii="Calibri" w:hAnsi="Calibri" w:cs="Calibri"/>
                <w:color w:val="000000"/>
                <w:sz w:val="17"/>
                <w:szCs w:val="17"/>
                <w:lang w:val="en-GB"/>
              </w:rPr>
              <w:t xml:space="preserve"> </w:t>
            </w:r>
          </w:p>
        </w:tc>
        <w:tc>
          <w:tcPr>
            <w:tcW w:w="1275" w:type="dxa"/>
            <w:shd w:val="clear" w:color="auto" w:fill="auto"/>
            <w:noWrap/>
          </w:tcPr>
          <w:p w14:paraId="0DBFA386"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Time-tiered attendance items would replace the current standard attendance items and complex management plans attendance items</w:t>
            </w:r>
            <w:r w:rsidRPr="00C33C0B">
              <w:rPr>
                <w:rFonts w:ascii="Calibri" w:hAnsi="Calibri" w:cs="Calibri"/>
                <w:color w:val="000000"/>
                <w:sz w:val="17"/>
                <w:szCs w:val="17"/>
                <w:lang w:val="en-GB"/>
              </w:rPr>
              <w:t xml:space="preserve"> </w:t>
            </w:r>
          </w:p>
        </w:tc>
        <w:tc>
          <w:tcPr>
            <w:tcW w:w="1843" w:type="dxa"/>
            <w:shd w:val="clear" w:color="auto" w:fill="auto"/>
            <w:noWrap/>
          </w:tcPr>
          <w:p w14:paraId="0BF10EF8" w14:textId="77777777" w:rsidR="00313E1E" w:rsidRPr="00C33C0B" w:rsidRDefault="00313E1E" w:rsidP="00313E1E">
            <w:pPr>
              <w:spacing w:before="20" w:after="20" w:line="240" w:lineRule="auto"/>
              <w:rPr>
                <w:rFonts w:ascii="Calibri" w:hAnsi="Calibri" w:cs="Calibri"/>
                <w:color w:val="000000"/>
                <w:sz w:val="17"/>
                <w:szCs w:val="17"/>
                <w:lang w:val="en-GB"/>
              </w:rPr>
            </w:pPr>
            <w:r>
              <w:rPr>
                <w:rFonts w:ascii="Calibri" w:hAnsi="Calibri" w:cs="Calibri"/>
                <w:color w:val="000000"/>
                <w:sz w:val="17"/>
                <w:szCs w:val="17"/>
                <w:lang w:val="en-GB"/>
              </w:rPr>
              <w:t>Makes the standard attendance model more simple, equitable, and enables more consistent billing for similar services</w:t>
            </w:r>
            <w:r w:rsidRPr="00C33C0B">
              <w:rPr>
                <w:rFonts w:ascii="Calibri" w:hAnsi="Calibri" w:cs="Calibri"/>
                <w:color w:val="000000"/>
                <w:sz w:val="17"/>
                <w:szCs w:val="17"/>
                <w:lang w:val="en-GB"/>
              </w:rPr>
              <w:t xml:space="preserve"> </w:t>
            </w:r>
          </w:p>
        </w:tc>
      </w:tr>
    </w:tbl>
    <w:p w14:paraId="2D4EB236" w14:textId="77777777" w:rsidR="00313E1E" w:rsidRPr="00C33C0B" w:rsidRDefault="00C52816" w:rsidP="00313E1E">
      <w:pPr>
        <w:pStyle w:val="Heading2"/>
        <w:numPr>
          <w:ilvl w:val="0"/>
          <w:numId w:val="0"/>
        </w:numPr>
        <w:rPr>
          <w:lang w:val="en-GB"/>
        </w:rPr>
      </w:pPr>
      <w:bookmarkStart w:id="289" w:name="_Toc24544774"/>
      <w:r>
        <w:rPr>
          <w:lang w:val="en-GB"/>
        </w:rPr>
        <w:t>D</w:t>
      </w:r>
      <w:r w:rsidR="00313E1E" w:rsidRPr="00C33C0B">
        <w:rPr>
          <w:lang w:val="en-GB"/>
        </w:rPr>
        <w:t>.3. Telehealth attendance items</w:t>
      </w:r>
      <w:bookmarkEnd w:id="289"/>
    </w:p>
    <w:tbl>
      <w:tblPr>
        <w:tblStyle w:val="TableGrid"/>
        <w:tblW w:w="5631"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Caption w:val="Appendix D - Telehealth attendance items summary for consumers"/>
        <w:tblDescription w:val="Tavle D.3 is a 5 column table. Column 1 is the item number. Column 2 describes what the item does. Column 3 is the committee's recommendation. Column 4 describes what would be different about the item. Column 5 describes why it would be different. "/>
      </w:tblPr>
      <w:tblGrid>
        <w:gridCol w:w="704"/>
        <w:gridCol w:w="2950"/>
        <w:gridCol w:w="1869"/>
        <w:gridCol w:w="1418"/>
        <w:gridCol w:w="2409"/>
      </w:tblGrid>
      <w:tr w:rsidR="00313E1E" w:rsidRPr="00C33C0B" w14:paraId="695E63EC" w14:textId="77777777" w:rsidTr="00903EFD">
        <w:trPr>
          <w:tblHeader/>
        </w:trPr>
        <w:tc>
          <w:tcPr>
            <w:tcW w:w="704" w:type="dxa"/>
            <w:shd w:val="clear" w:color="auto" w:fill="E36C0A" w:themeFill="accent6" w:themeFillShade="BF"/>
            <w:vAlign w:val="bottom"/>
            <w:hideMark/>
          </w:tcPr>
          <w:p w14:paraId="3F17922A" w14:textId="77777777" w:rsidR="00313E1E" w:rsidRPr="00C33C0B" w:rsidRDefault="00313E1E" w:rsidP="00313E1E">
            <w:pPr>
              <w:spacing w:beforeLines="20" w:before="48" w:afterLines="20" w:after="48" w:line="20" w:lineRule="atLeast"/>
              <w:rPr>
                <w:rFonts w:ascii="Calibri" w:hAnsi="Calibri" w:cs="Calibri"/>
                <w:b/>
                <w:color w:val="FFFFFF" w:themeColor="background1"/>
                <w:sz w:val="17"/>
                <w:szCs w:val="17"/>
                <w:lang w:val="en-GB"/>
              </w:rPr>
            </w:pPr>
            <w:r w:rsidRPr="00C33C0B">
              <w:rPr>
                <w:rFonts w:ascii="Calibri" w:hAnsi="Calibri" w:cs="Calibri"/>
                <w:b/>
                <w:color w:val="FFFFFF" w:themeColor="background1"/>
                <w:sz w:val="17"/>
                <w:szCs w:val="17"/>
                <w:lang w:val="en-GB"/>
              </w:rPr>
              <w:t xml:space="preserve">Item </w:t>
            </w:r>
          </w:p>
        </w:tc>
        <w:tc>
          <w:tcPr>
            <w:tcW w:w="2950" w:type="dxa"/>
            <w:shd w:val="clear" w:color="auto" w:fill="E36C0A" w:themeFill="accent6" w:themeFillShade="BF"/>
            <w:vAlign w:val="bottom"/>
            <w:hideMark/>
          </w:tcPr>
          <w:p w14:paraId="064F3937" w14:textId="77777777" w:rsidR="00313E1E" w:rsidRPr="00C33C0B" w:rsidRDefault="00313E1E" w:rsidP="00313E1E">
            <w:pPr>
              <w:spacing w:beforeLines="20" w:before="48" w:afterLines="20" w:after="48" w:line="20" w:lineRule="atLeast"/>
              <w:rPr>
                <w:rFonts w:ascii="Calibri" w:hAnsi="Calibri" w:cs="Calibri"/>
                <w:b/>
                <w:color w:val="FFFFFF" w:themeColor="background1"/>
                <w:sz w:val="17"/>
                <w:szCs w:val="17"/>
                <w:lang w:val="en-GB"/>
              </w:rPr>
            </w:pPr>
            <w:r>
              <w:rPr>
                <w:rFonts w:ascii="Calibri" w:hAnsi="Calibri" w:cs="Calibri"/>
                <w:b/>
                <w:color w:val="FFFFFF" w:themeColor="background1"/>
                <w:sz w:val="17"/>
                <w:szCs w:val="17"/>
                <w:lang w:val="en-GB"/>
              </w:rPr>
              <w:t>What it does</w:t>
            </w:r>
          </w:p>
        </w:tc>
        <w:tc>
          <w:tcPr>
            <w:tcW w:w="1869" w:type="dxa"/>
            <w:shd w:val="clear" w:color="auto" w:fill="E36C0A" w:themeFill="accent6" w:themeFillShade="BF"/>
            <w:vAlign w:val="bottom"/>
            <w:hideMark/>
          </w:tcPr>
          <w:p w14:paraId="2852B24C" w14:textId="77777777" w:rsidR="00313E1E" w:rsidRPr="00C33C0B" w:rsidRDefault="00313E1E" w:rsidP="00313E1E">
            <w:pPr>
              <w:spacing w:beforeLines="20" w:before="48" w:afterLines="20" w:after="48" w:line="20" w:lineRule="atLeast"/>
              <w:rPr>
                <w:rFonts w:ascii="Calibri" w:hAnsi="Calibri" w:cs="Calibri"/>
                <w:b/>
                <w:color w:val="FFFFFF" w:themeColor="background1"/>
                <w:sz w:val="17"/>
                <w:szCs w:val="17"/>
                <w:lang w:val="en-GB"/>
              </w:rPr>
            </w:pPr>
            <w:r>
              <w:rPr>
                <w:rFonts w:ascii="Calibri" w:hAnsi="Calibri" w:cs="Calibri"/>
                <w:b/>
                <w:color w:val="FFFFFF" w:themeColor="background1"/>
                <w:sz w:val="17"/>
                <w:szCs w:val="17"/>
                <w:lang w:val="en-GB"/>
              </w:rPr>
              <w:t>Committee recommendation</w:t>
            </w:r>
          </w:p>
        </w:tc>
        <w:tc>
          <w:tcPr>
            <w:tcW w:w="1418" w:type="dxa"/>
            <w:shd w:val="clear" w:color="auto" w:fill="E36C0A" w:themeFill="accent6" w:themeFillShade="BF"/>
            <w:vAlign w:val="bottom"/>
            <w:hideMark/>
          </w:tcPr>
          <w:p w14:paraId="078ED3BF" w14:textId="77777777" w:rsidR="00313E1E" w:rsidRPr="00C33C0B" w:rsidRDefault="00313E1E" w:rsidP="00313E1E">
            <w:pPr>
              <w:spacing w:beforeLines="20" w:before="48" w:afterLines="20" w:after="48" w:line="20" w:lineRule="atLeast"/>
              <w:rPr>
                <w:rFonts w:ascii="Calibri" w:hAnsi="Calibri" w:cs="Calibri"/>
                <w:b/>
                <w:color w:val="FFFFFF" w:themeColor="background1"/>
                <w:sz w:val="17"/>
                <w:szCs w:val="17"/>
                <w:lang w:val="en-GB"/>
              </w:rPr>
            </w:pPr>
            <w:r>
              <w:rPr>
                <w:rFonts w:ascii="Calibri" w:hAnsi="Calibri" w:cs="Calibri"/>
                <w:b/>
                <w:color w:val="FFFFFF" w:themeColor="background1"/>
                <w:sz w:val="17"/>
                <w:szCs w:val="17"/>
                <w:lang w:val="en-GB"/>
              </w:rPr>
              <w:t>What would be different</w:t>
            </w:r>
          </w:p>
        </w:tc>
        <w:tc>
          <w:tcPr>
            <w:tcW w:w="2409" w:type="dxa"/>
            <w:shd w:val="clear" w:color="auto" w:fill="E36C0A" w:themeFill="accent6" w:themeFillShade="BF"/>
            <w:vAlign w:val="bottom"/>
            <w:hideMark/>
          </w:tcPr>
          <w:p w14:paraId="0D5DFA77" w14:textId="77777777" w:rsidR="00313E1E" w:rsidRPr="00C33C0B" w:rsidRDefault="00313E1E" w:rsidP="00313E1E">
            <w:pPr>
              <w:spacing w:beforeLines="20" w:before="48" w:afterLines="20" w:after="48" w:line="20" w:lineRule="atLeast"/>
              <w:rPr>
                <w:rFonts w:ascii="Calibri" w:hAnsi="Calibri" w:cs="Calibri"/>
                <w:b/>
                <w:color w:val="FFFFFF" w:themeColor="background1"/>
                <w:sz w:val="17"/>
                <w:szCs w:val="17"/>
                <w:lang w:val="en-GB"/>
              </w:rPr>
            </w:pPr>
            <w:r>
              <w:rPr>
                <w:rFonts w:ascii="Calibri" w:hAnsi="Calibri" w:cs="Calibri"/>
                <w:b/>
                <w:color w:val="FFFFFF" w:themeColor="background1"/>
                <w:sz w:val="17"/>
                <w:szCs w:val="17"/>
                <w:lang w:val="en-GB"/>
              </w:rPr>
              <w:t>Why</w:t>
            </w:r>
          </w:p>
        </w:tc>
      </w:tr>
      <w:tr w:rsidR="00313E1E" w:rsidRPr="00C33C0B" w14:paraId="0D0790C2" w14:textId="77777777" w:rsidTr="00903EFD">
        <w:tc>
          <w:tcPr>
            <w:tcW w:w="704" w:type="dxa"/>
            <w:shd w:val="clear" w:color="auto" w:fill="auto"/>
            <w:noWrap/>
            <w:hideMark/>
          </w:tcPr>
          <w:p w14:paraId="652C3384"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99</w:t>
            </w:r>
          </w:p>
        </w:tc>
        <w:tc>
          <w:tcPr>
            <w:tcW w:w="2950" w:type="dxa"/>
            <w:shd w:val="clear" w:color="auto" w:fill="auto"/>
            <w:noWrap/>
            <w:hideMark/>
          </w:tcPr>
          <w:p w14:paraId="6BC14689"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specialist practising in his or her specialty if: (a) the attendance is by video conference; and (b) the attendance is for a service: (i) provided with item 104 lasting more than 10 minutes; or (ii) provided with item 105; and (c) the patient is not an admitted patient; and (d) the patient: (i) is located both: (a) within a telehealth eligible area; and (b) at the time of the attendance—at least 15 kms by road from the specialist; or (ii) is a care recipient in a residential care service; or (iii) is a patient of: (a) an aboriginal medical service; or (b) an aboriginal community controlled health service; for which a direction made under subsection 19(2) of the act applies</w:t>
            </w:r>
          </w:p>
        </w:tc>
        <w:tc>
          <w:tcPr>
            <w:tcW w:w="1869" w:type="dxa"/>
            <w:shd w:val="clear" w:color="auto" w:fill="auto"/>
            <w:noWrap/>
          </w:tcPr>
          <w:p w14:paraId="70BBF213"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c>
          <w:tcPr>
            <w:tcW w:w="1418" w:type="dxa"/>
            <w:shd w:val="clear" w:color="auto" w:fill="auto"/>
            <w:noWrap/>
          </w:tcPr>
          <w:p w14:paraId="7542A9ED" w14:textId="77777777" w:rsidR="00313E1E" w:rsidRPr="00C33C0B" w:rsidRDefault="00313E1E" w:rsidP="0055162A">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The derived fee on loading items would be incrementally redu</w:t>
            </w:r>
            <w:r w:rsidR="0055162A">
              <w:rPr>
                <w:rFonts w:ascii="Calibri" w:hAnsi="Calibri" w:cs="Calibri"/>
                <w:color w:val="000000"/>
                <w:sz w:val="17"/>
                <w:szCs w:val="17"/>
                <w:lang w:val="en-GB"/>
              </w:rPr>
              <w:t xml:space="preserve">ced to zero </w:t>
            </w:r>
            <w:r>
              <w:rPr>
                <w:rFonts w:ascii="Calibri" w:hAnsi="Calibri" w:cs="Calibri"/>
                <w:color w:val="000000"/>
                <w:sz w:val="17"/>
                <w:szCs w:val="17"/>
                <w:lang w:val="en-GB"/>
              </w:rPr>
              <w:t>and new telehealth-specific attendance items would be introduced that mirror the standard time-tiered attendance items</w:t>
            </w:r>
          </w:p>
        </w:tc>
        <w:tc>
          <w:tcPr>
            <w:tcW w:w="2409" w:type="dxa"/>
            <w:shd w:val="clear" w:color="auto" w:fill="auto"/>
            <w:noWrap/>
          </w:tcPr>
          <w:p w14:paraId="197DE003"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313E1E" w:rsidRPr="00C33C0B" w14:paraId="58D5AB61" w14:textId="77777777" w:rsidTr="00903EFD">
        <w:tc>
          <w:tcPr>
            <w:tcW w:w="704" w:type="dxa"/>
            <w:shd w:val="clear" w:color="auto" w:fill="auto"/>
            <w:noWrap/>
          </w:tcPr>
          <w:p w14:paraId="764928C2"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112</w:t>
            </w:r>
          </w:p>
        </w:tc>
        <w:tc>
          <w:tcPr>
            <w:tcW w:w="2950" w:type="dxa"/>
            <w:shd w:val="clear" w:color="auto" w:fill="auto"/>
            <w:noWrap/>
          </w:tcPr>
          <w:p w14:paraId="6FAD82D9"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consultant physician practising in his or her specialty if: (a) the attendance is by video conference; and (b) the attendance is for a service: (i) provided with item 110 lasting more than 10 minutes; or (ii) provided with item 116, 119, 132 or 133; and (c) the patient is not an admitted patient; and (d) the patient: (i) is located both: (a) within a telehealth eligible area; and (b) at the time of the attendance—at least 15 kms by road from the physician; or (ii) is a care recipient in a residential care service; or (iii) is a patient of: (a) an aboriginal medical service; or (b) an aboriginal community controlled health service; for which a direction made under subsection 19(2) of the act applies</w:t>
            </w:r>
          </w:p>
        </w:tc>
        <w:tc>
          <w:tcPr>
            <w:tcW w:w="1869" w:type="dxa"/>
            <w:shd w:val="clear" w:color="auto" w:fill="auto"/>
            <w:noWrap/>
          </w:tcPr>
          <w:p w14:paraId="6E81C015"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c>
          <w:tcPr>
            <w:tcW w:w="1418" w:type="dxa"/>
            <w:shd w:val="clear" w:color="auto" w:fill="auto"/>
            <w:noWrap/>
          </w:tcPr>
          <w:p w14:paraId="02B2CC36" w14:textId="77777777" w:rsidR="00313E1E" w:rsidRPr="00C33C0B" w:rsidRDefault="00313E1E" w:rsidP="0055162A">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The derived fee on loading items would be in</w:t>
            </w:r>
            <w:r w:rsidR="0055162A">
              <w:rPr>
                <w:rFonts w:ascii="Calibri" w:hAnsi="Calibri" w:cs="Calibri"/>
                <w:color w:val="000000"/>
                <w:sz w:val="17"/>
                <w:szCs w:val="17"/>
                <w:lang w:val="en-GB"/>
              </w:rPr>
              <w:t xml:space="preserve">crementally reduced to zero </w:t>
            </w:r>
            <w:r>
              <w:rPr>
                <w:rFonts w:ascii="Calibri" w:hAnsi="Calibri" w:cs="Calibri"/>
                <w:color w:val="000000"/>
                <w:sz w:val="17"/>
                <w:szCs w:val="17"/>
                <w:lang w:val="en-GB"/>
              </w:rPr>
              <w:t>and new telehealth-specific attendance items would be introduced that mirror the standard time-tiered attendance items</w:t>
            </w:r>
          </w:p>
        </w:tc>
        <w:tc>
          <w:tcPr>
            <w:tcW w:w="2409" w:type="dxa"/>
            <w:shd w:val="clear" w:color="auto" w:fill="auto"/>
            <w:noWrap/>
          </w:tcPr>
          <w:p w14:paraId="2050DA5B"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313E1E" w:rsidRPr="00C33C0B" w14:paraId="561CF1B9" w14:textId="77777777" w:rsidTr="00903EFD">
        <w:tc>
          <w:tcPr>
            <w:tcW w:w="704" w:type="dxa"/>
            <w:shd w:val="clear" w:color="auto" w:fill="auto"/>
            <w:noWrap/>
            <w:hideMark/>
          </w:tcPr>
          <w:p w14:paraId="181C7C50"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113</w:t>
            </w:r>
          </w:p>
        </w:tc>
        <w:tc>
          <w:tcPr>
            <w:tcW w:w="2950" w:type="dxa"/>
            <w:shd w:val="clear" w:color="auto" w:fill="auto"/>
            <w:noWrap/>
            <w:hideMark/>
          </w:tcPr>
          <w:p w14:paraId="17D9B4E6"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specialist in the practice of his or her speciality if: (a) the attendance is by video conference; and (b) the patient is not an admitted patient; and (c) the patient: (i) is located both: (a) within a telehealth eligible area; and (b) at the time of the attendance—at least 15 kms by road from the specialist;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869" w:type="dxa"/>
            <w:shd w:val="clear" w:color="auto" w:fill="auto"/>
            <w:noWrap/>
          </w:tcPr>
          <w:p w14:paraId="15FD9900"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 from MBS</w:t>
            </w:r>
          </w:p>
        </w:tc>
        <w:tc>
          <w:tcPr>
            <w:tcW w:w="1418" w:type="dxa"/>
            <w:shd w:val="clear" w:color="auto" w:fill="auto"/>
            <w:noWrap/>
          </w:tcPr>
          <w:p w14:paraId="3CE34661"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The specialty-specific telehealth items would be removed from the MBS, and new telehealth-specific attendance items would be introduced to mirror the standard time-tiered attendance items</w:t>
            </w:r>
          </w:p>
        </w:tc>
        <w:tc>
          <w:tcPr>
            <w:tcW w:w="2409" w:type="dxa"/>
            <w:shd w:val="clear" w:color="auto" w:fill="auto"/>
            <w:noWrap/>
          </w:tcPr>
          <w:p w14:paraId="760FC59C"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313E1E" w:rsidRPr="00C33C0B" w14:paraId="14C969B9" w14:textId="77777777" w:rsidTr="00903EFD">
        <w:tc>
          <w:tcPr>
            <w:tcW w:w="704" w:type="dxa"/>
            <w:shd w:val="clear" w:color="auto" w:fill="auto"/>
            <w:noWrap/>
            <w:hideMark/>
          </w:tcPr>
          <w:p w14:paraId="2F723062"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114</w:t>
            </w:r>
          </w:p>
        </w:tc>
        <w:tc>
          <w:tcPr>
            <w:tcW w:w="2950" w:type="dxa"/>
            <w:shd w:val="clear" w:color="auto" w:fill="auto"/>
            <w:noWrap/>
            <w:hideMark/>
          </w:tcPr>
          <w:p w14:paraId="4AB6E1D6"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consultant physician practising in his or her specialty if: (a) the attendance is by video conference; and (b) the patient is not an admitted patient; and (c) the patient: (i) is located both: (a) within a telehealth eligible area; and (b) at the time of the attendance—at least 15 kms by road from the physician;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869" w:type="dxa"/>
            <w:shd w:val="clear" w:color="auto" w:fill="auto"/>
            <w:noWrap/>
          </w:tcPr>
          <w:p w14:paraId="6502BE75"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 from MBS</w:t>
            </w:r>
          </w:p>
        </w:tc>
        <w:tc>
          <w:tcPr>
            <w:tcW w:w="1418" w:type="dxa"/>
            <w:shd w:val="clear" w:color="auto" w:fill="auto"/>
            <w:noWrap/>
          </w:tcPr>
          <w:p w14:paraId="3551880A"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The specialty-specific telehealth items would be removed from the MBS, and new telehealth-specific attendance items would be introduced to mirror the standard time-tiered attendance items</w:t>
            </w:r>
          </w:p>
        </w:tc>
        <w:tc>
          <w:tcPr>
            <w:tcW w:w="2409" w:type="dxa"/>
            <w:shd w:val="clear" w:color="auto" w:fill="auto"/>
            <w:noWrap/>
          </w:tcPr>
          <w:p w14:paraId="13DCB2F0"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313E1E" w:rsidRPr="00C33C0B" w14:paraId="565F5840" w14:textId="77777777" w:rsidTr="00903EFD">
        <w:tc>
          <w:tcPr>
            <w:tcW w:w="704" w:type="dxa"/>
            <w:shd w:val="clear" w:color="auto" w:fill="auto"/>
            <w:noWrap/>
            <w:hideMark/>
          </w:tcPr>
          <w:p w14:paraId="0DE98B18"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149</w:t>
            </w:r>
          </w:p>
        </w:tc>
        <w:tc>
          <w:tcPr>
            <w:tcW w:w="2950" w:type="dxa"/>
            <w:shd w:val="clear" w:color="auto" w:fill="auto"/>
            <w:noWrap/>
            <w:hideMark/>
          </w:tcPr>
          <w:p w14:paraId="5389C3A0"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consultant physician or specialist practising in his or her specialty of geriatric medicine if: (a) the attendance is by video conference; and (b) item 141 or 143 applies to the attendance; and (c) the patient is not an admitted patient; and (d) the patient: (i) is located both: (a) within a telehealth eligible area; and (b) at the time of the attendance--at least 15 kms by road from the physician or specialist; or (ii) is a care recipient in a residential care service; or (iii) is a patient of: (a) an aboriginal medical service; or (b) an aboriginal community controlled health service: for which a direction made under subsection 19(2) of the act applies</w:t>
            </w:r>
          </w:p>
        </w:tc>
        <w:tc>
          <w:tcPr>
            <w:tcW w:w="1869" w:type="dxa"/>
            <w:shd w:val="clear" w:color="auto" w:fill="auto"/>
            <w:noWrap/>
          </w:tcPr>
          <w:p w14:paraId="6722BBE5"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c>
          <w:tcPr>
            <w:tcW w:w="1418" w:type="dxa"/>
            <w:shd w:val="clear" w:color="auto" w:fill="auto"/>
            <w:noWrap/>
          </w:tcPr>
          <w:p w14:paraId="3A8F3A2D" w14:textId="77777777" w:rsidR="00313E1E" w:rsidRPr="00C33C0B" w:rsidRDefault="00313E1E" w:rsidP="0055162A">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The derived fee on loading items would be incr</w:t>
            </w:r>
            <w:r w:rsidR="0055162A">
              <w:rPr>
                <w:rFonts w:ascii="Calibri" w:hAnsi="Calibri" w:cs="Calibri"/>
                <w:color w:val="000000"/>
                <w:sz w:val="17"/>
                <w:szCs w:val="17"/>
                <w:lang w:val="en-GB"/>
              </w:rPr>
              <w:t xml:space="preserve">ementally reduced to zero </w:t>
            </w:r>
            <w:r>
              <w:rPr>
                <w:rFonts w:ascii="Calibri" w:hAnsi="Calibri" w:cs="Calibri"/>
                <w:color w:val="000000"/>
                <w:sz w:val="17"/>
                <w:szCs w:val="17"/>
                <w:lang w:val="en-GB"/>
              </w:rPr>
              <w:t>and new telehealth-specific attendance items would be introduced that mirror the standard time-tiered attendance items</w:t>
            </w:r>
          </w:p>
        </w:tc>
        <w:tc>
          <w:tcPr>
            <w:tcW w:w="2409" w:type="dxa"/>
            <w:shd w:val="clear" w:color="auto" w:fill="auto"/>
            <w:noWrap/>
          </w:tcPr>
          <w:p w14:paraId="23B79F19"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313E1E" w:rsidRPr="00C33C0B" w14:paraId="5875FAB9" w14:textId="77777777" w:rsidTr="00903EFD">
        <w:tc>
          <w:tcPr>
            <w:tcW w:w="704" w:type="dxa"/>
            <w:shd w:val="clear" w:color="auto" w:fill="auto"/>
            <w:noWrap/>
            <w:hideMark/>
          </w:tcPr>
          <w:p w14:paraId="22C964BF"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384</w:t>
            </w:r>
          </w:p>
        </w:tc>
        <w:tc>
          <w:tcPr>
            <w:tcW w:w="2950" w:type="dxa"/>
            <w:shd w:val="clear" w:color="auto" w:fill="auto"/>
            <w:noWrap/>
            <w:hideMark/>
          </w:tcPr>
          <w:p w14:paraId="232AB088"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consultant occupational physician practising in his or her specialty of occupational medicine if: (a) the attendance is by video conference; and (b) the patient is not an admitted patient; and (c) the patient: (i) is located both: (a) within a telehealth eligible area; and (b) at the time of the attendance--at least 15 kms by road from the physician;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869" w:type="dxa"/>
            <w:shd w:val="clear" w:color="auto" w:fill="auto"/>
            <w:noWrap/>
          </w:tcPr>
          <w:p w14:paraId="37C30D46"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 from MBS</w:t>
            </w:r>
          </w:p>
        </w:tc>
        <w:tc>
          <w:tcPr>
            <w:tcW w:w="1418" w:type="dxa"/>
            <w:shd w:val="clear" w:color="auto" w:fill="auto"/>
            <w:noWrap/>
          </w:tcPr>
          <w:p w14:paraId="50E1154A"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The specialty-specific telehealth items would be removed from the MBS, and new telehealth-specific attendance items would be introduced to mirror the standard time-tiered attendance items</w:t>
            </w:r>
          </w:p>
        </w:tc>
        <w:tc>
          <w:tcPr>
            <w:tcW w:w="2409" w:type="dxa"/>
            <w:shd w:val="clear" w:color="auto" w:fill="auto"/>
            <w:noWrap/>
          </w:tcPr>
          <w:p w14:paraId="65FA9012"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313E1E" w:rsidRPr="00C33C0B" w14:paraId="149D5C47" w14:textId="77777777" w:rsidTr="00903EFD">
        <w:tc>
          <w:tcPr>
            <w:tcW w:w="704" w:type="dxa"/>
            <w:shd w:val="clear" w:color="auto" w:fill="auto"/>
            <w:noWrap/>
            <w:hideMark/>
          </w:tcPr>
          <w:p w14:paraId="41207289"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389</w:t>
            </w:r>
          </w:p>
        </w:tc>
        <w:tc>
          <w:tcPr>
            <w:tcW w:w="2950" w:type="dxa"/>
            <w:shd w:val="clear" w:color="auto" w:fill="auto"/>
            <w:noWrap/>
            <w:hideMark/>
          </w:tcPr>
          <w:p w14:paraId="14D6B7C1"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consultant occupational physician practising in his or her specialty of occupational medicine if: (a) the attendance is by video conference; and (b) the attendance is for a service: (i) provided with item 385 lasting more than 10 minutes; or (ii) provided with item 386; and (c) the patient is not an admitted patient; and (d) the patient: (i) is located both: (a) within a telehealth eligible area; and (b) at the time of the attendance--at least 15 kms by road from the physician; or (ii) is a care recipient in a residential care service; or (iii) is a patient of: (a) an aboriginal medical service; or (b) an aboriginal community controlled health service; for which a direction made under subsection 19(2) of the act applies</w:t>
            </w:r>
          </w:p>
        </w:tc>
        <w:tc>
          <w:tcPr>
            <w:tcW w:w="1869" w:type="dxa"/>
            <w:shd w:val="clear" w:color="auto" w:fill="auto"/>
            <w:noWrap/>
          </w:tcPr>
          <w:p w14:paraId="0C54339E"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c>
          <w:tcPr>
            <w:tcW w:w="1418" w:type="dxa"/>
            <w:shd w:val="clear" w:color="auto" w:fill="auto"/>
            <w:noWrap/>
          </w:tcPr>
          <w:p w14:paraId="154CF956" w14:textId="77777777" w:rsidR="00313E1E" w:rsidRPr="00C33C0B" w:rsidRDefault="00313E1E" w:rsidP="0055162A">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The derived fee on loading items would be incr</w:t>
            </w:r>
            <w:r w:rsidR="0055162A">
              <w:rPr>
                <w:rFonts w:ascii="Calibri" w:hAnsi="Calibri" w:cs="Calibri"/>
                <w:color w:val="000000"/>
                <w:sz w:val="17"/>
                <w:szCs w:val="17"/>
                <w:lang w:val="en-GB"/>
              </w:rPr>
              <w:t xml:space="preserve">ementally reduced to zero </w:t>
            </w:r>
            <w:r>
              <w:rPr>
                <w:rFonts w:ascii="Calibri" w:hAnsi="Calibri" w:cs="Calibri"/>
                <w:color w:val="000000"/>
                <w:sz w:val="17"/>
                <w:szCs w:val="17"/>
                <w:lang w:val="en-GB"/>
              </w:rPr>
              <w:t>and new telehealth-specific attendance items would be introduced that mirror the standard time-tiered attendance items</w:t>
            </w:r>
          </w:p>
        </w:tc>
        <w:tc>
          <w:tcPr>
            <w:tcW w:w="2409" w:type="dxa"/>
            <w:shd w:val="clear" w:color="auto" w:fill="auto"/>
            <w:noWrap/>
          </w:tcPr>
          <w:p w14:paraId="45060FEA"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313E1E" w:rsidRPr="00C33C0B" w14:paraId="20807EF0" w14:textId="77777777" w:rsidTr="00903EFD">
        <w:tc>
          <w:tcPr>
            <w:tcW w:w="704" w:type="dxa"/>
            <w:shd w:val="clear" w:color="auto" w:fill="auto"/>
            <w:noWrap/>
            <w:hideMark/>
          </w:tcPr>
          <w:p w14:paraId="73E9C238"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2799</w:t>
            </w:r>
          </w:p>
        </w:tc>
        <w:tc>
          <w:tcPr>
            <w:tcW w:w="2950" w:type="dxa"/>
            <w:shd w:val="clear" w:color="auto" w:fill="auto"/>
            <w:noWrap/>
            <w:hideMark/>
          </w:tcPr>
          <w:p w14:paraId="69CCC18C"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specialist or consultant physician practising in his or her specialty of pain medicine if: (a) the attendance is by video conference; and (b) the patient is not an admitted patient; and (c) the patient: (i) is located both: (a) within a telehealth eligible area; and (b) at the time of the attendance--at least 15 kms by road from the specialist or physician;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869" w:type="dxa"/>
            <w:shd w:val="clear" w:color="auto" w:fill="auto"/>
            <w:noWrap/>
          </w:tcPr>
          <w:p w14:paraId="6F2A0494"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 from MBS</w:t>
            </w:r>
          </w:p>
        </w:tc>
        <w:tc>
          <w:tcPr>
            <w:tcW w:w="1418" w:type="dxa"/>
            <w:shd w:val="clear" w:color="auto" w:fill="auto"/>
            <w:noWrap/>
          </w:tcPr>
          <w:p w14:paraId="39FE911C"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The specialty-specific telehealth items would be removed from the MBS, and new telehealth-specific attendance items would be introduced to mirror the standard time-tiered attendance items</w:t>
            </w:r>
          </w:p>
        </w:tc>
        <w:tc>
          <w:tcPr>
            <w:tcW w:w="2409" w:type="dxa"/>
            <w:shd w:val="clear" w:color="auto" w:fill="auto"/>
            <w:noWrap/>
          </w:tcPr>
          <w:p w14:paraId="7611B603"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313E1E" w:rsidRPr="00C33C0B" w14:paraId="5AEE68F2" w14:textId="77777777" w:rsidTr="00903EFD">
        <w:tc>
          <w:tcPr>
            <w:tcW w:w="704" w:type="dxa"/>
            <w:shd w:val="clear" w:color="auto" w:fill="auto"/>
            <w:noWrap/>
            <w:hideMark/>
          </w:tcPr>
          <w:p w14:paraId="7C927BC0"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2820</w:t>
            </w:r>
          </w:p>
        </w:tc>
        <w:tc>
          <w:tcPr>
            <w:tcW w:w="2950" w:type="dxa"/>
            <w:shd w:val="clear" w:color="auto" w:fill="auto"/>
            <w:noWrap/>
            <w:hideMark/>
          </w:tcPr>
          <w:p w14:paraId="1AA2684B"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specialist or consultant physician practising in his or her specialty of pain medicine if: (a) the attendance is by video conference; and (b) the attendance is for a service: (i) provided with item 2801 lasting more than 10 minutes; or (ii) provided with item 2806 or 2814; and (c) the patient is not an admitted patient; and (d) the patient: (i) is located both: (a) within a telehealth eligible area; and (b) at the time of the attendance--at least 15 kms by road from the specialist or physician; or (ii) is a care recipient in a residential care service; or (iii) is a patient of: (a) an aboriginal medical service; or (b) an aboriginal community controlled health service; for which a direction made under subsection 19(2) of the act applies</w:t>
            </w:r>
          </w:p>
        </w:tc>
        <w:tc>
          <w:tcPr>
            <w:tcW w:w="1869" w:type="dxa"/>
            <w:shd w:val="clear" w:color="auto" w:fill="auto"/>
            <w:noWrap/>
          </w:tcPr>
          <w:p w14:paraId="6387BC51"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c>
          <w:tcPr>
            <w:tcW w:w="1418" w:type="dxa"/>
            <w:shd w:val="clear" w:color="auto" w:fill="auto"/>
            <w:noWrap/>
          </w:tcPr>
          <w:p w14:paraId="69505CAB" w14:textId="77777777" w:rsidR="00313E1E" w:rsidRPr="00C33C0B" w:rsidRDefault="00313E1E" w:rsidP="0055162A">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The derived fee on loading items would be incrementa</w:t>
            </w:r>
            <w:r w:rsidR="0055162A">
              <w:rPr>
                <w:rFonts w:ascii="Calibri" w:hAnsi="Calibri" w:cs="Calibri"/>
                <w:color w:val="000000"/>
                <w:sz w:val="17"/>
                <w:szCs w:val="17"/>
                <w:lang w:val="en-GB"/>
              </w:rPr>
              <w:t xml:space="preserve">lly reduced to zero </w:t>
            </w:r>
            <w:r>
              <w:rPr>
                <w:rFonts w:ascii="Calibri" w:hAnsi="Calibri" w:cs="Calibri"/>
                <w:color w:val="000000"/>
                <w:sz w:val="17"/>
                <w:szCs w:val="17"/>
                <w:lang w:val="en-GB"/>
              </w:rPr>
              <w:t>and new telehealth-specific attendance items would be introduced that mirror the standard time-tiered attendance items</w:t>
            </w:r>
          </w:p>
        </w:tc>
        <w:tc>
          <w:tcPr>
            <w:tcW w:w="2409" w:type="dxa"/>
            <w:shd w:val="clear" w:color="auto" w:fill="auto"/>
            <w:noWrap/>
          </w:tcPr>
          <w:p w14:paraId="4B0005E1"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313E1E" w:rsidRPr="00C33C0B" w14:paraId="41FAB5E7" w14:textId="77777777" w:rsidTr="00903EFD">
        <w:tc>
          <w:tcPr>
            <w:tcW w:w="704" w:type="dxa"/>
            <w:shd w:val="clear" w:color="auto" w:fill="auto"/>
            <w:noWrap/>
            <w:hideMark/>
          </w:tcPr>
          <w:p w14:paraId="073CEE73"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3003</w:t>
            </w:r>
          </w:p>
        </w:tc>
        <w:tc>
          <w:tcPr>
            <w:tcW w:w="2950" w:type="dxa"/>
            <w:shd w:val="clear" w:color="auto" w:fill="auto"/>
            <w:noWrap/>
            <w:hideMark/>
          </w:tcPr>
          <w:p w14:paraId="47945FC8"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specialist or consultant physician practising in his or her specialty of palliative medicine if: (a) the attendance is by video conference; and (b) the patient is not an admitted patient; and (c) the patient: (i) is located both: (a) within a telehealth eligible area; and (b) at the time of the attendance--at least 15 kms by road from the specialist or physician;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869" w:type="dxa"/>
            <w:shd w:val="clear" w:color="auto" w:fill="auto"/>
            <w:noWrap/>
          </w:tcPr>
          <w:p w14:paraId="222B69BA"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 from MBS</w:t>
            </w:r>
          </w:p>
        </w:tc>
        <w:tc>
          <w:tcPr>
            <w:tcW w:w="1418" w:type="dxa"/>
            <w:shd w:val="clear" w:color="auto" w:fill="auto"/>
            <w:noWrap/>
          </w:tcPr>
          <w:p w14:paraId="7683D7E3"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The specialty-specific telehealth items would be removed from the MBS, and new telehealth-specific attendance items would be introduced to mirror the standard time-tiered attendance items</w:t>
            </w:r>
          </w:p>
        </w:tc>
        <w:tc>
          <w:tcPr>
            <w:tcW w:w="2409" w:type="dxa"/>
            <w:shd w:val="clear" w:color="auto" w:fill="auto"/>
            <w:noWrap/>
          </w:tcPr>
          <w:p w14:paraId="3AFE1F12"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313E1E" w:rsidRPr="00C33C0B" w14:paraId="77A5E433" w14:textId="77777777" w:rsidTr="00903EFD">
        <w:tc>
          <w:tcPr>
            <w:tcW w:w="704" w:type="dxa"/>
            <w:shd w:val="clear" w:color="auto" w:fill="auto"/>
            <w:noWrap/>
            <w:hideMark/>
          </w:tcPr>
          <w:p w14:paraId="4A2139E1"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3015</w:t>
            </w:r>
          </w:p>
        </w:tc>
        <w:tc>
          <w:tcPr>
            <w:tcW w:w="2950" w:type="dxa"/>
            <w:shd w:val="clear" w:color="auto" w:fill="auto"/>
            <w:noWrap/>
            <w:hideMark/>
          </w:tcPr>
          <w:p w14:paraId="77B65A35"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specialist or consultant physician practising in his or her specialty of palliative medicine if: (a) the attendance is by video conference; and (b) the attendance is for a service: (i) provided with item 3005 lasting more than 10 minutes; or (ii) provided with item 3010 or 3014; and (c) the patient is not an admitted patient; and (d) the patient: (i) is located both: (a) within a telehealth eligible area; and (b) at the time of the attendance--at least 15 kms by road from the specialist or physician; or (ii) is a care recipient in a residential care service; or (iii) is a patient of: (a) an aboriginal medical service; or (b) an aboriginal community controlled health service; for which a direction made under subsection 19(2) of the act applies</w:t>
            </w:r>
          </w:p>
        </w:tc>
        <w:tc>
          <w:tcPr>
            <w:tcW w:w="1869" w:type="dxa"/>
            <w:shd w:val="clear" w:color="auto" w:fill="auto"/>
            <w:noWrap/>
          </w:tcPr>
          <w:p w14:paraId="29AF8B8E"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c>
          <w:tcPr>
            <w:tcW w:w="1418" w:type="dxa"/>
            <w:shd w:val="clear" w:color="auto" w:fill="auto"/>
            <w:noWrap/>
          </w:tcPr>
          <w:p w14:paraId="4E899A6E" w14:textId="77777777" w:rsidR="00313E1E" w:rsidRPr="00C33C0B" w:rsidRDefault="00313E1E" w:rsidP="0055162A">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The derived fee on loading items would be in</w:t>
            </w:r>
            <w:r w:rsidR="0055162A">
              <w:rPr>
                <w:rFonts w:ascii="Calibri" w:hAnsi="Calibri" w:cs="Calibri"/>
                <w:color w:val="000000"/>
                <w:sz w:val="17"/>
                <w:szCs w:val="17"/>
                <w:lang w:val="en-GB"/>
              </w:rPr>
              <w:t xml:space="preserve">crementally reduced to zero </w:t>
            </w:r>
            <w:r>
              <w:rPr>
                <w:rFonts w:ascii="Calibri" w:hAnsi="Calibri" w:cs="Calibri"/>
                <w:color w:val="000000"/>
                <w:sz w:val="17"/>
                <w:szCs w:val="17"/>
                <w:lang w:val="en-GB"/>
              </w:rPr>
              <w:t>and new telehealth-specific attendance items would be introduced that mirror the standard time-tiered attendance items</w:t>
            </w:r>
          </w:p>
        </w:tc>
        <w:tc>
          <w:tcPr>
            <w:tcW w:w="2409" w:type="dxa"/>
            <w:shd w:val="clear" w:color="auto" w:fill="auto"/>
            <w:noWrap/>
          </w:tcPr>
          <w:p w14:paraId="0FF6519E"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313E1E" w:rsidRPr="00C33C0B" w14:paraId="4DD1D126" w14:textId="77777777" w:rsidTr="00903EFD">
        <w:tc>
          <w:tcPr>
            <w:tcW w:w="704" w:type="dxa"/>
            <w:shd w:val="clear" w:color="auto" w:fill="auto"/>
            <w:noWrap/>
            <w:hideMark/>
          </w:tcPr>
          <w:p w14:paraId="32307582"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6004</w:t>
            </w:r>
          </w:p>
        </w:tc>
        <w:tc>
          <w:tcPr>
            <w:tcW w:w="2950" w:type="dxa"/>
            <w:shd w:val="clear" w:color="auto" w:fill="auto"/>
            <w:noWrap/>
            <w:hideMark/>
          </w:tcPr>
          <w:p w14:paraId="0818D52C"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in duration on a patient by a specialist practising in his or her specialty of neurosurgery if: (a) the attendance is by video conference; and (b) the patient is not an admitted patient; and (c) the patient: (i) is located both: (a) within a telehealth eligible area; and (b) at the time of the attendance--at least 15 kms by road from the specialist;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869" w:type="dxa"/>
            <w:shd w:val="clear" w:color="auto" w:fill="auto"/>
            <w:noWrap/>
          </w:tcPr>
          <w:p w14:paraId="3BB69D66"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 from MBS</w:t>
            </w:r>
          </w:p>
        </w:tc>
        <w:tc>
          <w:tcPr>
            <w:tcW w:w="1418" w:type="dxa"/>
            <w:shd w:val="clear" w:color="auto" w:fill="auto"/>
            <w:noWrap/>
          </w:tcPr>
          <w:p w14:paraId="67C13688"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The specialty-specific telehealth items would be removed from the MBS, and new telehealth-specific attendance items would be introduced to mirror the standard time-tiered attendance items</w:t>
            </w:r>
          </w:p>
        </w:tc>
        <w:tc>
          <w:tcPr>
            <w:tcW w:w="2409" w:type="dxa"/>
            <w:shd w:val="clear" w:color="auto" w:fill="auto"/>
            <w:noWrap/>
          </w:tcPr>
          <w:p w14:paraId="7A55EF7F"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313E1E" w:rsidRPr="00C33C0B" w14:paraId="751B51A4" w14:textId="77777777" w:rsidTr="00903EFD">
        <w:tc>
          <w:tcPr>
            <w:tcW w:w="704" w:type="dxa"/>
            <w:shd w:val="clear" w:color="auto" w:fill="auto"/>
            <w:noWrap/>
            <w:hideMark/>
          </w:tcPr>
          <w:p w14:paraId="05517BF2"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6016</w:t>
            </w:r>
          </w:p>
        </w:tc>
        <w:tc>
          <w:tcPr>
            <w:tcW w:w="2950" w:type="dxa"/>
            <w:shd w:val="clear" w:color="auto" w:fill="auto"/>
            <w:noWrap/>
            <w:hideMark/>
          </w:tcPr>
          <w:p w14:paraId="220C9DED"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specialist practising in his or her specialty of neurosurgery if: (a) the attendance is by video conference; and (b) the attendance is for a service: (i) provided with item 6007 lasting more than 10 minutes; or (ii) provided with item 6009, 6011, 6013 or 6015; and (c) the patient is not an admitted patient; and (d) the patient: (i) is located both: (a) within a telehealth eligible area; and (b) at the time of the attendance--at least 15 kms by road from the specialist; or (ii) is a care recipient in a residential care service; or (iii) is a patient of: (a) an aboriginal medical service; or (b) an aboriginal community controlled health service; for which a direction made under subsection 19(2) of the act applies</w:t>
            </w:r>
          </w:p>
        </w:tc>
        <w:tc>
          <w:tcPr>
            <w:tcW w:w="1869" w:type="dxa"/>
            <w:shd w:val="clear" w:color="auto" w:fill="auto"/>
            <w:noWrap/>
          </w:tcPr>
          <w:p w14:paraId="59134A9D"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c>
          <w:tcPr>
            <w:tcW w:w="1418" w:type="dxa"/>
            <w:shd w:val="clear" w:color="auto" w:fill="auto"/>
            <w:noWrap/>
          </w:tcPr>
          <w:p w14:paraId="542247BE" w14:textId="77777777" w:rsidR="00313E1E" w:rsidRPr="00C33C0B" w:rsidRDefault="00313E1E" w:rsidP="0055162A">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The derived fee on loading items would be in</w:t>
            </w:r>
            <w:r w:rsidR="0055162A">
              <w:rPr>
                <w:rFonts w:ascii="Calibri" w:hAnsi="Calibri" w:cs="Calibri"/>
                <w:color w:val="000000"/>
                <w:sz w:val="17"/>
                <w:szCs w:val="17"/>
                <w:lang w:val="en-GB"/>
              </w:rPr>
              <w:t xml:space="preserve">crementally reduced to zero </w:t>
            </w:r>
            <w:r>
              <w:rPr>
                <w:rFonts w:ascii="Calibri" w:hAnsi="Calibri" w:cs="Calibri"/>
                <w:color w:val="000000"/>
                <w:sz w:val="17"/>
                <w:szCs w:val="17"/>
                <w:lang w:val="en-GB"/>
              </w:rPr>
              <w:t>and new telehealth-specific attendance items would be introduced that mirror the standard time-tiered attendance items</w:t>
            </w:r>
          </w:p>
        </w:tc>
        <w:tc>
          <w:tcPr>
            <w:tcW w:w="2409" w:type="dxa"/>
            <w:shd w:val="clear" w:color="auto" w:fill="auto"/>
            <w:noWrap/>
          </w:tcPr>
          <w:p w14:paraId="422734A4"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313E1E" w:rsidRPr="00C33C0B" w14:paraId="561B0387" w14:textId="77777777" w:rsidTr="00903EFD">
        <w:tc>
          <w:tcPr>
            <w:tcW w:w="704" w:type="dxa"/>
            <w:shd w:val="clear" w:color="auto" w:fill="auto"/>
            <w:noWrap/>
          </w:tcPr>
          <w:p w14:paraId="3417E728"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6025</w:t>
            </w:r>
          </w:p>
        </w:tc>
        <w:tc>
          <w:tcPr>
            <w:tcW w:w="2950" w:type="dxa"/>
            <w:shd w:val="clear" w:color="auto" w:fill="auto"/>
            <w:noWrap/>
          </w:tcPr>
          <w:p w14:paraId="140BB6A3"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on a patient by an addiction medicine specialist in the practice of his or her specialty, if: (a) the attendance is by video conference; and (b) the patient is not an admitted patient; and (c) the patient: (i) is located both: (a) within a telehealth eligible area; and (b) at the time of the attendance--at least 15 km by road from the addiction medicine specialist;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869" w:type="dxa"/>
            <w:shd w:val="clear" w:color="auto" w:fill="auto"/>
            <w:noWrap/>
          </w:tcPr>
          <w:p w14:paraId="206A3B2C"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 from MBS</w:t>
            </w:r>
          </w:p>
        </w:tc>
        <w:tc>
          <w:tcPr>
            <w:tcW w:w="1418" w:type="dxa"/>
            <w:shd w:val="clear" w:color="auto" w:fill="auto"/>
            <w:noWrap/>
          </w:tcPr>
          <w:p w14:paraId="266CC40E"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The specialty-specific telehealth items would be removed from the MBS, and new telehealth-specific attendance items would be introduced to mirror the standard time-tiered attendance items</w:t>
            </w:r>
          </w:p>
        </w:tc>
        <w:tc>
          <w:tcPr>
            <w:tcW w:w="2409" w:type="dxa"/>
            <w:shd w:val="clear" w:color="auto" w:fill="auto"/>
            <w:noWrap/>
          </w:tcPr>
          <w:p w14:paraId="35AA01FC"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313E1E" w:rsidRPr="00C33C0B" w14:paraId="21387EC2" w14:textId="77777777" w:rsidTr="00903EFD">
        <w:tc>
          <w:tcPr>
            <w:tcW w:w="704" w:type="dxa"/>
            <w:shd w:val="clear" w:color="auto" w:fill="auto"/>
            <w:noWrap/>
          </w:tcPr>
          <w:p w14:paraId="656329DB"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6026</w:t>
            </w:r>
          </w:p>
        </w:tc>
        <w:tc>
          <w:tcPr>
            <w:tcW w:w="2950" w:type="dxa"/>
            <w:shd w:val="clear" w:color="auto" w:fill="auto"/>
            <w:noWrap/>
          </w:tcPr>
          <w:p w14:paraId="2849B244"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an addiction medicine specialist in the practice of his or her specialty, if: (a) the attendance is by video conference; and (b) the attendance is for a service: (i) provided with item 6018 or 6019 and lasting more than 10 minutes; or (ii) provided with item 6023 or 6024; and (c) the patient is not an admitted patient; and (d) the patient: (i) is located both: (a) within a telehealth eligible area; and (b) at the time of the attendance--at least 15 km by road from the addiction medicine specialist; or (ii) is a care recipient in a residential care service; or (iii) is a patient of: (a) an aboriginal medical service; or (b) an aboriginal community controlled health service; for which a direction made under subsection 19 (2) of the act applies</w:t>
            </w:r>
          </w:p>
        </w:tc>
        <w:tc>
          <w:tcPr>
            <w:tcW w:w="1869" w:type="dxa"/>
            <w:shd w:val="clear" w:color="auto" w:fill="auto"/>
            <w:noWrap/>
          </w:tcPr>
          <w:p w14:paraId="2E48B046"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c>
          <w:tcPr>
            <w:tcW w:w="1418" w:type="dxa"/>
            <w:shd w:val="clear" w:color="auto" w:fill="auto"/>
            <w:noWrap/>
          </w:tcPr>
          <w:p w14:paraId="359F318A" w14:textId="77777777" w:rsidR="00313E1E" w:rsidRPr="00C33C0B" w:rsidRDefault="00313E1E" w:rsidP="0055162A">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The derived fee on loading items would be i</w:t>
            </w:r>
            <w:r w:rsidR="0055162A">
              <w:rPr>
                <w:rFonts w:ascii="Calibri" w:hAnsi="Calibri" w:cs="Calibri"/>
                <w:color w:val="000000"/>
                <w:sz w:val="17"/>
                <w:szCs w:val="17"/>
                <w:lang w:val="en-GB"/>
              </w:rPr>
              <w:t xml:space="preserve">ncrementally reduced to zero </w:t>
            </w:r>
            <w:r>
              <w:rPr>
                <w:rFonts w:ascii="Calibri" w:hAnsi="Calibri" w:cs="Calibri"/>
                <w:color w:val="000000"/>
                <w:sz w:val="17"/>
                <w:szCs w:val="17"/>
                <w:lang w:val="en-GB"/>
              </w:rPr>
              <w:t xml:space="preserve"> and new telehealth-specific attendance items would be introduced that mirror the standard time-tiered attendance items</w:t>
            </w:r>
          </w:p>
        </w:tc>
        <w:tc>
          <w:tcPr>
            <w:tcW w:w="2409" w:type="dxa"/>
            <w:shd w:val="clear" w:color="auto" w:fill="auto"/>
            <w:noWrap/>
          </w:tcPr>
          <w:p w14:paraId="373C593E"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313E1E" w:rsidRPr="00C33C0B" w14:paraId="141C5D52" w14:textId="77777777" w:rsidTr="00903EFD">
        <w:tc>
          <w:tcPr>
            <w:tcW w:w="704" w:type="dxa"/>
            <w:shd w:val="clear" w:color="auto" w:fill="auto"/>
            <w:noWrap/>
          </w:tcPr>
          <w:p w14:paraId="0F63AD26"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6059</w:t>
            </w:r>
          </w:p>
        </w:tc>
        <w:tc>
          <w:tcPr>
            <w:tcW w:w="2950" w:type="dxa"/>
            <w:shd w:val="clear" w:color="auto" w:fill="auto"/>
            <w:noWrap/>
          </w:tcPr>
          <w:p w14:paraId="7DF64805"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Initial professional attendance of 10 minutes or less, on a patient by a sexual health medicine specialist in the practice of his or her specialty, if: (a) the attendance is by video conference; and (b) the patient is not an admitted patient; and (c) the patient: (i) is located both: (a) within a telehealth eligible area; and (b) at the time of the attendance--at least 15 km by road from the sexual health medicine specialist; or (ii) is a care recipient in a residential care service; or (iii) is a patient of: (a) an aboriginal medical service; or (b) an aboriginal community controlled health service; for which a direction made under subsection 19(2) of the act applies; and (d) no other initial consultation has taken place for a single course of treatment</w:t>
            </w:r>
          </w:p>
        </w:tc>
        <w:tc>
          <w:tcPr>
            <w:tcW w:w="1869" w:type="dxa"/>
            <w:shd w:val="clear" w:color="auto" w:fill="auto"/>
            <w:noWrap/>
          </w:tcPr>
          <w:p w14:paraId="6C35D103"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 from MBS</w:t>
            </w:r>
          </w:p>
        </w:tc>
        <w:tc>
          <w:tcPr>
            <w:tcW w:w="1418" w:type="dxa"/>
            <w:shd w:val="clear" w:color="auto" w:fill="auto"/>
            <w:noWrap/>
          </w:tcPr>
          <w:p w14:paraId="67A06130"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The specialty-specific telehealth items would be removed from the MBS, and new telehealth-specific attendance items would be introduced to mirror the standard time-tiered attendance items</w:t>
            </w:r>
          </w:p>
        </w:tc>
        <w:tc>
          <w:tcPr>
            <w:tcW w:w="2409" w:type="dxa"/>
            <w:shd w:val="clear" w:color="auto" w:fill="auto"/>
            <w:noWrap/>
          </w:tcPr>
          <w:p w14:paraId="0EBD6D72"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313E1E" w:rsidRPr="00C33C0B" w14:paraId="69A9CDE7" w14:textId="77777777" w:rsidTr="00903EFD">
        <w:tc>
          <w:tcPr>
            <w:tcW w:w="704" w:type="dxa"/>
            <w:shd w:val="clear" w:color="auto" w:fill="auto"/>
            <w:noWrap/>
          </w:tcPr>
          <w:p w14:paraId="1F34E164"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6060</w:t>
            </w:r>
          </w:p>
        </w:tc>
        <w:tc>
          <w:tcPr>
            <w:tcW w:w="2950" w:type="dxa"/>
            <w:shd w:val="clear" w:color="auto" w:fill="auto"/>
            <w:noWrap/>
          </w:tcPr>
          <w:p w14:paraId="4AB7818F"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sidRPr="00C33C0B">
              <w:rPr>
                <w:rFonts w:ascii="Calibri" w:hAnsi="Calibri" w:cs="Calibri"/>
                <w:color w:val="000000"/>
                <w:sz w:val="17"/>
                <w:szCs w:val="17"/>
                <w:lang w:val="en-GB"/>
              </w:rPr>
              <w:t>Professional attendance on a patient by a sexual health medicine specialist in the practice of his or her specialty if: (a) the attendance is by video conference; and (b) the attendance is for a service: (i) provided with item 6051 or 6052 and lasting more than 10 minutes; or (ii) provided with item 6057 or 6058; and (c) the patient is not an admitted patient; and (d) the patient: (i) is located both: (a) within a telehealth eligible area; and (b) at the time of the attendance--at least 15 km by road from the sexual health medicine specialist; or (ii) is a care recipient in a residential care service; or (iii) is a patient of: (a) an aboriginal medical service; or (b) an aboriginal community controlled health service; for which a direction made under subsection 19 (2) of the act applies</w:t>
            </w:r>
          </w:p>
        </w:tc>
        <w:tc>
          <w:tcPr>
            <w:tcW w:w="1869" w:type="dxa"/>
            <w:shd w:val="clear" w:color="auto" w:fill="auto"/>
            <w:noWrap/>
          </w:tcPr>
          <w:p w14:paraId="7CF228AE"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Step-wise reduction in loading followed by introduction of time-tiered telehealth attendance items</w:t>
            </w:r>
          </w:p>
        </w:tc>
        <w:tc>
          <w:tcPr>
            <w:tcW w:w="1418" w:type="dxa"/>
            <w:shd w:val="clear" w:color="auto" w:fill="auto"/>
            <w:noWrap/>
          </w:tcPr>
          <w:p w14:paraId="710FA454" w14:textId="77777777" w:rsidR="00313E1E" w:rsidRPr="00C33C0B" w:rsidRDefault="00313E1E" w:rsidP="0055162A">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 xml:space="preserve">The derived fee on loading items would be </w:t>
            </w:r>
            <w:r w:rsidR="0055162A">
              <w:rPr>
                <w:rFonts w:ascii="Calibri" w:hAnsi="Calibri" w:cs="Calibri"/>
                <w:color w:val="000000"/>
                <w:sz w:val="17"/>
                <w:szCs w:val="17"/>
                <w:lang w:val="en-GB"/>
              </w:rPr>
              <w:t xml:space="preserve">incrementally reduced to zero </w:t>
            </w:r>
            <w:r>
              <w:rPr>
                <w:rFonts w:ascii="Calibri" w:hAnsi="Calibri" w:cs="Calibri"/>
                <w:color w:val="000000"/>
                <w:sz w:val="17"/>
                <w:szCs w:val="17"/>
                <w:lang w:val="en-GB"/>
              </w:rPr>
              <w:t>and new telehealth-specific attendance items would be introduced that mirror the standard time-tiered attendance items</w:t>
            </w:r>
          </w:p>
        </w:tc>
        <w:tc>
          <w:tcPr>
            <w:tcW w:w="2409" w:type="dxa"/>
            <w:shd w:val="clear" w:color="auto" w:fill="auto"/>
            <w:noWrap/>
          </w:tcPr>
          <w:p w14:paraId="002013F2"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Removes a MBS telehealth loading that is no longer effective and reinvesting this saving to increase uptake of telehealth services</w:t>
            </w:r>
          </w:p>
        </w:tc>
      </w:tr>
      <w:tr w:rsidR="00313E1E" w:rsidRPr="00C33C0B" w14:paraId="6EDB64E0" w14:textId="77777777" w:rsidTr="00903EFD">
        <w:tc>
          <w:tcPr>
            <w:tcW w:w="704" w:type="dxa"/>
            <w:shd w:val="clear" w:color="auto" w:fill="auto"/>
            <w:noWrap/>
          </w:tcPr>
          <w:p w14:paraId="324D1074"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Recommendation 8</w:t>
            </w:r>
          </w:p>
        </w:tc>
        <w:tc>
          <w:tcPr>
            <w:tcW w:w="2950" w:type="dxa"/>
            <w:shd w:val="clear" w:color="auto" w:fill="auto"/>
            <w:noWrap/>
          </w:tcPr>
          <w:p w14:paraId="517D0BD4" w14:textId="77777777" w:rsidR="00313E1E" w:rsidRPr="00C33C0B"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Reinvest in telehealth</w:t>
            </w:r>
          </w:p>
        </w:tc>
        <w:tc>
          <w:tcPr>
            <w:tcW w:w="1869" w:type="dxa"/>
            <w:shd w:val="clear" w:color="auto" w:fill="auto"/>
            <w:noWrap/>
          </w:tcPr>
          <w:p w14:paraId="453BAE1D" w14:textId="77777777" w:rsidR="00313E1E"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 xml:space="preserve">Reinvesting all savings from removing the telehealth loading towards non-MBS mechanisms that increase uptake of telehealth services in Australia </w:t>
            </w:r>
          </w:p>
        </w:tc>
        <w:tc>
          <w:tcPr>
            <w:tcW w:w="1418" w:type="dxa"/>
            <w:shd w:val="clear" w:color="auto" w:fill="auto"/>
            <w:noWrap/>
          </w:tcPr>
          <w:p w14:paraId="1D93702B" w14:textId="77777777" w:rsidR="00313E1E"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There would be increased investment in non-MBS mechanisms to increase the uptake of telehealth</w:t>
            </w:r>
          </w:p>
        </w:tc>
        <w:tc>
          <w:tcPr>
            <w:tcW w:w="2409" w:type="dxa"/>
            <w:shd w:val="clear" w:color="auto" w:fill="auto"/>
            <w:noWrap/>
          </w:tcPr>
          <w:p w14:paraId="3C42EF19" w14:textId="77777777" w:rsidR="00313E1E" w:rsidRDefault="00313E1E" w:rsidP="00313E1E">
            <w:pPr>
              <w:spacing w:beforeLines="20" w:before="48" w:afterLines="20" w:after="48" w:line="20" w:lineRule="atLeast"/>
              <w:rPr>
                <w:rFonts w:ascii="Calibri" w:hAnsi="Calibri" w:cs="Calibri"/>
                <w:color w:val="000000"/>
                <w:sz w:val="17"/>
                <w:szCs w:val="17"/>
                <w:lang w:val="en-GB"/>
              </w:rPr>
            </w:pPr>
            <w:r>
              <w:rPr>
                <w:rFonts w:ascii="Calibri" w:hAnsi="Calibri" w:cs="Calibri"/>
                <w:color w:val="000000"/>
                <w:sz w:val="17"/>
                <w:szCs w:val="17"/>
                <w:lang w:val="en-GB"/>
              </w:rPr>
              <w:t>Focuses on increasing uptake of telehealth services using the optimal mechanisms to incentivise physician uptake</w:t>
            </w:r>
          </w:p>
        </w:tc>
      </w:tr>
    </w:tbl>
    <w:p w14:paraId="71B9DA8F" w14:textId="77777777" w:rsidR="00313E1E" w:rsidRPr="00C33C0B" w:rsidRDefault="002355E9" w:rsidP="00313E1E">
      <w:pPr>
        <w:pStyle w:val="Heading2"/>
        <w:numPr>
          <w:ilvl w:val="0"/>
          <w:numId w:val="0"/>
        </w:numPr>
        <w:rPr>
          <w:lang w:val="en-GB"/>
        </w:rPr>
      </w:pPr>
      <w:bookmarkStart w:id="290" w:name="_Toc24544775"/>
      <w:r>
        <w:rPr>
          <w:lang w:val="en-GB"/>
        </w:rPr>
        <w:t xml:space="preserve">Table </w:t>
      </w:r>
      <w:r w:rsidR="00C52816">
        <w:rPr>
          <w:lang w:val="en-GB"/>
        </w:rPr>
        <w:t>D</w:t>
      </w:r>
      <w:r w:rsidR="00313E1E">
        <w:rPr>
          <w:lang w:val="en-GB"/>
        </w:rPr>
        <w:t>.4</w:t>
      </w:r>
      <w:r w:rsidR="00313E1E" w:rsidRPr="00C33C0B">
        <w:rPr>
          <w:lang w:val="en-GB"/>
        </w:rPr>
        <w:t>. Case conference attendance items</w:t>
      </w:r>
      <w:bookmarkEnd w:id="290"/>
    </w:p>
    <w:tbl>
      <w:tblPr>
        <w:tblStyle w:val="TableGrid"/>
        <w:tblW w:w="588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Caption w:val="Appendix D - Case conference attendance items summary for consumers"/>
        <w:tblDescription w:val="Table D.4 is a 5 column table. Column 1 is the item number. Column 2 describes what the item does. Column 3 is the committee's recommendation. Column 4 describes what would be different about the item. Column 5 describes why it would be different. "/>
      </w:tblPr>
      <w:tblGrid>
        <w:gridCol w:w="704"/>
        <w:gridCol w:w="2991"/>
        <w:gridCol w:w="1701"/>
        <w:gridCol w:w="1970"/>
        <w:gridCol w:w="2409"/>
      </w:tblGrid>
      <w:tr w:rsidR="00313E1E" w:rsidRPr="00C33C0B" w14:paraId="1F8E30CC" w14:textId="77777777" w:rsidTr="00903EFD">
        <w:trPr>
          <w:tblHeader/>
        </w:trPr>
        <w:tc>
          <w:tcPr>
            <w:tcW w:w="704" w:type="dxa"/>
            <w:shd w:val="clear" w:color="auto" w:fill="E36C0A" w:themeFill="accent6" w:themeFillShade="BF"/>
            <w:vAlign w:val="bottom"/>
            <w:hideMark/>
          </w:tcPr>
          <w:p w14:paraId="0202A374" w14:textId="77777777" w:rsidR="00313E1E" w:rsidRPr="00C33C0B" w:rsidRDefault="00313E1E" w:rsidP="00313E1E">
            <w:pPr>
              <w:spacing w:before="20" w:after="20" w:line="240" w:lineRule="auto"/>
              <w:rPr>
                <w:rFonts w:cstheme="minorHAnsi"/>
                <w:b/>
                <w:color w:val="FFFFFF" w:themeColor="background1"/>
                <w:sz w:val="17"/>
                <w:szCs w:val="17"/>
                <w:lang w:val="en-GB"/>
              </w:rPr>
            </w:pPr>
            <w:r w:rsidRPr="00C33C0B">
              <w:rPr>
                <w:rFonts w:cstheme="minorHAnsi"/>
                <w:b/>
                <w:color w:val="FFFFFF" w:themeColor="background1"/>
                <w:sz w:val="17"/>
                <w:szCs w:val="17"/>
                <w:lang w:val="en-GB"/>
              </w:rPr>
              <w:t xml:space="preserve">Item </w:t>
            </w:r>
          </w:p>
        </w:tc>
        <w:tc>
          <w:tcPr>
            <w:tcW w:w="2991" w:type="dxa"/>
            <w:shd w:val="clear" w:color="auto" w:fill="E36C0A" w:themeFill="accent6" w:themeFillShade="BF"/>
            <w:vAlign w:val="bottom"/>
            <w:hideMark/>
          </w:tcPr>
          <w:p w14:paraId="3A45443A" w14:textId="77777777" w:rsidR="00313E1E" w:rsidRPr="00C33C0B" w:rsidRDefault="00313E1E" w:rsidP="00313E1E">
            <w:pPr>
              <w:spacing w:before="20" w:after="20" w:line="240" w:lineRule="auto"/>
              <w:rPr>
                <w:rFonts w:cstheme="minorHAnsi"/>
                <w:b/>
                <w:color w:val="FFFFFF" w:themeColor="background1"/>
                <w:sz w:val="17"/>
                <w:szCs w:val="17"/>
                <w:lang w:val="en-GB"/>
              </w:rPr>
            </w:pPr>
            <w:r>
              <w:rPr>
                <w:rFonts w:cstheme="minorHAnsi"/>
                <w:b/>
                <w:color w:val="FFFFFF" w:themeColor="background1"/>
                <w:sz w:val="17"/>
                <w:szCs w:val="17"/>
                <w:lang w:val="en-GB"/>
              </w:rPr>
              <w:t>What it does</w:t>
            </w:r>
          </w:p>
        </w:tc>
        <w:tc>
          <w:tcPr>
            <w:tcW w:w="1701" w:type="dxa"/>
            <w:shd w:val="clear" w:color="auto" w:fill="E36C0A" w:themeFill="accent6" w:themeFillShade="BF"/>
            <w:vAlign w:val="bottom"/>
            <w:hideMark/>
          </w:tcPr>
          <w:p w14:paraId="0E57298F" w14:textId="77777777" w:rsidR="00313E1E" w:rsidRPr="00C33C0B" w:rsidRDefault="00313E1E" w:rsidP="00313E1E">
            <w:pPr>
              <w:spacing w:before="20" w:after="20" w:line="240" w:lineRule="auto"/>
              <w:rPr>
                <w:rFonts w:cstheme="minorHAnsi"/>
                <w:b/>
                <w:color w:val="FFFFFF" w:themeColor="background1"/>
                <w:sz w:val="17"/>
                <w:szCs w:val="17"/>
                <w:lang w:val="en-GB"/>
              </w:rPr>
            </w:pPr>
            <w:r>
              <w:rPr>
                <w:rFonts w:cstheme="minorHAnsi"/>
                <w:b/>
                <w:color w:val="FFFFFF" w:themeColor="background1"/>
                <w:sz w:val="17"/>
                <w:szCs w:val="17"/>
                <w:lang w:val="en-GB"/>
              </w:rPr>
              <w:t>Committee recommendation</w:t>
            </w:r>
          </w:p>
        </w:tc>
        <w:tc>
          <w:tcPr>
            <w:tcW w:w="1970" w:type="dxa"/>
            <w:shd w:val="clear" w:color="auto" w:fill="E36C0A" w:themeFill="accent6" w:themeFillShade="BF"/>
            <w:vAlign w:val="bottom"/>
            <w:hideMark/>
          </w:tcPr>
          <w:p w14:paraId="40E21E2D" w14:textId="77777777" w:rsidR="00313E1E" w:rsidRPr="00C33C0B" w:rsidRDefault="00313E1E" w:rsidP="00313E1E">
            <w:pPr>
              <w:spacing w:before="20" w:after="20" w:line="240" w:lineRule="auto"/>
              <w:rPr>
                <w:rFonts w:cstheme="minorHAnsi"/>
                <w:b/>
                <w:color w:val="FFFFFF" w:themeColor="background1"/>
                <w:sz w:val="17"/>
                <w:szCs w:val="17"/>
                <w:lang w:val="en-GB"/>
              </w:rPr>
            </w:pPr>
            <w:r>
              <w:rPr>
                <w:rFonts w:cstheme="minorHAnsi"/>
                <w:b/>
                <w:color w:val="FFFFFF" w:themeColor="background1"/>
                <w:sz w:val="17"/>
                <w:szCs w:val="17"/>
                <w:lang w:val="en-GB"/>
              </w:rPr>
              <w:t>What would be different</w:t>
            </w:r>
          </w:p>
        </w:tc>
        <w:tc>
          <w:tcPr>
            <w:tcW w:w="2409" w:type="dxa"/>
            <w:shd w:val="clear" w:color="auto" w:fill="E36C0A" w:themeFill="accent6" w:themeFillShade="BF"/>
            <w:vAlign w:val="bottom"/>
            <w:hideMark/>
          </w:tcPr>
          <w:p w14:paraId="3DAC8C46" w14:textId="77777777" w:rsidR="00313E1E" w:rsidRPr="00C33C0B" w:rsidRDefault="00313E1E" w:rsidP="00313E1E">
            <w:pPr>
              <w:spacing w:before="20" w:after="20" w:line="240" w:lineRule="auto"/>
              <w:rPr>
                <w:rFonts w:cstheme="minorHAnsi"/>
                <w:b/>
                <w:color w:val="FFFFFF" w:themeColor="background1"/>
                <w:sz w:val="17"/>
                <w:szCs w:val="17"/>
                <w:lang w:val="en-GB"/>
              </w:rPr>
            </w:pPr>
            <w:r>
              <w:rPr>
                <w:rFonts w:cstheme="minorHAnsi"/>
                <w:b/>
                <w:color w:val="FFFFFF" w:themeColor="background1"/>
                <w:sz w:val="17"/>
                <w:szCs w:val="17"/>
                <w:lang w:val="en-GB"/>
              </w:rPr>
              <w:t>Why</w:t>
            </w:r>
          </w:p>
        </w:tc>
      </w:tr>
      <w:tr w:rsidR="00313E1E" w:rsidRPr="00C33C0B" w14:paraId="79D0BEC6" w14:textId="77777777" w:rsidTr="00903EFD">
        <w:tc>
          <w:tcPr>
            <w:tcW w:w="704" w:type="dxa"/>
            <w:shd w:val="clear" w:color="auto" w:fill="auto"/>
            <w:noWrap/>
            <w:hideMark/>
          </w:tcPr>
          <w:p w14:paraId="2CF2D402"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820</w:t>
            </w:r>
          </w:p>
        </w:tc>
        <w:tc>
          <w:tcPr>
            <w:tcW w:w="2991" w:type="dxa"/>
            <w:shd w:val="clear" w:color="auto" w:fill="auto"/>
            <w:noWrap/>
            <w:hideMark/>
          </w:tcPr>
          <w:p w14:paraId="7ABC18A8"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community case conference of at least 15 minutes but less than 30 minutes, with a multidisciplinary team of at least 3 other formal care providers of different disciplines</w:t>
            </w:r>
          </w:p>
        </w:tc>
        <w:tc>
          <w:tcPr>
            <w:tcW w:w="1701" w:type="dxa"/>
            <w:shd w:val="clear" w:color="auto" w:fill="auto"/>
            <w:noWrap/>
          </w:tcPr>
          <w:p w14:paraId="1D0ACD42" w14:textId="77777777" w:rsidR="00313E1E" w:rsidRPr="00A84B03" w:rsidRDefault="00313E1E" w:rsidP="00313E1E">
            <w:pPr>
              <w:spacing w:before="20" w:after="20" w:line="240" w:lineRule="auto"/>
              <w:rPr>
                <w:rFonts w:cstheme="minorHAnsi"/>
                <w:bCs/>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970" w:type="dxa"/>
            <w:shd w:val="clear" w:color="auto" w:fill="auto"/>
            <w:noWrap/>
          </w:tcPr>
          <w:p w14:paraId="427129EE"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0A6257D8"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3CBD30A4" w14:textId="77777777" w:rsidTr="00903EFD">
        <w:tc>
          <w:tcPr>
            <w:tcW w:w="704" w:type="dxa"/>
            <w:shd w:val="clear" w:color="auto" w:fill="auto"/>
            <w:noWrap/>
            <w:hideMark/>
          </w:tcPr>
          <w:p w14:paraId="5833B2CE"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822</w:t>
            </w:r>
          </w:p>
        </w:tc>
        <w:tc>
          <w:tcPr>
            <w:tcW w:w="2991" w:type="dxa"/>
            <w:shd w:val="clear" w:color="auto" w:fill="auto"/>
            <w:noWrap/>
            <w:hideMark/>
          </w:tcPr>
          <w:p w14:paraId="525F72DC"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community case conference of at least 30 minutes but less than 45 minutes, with a multidisciplinary team of at least 3 other formal care providers of different disciplines</w:t>
            </w:r>
          </w:p>
        </w:tc>
        <w:tc>
          <w:tcPr>
            <w:tcW w:w="1701" w:type="dxa"/>
            <w:shd w:val="clear" w:color="auto" w:fill="auto"/>
            <w:noWrap/>
          </w:tcPr>
          <w:p w14:paraId="32C63C96" w14:textId="77777777" w:rsidR="00313E1E" w:rsidRPr="00C33C0B" w:rsidRDefault="00313E1E" w:rsidP="00313E1E">
            <w:pPr>
              <w:spacing w:before="20" w:after="20" w:line="240" w:lineRule="auto"/>
              <w:rPr>
                <w:rFonts w:cstheme="minorHAnsi"/>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970" w:type="dxa"/>
            <w:shd w:val="clear" w:color="auto" w:fill="auto"/>
            <w:noWrap/>
          </w:tcPr>
          <w:p w14:paraId="7A0F1816"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301BFCC7"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057AF3FF" w14:textId="77777777" w:rsidTr="00903EFD">
        <w:tc>
          <w:tcPr>
            <w:tcW w:w="704" w:type="dxa"/>
            <w:shd w:val="clear" w:color="auto" w:fill="auto"/>
            <w:noWrap/>
            <w:hideMark/>
          </w:tcPr>
          <w:p w14:paraId="40FFCEF5"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823</w:t>
            </w:r>
          </w:p>
        </w:tc>
        <w:tc>
          <w:tcPr>
            <w:tcW w:w="2991" w:type="dxa"/>
            <w:shd w:val="clear" w:color="auto" w:fill="auto"/>
            <w:noWrap/>
            <w:hideMark/>
          </w:tcPr>
          <w:p w14:paraId="30B35C81"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community case conference of at least 45 minutes, with a multidisciplinary team of at least 3 other formal care providers of different disciplines</w:t>
            </w:r>
          </w:p>
        </w:tc>
        <w:tc>
          <w:tcPr>
            <w:tcW w:w="1701" w:type="dxa"/>
            <w:shd w:val="clear" w:color="auto" w:fill="auto"/>
            <w:noWrap/>
          </w:tcPr>
          <w:p w14:paraId="6BF08FFC" w14:textId="77777777" w:rsidR="00313E1E" w:rsidRPr="00C33C0B" w:rsidRDefault="00313E1E" w:rsidP="00313E1E">
            <w:pPr>
              <w:spacing w:before="20" w:after="20" w:line="240" w:lineRule="auto"/>
              <w:rPr>
                <w:rFonts w:cstheme="minorHAnsi"/>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970" w:type="dxa"/>
            <w:shd w:val="clear" w:color="auto" w:fill="auto"/>
            <w:noWrap/>
          </w:tcPr>
          <w:p w14:paraId="06D0AF8F"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0EEBC1EA"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42793395" w14:textId="77777777" w:rsidTr="00903EFD">
        <w:tc>
          <w:tcPr>
            <w:tcW w:w="704" w:type="dxa"/>
            <w:shd w:val="clear" w:color="auto" w:fill="auto"/>
            <w:noWrap/>
            <w:hideMark/>
          </w:tcPr>
          <w:p w14:paraId="58EF23C6"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825</w:t>
            </w:r>
          </w:p>
        </w:tc>
        <w:tc>
          <w:tcPr>
            <w:tcW w:w="2991" w:type="dxa"/>
            <w:shd w:val="clear" w:color="auto" w:fill="auto"/>
            <w:noWrap/>
            <w:hideMark/>
          </w:tcPr>
          <w:p w14:paraId="693C4E3A"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multidisciplinary case conference team of at least 2 other formal care providers of different disciplines, to participate in a community case conference (other than to organise and coordinate the conference) of at least 15 minutes but less than 30 minutes, with the multidisciplinary case conference team</w:t>
            </w:r>
          </w:p>
        </w:tc>
        <w:tc>
          <w:tcPr>
            <w:tcW w:w="1701" w:type="dxa"/>
            <w:shd w:val="clear" w:color="auto" w:fill="auto"/>
            <w:noWrap/>
          </w:tcPr>
          <w:p w14:paraId="4991E51B" w14:textId="77777777" w:rsidR="00313E1E" w:rsidRPr="00A84B03" w:rsidRDefault="00313E1E" w:rsidP="00313E1E">
            <w:pPr>
              <w:spacing w:before="20" w:after="20" w:line="240" w:lineRule="auto"/>
              <w:rPr>
                <w:rFonts w:cstheme="minorHAnsi"/>
                <w:bCs/>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970" w:type="dxa"/>
            <w:shd w:val="clear" w:color="auto" w:fill="auto"/>
            <w:noWrap/>
          </w:tcPr>
          <w:p w14:paraId="7D0F1512"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46A852B1"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44CFF939" w14:textId="77777777" w:rsidTr="00903EFD">
        <w:tc>
          <w:tcPr>
            <w:tcW w:w="704" w:type="dxa"/>
            <w:shd w:val="clear" w:color="auto" w:fill="auto"/>
            <w:noWrap/>
            <w:hideMark/>
          </w:tcPr>
          <w:p w14:paraId="3EBCA875"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826</w:t>
            </w:r>
          </w:p>
        </w:tc>
        <w:tc>
          <w:tcPr>
            <w:tcW w:w="2991" w:type="dxa"/>
            <w:shd w:val="clear" w:color="auto" w:fill="auto"/>
            <w:noWrap/>
            <w:hideMark/>
          </w:tcPr>
          <w:p w14:paraId="6697555C"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multidisciplinary case conference team of at least 2 other formal care providers of different disciplines, to participate in a community case conference (other than to organise and coordinate the conference) of at least 30 minutes but less than 45 minutes, with the multidisciplinary case conference team</w:t>
            </w:r>
          </w:p>
        </w:tc>
        <w:tc>
          <w:tcPr>
            <w:tcW w:w="1701" w:type="dxa"/>
            <w:shd w:val="clear" w:color="auto" w:fill="auto"/>
            <w:noWrap/>
          </w:tcPr>
          <w:p w14:paraId="56B2A7DA" w14:textId="77777777" w:rsidR="00313E1E" w:rsidRPr="00C33C0B" w:rsidRDefault="00313E1E" w:rsidP="00313E1E">
            <w:pPr>
              <w:spacing w:before="20" w:after="20" w:line="240" w:lineRule="auto"/>
              <w:rPr>
                <w:rFonts w:cstheme="minorHAnsi"/>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970" w:type="dxa"/>
            <w:shd w:val="clear" w:color="auto" w:fill="auto"/>
            <w:noWrap/>
          </w:tcPr>
          <w:p w14:paraId="1EDE3296"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4D47568B"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4858D14E" w14:textId="77777777" w:rsidTr="00903EFD">
        <w:tc>
          <w:tcPr>
            <w:tcW w:w="704" w:type="dxa"/>
            <w:shd w:val="clear" w:color="auto" w:fill="auto"/>
            <w:noWrap/>
            <w:hideMark/>
          </w:tcPr>
          <w:p w14:paraId="7998DAAB"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828</w:t>
            </w:r>
          </w:p>
        </w:tc>
        <w:tc>
          <w:tcPr>
            <w:tcW w:w="2991" w:type="dxa"/>
            <w:shd w:val="clear" w:color="auto" w:fill="auto"/>
            <w:noWrap/>
            <w:hideMark/>
          </w:tcPr>
          <w:p w14:paraId="7809BF97"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multidisciplinary case conference team of at least 2 other formal care providers of different disciplines, to participate in a community case conference (other than to organise and coordinate the conference) of at least 45 minutes, with the multidisciplinary case conference team</w:t>
            </w:r>
          </w:p>
        </w:tc>
        <w:tc>
          <w:tcPr>
            <w:tcW w:w="1701" w:type="dxa"/>
            <w:shd w:val="clear" w:color="auto" w:fill="auto"/>
            <w:noWrap/>
          </w:tcPr>
          <w:p w14:paraId="2907EC3B" w14:textId="77777777" w:rsidR="00313E1E" w:rsidRPr="00C33C0B" w:rsidRDefault="00313E1E" w:rsidP="00313E1E">
            <w:pPr>
              <w:spacing w:before="20" w:after="20" w:line="240" w:lineRule="auto"/>
              <w:rPr>
                <w:rFonts w:cstheme="minorHAnsi"/>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970" w:type="dxa"/>
            <w:shd w:val="clear" w:color="auto" w:fill="auto"/>
            <w:noWrap/>
          </w:tcPr>
          <w:p w14:paraId="2FFE6E53"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4EDB264A"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15AB1E9F" w14:textId="77777777" w:rsidTr="00903EFD">
        <w:tc>
          <w:tcPr>
            <w:tcW w:w="704" w:type="dxa"/>
            <w:shd w:val="clear" w:color="auto" w:fill="auto"/>
            <w:noWrap/>
            <w:hideMark/>
          </w:tcPr>
          <w:p w14:paraId="126270CF"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830</w:t>
            </w:r>
          </w:p>
        </w:tc>
        <w:tc>
          <w:tcPr>
            <w:tcW w:w="2991" w:type="dxa"/>
            <w:shd w:val="clear" w:color="auto" w:fill="auto"/>
            <w:noWrap/>
            <w:hideMark/>
          </w:tcPr>
          <w:p w14:paraId="658E7603"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discharge case conference of at least 15 minutes but less than 30 minutes, with a multidisciplinary team of at least 3 other formal care providers of different disciplines</w:t>
            </w:r>
          </w:p>
        </w:tc>
        <w:tc>
          <w:tcPr>
            <w:tcW w:w="1701" w:type="dxa"/>
            <w:shd w:val="clear" w:color="auto" w:fill="auto"/>
            <w:noWrap/>
          </w:tcPr>
          <w:p w14:paraId="25522F80" w14:textId="77777777" w:rsidR="00313E1E" w:rsidRPr="00C33C0B" w:rsidRDefault="00313E1E" w:rsidP="00313E1E">
            <w:pPr>
              <w:spacing w:before="20" w:after="20" w:line="240" w:lineRule="auto"/>
              <w:rPr>
                <w:rFonts w:cstheme="minorHAnsi"/>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970" w:type="dxa"/>
            <w:shd w:val="clear" w:color="auto" w:fill="auto"/>
            <w:noWrap/>
          </w:tcPr>
          <w:p w14:paraId="5CF5163E"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41633312"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44D453E3" w14:textId="77777777" w:rsidTr="00903EFD">
        <w:tc>
          <w:tcPr>
            <w:tcW w:w="704" w:type="dxa"/>
            <w:shd w:val="clear" w:color="auto" w:fill="auto"/>
            <w:noWrap/>
            <w:hideMark/>
          </w:tcPr>
          <w:p w14:paraId="60C26E82"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832</w:t>
            </w:r>
          </w:p>
        </w:tc>
        <w:tc>
          <w:tcPr>
            <w:tcW w:w="2991" w:type="dxa"/>
            <w:shd w:val="clear" w:color="auto" w:fill="auto"/>
            <w:noWrap/>
            <w:hideMark/>
          </w:tcPr>
          <w:p w14:paraId="1E166CA3"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discharge case conference of at least 30 minutes but less than 45 minutes, with a multidisciplinary team of at least 3 other formal care providers of different disciplines</w:t>
            </w:r>
          </w:p>
        </w:tc>
        <w:tc>
          <w:tcPr>
            <w:tcW w:w="1701" w:type="dxa"/>
            <w:shd w:val="clear" w:color="auto" w:fill="auto"/>
            <w:noWrap/>
          </w:tcPr>
          <w:p w14:paraId="5D5262E8" w14:textId="77777777" w:rsidR="00313E1E" w:rsidRPr="00C33C0B" w:rsidRDefault="00313E1E" w:rsidP="00313E1E">
            <w:pPr>
              <w:spacing w:before="20" w:after="20" w:line="240" w:lineRule="auto"/>
              <w:rPr>
                <w:rFonts w:cstheme="minorHAnsi"/>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970" w:type="dxa"/>
            <w:shd w:val="clear" w:color="auto" w:fill="auto"/>
            <w:noWrap/>
          </w:tcPr>
          <w:p w14:paraId="3CA9593D"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47D155C5"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2FFCFAB6" w14:textId="77777777" w:rsidTr="00903EFD">
        <w:tc>
          <w:tcPr>
            <w:tcW w:w="704" w:type="dxa"/>
            <w:shd w:val="clear" w:color="auto" w:fill="auto"/>
            <w:noWrap/>
            <w:hideMark/>
          </w:tcPr>
          <w:p w14:paraId="20A305D5"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834</w:t>
            </w:r>
          </w:p>
        </w:tc>
        <w:tc>
          <w:tcPr>
            <w:tcW w:w="2991" w:type="dxa"/>
            <w:shd w:val="clear" w:color="auto" w:fill="auto"/>
            <w:noWrap/>
            <w:hideMark/>
          </w:tcPr>
          <w:p w14:paraId="2923721B"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organise and coordinate a discharge case conference of at least 45 minutes, with a multidisciplinary team of at least 3 other formal care providers of different disciplines</w:t>
            </w:r>
          </w:p>
        </w:tc>
        <w:tc>
          <w:tcPr>
            <w:tcW w:w="1701" w:type="dxa"/>
            <w:shd w:val="clear" w:color="auto" w:fill="auto"/>
            <w:noWrap/>
          </w:tcPr>
          <w:p w14:paraId="4FDD325A" w14:textId="77777777" w:rsidR="00313E1E" w:rsidRPr="00C33C0B" w:rsidRDefault="00313E1E" w:rsidP="00313E1E">
            <w:pPr>
              <w:spacing w:before="20" w:after="20" w:line="240" w:lineRule="auto"/>
              <w:rPr>
                <w:rFonts w:cstheme="minorHAnsi"/>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970" w:type="dxa"/>
            <w:shd w:val="clear" w:color="auto" w:fill="auto"/>
            <w:noWrap/>
          </w:tcPr>
          <w:p w14:paraId="73E1778A"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2BB3E8F6"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6491DB06" w14:textId="77777777" w:rsidTr="00903EFD">
        <w:tc>
          <w:tcPr>
            <w:tcW w:w="704" w:type="dxa"/>
            <w:shd w:val="clear" w:color="auto" w:fill="auto"/>
            <w:noWrap/>
            <w:hideMark/>
          </w:tcPr>
          <w:p w14:paraId="172AEDB0"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835</w:t>
            </w:r>
          </w:p>
        </w:tc>
        <w:tc>
          <w:tcPr>
            <w:tcW w:w="2991" w:type="dxa"/>
            <w:shd w:val="clear" w:color="auto" w:fill="auto"/>
            <w:noWrap/>
            <w:hideMark/>
          </w:tcPr>
          <w:p w14:paraId="64ED3D0C"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participate in a discharge case conference (other than to organise and coordinate the conference) of at least 15 minutes but less than 30 minutes, with a multidisciplinary team of at least 2 other formal care providers of different disciplines</w:t>
            </w:r>
          </w:p>
        </w:tc>
        <w:tc>
          <w:tcPr>
            <w:tcW w:w="1701" w:type="dxa"/>
            <w:shd w:val="clear" w:color="auto" w:fill="auto"/>
            <w:noWrap/>
          </w:tcPr>
          <w:p w14:paraId="7C4BD377" w14:textId="77777777" w:rsidR="00313E1E" w:rsidRPr="00C33C0B" w:rsidRDefault="00313E1E" w:rsidP="00313E1E">
            <w:pPr>
              <w:spacing w:before="20" w:after="20" w:line="240" w:lineRule="auto"/>
              <w:rPr>
                <w:rFonts w:cstheme="minorHAnsi"/>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970" w:type="dxa"/>
            <w:shd w:val="clear" w:color="auto" w:fill="auto"/>
            <w:noWrap/>
          </w:tcPr>
          <w:p w14:paraId="03FC81D5"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090D76C3"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5199FC99" w14:textId="77777777" w:rsidTr="00903EFD">
        <w:tc>
          <w:tcPr>
            <w:tcW w:w="704" w:type="dxa"/>
            <w:shd w:val="clear" w:color="auto" w:fill="auto"/>
            <w:noWrap/>
            <w:hideMark/>
          </w:tcPr>
          <w:p w14:paraId="4A8C5A42"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837</w:t>
            </w:r>
          </w:p>
        </w:tc>
        <w:tc>
          <w:tcPr>
            <w:tcW w:w="2991" w:type="dxa"/>
            <w:shd w:val="clear" w:color="auto" w:fill="auto"/>
            <w:noWrap/>
            <w:hideMark/>
          </w:tcPr>
          <w:p w14:paraId="056F7118"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participate in a discharge case conference (other than to organise and coordinate the conference) of at least 30 minutes but less than 45 minutes, with a multidisciplinary team of at least 2 other formal care providers of different disciplines</w:t>
            </w:r>
          </w:p>
        </w:tc>
        <w:tc>
          <w:tcPr>
            <w:tcW w:w="1701" w:type="dxa"/>
            <w:shd w:val="clear" w:color="auto" w:fill="auto"/>
            <w:noWrap/>
          </w:tcPr>
          <w:p w14:paraId="1F525467" w14:textId="77777777" w:rsidR="00313E1E" w:rsidRPr="00C33C0B" w:rsidRDefault="00313E1E" w:rsidP="00313E1E">
            <w:pPr>
              <w:spacing w:before="20" w:after="20" w:line="240" w:lineRule="auto"/>
              <w:rPr>
                <w:rFonts w:cstheme="minorHAnsi"/>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970" w:type="dxa"/>
            <w:shd w:val="clear" w:color="auto" w:fill="auto"/>
            <w:noWrap/>
          </w:tcPr>
          <w:p w14:paraId="347CAD1D"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2E0A0621"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43FC73AA" w14:textId="77777777" w:rsidTr="00903EFD">
        <w:tc>
          <w:tcPr>
            <w:tcW w:w="704" w:type="dxa"/>
            <w:shd w:val="clear" w:color="auto" w:fill="auto"/>
            <w:noWrap/>
            <w:hideMark/>
          </w:tcPr>
          <w:p w14:paraId="1B7C66E8"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838</w:t>
            </w:r>
          </w:p>
        </w:tc>
        <w:tc>
          <w:tcPr>
            <w:tcW w:w="2991" w:type="dxa"/>
            <w:shd w:val="clear" w:color="auto" w:fill="auto"/>
            <w:noWrap/>
            <w:hideMark/>
          </w:tcPr>
          <w:p w14:paraId="0E848649"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consultant physician in the practice of his or her specialty, as a member of a case conference team, to participate in a discharge case conference (other than to organise and coordinate the conference) of at least 45 minutes, with a multidisciplinary team of at least 2 other formal care providers of different disciplines</w:t>
            </w:r>
          </w:p>
        </w:tc>
        <w:tc>
          <w:tcPr>
            <w:tcW w:w="1701" w:type="dxa"/>
            <w:shd w:val="clear" w:color="auto" w:fill="auto"/>
            <w:noWrap/>
          </w:tcPr>
          <w:p w14:paraId="0D20543F" w14:textId="77777777" w:rsidR="00313E1E" w:rsidRPr="00C33C0B" w:rsidRDefault="00313E1E" w:rsidP="00313E1E">
            <w:pPr>
              <w:spacing w:before="20" w:after="20" w:line="240" w:lineRule="auto"/>
              <w:rPr>
                <w:rFonts w:cstheme="minorHAnsi"/>
                <w:color w:val="000000"/>
                <w:sz w:val="17"/>
                <w:szCs w:val="17"/>
                <w:lang w:val="en-GB"/>
              </w:rPr>
            </w:pPr>
            <w:r>
              <w:rPr>
                <w:rFonts w:cstheme="minorHAnsi"/>
                <w:bCs/>
                <w:color w:val="000000"/>
                <w:sz w:val="17"/>
                <w:szCs w:val="17"/>
                <w:lang w:val="en-GB"/>
              </w:rPr>
              <w:t>Introduce a new framework of case conference items; open access to all specialists and consultant physicians</w:t>
            </w:r>
          </w:p>
        </w:tc>
        <w:tc>
          <w:tcPr>
            <w:tcW w:w="1970" w:type="dxa"/>
            <w:shd w:val="clear" w:color="auto" w:fill="auto"/>
            <w:noWrap/>
          </w:tcPr>
          <w:p w14:paraId="2C4CB16E"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153F99D0"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47927C31" w14:textId="77777777" w:rsidTr="00903EFD">
        <w:tc>
          <w:tcPr>
            <w:tcW w:w="704" w:type="dxa"/>
            <w:shd w:val="clear" w:color="auto" w:fill="auto"/>
            <w:noWrap/>
            <w:hideMark/>
          </w:tcPr>
          <w:p w14:paraId="46EE15F4"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871</w:t>
            </w:r>
          </w:p>
        </w:tc>
        <w:tc>
          <w:tcPr>
            <w:tcW w:w="2991" w:type="dxa"/>
            <w:shd w:val="clear" w:color="auto" w:fill="auto"/>
            <w:noWrap/>
            <w:hideMark/>
          </w:tcPr>
          <w:p w14:paraId="36CCF946"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medical practitioner (including a specialist or consultant physician in the practice of his or her specialty or a general practitioner), as a member of a case conference team, to lead and coordinate a multidisciplinary case conference on a patient with cancer to develop a multidisciplinary treatment plan, if the case conference is of at least 10 minutes, with a multidisciplinary team of at least 3 other medical practitioners from different areas of medical practice (which may include general practice), and, in addition, allied health providers</w:t>
            </w:r>
          </w:p>
        </w:tc>
        <w:tc>
          <w:tcPr>
            <w:tcW w:w="1701" w:type="dxa"/>
            <w:shd w:val="clear" w:color="auto" w:fill="auto"/>
            <w:noWrap/>
          </w:tcPr>
          <w:p w14:paraId="7083BEC7"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 replace with new treatment planning case conferences</w:t>
            </w:r>
          </w:p>
        </w:tc>
        <w:tc>
          <w:tcPr>
            <w:tcW w:w="1970" w:type="dxa"/>
            <w:shd w:val="clear" w:color="auto" w:fill="auto"/>
            <w:noWrap/>
          </w:tcPr>
          <w:p w14:paraId="093ADC05"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six new treatment planning case conference items to discuss available treatment options with peer medical practitioners</w:t>
            </w:r>
          </w:p>
        </w:tc>
        <w:tc>
          <w:tcPr>
            <w:tcW w:w="2409" w:type="dxa"/>
            <w:shd w:val="clear" w:color="auto" w:fill="auto"/>
            <w:noWrap/>
          </w:tcPr>
          <w:p w14:paraId="32176BE2"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170C9EA4" w14:textId="77777777" w:rsidTr="00903EFD">
        <w:tc>
          <w:tcPr>
            <w:tcW w:w="704" w:type="dxa"/>
            <w:shd w:val="clear" w:color="auto" w:fill="auto"/>
            <w:noWrap/>
            <w:hideMark/>
          </w:tcPr>
          <w:p w14:paraId="59B33B64"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872</w:t>
            </w:r>
          </w:p>
        </w:tc>
        <w:tc>
          <w:tcPr>
            <w:tcW w:w="2991" w:type="dxa"/>
            <w:shd w:val="clear" w:color="auto" w:fill="auto"/>
            <w:noWrap/>
            <w:hideMark/>
          </w:tcPr>
          <w:p w14:paraId="4BFA5221"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medical practitioner (including a specialist or consultant physician in the practice of his or her specialty or a general practitioner), as a member of a case conference team, to participate in a multidisciplinary case conference on a patient with cancer to develop a multidisciplinary treatment plan, if the case conference is of at least 10 minutes, with a multidisciplinary team of at least 4 medical practitioners from different areas of medical practice (which may include general practice), and, in addition, allied health providers</w:t>
            </w:r>
          </w:p>
        </w:tc>
        <w:tc>
          <w:tcPr>
            <w:tcW w:w="1701" w:type="dxa"/>
            <w:shd w:val="clear" w:color="auto" w:fill="auto"/>
            <w:noWrap/>
          </w:tcPr>
          <w:p w14:paraId="5D2D9DEB"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 replace with new treatment planning case conferences</w:t>
            </w:r>
          </w:p>
        </w:tc>
        <w:tc>
          <w:tcPr>
            <w:tcW w:w="1970" w:type="dxa"/>
            <w:shd w:val="clear" w:color="auto" w:fill="auto"/>
            <w:noWrap/>
          </w:tcPr>
          <w:p w14:paraId="3A1029B9"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six new treatment planning case conference items to discuss available treatment options with peer medical practitioners</w:t>
            </w:r>
          </w:p>
        </w:tc>
        <w:tc>
          <w:tcPr>
            <w:tcW w:w="2409" w:type="dxa"/>
            <w:shd w:val="clear" w:color="auto" w:fill="auto"/>
            <w:noWrap/>
          </w:tcPr>
          <w:p w14:paraId="191D6085"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622CB789" w14:textId="77777777" w:rsidTr="00903EFD">
        <w:tc>
          <w:tcPr>
            <w:tcW w:w="704" w:type="dxa"/>
            <w:shd w:val="clear" w:color="auto" w:fill="auto"/>
            <w:noWrap/>
            <w:hideMark/>
          </w:tcPr>
          <w:p w14:paraId="5A2EC8A0"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880</w:t>
            </w:r>
          </w:p>
        </w:tc>
        <w:tc>
          <w:tcPr>
            <w:tcW w:w="2991" w:type="dxa"/>
            <w:shd w:val="clear" w:color="auto" w:fill="auto"/>
            <w:noWrap/>
            <w:hideMark/>
          </w:tcPr>
          <w:p w14:paraId="4FD3942A"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geriatric or rehabilitation medicine, as a member of a case conference team, to coordinate a case conference of at least 10 minutes but less than 30 minutes--for any particular patient, one attendance only in a 7 day period (other than attendance on the same day as an attendance for which item 832, 834, 835, 837 or 838 was applicable in relation to the patient) (H)</w:t>
            </w:r>
          </w:p>
        </w:tc>
        <w:tc>
          <w:tcPr>
            <w:tcW w:w="1701" w:type="dxa"/>
            <w:shd w:val="clear" w:color="auto" w:fill="auto"/>
            <w:noWrap/>
          </w:tcPr>
          <w:p w14:paraId="02E7FAA2"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No change</w:t>
            </w:r>
          </w:p>
        </w:tc>
        <w:tc>
          <w:tcPr>
            <w:tcW w:w="1970" w:type="dxa"/>
            <w:shd w:val="clear" w:color="auto" w:fill="auto"/>
            <w:noWrap/>
          </w:tcPr>
          <w:p w14:paraId="1886D77F"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w:t>
            </w:r>
          </w:p>
        </w:tc>
        <w:tc>
          <w:tcPr>
            <w:tcW w:w="2409" w:type="dxa"/>
            <w:shd w:val="clear" w:color="auto" w:fill="auto"/>
            <w:noWrap/>
          </w:tcPr>
          <w:p w14:paraId="0805D0ED"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w:t>
            </w:r>
          </w:p>
        </w:tc>
      </w:tr>
      <w:tr w:rsidR="00313E1E" w:rsidRPr="00C33C0B" w14:paraId="1460548D" w14:textId="77777777" w:rsidTr="00903EFD">
        <w:tc>
          <w:tcPr>
            <w:tcW w:w="704" w:type="dxa"/>
            <w:shd w:val="clear" w:color="auto" w:fill="auto"/>
            <w:noWrap/>
            <w:hideMark/>
          </w:tcPr>
          <w:p w14:paraId="6889FFBF"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2946</w:t>
            </w:r>
          </w:p>
        </w:tc>
        <w:tc>
          <w:tcPr>
            <w:tcW w:w="2991" w:type="dxa"/>
            <w:shd w:val="clear" w:color="auto" w:fill="auto"/>
            <w:noWrap/>
            <w:hideMark/>
          </w:tcPr>
          <w:p w14:paraId="112541B1"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community case conference of at least 15 minutes but less than 30 minutes</w:t>
            </w:r>
          </w:p>
        </w:tc>
        <w:tc>
          <w:tcPr>
            <w:tcW w:w="1701" w:type="dxa"/>
            <w:shd w:val="clear" w:color="auto" w:fill="auto"/>
            <w:noWrap/>
          </w:tcPr>
          <w:p w14:paraId="5D55EE14"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449B59BF"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16CEBE1E"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6760C3D8" w14:textId="77777777" w:rsidTr="00903EFD">
        <w:tc>
          <w:tcPr>
            <w:tcW w:w="704" w:type="dxa"/>
            <w:shd w:val="clear" w:color="auto" w:fill="auto"/>
            <w:noWrap/>
            <w:hideMark/>
          </w:tcPr>
          <w:p w14:paraId="4E985BEB"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2949</w:t>
            </w:r>
          </w:p>
        </w:tc>
        <w:tc>
          <w:tcPr>
            <w:tcW w:w="2991" w:type="dxa"/>
            <w:shd w:val="clear" w:color="auto" w:fill="auto"/>
            <w:noWrap/>
            <w:hideMark/>
          </w:tcPr>
          <w:p w14:paraId="460B3723"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community case conference of at least 30 minutes but less than 45 minutes</w:t>
            </w:r>
          </w:p>
        </w:tc>
        <w:tc>
          <w:tcPr>
            <w:tcW w:w="1701" w:type="dxa"/>
            <w:shd w:val="clear" w:color="auto" w:fill="auto"/>
            <w:noWrap/>
          </w:tcPr>
          <w:p w14:paraId="374F21B7"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71CD47D0"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6B48EAB3"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7AC6EA14" w14:textId="77777777" w:rsidTr="00903EFD">
        <w:tc>
          <w:tcPr>
            <w:tcW w:w="704" w:type="dxa"/>
            <w:shd w:val="clear" w:color="auto" w:fill="auto"/>
            <w:noWrap/>
            <w:hideMark/>
          </w:tcPr>
          <w:p w14:paraId="06462830"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2954</w:t>
            </w:r>
          </w:p>
        </w:tc>
        <w:tc>
          <w:tcPr>
            <w:tcW w:w="2991" w:type="dxa"/>
            <w:shd w:val="clear" w:color="auto" w:fill="auto"/>
            <w:noWrap/>
            <w:hideMark/>
          </w:tcPr>
          <w:p w14:paraId="4C80706F"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community case conference of at least 45 minutes</w:t>
            </w:r>
          </w:p>
        </w:tc>
        <w:tc>
          <w:tcPr>
            <w:tcW w:w="1701" w:type="dxa"/>
            <w:shd w:val="clear" w:color="auto" w:fill="auto"/>
            <w:noWrap/>
          </w:tcPr>
          <w:p w14:paraId="76663899"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4A964376"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01A6E5B4"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4B74B22B" w14:textId="77777777" w:rsidTr="00903EFD">
        <w:tc>
          <w:tcPr>
            <w:tcW w:w="704" w:type="dxa"/>
            <w:shd w:val="clear" w:color="auto" w:fill="auto"/>
            <w:noWrap/>
            <w:hideMark/>
          </w:tcPr>
          <w:p w14:paraId="3C0EEA3E"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2958</w:t>
            </w:r>
          </w:p>
        </w:tc>
        <w:tc>
          <w:tcPr>
            <w:tcW w:w="2991" w:type="dxa"/>
            <w:shd w:val="clear" w:color="auto" w:fill="auto"/>
            <w:noWrap/>
            <w:hideMark/>
          </w:tcPr>
          <w:p w14:paraId="233D1DF9"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community case conference (other than to organise and coordinate the conference) of at least 15 minutes but less than 30 minutes</w:t>
            </w:r>
          </w:p>
        </w:tc>
        <w:tc>
          <w:tcPr>
            <w:tcW w:w="1701" w:type="dxa"/>
            <w:shd w:val="clear" w:color="auto" w:fill="auto"/>
            <w:noWrap/>
          </w:tcPr>
          <w:p w14:paraId="7AB39DF0"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57BF0123"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559B8CC8"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44AAD66E" w14:textId="77777777" w:rsidTr="00903EFD">
        <w:tc>
          <w:tcPr>
            <w:tcW w:w="704" w:type="dxa"/>
            <w:shd w:val="clear" w:color="auto" w:fill="auto"/>
            <w:noWrap/>
            <w:hideMark/>
          </w:tcPr>
          <w:p w14:paraId="56E3E978"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2972</w:t>
            </w:r>
          </w:p>
        </w:tc>
        <w:tc>
          <w:tcPr>
            <w:tcW w:w="2991" w:type="dxa"/>
            <w:shd w:val="clear" w:color="auto" w:fill="auto"/>
            <w:noWrap/>
            <w:hideMark/>
          </w:tcPr>
          <w:p w14:paraId="0080963C"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community case conference (other than to organise and coordinate the conference) of at least 30 minutes but less than 45 minutes</w:t>
            </w:r>
          </w:p>
        </w:tc>
        <w:tc>
          <w:tcPr>
            <w:tcW w:w="1701" w:type="dxa"/>
            <w:shd w:val="clear" w:color="auto" w:fill="auto"/>
            <w:noWrap/>
          </w:tcPr>
          <w:p w14:paraId="60103604"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68F51676"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1D6B9E76"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3FAFAE2D" w14:textId="77777777" w:rsidTr="00903EFD">
        <w:tc>
          <w:tcPr>
            <w:tcW w:w="704" w:type="dxa"/>
            <w:shd w:val="clear" w:color="auto" w:fill="auto"/>
            <w:noWrap/>
            <w:hideMark/>
          </w:tcPr>
          <w:p w14:paraId="68F11153"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2974</w:t>
            </w:r>
          </w:p>
        </w:tc>
        <w:tc>
          <w:tcPr>
            <w:tcW w:w="2991" w:type="dxa"/>
            <w:shd w:val="clear" w:color="auto" w:fill="auto"/>
            <w:noWrap/>
            <w:hideMark/>
          </w:tcPr>
          <w:p w14:paraId="0332956B"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community case conference (other than to organise and coordinate the conference) of at least 45 minutes</w:t>
            </w:r>
          </w:p>
        </w:tc>
        <w:tc>
          <w:tcPr>
            <w:tcW w:w="1701" w:type="dxa"/>
            <w:shd w:val="clear" w:color="auto" w:fill="auto"/>
            <w:noWrap/>
          </w:tcPr>
          <w:p w14:paraId="469ACB70"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3B7B6FEA"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098147E4"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7B54BAE6" w14:textId="77777777" w:rsidTr="00903EFD">
        <w:tc>
          <w:tcPr>
            <w:tcW w:w="704" w:type="dxa"/>
            <w:shd w:val="clear" w:color="auto" w:fill="auto"/>
            <w:noWrap/>
            <w:hideMark/>
          </w:tcPr>
          <w:p w14:paraId="51B9BE9A"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2978</w:t>
            </w:r>
          </w:p>
        </w:tc>
        <w:tc>
          <w:tcPr>
            <w:tcW w:w="2991" w:type="dxa"/>
            <w:shd w:val="clear" w:color="auto" w:fill="auto"/>
            <w:noWrap/>
            <w:hideMark/>
          </w:tcPr>
          <w:p w14:paraId="5DD1F402"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discharge case conference of at least 15 minutes but less than 30 minutes, before the patient is discharged from a hospital (H)</w:t>
            </w:r>
          </w:p>
        </w:tc>
        <w:tc>
          <w:tcPr>
            <w:tcW w:w="1701" w:type="dxa"/>
            <w:shd w:val="clear" w:color="auto" w:fill="auto"/>
            <w:noWrap/>
          </w:tcPr>
          <w:p w14:paraId="5A8AD74D"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1B72985D"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164BF723"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100745DF" w14:textId="77777777" w:rsidTr="00903EFD">
        <w:tc>
          <w:tcPr>
            <w:tcW w:w="704" w:type="dxa"/>
            <w:shd w:val="clear" w:color="auto" w:fill="auto"/>
            <w:noWrap/>
            <w:hideMark/>
          </w:tcPr>
          <w:p w14:paraId="7C930ACD"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2984</w:t>
            </w:r>
          </w:p>
        </w:tc>
        <w:tc>
          <w:tcPr>
            <w:tcW w:w="2991" w:type="dxa"/>
            <w:shd w:val="clear" w:color="auto" w:fill="auto"/>
            <w:noWrap/>
            <w:hideMark/>
          </w:tcPr>
          <w:p w14:paraId="3012676A"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discharge case conference of at least 30 minutes but less than 45 minutes, before the patient is discharged from a hospital (H)</w:t>
            </w:r>
          </w:p>
        </w:tc>
        <w:tc>
          <w:tcPr>
            <w:tcW w:w="1701" w:type="dxa"/>
            <w:shd w:val="clear" w:color="auto" w:fill="auto"/>
            <w:noWrap/>
          </w:tcPr>
          <w:p w14:paraId="4D161A9C"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6407A8FD"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14EAD558"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6C5A96BF" w14:textId="77777777" w:rsidTr="00903EFD">
        <w:tc>
          <w:tcPr>
            <w:tcW w:w="704" w:type="dxa"/>
            <w:shd w:val="clear" w:color="auto" w:fill="auto"/>
            <w:noWrap/>
            <w:hideMark/>
          </w:tcPr>
          <w:p w14:paraId="021038A2"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2988</w:t>
            </w:r>
          </w:p>
        </w:tc>
        <w:tc>
          <w:tcPr>
            <w:tcW w:w="2991" w:type="dxa"/>
            <w:shd w:val="clear" w:color="auto" w:fill="auto"/>
            <w:noWrap/>
            <w:hideMark/>
          </w:tcPr>
          <w:p w14:paraId="4359504E"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organise and coordinate a discharge case conference of at least 45 minutes, before the patient is discharged from a hospital (H)</w:t>
            </w:r>
          </w:p>
        </w:tc>
        <w:tc>
          <w:tcPr>
            <w:tcW w:w="1701" w:type="dxa"/>
            <w:shd w:val="clear" w:color="auto" w:fill="auto"/>
            <w:noWrap/>
          </w:tcPr>
          <w:p w14:paraId="546A95AE"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17FD20C9"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64DF7A10"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321A5E73" w14:textId="77777777" w:rsidTr="00903EFD">
        <w:tc>
          <w:tcPr>
            <w:tcW w:w="704" w:type="dxa"/>
            <w:shd w:val="clear" w:color="auto" w:fill="auto"/>
            <w:noWrap/>
            <w:hideMark/>
          </w:tcPr>
          <w:p w14:paraId="6A55FC8B"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2992</w:t>
            </w:r>
          </w:p>
        </w:tc>
        <w:tc>
          <w:tcPr>
            <w:tcW w:w="2991" w:type="dxa"/>
            <w:shd w:val="clear" w:color="auto" w:fill="auto"/>
            <w:noWrap/>
            <w:hideMark/>
          </w:tcPr>
          <w:p w14:paraId="7FC654B5"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discharge case conference (other than to organise and coordinate the conference) of at least 15 minutes but less than 30 minutes, before the patient is discharged from a hospital (H)</w:t>
            </w:r>
          </w:p>
        </w:tc>
        <w:tc>
          <w:tcPr>
            <w:tcW w:w="1701" w:type="dxa"/>
            <w:shd w:val="clear" w:color="auto" w:fill="auto"/>
            <w:noWrap/>
          </w:tcPr>
          <w:p w14:paraId="76AC9963"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5685720F"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58759678"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6DC4B4DD" w14:textId="77777777" w:rsidTr="00903EFD">
        <w:tc>
          <w:tcPr>
            <w:tcW w:w="704" w:type="dxa"/>
            <w:shd w:val="clear" w:color="auto" w:fill="auto"/>
            <w:noWrap/>
            <w:hideMark/>
          </w:tcPr>
          <w:p w14:paraId="38A627FC"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2996</w:t>
            </w:r>
          </w:p>
        </w:tc>
        <w:tc>
          <w:tcPr>
            <w:tcW w:w="2991" w:type="dxa"/>
            <w:shd w:val="clear" w:color="auto" w:fill="auto"/>
            <w:noWrap/>
            <w:hideMark/>
          </w:tcPr>
          <w:p w14:paraId="5958CFF4"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discharge case conference (other than to organise and coordinate the conference) of at least 30 minutes but less than 45 minutes, before the patient is discharged from a hospital (H)</w:t>
            </w:r>
          </w:p>
        </w:tc>
        <w:tc>
          <w:tcPr>
            <w:tcW w:w="1701" w:type="dxa"/>
            <w:shd w:val="clear" w:color="auto" w:fill="auto"/>
            <w:noWrap/>
          </w:tcPr>
          <w:p w14:paraId="3F2EA293"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7B1FC08F"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0C2B2204"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7A625237" w14:textId="77777777" w:rsidTr="00903EFD">
        <w:tc>
          <w:tcPr>
            <w:tcW w:w="704" w:type="dxa"/>
            <w:shd w:val="clear" w:color="auto" w:fill="auto"/>
            <w:noWrap/>
            <w:hideMark/>
          </w:tcPr>
          <w:p w14:paraId="2E5B7214"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3000</w:t>
            </w:r>
          </w:p>
        </w:tc>
        <w:tc>
          <w:tcPr>
            <w:tcW w:w="2991" w:type="dxa"/>
            <w:shd w:val="clear" w:color="auto" w:fill="auto"/>
            <w:noWrap/>
            <w:hideMark/>
          </w:tcPr>
          <w:p w14:paraId="05344369"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pain medicine, as a member of a multidisciplinary case conference team, to participate in a discharge case conference (other than to organise and coordinate the conference) of at least 45 minutes, before the patient is discharged from a hospital (H)</w:t>
            </w:r>
          </w:p>
        </w:tc>
        <w:tc>
          <w:tcPr>
            <w:tcW w:w="1701" w:type="dxa"/>
            <w:shd w:val="clear" w:color="auto" w:fill="auto"/>
            <w:noWrap/>
          </w:tcPr>
          <w:p w14:paraId="410AB3F7"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52A6D3A3"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6511E3F0"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466C3853" w14:textId="77777777" w:rsidTr="00903EFD">
        <w:tc>
          <w:tcPr>
            <w:tcW w:w="704" w:type="dxa"/>
            <w:shd w:val="clear" w:color="auto" w:fill="auto"/>
            <w:noWrap/>
            <w:hideMark/>
          </w:tcPr>
          <w:p w14:paraId="28F8F4A1"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3032</w:t>
            </w:r>
          </w:p>
        </w:tc>
        <w:tc>
          <w:tcPr>
            <w:tcW w:w="2991" w:type="dxa"/>
            <w:shd w:val="clear" w:color="auto" w:fill="auto"/>
            <w:noWrap/>
            <w:hideMark/>
          </w:tcPr>
          <w:p w14:paraId="71CD86A6"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organise and coordinate a community case conference of at least 15 minutes but less than 30 minutes</w:t>
            </w:r>
          </w:p>
        </w:tc>
        <w:tc>
          <w:tcPr>
            <w:tcW w:w="1701" w:type="dxa"/>
            <w:shd w:val="clear" w:color="auto" w:fill="auto"/>
            <w:noWrap/>
          </w:tcPr>
          <w:p w14:paraId="74B3770D"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23EB2B88"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0FF1B2FC"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5D8A91DE" w14:textId="77777777" w:rsidTr="00903EFD">
        <w:tc>
          <w:tcPr>
            <w:tcW w:w="704" w:type="dxa"/>
            <w:shd w:val="clear" w:color="auto" w:fill="auto"/>
            <w:noWrap/>
            <w:hideMark/>
          </w:tcPr>
          <w:p w14:paraId="40B9ACA2"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3040</w:t>
            </w:r>
          </w:p>
        </w:tc>
        <w:tc>
          <w:tcPr>
            <w:tcW w:w="2991" w:type="dxa"/>
            <w:shd w:val="clear" w:color="auto" w:fill="auto"/>
            <w:noWrap/>
            <w:hideMark/>
          </w:tcPr>
          <w:p w14:paraId="2E208C95"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organise and coordinate a community case conference of at least 30 minutes but less than 45 minutes</w:t>
            </w:r>
          </w:p>
        </w:tc>
        <w:tc>
          <w:tcPr>
            <w:tcW w:w="1701" w:type="dxa"/>
            <w:shd w:val="clear" w:color="auto" w:fill="auto"/>
            <w:noWrap/>
          </w:tcPr>
          <w:p w14:paraId="31BDFFC7"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610A525A"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64063776"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60B7D21D" w14:textId="77777777" w:rsidTr="00903EFD">
        <w:tc>
          <w:tcPr>
            <w:tcW w:w="704" w:type="dxa"/>
            <w:shd w:val="clear" w:color="auto" w:fill="auto"/>
            <w:noWrap/>
            <w:hideMark/>
          </w:tcPr>
          <w:p w14:paraId="280ACFFC"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3044</w:t>
            </w:r>
          </w:p>
        </w:tc>
        <w:tc>
          <w:tcPr>
            <w:tcW w:w="2991" w:type="dxa"/>
            <w:shd w:val="clear" w:color="auto" w:fill="auto"/>
            <w:noWrap/>
            <w:hideMark/>
          </w:tcPr>
          <w:p w14:paraId="41D9C453"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organise and coordinate a community case conference of at least 45 minutes</w:t>
            </w:r>
          </w:p>
        </w:tc>
        <w:tc>
          <w:tcPr>
            <w:tcW w:w="1701" w:type="dxa"/>
            <w:shd w:val="clear" w:color="auto" w:fill="auto"/>
            <w:noWrap/>
          </w:tcPr>
          <w:p w14:paraId="5A4D6C75"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6746A935"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1CD634E4"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7844C273" w14:textId="77777777" w:rsidTr="00903EFD">
        <w:tc>
          <w:tcPr>
            <w:tcW w:w="704" w:type="dxa"/>
            <w:shd w:val="clear" w:color="auto" w:fill="auto"/>
            <w:noWrap/>
            <w:hideMark/>
          </w:tcPr>
          <w:p w14:paraId="070480B9"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3051</w:t>
            </w:r>
          </w:p>
        </w:tc>
        <w:tc>
          <w:tcPr>
            <w:tcW w:w="2991" w:type="dxa"/>
            <w:shd w:val="clear" w:color="auto" w:fill="auto"/>
            <w:noWrap/>
            <w:hideMark/>
          </w:tcPr>
          <w:p w14:paraId="52CAF90C"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participate in a community case conference (other than to organise and coordinate the conference) of at least 15 minutes but less than 30 minutes</w:t>
            </w:r>
          </w:p>
        </w:tc>
        <w:tc>
          <w:tcPr>
            <w:tcW w:w="1701" w:type="dxa"/>
            <w:shd w:val="clear" w:color="auto" w:fill="auto"/>
            <w:noWrap/>
          </w:tcPr>
          <w:p w14:paraId="4FC111E8"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3CD8D53C"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65794479"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443F1145" w14:textId="77777777" w:rsidTr="00903EFD">
        <w:tc>
          <w:tcPr>
            <w:tcW w:w="704" w:type="dxa"/>
            <w:shd w:val="clear" w:color="auto" w:fill="auto"/>
            <w:noWrap/>
            <w:hideMark/>
          </w:tcPr>
          <w:p w14:paraId="00E4B695"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3055</w:t>
            </w:r>
          </w:p>
        </w:tc>
        <w:tc>
          <w:tcPr>
            <w:tcW w:w="2991" w:type="dxa"/>
            <w:shd w:val="clear" w:color="auto" w:fill="auto"/>
            <w:noWrap/>
            <w:hideMark/>
          </w:tcPr>
          <w:p w14:paraId="613D2EE5"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participate in a community case conference (other than to organise and coordinate the conference) of at least 30 minutes but less than 45 minutes, with a multidisciplinary team of at least 2 other formal care providers of different disciplines</w:t>
            </w:r>
          </w:p>
        </w:tc>
        <w:tc>
          <w:tcPr>
            <w:tcW w:w="1701" w:type="dxa"/>
            <w:shd w:val="clear" w:color="auto" w:fill="auto"/>
            <w:noWrap/>
          </w:tcPr>
          <w:p w14:paraId="033CECF3"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535AD87A"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5F2FB4FC"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10B8BBA9" w14:textId="77777777" w:rsidTr="00903EFD">
        <w:tc>
          <w:tcPr>
            <w:tcW w:w="704" w:type="dxa"/>
            <w:shd w:val="clear" w:color="auto" w:fill="auto"/>
            <w:noWrap/>
            <w:hideMark/>
          </w:tcPr>
          <w:p w14:paraId="42866938" w14:textId="77777777" w:rsidR="00313E1E" w:rsidRPr="00C33C0B" w:rsidRDefault="00313E1E" w:rsidP="00313E1E">
            <w:pPr>
              <w:spacing w:before="20" w:after="20" w:line="240" w:lineRule="auto"/>
              <w:rPr>
                <w:rFonts w:cstheme="minorHAnsi"/>
                <w:bCs/>
                <w:color w:val="000000"/>
                <w:sz w:val="17"/>
                <w:szCs w:val="17"/>
                <w:lang w:val="en-GB"/>
              </w:rPr>
            </w:pPr>
            <w:r w:rsidRPr="00C33C0B">
              <w:rPr>
                <w:rFonts w:cstheme="minorHAnsi"/>
                <w:bCs/>
                <w:color w:val="000000"/>
                <w:sz w:val="17"/>
                <w:szCs w:val="17"/>
                <w:lang w:val="en-GB"/>
              </w:rPr>
              <w:t>3062</w:t>
            </w:r>
          </w:p>
        </w:tc>
        <w:tc>
          <w:tcPr>
            <w:tcW w:w="2991" w:type="dxa"/>
            <w:shd w:val="clear" w:color="auto" w:fill="auto"/>
            <w:noWrap/>
            <w:hideMark/>
          </w:tcPr>
          <w:p w14:paraId="397F6B6D"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participate in a community case conference (other than to organise and coordinate the conference) of at least 45 minutes</w:t>
            </w:r>
          </w:p>
        </w:tc>
        <w:tc>
          <w:tcPr>
            <w:tcW w:w="1701" w:type="dxa"/>
            <w:shd w:val="clear" w:color="auto" w:fill="auto"/>
            <w:noWrap/>
          </w:tcPr>
          <w:p w14:paraId="68490585"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54659FC0"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59AE59D2"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3200D4CA" w14:textId="77777777" w:rsidTr="00903EFD">
        <w:tc>
          <w:tcPr>
            <w:tcW w:w="704" w:type="dxa"/>
            <w:shd w:val="clear" w:color="auto" w:fill="auto"/>
            <w:noWrap/>
            <w:hideMark/>
          </w:tcPr>
          <w:p w14:paraId="1A040B3A"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3069</w:t>
            </w:r>
          </w:p>
        </w:tc>
        <w:tc>
          <w:tcPr>
            <w:tcW w:w="2991" w:type="dxa"/>
            <w:shd w:val="clear" w:color="auto" w:fill="auto"/>
            <w:noWrap/>
            <w:hideMark/>
          </w:tcPr>
          <w:p w14:paraId="282F78D4"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organise and coordinate a discharge case conference of at least 15 minutes but less than 30 minutes, before the patient is discharged from a hospital (H)</w:t>
            </w:r>
          </w:p>
        </w:tc>
        <w:tc>
          <w:tcPr>
            <w:tcW w:w="1701" w:type="dxa"/>
            <w:shd w:val="clear" w:color="auto" w:fill="auto"/>
            <w:noWrap/>
          </w:tcPr>
          <w:p w14:paraId="403B1ECE"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37198ABF"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69EC86EB"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7FA7C100" w14:textId="77777777" w:rsidTr="00903EFD">
        <w:tc>
          <w:tcPr>
            <w:tcW w:w="704" w:type="dxa"/>
            <w:shd w:val="clear" w:color="auto" w:fill="auto"/>
            <w:noWrap/>
            <w:hideMark/>
          </w:tcPr>
          <w:p w14:paraId="64F0270B"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3074</w:t>
            </w:r>
          </w:p>
        </w:tc>
        <w:tc>
          <w:tcPr>
            <w:tcW w:w="2991" w:type="dxa"/>
            <w:shd w:val="clear" w:color="auto" w:fill="auto"/>
            <w:noWrap/>
            <w:hideMark/>
          </w:tcPr>
          <w:p w14:paraId="6C16ACC8"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case conference team, to organise and coordinate a discharge case conference of at least 30 minutes but less than 45 minutes, before the patient is discharged from a hospital (H)</w:t>
            </w:r>
          </w:p>
        </w:tc>
        <w:tc>
          <w:tcPr>
            <w:tcW w:w="1701" w:type="dxa"/>
            <w:shd w:val="clear" w:color="auto" w:fill="auto"/>
            <w:noWrap/>
          </w:tcPr>
          <w:p w14:paraId="3CEF620D"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46916E0E"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5437E70D"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76EC5C8C" w14:textId="77777777" w:rsidTr="00903EFD">
        <w:tc>
          <w:tcPr>
            <w:tcW w:w="704" w:type="dxa"/>
            <w:shd w:val="clear" w:color="auto" w:fill="auto"/>
            <w:noWrap/>
            <w:hideMark/>
          </w:tcPr>
          <w:p w14:paraId="61A410B0"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3078</w:t>
            </w:r>
          </w:p>
        </w:tc>
        <w:tc>
          <w:tcPr>
            <w:tcW w:w="2991" w:type="dxa"/>
            <w:shd w:val="clear" w:color="auto" w:fill="auto"/>
            <w:noWrap/>
            <w:hideMark/>
          </w:tcPr>
          <w:p w14:paraId="6E211B28"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organise and coordinate a discharge case conference of at least 45 minutes, before the patient is discharged from a hospital (H)</w:t>
            </w:r>
          </w:p>
        </w:tc>
        <w:tc>
          <w:tcPr>
            <w:tcW w:w="1701" w:type="dxa"/>
            <w:shd w:val="clear" w:color="auto" w:fill="auto"/>
            <w:noWrap/>
          </w:tcPr>
          <w:p w14:paraId="071BCAF7"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50461BE7"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2CA95346"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2AE5875A" w14:textId="77777777" w:rsidTr="00903EFD">
        <w:tc>
          <w:tcPr>
            <w:tcW w:w="704" w:type="dxa"/>
            <w:shd w:val="clear" w:color="auto" w:fill="auto"/>
            <w:noWrap/>
            <w:hideMark/>
          </w:tcPr>
          <w:p w14:paraId="64A768EF"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3083</w:t>
            </w:r>
          </w:p>
        </w:tc>
        <w:tc>
          <w:tcPr>
            <w:tcW w:w="2991" w:type="dxa"/>
            <w:shd w:val="clear" w:color="auto" w:fill="auto"/>
            <w:noWrap/>
            <w:hideMark/>
          </w:tcPr>
          <w:p w14:paraId="05717F41"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case conference team, to participate in a discharge case conference (other than to organise and coordinate the conference) of at least 15 minutes but less than 30 minutes, before the patient is discharged from a hospital (H)</w:t>
            </w:r>
          </w:p>
        </w:tc>
        <w:tc>
          <w:tcPr>
            <w:tcW w:w="1701" w:type="dxa"/>
            <w:shd w:val="clear" w:color="auto" w:fill="auto"/>
            <w:noWrap/>
          </w:tcPr>
          <w:p w14:paraId="6E2B9FB3"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1A9A93FC"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372BEB10"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67B4C684" w14:textId="77777777" w:rsidTr="00903EFD">
        <w:tc>
          <w:tcPr>
            <w:tcW w:w="704" w:type="dxa"/>
            <w:shd w:val="clear" w:color="auto" w:fill="auto"/>
            <w:noWrap/>
            <w:hideMark/>
          </w:tcPr>
          <w:p w14:paraId="4286468F"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3088</w:t>
            </w:r>
          </w:p>
        </w:tc>
        <w:tc>
          <w:tcPr>
            <w:tcW w:w="2991" w:type="dxa"/>
            <w:shd w:val="clear" w:color="auto" w:fill="auto"/>
            <w:noWrap/>
            <w:hideMark/>
          </w:tcPr>
          <w:p w14:paraId="344DC500"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participate in a discharge case conference (other than to organise and coordinate the conference) of at least 30 minutes but less than 45 minutes, before the patient is discharged from a hospital (H)</w:t>
            </w:r>
          </w:p>
        </w:tc>
        <w:tc>
          <w:tcPr>
            <w:tcW w:w="1701" w:type="dxa"/>
            <w:shd w:val="clear" w:color="auto" w:fill="auto"/>
            <w:noWrap/>
          </w:tcPr>
          <w:p w14:paraId="268B5DCE"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4B9A6248"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7CB931B4"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7ECC1CA3" w14:textId="77777777" w:rsidTr="00903EFD">
        <w:tc>
          <w:tcPr>
            <w:tcW w:w="704" w:type="dxa"/>
            <w:shd w:val="clear" w:color="auto" w:fill="auto"/>
            <w:noWrap/>
            <w:hideMark/>
          </w:tcPr>
          <w:p w14:paraId="1D30A72C"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3093</w:t>
            </w:r>
          </w:p>
        </w:tc>
        <w:tc>
          <w:tcPr>
            <w:tcW w:w="2991" w:type="dxa"/>
            <w:shd w:val="clear" w:color="auto" w:fill="auto"/>
            <w:noWrap/>
            <w:hideMark/>
          </w:tcPr>
          <w:p w14:paraId="6E8A0811"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specialist, or consultant physician, in the practice of his or her specialty of palliative medicine, as a member of a multidisciplinary case conference team, to participate in a discharge case conference (other than to organise and coordinate the conference) of at least 45 minutes, before the patient is discharged from a hospital (H)</w:t>
            </w:r>
          </w:p>
        </w:tc>
        <w:tc>
          <w:tcPr>
            <w:tcW w:w="1701" w:type="dxa"/>
            <w:shd w:val="clear" w:color="auto" w:fill="auto"/>
            <w:noWrap/>
          </w:tcPr>
          <w:p w14:paraId="40646026"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65C961E7"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79BDBB6C"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3F0E67F4" w14:textId="77777777" w:rsidTr="00903EFD">
        <w:tc>
          <w:tcPr>
            <w:tcW w:w="704" w:type="dxa"/>
            <w:shd w:val="clear" w:color="auto" w:fill="auto"/>
            <w:noWrap/>
          </w:tcPr>
          <w:p w14:paraId="77738389"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6029</w:t>
            </w:r>
          </w:p>
        </w:tc>
        <w:tc>
          <w:tcPr>
            <w:tcW w:w="2991" w:type="dxa"/>
            <w:shd w:val="clear" w:color="auto" w:fill="auto"/>
            <w:noWrap/>
          </w:tcPr>
          <w:p w14:paraId="258A1562"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organise and coordinate a community case conference of less than 15 minutes, with the multidisciplinary case conference team</w:t>
            </w:r>
          </w:p>
        </w:tc>
        <w:tc>
          <w:tcPr>
            <w:tcW w:w="1701" w:type="dxa"/>
            <w:shd w:val="clear" w:color="auto" w:fill="auto"/>
            <w:noWrap/>
          </w:tcPr>
          <w:p w14:paraId="3D6318C2"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1DB9A13F"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756BAE66"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4AB7A5A8" w14:textId="77777777" w:rsidTr="00903EFD">
        <w:tc>
          <w:tcPr>
            <w:tcW w:w="704" w:type="dxa"/>
            <w:shd w:val="clear" w:color="auto" w:fill="auto"/>
            <w:noWrap/>
          </w:tcPr>
          <w:p w14:paraId="26B6E0DF"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6031</w:t>
            </w:r>
          </w:p>
        </w:tc>
        <w:tc>
          <w:tcPr>
            <w:tcW w:w="2991" w:type="dxa"/>
            <w:shd w:val="clear" w:color="auto" w:fill="auto"/>
            <w:noWrap/>
          </w:tcPr>
          <w:p w14:paraId="50DD8DB2"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organise and coordinate a community case conference of at least 15 minutes but less than 30 minutes, with the multidisciplinary case conference team</w:t>
            </w:r>
          </w:p>
        </w:tc>
        <w:tc>
          <w:tcPr>
            <w:tcW w:w="1701" w:type="dxa"/>
            <w:shd w:val="clear" w:color="auto" w:fill="auto"/>
            <w:noWrap/>
          </w:tcPr>
          <w:p w14:paraId="5E91D8D4"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1C381DD3"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2FDCF534"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0FED63CA" w14:textId="77777777" w:rsidTr="00903EFD">
        <w:tc>
          <w:tcPr>
            <w:tcW w:w="704" w:type="dxa"/>
            <w:shd w:val="clear" w:color="auto" w:fill="auto"/>
            <w:noWrap/>
          </w:tcPr>
          <w:p w14:paraId="025AE8BD"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6032</w:t>
            </w:r>
          </w:p>
        </w:tc>
        <w:tc>
          <w:tcPr>
            <w:tcW w:w="2991" w:type="dxa"/>
            <w:shd w:val="clear" w:color="auto" w:fill="auto"/>
            <w:noWrap/>
          </w:tcPr>
          <w:p w14:paraId="749F51CE"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organise and coordinate a community case conference of at least 30 minutes but less than 45 minutes, with the multidisciplinary case conference team</w:t>
            </w:r>
          </w:p>
        </w:tc>
        <w:tc>
          <w:tcPr>
            <w:tcW w:w="1701" w:type="dxa"/>
            <w:shd w:val="clear" w:color="auto" w:fill="auto"/>
            <w:noWrap/>
          </w:tcPr>
          <w:p w14:paraId="1F12400E"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1A301901"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423BEC84"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0B2C0D4D" w14:textId="77777777" w:rsidTr="00903EFD">
        <w:tc>
          <w:tcPr>
            <w:tcW w:w="704" w:type="dxa"/>
            <w:shd w:val="clear" w:color="auto" w:fill="auto"/>
            <w:noWrap/>
          </w:tcPr>
          <w:p w14:paraId="2119FC13"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6034</w:t>
            </w:r>
          </w:p>
        </w:tc>
        <w:tc>
          <w:tcPr>
            <w:tcW w:w="2991" w:type="dxa"/>
            <w:shd w:val="clear" w:color="auto" w:fill="auto"/>
            <w:noWrap/>
          </w:tcPr>
          <w:p w14:paraId="7CE82783"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organise and coordinate the multidisciplinary case conference of at least 45 minutes, with the multidisciplinary case conference team</w:t>
            </w:r>
          </w:p>
        </w:tc>
        <w:tc>
          <w:tcPr>
            <w:tcW w:w="1701" w:type="dxa"/>
            <w:shd w:val="clear" w:color="auto" w:fill="auto"/>
            <w:noWrap/>
          </w:tcPr>
          <w:p w14:paraId="7140B8C9"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5AFDDBF2"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57EBC687"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712545C8" w14:textId="77777777" w:rsidTr="00903EFD">
        <w:tc>
          <w:tcPr>
            <w:tcW w:w="704" w:type="dxa"/>
            <w:shd w:val="clear" w:color="auto" w:fill="auto"/>
            <w:noWrap/>
          </w:tcPr>
          <w:p w14:paraId="3406F7CC"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6035</w:t>
            </w:r>
          </w:p>
        </w:tc>
        <w:tc>
          <w:tcPr>
            <w:tcW w:w="2991" w:type="dxa"/>
            <w:shd w:val="clear" w:color="auto" w:fill="auto"/>
            <w:noWrap/>
          </w:tcPr>
          <w:p w14:paraId="0A5D2920"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less than 15 minutes, with the multidisciplinary case conference team</w:t>
            </w:r>
          </w:p>
        </w:tc>
        <w:tc>
          <w:tcPr>
            <w:tcW w:w="1701" w:type="dxa"/>
            <w:shd w:val="clear" w:color="auto" w:fill="auto"/>
            <w:noWrap/>
          </w:tcPr>
          <w:p w14:paraId="32FF6633"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0B008780"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2E5AEC3A"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558ADA0D" w14:textId="77777777" w:rsidTr="00903EFD">
        <w:tc>
          <w:tcPr>
            <w:tcW w:w="704" w:type="dxa"/>
            <w:shd w:val="clear" w:color="auto" w:fill="auto"/>
            <w:noWrap/>
          </w:tcPr>
          <w:p w14:paraId="3DF30C42"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6037</w:t>
            </w:r>
          </w:p>
        </w:tc>
        <w:tc>
          <w:tcPr>
            <w:tcW w:w="2991" w:type="dxa"/>
            <w:shd w:val="clear" w:color="auto" w:fill="auto"/>
            <w:noWrap/>
          </w:tcPr>
          <w:p w14:paraId="302A0A88"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15 minutes but less than 30 minutes, with the multidisciplinary case conference team</w:t>
            </w:r>
          </w:p>
        </w:tc>
        <w:tc>
          <w:tcPr>
            <w:tcW w:w="1701" w:type="dxa"/>
            <w:shd w:val="clear" w:color="auto" w:fill="auto"/>
            <w:noWrap/>
          </w:tcPr>
          <w:p w14:paraId="57E2D2FB"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33C4BD47"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1D9E1B52"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1296574F" w14:textId="77777777" w:rsidTr="00903EFD">
        <w:tc>
          <w:tcPr>
            <w:tcW w:w="704" w:type="dxa"/>
            <w:shd w:val="clear" w:color="auto" w:fill="auto"/>
            <w:noWrap/>
          </w:tcPr>
          <w:p w14:paraId="4ADC0694"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6038</w:t>
            </w:r>
          </w:p>
        </w:tc>
        <w:tc>
          <w:tcPr>
            <w:tcW w:w="2991" w:type="dxa"/>
            <w:shd w:val="clear" w:color="auto" w:fill="auto"/>
            <w:noWrap/>
          </w:tcPr>
          <w:p w14:paraId="75F53E25"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30 minutes but less than 45 minutes, with the multidisciplinary case conference team</w:t>
            </w:r>
          </w:p>
        </w:tc>
        <w:tc>
          <w:tcPr>
            <w:tcW w:w="1701" w:type="dxa"/>
            <w:shd w:val="clear" w:color="auto" w:fill="auto"/>
            <w:noWrap/>
          </w:tcPr>
          <w:p w14:paraId="5C5DFE3C"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1CEF3A1C"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209516BF"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15FE0B1D" w14:textId="77777777" w:rsidTr="00903EFD">
        <w:tc>
          <w:tcPr>
            <w:tcW w:w="704" w:type="dxa"/>
            <w:shd w:val="clear" w:color="auto" w:fill="auto"/>
            <w:noWrap/>
          </w:tcPr>
          <w:p w14:paraId="2CA034D6"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6042</w:t>
            </w:r>
          </w:p>
        </w:tc>
        <w:tc>
          <w:tcPr>
            <w:tcW w:w="2991" w:type="dxa"/>
            <w:shd w:val="clear" w:color="auto" w:fill="auto"/>
            <w:noWrap/>
          </w:tcPr>
          <w:p w14:paraId="1917C5FE"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an addiction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45 minutes, with the multidisciplinary case conference team</w:t>
            </w:r>
          </w:p>
        </w:tc>
        <w:tc>
          <w:tcPr>
            <w:tcW w:w="1701" w:type="dxa"/>
            <w:shd w:val="clear" w:color="auto" w:fill="auto"/>
            <w:noWrap/>
          </w:tcPr>
          <w:p w14:paraId="4013695B"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43BD97DB"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5B77978E"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6EAFD575" w14:textId="77777777" w:rsidTr="00903EFD">
        <w:tc>
          <w:tcPr>
            <w:tcW w:w="704" w:type="dxa"/>
            <w:shd w:val="clear" w:color="auto" w:fill="auto"/>
            <w:noWrap/>
          </w:tcPr>
          <w:p w14:paraId="4DFD19EC"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6064</w:t>
            </w:r>
          </w:p>
        </w:tc>
        <w:tc>
          <w:tcPr>
            <w:tcW w:w="2991" w:type="dxa"/>
            <w:shd w:val="clear" w:color="auto" w:fill="auto"/>
            <w:noWrap/>
          </w:tcPr>
          <w:p w14:paraId="01D84A08"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organise and coordinate a community case conference of less than 15 minutes, with the multidisciplinary case conference team</w:t>
            </w:r>
          </w:p>
        </w:tc>
        <w:tc>
          <w:tcPr>
            <w:tcW w:w="1701" w:type="dxa"/>
            <w:shd w:val="clear" w:color="auto" w:fill="auto"/>
            <w:noWrap/>
          </w:tcPr>
          <w:p w14:paraId="619CB978"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54842303"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6C400294"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50EDA0AF" w14:textId="77777777" w:rsidTr="00903EFD">
        <w:tc>
          <w:tcPr>
            <w:tcW w:w="704" w:type="dxa"/>
            <w:shd w:val="clear" w:color="auto" w:fill="auto"/>
            <w:noWrap/>
          </w:tcPr>
          <w:p w14:paraId="6A9CE6B5"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6065</w:t>
            </w:r>
          </w:p>
        </w:tc>
        <w:tc>
          <w:tcPr>
            <w:tcW w:w="2991" w:type="dxa"/>
            <w:shd w:val="clear" w:color="auto" w:fill="auto"/>
            <w:noWrap/>
          </w:tcPr>
          <w:p w14:paraId="204B9BAD"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organise and coordinate a community case conference of at least 15 minutes but less than 30 minutes, with the multidisciplinary case conference team</w:t>
            </w:r>
          </w:p>
        </w:tc>
        <w:tc>
          <w:tcPr>
            <w:tcW w:w="1701" w:type="dxa"/>
            <w:shd w:val="clear" w:color="auto" w:fill="auto"/>
            <w:noWrap/>
          </w:tcPr>
          <w:p w14:paraId="0FA0013C"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085C15EB"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4FC197E9"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01545DD5" w14:textId="77777777" w:rsidTr="00903EFD">
        <w:tc>
          <w:tcPr>
            <w:tcW w:w="704" w:type="dxa"/>
            <w:shd w:val="clear" w:color="auto" w:fill="auto"/>
            <w:noWrap/>
          </w:tcPr>
          <w:p w14:paraId="473A27A6"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6067</w:t>
            </w:r>
          </w:p>
        </w:tc>
        <w:tc>
          <w:tcPr>
            <w:tcW w:w="2991" w:type="dxa"/>
            <w:shd w:val="clear" w:color="auto" w:fill="auto"/>
            <w:noWrap/>
          </w:tcPr>
          <w:p w14:paraId="1D0FEF7C"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organise and coordinate a community case conference of at least 30 minutes but less than 45 minutes, with the multidisciplinary case conference team</w:t>
            </w:r>
          </w:p>
        </w:tc>
        <w:tc>
          <w:tcPr>
            <w:tcW w:w="1701" w:type="dxa"/>
            <w:shd w:val="clear" w:color="auto" w:fill="auto"/>
            <w:noWrap/>
          </w:tcPr>
          <w:p w14:paraId="07633C45"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050BDCD7"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3323D94E"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046F430B" w14:textId="77777777" w:rsidTr="00903EFD">
        <w:tc>
          <w:tcPr>
            <w:tcW w:w="704" w:type="dxa"/>
            <w:shd w:val="clear" w:color="auto" w:fill="auto"/>
            <w:noWrap/>
          </w:tcPr>
          <w:p w14:paraId="1CA0555A"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6068</w:t>
            </w:r>
          </w:p>
        </w:tc>
        <w:tc>
          <w:tcPr>
            <w:tcW w:w="2991" w:type="dxa"/>
            <w:shd w:val="clear" w:color="auto" w:fill="auto"/>
            <w:noWrap/>
          </w:tcPr>
          <w:p w14:paraId="4DF70E2D"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organise and coordinate a community case conference of at least 45 minutes, with the multidisciplinary case conference team</w:t>
            </w:r>
          </w:p>
        </w:tc>
        <w:tc>
          <w:tcPr>
            <w:tcW w:w="1701" w:type="dxa"/>
            <w:shd w:val="clear" w:color="auto" w:fill="auto"/>
            <w:noWrap/>
          </w:tcPr>
          <w:p w14:paraId="19E7A755"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670B34E7"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33F977A2"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167CD9CB" w14:textId="77777777" w:rsidTr="00903EFD">
        <w:tc>
          <w:tcPr>
            <w:tcW w:w="704" w:type="dxa"/>
            <w:shd w:val="clear" w:color="auto" w:fill="auto"/>
            <w:noWrap/>
          </w:tcPr>
          <w:p w14:paraId="3B6BB185"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6071</w:t>
            </w:r>
          </w:p>
        </w:tc>
        <w:tc>
          <w:tcPr>
            <w:tcW w:w="2991" w:type="dxa"/>
            <w:shd w:val="clear" w:color="auto" w:fill="auto"/>
            <w:noWrap/>
          </w:tcPr>
          <w:p w14:paraId="2D8621D2"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less than 15 minutes, with the multidisciplinary case conference team</w:t>
            </w:r>
          </w:p>
        </w:tc>
        <w:tc>
          <w:tcPr>
            <w:tcW w:w="1701" w:type="dxa"/>
            <w:shd w:val="clear" w:color="auto" w:fill="auto"/>
            <w:noWrap/>
          </w:tcPr>
          <w:p w14:paraId="0DCC3B5A"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6F0D98CD"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77ABD7A5"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1ADD7516" w14:textId="77777777" w:rsidTr="00903EFD">
        <w:tc>
          <w:tcPr>
            <w:tcW w:w="704" w:type="dxa"/>
            <w:shd w:val="clear" w:color="auto" w:fill="auto"/>
            <w:noWrap/>
          </w:tcPr>
          <w:p w14:paraId="4EBBF62B"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6072</w:t>
            </w:r>
          </w:p>
        </w:tc>
        <w:tc>
          <w:tcPr>
            <w:tcW w:w="2991" w:type="dxa"/>
            <w:shd w:val="clear" w:color="auto" w:fill="auto"/>
            <w:noWrap/>
          </w:tcPr>
          <w:p w14:paraId="1BDFBD05"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15 minutes but less than 30 minutes, with the multidisciplinary case conference team</w:t>
            </w:r>
          </w:p>
        </w:tc>
        <w:tc>
          <w:tcPr>
            <w:tcW w:w="1701" w:type="dxa"/>
            <w:shd w:val="clear" w:color="auto" w:fill="auto"/>
            <w:noWrap/>
          </w:tcPr>
          <w:p w14:paraId="716323C8"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0360ADFD"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2EFF7FFA"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1EC3E6B0" w14:textId="77777777" w:rsidTr="00903EFD">
        <w:tc>
          <w:tcPr>
            <w:tcW w:w="704" w:type="dxa"/>
            <w:shd w:val="clear" w:color="auto" w:fill="auto"/>
            <w:noWrap/>
          </w:tcPr>
          <w:p w14:paraId="3CE1899C"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6074</w:t>
            </w:r>
          </w:p>
        </w:tc>
        <w:tc>
          <w:tcPr>
            <w:tcW w:w="2991" w:type="dxa"/>
            <w:shd w:val="clear" w:color="auto" w:fill="auto"/>
            <w:noWrap/>
          </w:tcPr>
          <w:p w14:paraId="3368FD7D"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30 minutes but less than 45 minutes, with the multidisciplinary case conference team</w:t>
            </w:r>
          </w:p>
        </w:tc>
        <w:tc>
          <w:tcPr>
            <w:tcW w:w="1701" w:type="dxa"/>
            <w:shd w:val="clear" w:color="auto" w:fill="auto"/>
            <w:noWrap/>
          </w:tcPr>
          <w:p w14:paraId="5DD179C1"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4838B6AE"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42C51BAF"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559B0D7A" w14:textId="77777777" w:rsidTr="00903EFD">
        <w:tc>
          <w:tcPr>
            <w:tcW w:w="704" w:type="dxa"/>
            <w:shd w:val="clear" w:color="auto" w:fill="auto"/>
            <w:noWrap/>
          </w:tcPr>
          <w:p w14:paraId="5C75A6CF"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6075</w:t>
            </w:r>
          </w:p>
        </w:tc>
        <w:tc>
          <w:tcPr>
            <w:tcW w:w="2991" w:type="dxa"/>
            <w:shd w:val="clear" w:color="auto" w:fill="auto"/>
            <w:noWrap/>
          </w:tcPr>
          <w:p w14:paraId="288D27DF" w14:textId="77777777" w:rsidR="00313E1E" w:rsidRPr="00C33C0B" w:rsidRDefault="00313E1E" w:rsidP="00313E1E">
            <w:pPr>
              <w:spacing w:before="20" w:after="20" w:line="240" w:lineRule="auto"/>
              <w:rPr>
                <w:rFonts w:cstheme="minorHAnsi"/>
                <w:color w:val="000000"/>
                <w:sz w:val="17"/>
                <w:szCs w:val="17"/>
                <w:lang w:val="en-GB"/>
              </w:rPr>
            </w:pPr>
            <w:r w:rsidRPr="00C33C0B">
              <w:rPr>
                <w:rFonts w:cstheme="minorHAnsi"/>
                <w:color w:val="000000"/>
                <w:sz w:val="17"/>
                <w:szCs w:val="17"/>
                <w:lang w:val="en-GB"/>
              </w:rPr>
              <w:t>Attendance by a sexual health medicine specialist in the practice of his or her specialty, as a member of a multidisciplinary case conference team of at least 2 other formal care providers of different disciplines, to participate in a community case conference (other than to organise and coordinate the conference) of at least 45 minutes, with the multidisciplinary case conference team</w:t>
            </w:r>
          </w:p>
        </w:tc>
        <w:tc>
          <w:tcPr>
            <w:tcW w:w="1701" w:type="dxa"/>
            <w:shd w:val="clear" w:color="auto" w:fill="auto"/>
            <w:noWrap/>
          </w:tcPr>
          <w:p w14:paraId="4A3F533A"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Remove item from MBS</w:t>
            </w:r>
          </w:p>
        </w:tc>
        <w:tc>
          <w:tcPr>
            <w:tcW w:w="1970" w:type="dxa"/>
            <w:shd w:val="clear" w:color="auto" w:fill="auto"/>
            <w:noWrap/>
          </w:tcPr>
          <w:p w14:paraId="7A68C144"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There will be a new simplified framework featuring three types of case conference items: (1) discharge planning case conferences; (2) community case conferences; (3) treatment planning case conferences. All consultant specialists will be able to claim these items; the patient must be invited to participate including face-to-face, by videoconference or over the phone; the patient’s GP (or delegate must participate or there must be a mandatory communication of outcomes and changes to the patient and the organiser; and outcomes must be documented in writing including agreed decisions and informed consent</w:t>
            </w:r>
          </w:p>
        </w:tc>
        <w:tc>
          <w:tcPr>
            <w:tcW w:w="2409" w:type="dxa"/>
            <w:shd w:val="clear" w:color="auto" w:fill="auto"/>
            <w:noWrap/>
          </w:tcPr>
          <w:p w14:paraId="1FCB4ECF"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To encourage increased use of multidisciplinary case conferences, GP participation, and shared decision-making with patients</w:t>
            </w:r>
          </w:p>
        </w:tc>
      </w:tr>
      <w:tr w:rsidR="00313E1E" w:rsidRPr="00C33C0B" w14:paraId="4E7904AB" w14:textId="77777777" w:rsidTr="00903EFD">
        <w:tc>
          <w:tcPr>
            <w:tcW w:w="704" w:type="dxa"/>
            <w:shd w:val="clear" w:color="auto" w:fill="auto"/>
            <w:noWrap/>
          </w:tcPr>
          <w:p w14:paraId="3860D697"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Recommendation 10</w:t>
            </w:r>
          </w:p>
        </w:tc>
        <w:tc>
          <w:tcPr>
            <w:tcW w:w="2991" w:type="dxa"/>
            <w:shd w:val="clear" w:color="auto" w:fill="auto"/>
            <w:noWrap/>
          </w:tcPr>
          <w:p w14:paraId="76152D74" w14:textId="77777777" w:rsidR="00313E1E" w:rsidRPr="00C33C0B"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Introduce case conference items for allied health professionals and nurse practitioners</w:t>
            </w:r>
          </w:p>
        </w:tc>
        <w:tc>
          <w:tcPr>
            <w:tcW w:w="1701" w:type="dxa"/>
            <w:shd w:val="clear" w:color="auto" w:fill="auto"/>
            <w:noWrap/>
          </w:tcPr>
          <w:p w14:paraId="257DA9BD" w14:textId="77777777" w:rsidR="00313E1E"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AHPs who can access AHP items under Group M3 of the MBS, and nurse practitioners, should have MBS items to claim for attending case conferences</w:t>
            </w:r>
          </w:p>
        </w:tc>
        <w:tc>
          <w:tcPr>
            <w:tcW w:w="1970" w:type="dxa"/>
            <w:shd w:val="clear" w:color="auto" w:fill="auto"/>
            <w:noWrap/>
          </w:tcPr>
          <w:p w14:paraId="60E56F08" w14:textId="77777777" w:rsidR="00313E1E"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AHPs and nurse practitioners would be reimbursed for participating in case conferences</w:t>
            </w:r>
          </w:p>
        </w:tc>
        <w:tc>
          <w:tcPr>
            <w:tcW w:w="2409" w:type="dxa"/>
            <w:shd w:val="clear" w:color="auto" w:fill="auto"/>
            <w:noWrap/>
          </w:tcPr>
          <w:p w14:paraId="5CE168A9" w14:textId="77777777" w:rsidR="00313E1E"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AHPs and nurse practitioners often have a central role to play in patient care</w:t>
            </w:r>
          </w:p>
        </w:tc>
      </w:tr>
      <w:tr w:rsidR="00313E1E" w:rsidRPr="00C33C0B" w14:paraId="5FC53ACB" w14:textId="77777777" w:rsidTr="00903EFD">
        <w:tc>
          <w:tcPr>
            <w:tcW w:w="704" w:type="dxa"/>
            <w:shd w:val="clear" w:color="auto" w:fill="auto"/>
            <w:noWrap/>
          </w:tcPr>
          <w:p w14:paraId="13B4F5D5" w14:textId="77777777" w:rsidR="00313E1E"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Recommendation 11</w:t>
            </w:r>
          </w:p>
        </w:tc>
        <w:tc>
          <w:tcPr>
            <w:tcW w:w="2991" w:type="dxa"/>
            <w:shd w:val="clear" w:color="auto" w:fill="auto"/>
            <w:noWrap/>
          </w:tcPr>
          <w:p w14:paraId="20479A76" w14:textId="77777777" w:rsidR="00313E1E"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Referral for examination of informed financial consent</w:t>
            </w:r>
          </w:p>
        </w:tc>
        <w:tc>
          <w:tcPr>
            <w:tcW w:w="1701" w:type="dxa"/>
            <w:shd w:val="clear" w:color="auto" w:fill="auto"/>
            <w:noWrap/>
          </w:tcPr>
          <w:p w14:paraId="75FD6F8A" w14:textId="77777777" w:rsidR="00313E1E"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 Principles and Rules Committee should examine the issue of informed financial consent for out-of-pocket fees charged with case conference items</w:t>
            </w:r>
          </w:p>
        </w:tc>
        <w:tc>
          <w:tcPr>
            <w:tcW w:w="1970" w:type="dxa"/>
            <w:shd w:val="clear" w:color="auto" w:fill="auto"/>
            <w:noWrap/>
          </w:tcPr>
          <w:p w14:paraId="16ACF6B3" w14:textId="77777777" w:rsidR="00313E1E"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 xml:space="preserve">Consideration would be given to informed financial consent by patients for case conference items </w:t>
            </w:r>
          </w:p>
        </w:tc>
        <w:tc>
          <w:tcPr>
            <w:tcW w:w="2409" w:type="dxa"/>
            <w:shd w:val="clear" w:color="auto" w:fill="auto"/>
            <w:noWrap/>
          </w:tcPr>
          <w:p w14:paraId="0480E45B" w14:textId="77777777" w:rsidR="00313E1E" w:rsidRDefault="00313E1E" w:rsidP="00313E1E">
            <w:pPr>
              <w:spacing w:before="20" w:after="20" w:line="240" w:lineRule="auto"/>
              <w:rPr>
                <w:rFonts w:cstheme="minorHAnsi"/>
                <w:color w:val="000000"/>
                <w:sz w:val="17"/>
                <w:szCs w:val="17"/>
                <w:lang w:val="en-GB"/>
              </w:rPr>
            </w:pPr>
            <w:r>
              <w:rPr>
                <w:rFonts w:cstheme="minorHAnsi"/>
                <w:color w:val="000000"/>
                <w:sz w:val="17"/>
                <w:szCs w:val="17"/>
                <w:lang w:val="en-GB"/>
              </w:rPr>
              <w:t>The Committee’s recommendations will increase usage of case conference items, which may impact out-of-pocket costs, and patients may not have control over or be aware of who attends their case conference or what out-of-pocket costs are charged</w:t>
            </w:r>
          </w:p>
        </w:tc>
      </w:tr>
    </w:tbl>
    <w:p w14:paraId="2C6D5F61" w14:textId="77777777" w:rsidR="00313E1E" w:rsidRPr="00C33C0B" w:rsidRDefault="00313E1E" w:rsidP="00313E1E">
      <w:pPr>
        <w:rPr>
          <w:lang w:val="en-GB"/>
        </w:rPr>
      </w:pPr>
    </w:p>
    <w:p w14:paraId="7AF0D9B6" w14:textId="77777777" w:rsidR="00313E1E" w:rsidRPr="00C33C0B" w:rsidRDefault="00313E1E" w:rsidP="00313E1E">
      <w:pPr>
        <w:spacing w:before="0" w:after="0" w:line="240" w:lineRule="auto"/>
        <w:rPr>
          <w:lang w:val="en-GB"/>
        </w:rPr>
      </w:pPr>
      <w:r w:rsidRPr="00C33C0B">
        <w:rPr>
          <w:lang w:val="en-GB"/>
        </w:rPr>
        <w:br w:type="page"/>
      </w:r>
    </w:p>
    <w:p w14:paraId="04DD1448" w14:textId="77777777" w:rsidR="00313E1E" w:rsidRPr="00C33C0B" w:rsidRDefault="002355E9" w:rsidP="00313E1E">
      <w:pPr>
        <w:pStyle w:val="Heading2"/>
        <w:numPr>
          <w:ilvl w:val="0"/>
          <w:numId w:val="0"/>
        </w:numPr>
        <w:rPr>
          <w:lang w:val="en-GB"/>
        </w:rPr>
      </w:pPr>
      <w:bookmarkStart w:id="291" w:name="_Toc24544776"/>
      <w:r>
        <w:rPr>
          <w:lang w:val="en-GB"/>
        </w:rPr>
        <w:t xml:space="preserve">Table </w:t>
      </w:r>
      <w:r w:rsidR="00C52816">
        <w:rPr>
          <w:lang w:val="en-GB"/>
        </w:rPr>
        <w:t>D</w:t>
      </w:r>
      <w:r w:rsidR="00313E1E">
        <w:rPr>
          <w:lang w:val="en-GB"/>
        </w:rPr>
        <w:t>.5</w:t>
      </w:r>
      <w:r w:rsidR="00313E1E" w:rsidRPr="00C33C0B">
        <w:rPr>
          <w:lang w:val="en-GB"/>
        </w:rPr>
        <w:t>. Group therapy attendance items</w:t>
      </w:r>
      <w:bookmarkEnd w:id="291"/>
    </w:p>
    <w:tbl>
      <w:tblPr>
        <w:tblStyle w:val="TableGrid"/>
        <w:tblW w:w="908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Caption w:val="Appendix D - Group therapy attendance items summary for consumers"/>
        <w:tblDescription w:val="Table D.5 is a 5 column table. Column 1 is the item number. Column 2 describes what the item does. Column 3 is the committee's recommendation. Column 4 describes what would be different about the item. Column 5 describes why it would be different. "/>
      </w:tblPr>
      <w:tblGrid>
        <w:gridCol w:w="613"/>
        <w:gridCol w:w="5165"/>
        <w:gridCol w:w="1033"/>
        <w:gridCol w:w="1240"/>
        <w:gridCol w:w="1032"/>
      </w:tblGrid>
      <w:tr w:rsidR="00313E1E" w:rsidRPr="00C33C0B" w14:paraId="6BFF07A3" w14:textId="77777777" w:rsidTr="00313E1E">
        <w:trPr>
          <w:trHeight w:val="1306"/>
          <w:tblHeader/>
        </w:trPr>
        <w:tc>
          <w:tcPr>
            <w:tcW w:w="613" w:type="dxa"/>
            <w:shd w:val="clear" w:color="auto" w:fill="E36C0A" w:themeFill="accent6" w:themeFillShade="BF"/>
            <w:vAlign w:val="bottom"/>
            <w:hideMark/>
          </w:tcPr>
          <w:p w14:paraId="305FB6B2" w14:textId="77777777" w:rsidR="00313E1E" w:rsidRPr="00C33C0B" w:rsidRDefault="00313E1E" w:rsidP="00313E1E">
            <w:pPr>
              <w:spacing w:before="20" w:after="20"/>
              <w:rPr>
                <w:rFonts w:ascii="Calibri" w:hAnsi="Calibri"/>
                <w:b/>
                <w:color w:val="FFFFFF" w:themeColor="background1"/>
                <w:sz w:val="17"/>
                <w:szCs w:val="17"/>
                <w:lang w:val="en-GB"/>
              </w:rPr>
            </w:pPr>
            <w:r w:rsidRPr="00C33C0B">
              <w:rPr>
                <w:b/>
                <w:color w:val="FFFFFF" w:themeColor="background1"/>
                <w:sz w:val="17"/>
                <w:szCs w:val="17"/>
                <w:lang w:val="en-GB"/>
              </w:rPr>
              <w:t xml:space="preserve">Item </w:t>
            </w:r>
          </w:p>
        </w:tc>
        <w:tc>
          <w:tcPr>
            <w:tcW w:w="5165" w:type="dxa"/>
            <w:shd w:val="clear" w:color="auto" w:fill="E36C0A" w:themeFill="accent6" w:themeFillShade="BF"/>
            <w:vAlign w:val="bottom"/>
            <w:hideMark/>
          </w:tcPr>
          <w:p w14:paraId="62F08867" w14:textId="77777777" w:rsidR="00313E1E" w:rsidRPr="00C33C0B" w:rsidRDefault="00313E1E" w:rsidP="00313E1E">
            <w:pPr>
              <w:spacing w:before="20" w:after="20"/>
              <w:rPr>
                <w:rFonts w:ascii="Calibri" w:hAnsi="Calibri"/>
                <w:b/>
                <w:color w:val="FFFFFF" w:themeColor="background1"/>
                <w:sz w:val="17"/>
                <w:szCs w:val="17"/>
                <w:lang w:val="en-GB"/>
              </w:rPr>
            </w:pPr>
            <w:r>
              <w:rPr>
                <w:b/>
                <w:color w:val="FFFFFF" w:themeColor="background1"/>
                <w:sz w:val="17"/>
                <w:szCs w:val="17"/>
                <w:lang w:val="en-GB"/>
              </w:rPr>
              <w:t>What it does</w:t>
            </w:r>
          </w:p>
        </w:tc>
        <w:tc>
          <w:tcPr>
            <w:tcW w:w="1033" w:type="dxa"/>
            <w:shd w:val="clear" w:color="auto" w:fill="E36C0A" w:themeFill="accent6" w:themeFillShade="BF"/>
            <w:vAlign w:val="bottom"/>
            <w:hideMark/>
          </w:tcPr>
          <w:p w14:paraId="40ADCB08" w14:textId="77777777" w:rsidR="00313E1E" w:rsidRPr="00C33C0B" w:rsidRDefault="00313E1E" w:rsidP="00313E1E">
            <w:pPr>
              <w:spacing w:before="20" w:after="20"/>
              <w:rPr>
                <w:rFonts w:ascii="Calibri" w:hAnsi="Calibri"/>
                <w:b/>
                <w:color w:val="FFFFFF" w:themeColor="background1"/>
                <w:sz w:val="17"/>
                <w:szCs w:val="17"/>
                <w:lang w:val="en-GB"/>
              </w:rPr>
            </w:pPr>
            <w:r>
              <w:rPr>
                <w:b/>
                <w:color w:val="FFFFFF" w:themeColor="background1"/>
                <w:sz w:val="17"/>
                <w:szCs w:val="17"/>
                <w:lang w:val="en-GB"/>
              </w:rPr>
              <w:t>Committee recommendation</w:t>
            </w:r>
          </w:p>
        </w:tc>
        <w:tc>
          <w:tcPr>
            <w:tcW w:w="1240" w:type="dxa"/>
            <w:shd w:val="clear" w:color="auto" w:fill="E36C0A" w:themeFill="accent6" w:themeFillShade="BF"/>
            <w:vAlign w:val="bottom"/>
            <w:hideMark/>
          </w:tcPr>
          <w:p w14:paraId="6652D629" w14:textId="77777777" w:rsidR="00313E1E" w:rsidRPr="00C33C0B" w:rsidRDefault="00313E1E" w:rsidP="00313E1E">
            <w:pPr>
              <w:spacing w:before="20" w:after="20"/>
              <w:rPr>
                <w:rFonts w:ascii="Calibri" w:hAnsi="Calibri"/>
                <w:b/>
                <w:color w:val="FFFFFF" w:themeColor="background1"/>
                <w:sz w:val="17"/>
                <w:szCs w:val="17"/>
                <w:lang w:val="en-GB"/>
              </w:rPr>
            </w:pPr>
            <w:r>
              <w:rPr>
                <w:b/>
                <w:color w:val="FFFFFF" w:themeColor="background1"/>
                <w:sz w:val="17"/>
                <w:szCs w:val="17"/>
                <w:lang w:val="en-GB"/>
              </w:rPr>
              <w:t>What would be different</w:t>
            </w:r>
          </w:p>
        </w:tc>
        <w:tc>
          <w:tcPr>
            <w:tcW w:w="1032" w:type="dxa"/>
            <w:shd w:val="clear" w:color="auto" w:fill="E36C0A" w:themeFill="accent6" w:themeFillShade="BF"/>
            <w:vAlign w:val="bottom"/>
            <w:hideMark/>
          </w:tcPr>
          <w:p w14:paraId="12EEBE16" w14:textId="77777777" w:rsidR="00313E1E" w:rsidRPr="00C33C0B" w:rsidRDefault="00313E1E" w:rsidP="00313E1E">
            <w:pPr>
              <w:spacing w:before="20" w:after="20"/>
              <w:rPr>
                <w:rFonts w:ascii="Calibri" w:hAnsi="Calibri"/>
                <w:b/>
                <w:color w:val="FFFFFF" w:themeColor="background1"/>
                <w:sz w:val="17"/>
                <w:szCs w:val="17"/>
                <w:lang w:val="en-GB"/>
              </w:rPr>
            </w:pPr>
            <w:r>
              <w:rPr>
                <w:b/>
                <w:color w:val="FFFFFF" w:themeColor="background1"/>
                <w:sz w:val="17"/>
                <w:szCs w:val="17"/>
                <w:lang w:val="en-GB"/>
              </w:rPr>
              <w:t>Why</w:t>
            </w:r>
          </w:p>
        </w:tc>
      </w:tr>
      <w:tr w:rsidR="00313E1E" w:rsidRPr="00C33C0B" w14:paraId="5B7EACD0" w14:textId="77777777" w:rsidTr="00313E1E">
        <w:trPr>
          <w:trHeight w:val="303"/>
        </w:trPr>
        <w:tc>
          <w:tcPr>
            <w:tcW w:w="613" w:type="dxa"/>
            <w:shd w:val="clear" w:color="auto" w:fill="auto"/>
            <w:noWrap/>
            <w:hideMark/>
          </w:tcPr>
          <w:p w14:paraId="31D4FA84" w14:textId="77777777" w:rsidR="00313E1E" w:rsidRPr="00C33C0B" w:rsidRDefault="00313E1E" w:rsidP="00313E1E">
            <w:pPr>
              <w:spacing w:before="20" w:after="20"/>
              <w:rPr>
                <w:rFonts w:ascii="Calibri" w:hAnsi="Calibri"/>
                <w:color w:val="000000"/>
                <w:sz w:val="17"/>
                <w:szCs w:val="17"/>
                <w:lang w:val="en-GB"/>
              </w:rPr>
            </w:pPr>
            <w:r w:rsidRPr="00C33C0B">
              <w:rPr>
                <w:rFonts w:ascii="Calibri" w:hAnsi="Calibri"/>
                <w:color w:val="000000"/>
                <w:sz w:val="17"/>
                <w:szCs w:val="17"/>
                <w:lang w:val="en-GB"/>
              </w:rPr>
              <w:t>170</w:t>
            </w:r>
          </w:p>
        </w:tc>
        <w:tc>
          <w:tcPr>
            <w:tcW w:w="5165" w:type="dxa"/>
            <w:shd w:val="clear" w:color="auto" w:fill="auto"/>
            <w:noWrap/>
            <w:hideMark/>
          </w:tcPr>
          <w:p w14:paraId="529B6EFF" w14:textId="77777777" w:rsidR="00313E1E" w:rsidRPr="00C33C0B" w:rsidRDefault="00313E1E" w:rsidP="00313E1E">
            <w:pPr>
              <w:spacing w:before="20" w:after="20"/>
              <w:rPr>
                <w:rFonts w:ascii="Calibri" w:hAnsi="Calibri"/>
                <w:color w:val="000000"/>
                <w:sz w:val="17"/>
                <w:szCs w:val="17"/>
                <w:lang w:val="en-GB"/>
              </w:rPr>
            </w:pPr>
            <w:r w:rsidRPr="00C33C0B">
              <w:rPr>
                <w:rFonts w:ascii="Calibri" w:hAnsi="Calibri"/>
                <w:color w:val="000000"/>
                <w:sz w:val="17"/>
                <w:szCs w:val="17"/>
                <w:lang w:val="en-GB"/>
              </w:rPr>
              <w:t>Professional attendance for the purpose of group therapy of not less than 1 hour in duration given under the direct continuous supervision of a medical practitioner (other than a consultant physician in the practice of his or her specialty of psychiatry) involving members of a family and persons with close personal relationships with that family--each group of 2 patients</w:t>
            </w:r>
          </w:p>
        </w:tc>
        <w:tc>
          <w:tcPr>
            <w:tcW w:w="1033" w:type="dxa"/>
            <w:shd w:val="clear" w:color="auto" w:fill="auto"/>
            <w:noWrap/>
          </w:tcPr>
          <w:p w14:paraId="2FFE0CB2" w14:textId="77777777" w:rsidR="00313E1E" w:rsidRPr="00C33C0B"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No change</w:t>
            </w:r>
          </w:p>
        </w:tc>
        <w:tc>
          <w:tcPr>
            <w:tcW w:w="1240" w:type="dxa"/>
            <w:shd w:val="clear" w:color="auto" w:fill="auto"/>
            <w:noWrap/>
          </w:tcPr>
          <w:p w14:paraId="4039DD42" w14:textId="77777777" w:rsidR="00313E1E" w:rsidRPr="00C33C0B"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w:t>
            </w:r>
          </w:p>
        </w:tc>
        <w:tc>
          <w:tcPr>
            <w:tcW w:w="1032" w:type="dxa"/>
            <w:shd w:val="clear" w:color="auto" w:fill="auto"/>
            <w:noWrap/>
          </w:tcPr>
          <w:p w14:paraId="06EA0997" w14:textId="77777777" w:rsidR="00313E1E" w:rsidRPr="00C33C0B"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w:t>
            </w:r>
          </w:p>
        </w:tc>
      </w:tr>
      <w:tr w:rsidR="00313E1E" w:rsidRPr="00C33C0B" w14:paraId="5E0139B4" w14:textId="77777777" w:rsidTr="00313E1E">
        <w:trPr>
          <w:trHeight w:val="303"/>
        </w:trPr>
        <w:tc>
          <w:tcPr>
            <w:tcW w:w="613" w:type="dxa"/>
            <w:shd w:val="clear" w:color="auto" w:fill="auto"/>
            <w:noWrap/>
            <w:hideMark/>
          </w:tcPr>
          <w:p w14:paraId="25B881EE" w14:textId="77777777" w:rsidR="00313E1E" w:rsidRPr="00C33C0B" w:rsidRDefault="00313E1E" w:rsidP="00313E1E">
            <w:pPr>
              <w:spacing w:before="20" w:after="20"/>
              <w:rPr>
                <w:rFonts w:ascii="Calibri" w:hAnsi="Calibri"/>
                <w:color w:val="000000"/>
                <w:sz w:val="17"/>
                <w:szCs w:val="17"/>
                <w:lang w:val="en-GB"/>
              </w:rPr>
            </w:pPr>
            <w:r w:rsidRPr="00C33C0B">
              <w:rPr>
                <w:rFonts w:ascii="Calibri" w:hAnsi="Calibri"/>
                <w:color w:val="000000"/>
                <w:sz w:val="17"/>
                <w:szCs w:val="17"/>
                <w:lang w:val="en-GB"/>
              </w:rPr>
              <w:t>171</w:t>
            </w:r>
          </w:p>
        </w:tc>
        <w:tc>
          <w:tcPr>
            <w:tcW w:w="5165" w:type="dxa"/>
            <w:shd w:val="clear" w:color="auto" w:fill="auto"/>
            <w:noWrap/>
            <w:hideMark/>
          </w:tcPr>
          <w:p w14:paraId="325D3D30" w14:textId="77777777" w:rsidR="00313E1E" w:rsidRPr="00C33C0B" w:rsidRDefault="00313E1E" w:rsidP="00313E1E">
            <w:pPr>
              <w:spacing w:before="20" w:after="20"/>
              <w:rPr>
                <w:rFonts w:ascii="Calibri" w:hAnsi="Calibri"/>
                <w:color w:val="000000"/>
                <w:sz w:val="17"/>
                <w:szCs w:val="17"/>
                <w:lang w:val="en-GB"/>
              </w:rPr>
            </w:pPr>
            <w:r w:rsidRPr="00C33C0B">
              <w:rPr>
                <w:rFonts w:ascii="Calibri" w:hAnsi="Calibri"/>
                <w:color w:val="000000"/>
                <w:sz w:val="17"/>
                <w:szCs w:val="17"/>
                <w:lang w:val="en-GB"/>
              </w:rPr>
              <w:t>Professional attendance for the purpose of group therapy of not less than 1 hour in duration given under the direct continuous supervision of a medical practitioner (other than a consultant physician in the practice of his or her specialty of psychiatry) involving members of a family and persons with close personal relationships with that family--each group of 3 patients</w:t>
            </w:r>
          </w:p>
        </w:tc>
        <w:tc>
          <w:tcPr>
            <w:tcW w:w="1033" w:type="dxa"/>
            <w:shd w:val="clear" w:color="auto" w:fill="auto"/>
            <w:noWrap/>
          </w:tcPr>
          <w:p w14:paraId="3E0116FB" w14:textId="77777777" w:rsidR="00313E1E" w:rsidRPr="00C33C0B"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No change</w:t>
            </w:r>
          </w:p>
        </w:tc>
        <w:tc>
          <w:tcPr>
            <w:tcW w:w="1240" w:type="dxa"/>
            <w:shd w:val="clear" w:color="auto" w:fill="auto"/>
            <w:noWrap/>
          </w:tcPr>
          <w:p w14:paraId="4ADB6C08" w14:textId="77777777" w:rsidR="00313E1E" w:rsidRPr="00C33C0B"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w:t>
            </w:r>
          </w:p>
        </w:tc>
        <w:tc>
          <w:tcPr>
            <w:tcW w:w="1032" w:type="dxa"/>
            <w:shd w:val="clear" w:color="auto" w:fill="auto"/>
            <w:noWrap/>
          </w:tcPr>
          <w:p w14:paraId="5ECC485E" w14:textId="77777777" w:rsidR="00313E1E" w:rsidRPr="00C33C0B"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w:t>
            </w:r>
          </w:p>
        </w:tc>
      </w:tr>
      <w:tr w:rsidR="00313E1E" w:rsidRPr="00C33C0B" w14:paraId="2DA8C567" w14:textId="77777777" w:rsidTr="00313E1E">
        <w:trPr>
          <w:trHeight w:val="303"/>
        </w:trPr>
        <w:tc>
          <w:tcPr>
            <w:tcW w:w="613" w:type="dxa"/>
            <w:shd w:val="clear" w:color="auto" w:fill="auto"/>
            <w:noWrap/>
            <w:hideMark/>
          </w:tcPr>
          <w:p w14:paraId="700F9C62" w14:textId="77777777" w:rsidR="00313E1E" w:rsidRPr="00C33C0B" w:rsidRDefault="00313E1E" w:rsidP="00313E1E">
            <w:pPr>
              <w:spacing w:before="20" w:after="20"/>
              <w:rPr>
                <w:rFonts w:ascii="Calibri" w:hAnsi="Calibri"/>
                <w:color w:val="000000"/>
                <w:sz w:val="17"/>
                <w:szCs w:val="17"/>
                <w:lang w:val="en-GB"/>
              </w:rPr>
            </w:pPr>
            <w:r w:rsidRPr="00C33C0B">
              <w:rPr>
                <w:rFonts w:ascii="Calibri" w:hAnsi="Calibri"/>
                <w:color w:val="000000"/>
                <w:sz w:val="17"/>
                <w:szCs w:val="17"/>
                <w:lang w:val="en-GB"/>
              </w:rPr>
              <w:t>172</w:t>
            </w:r>
          </w:p>
        </w:tc>
        <w:tc>
          <w:tcPr>
            <w:tcW w:w="5165" w:type="dxa"/>
            <w:shd w:val="clear" w:color="auto" w:fill="auto"/>
            <w:noWrap/>
            <w:hideMark/>
          </w:tcPr>
          <w:p w14:paraId="21EF4E52" w14:textId="77777777" w:rsidR="00313E1E" w:rsidRPr="00C33C0B" w:rsidRDefault="00313E1E" w:rsidP="00313E1E">
            <w:pPr>
              <w:spacing w:before="20" w:after="20"/>
              <w:rPr>
                <w:rFonts w:ascii="Calibri" w:hAnsi="Calibri"/>
                <w:color w:val="000000"/>
                <w:sz w:val="17"/>
                <w:szCs w:val="17"/>
                <w:lang w:val="en-GB"/>
              </w:rPr>
            </w:pPr>
            <w:r w:rsidRPr="00C33C0B">
              <w:rPr>
                <w:rFonts w:ascii="Calibri" w:hAnsi="Calibri"/>
                <w:color w:val="000000"/>
                <w:sz w:val="17"/>
                <w:szCs w:val="17"/>
                <w:lang w:val="en-GB"/>
              </w:rPr>
              <w:t>Professional attendance for the purpose of group therapy of not less than 1 hour in duration given under the direct continuous supervision of a medical practitioner (other than a consultant physician in the practice of his or her specialty of psychiatry) involving members of a family and persons with close personal relationships with that family--each group of 4 or more patients</w:t>
            </w:r>
          </w:p>
        </w:tc>
        <w:tc>
          <w:tcPr>
            <w:tcW w:w="1033" w:type="dxa"/>
            <w:shd w:val="clear" w:color="auto" w:fill="auto"/>
            <w:noWrap/>
          </w:tcPr>
          <w:p w14:paraId="749C56DC" w14:textId="77777777" w:rsidR="00313E1E" w:rsidRPr="00C33C0B"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No change</w:t>
            </w:r>
          </w:p>
        </w:tc>
        <w:tc>
          <w:tcPr>
            <w:tcW w:w="1240" w:type="dxa"/>
            <w:shd w:val="clear" w:color="auto" w:fill="auto"/>
            <w:noWrap/>
          </w:tcPr>
          <w:p w14:paraId="2CBD232B" w14:textId="77777777" w:rsidR="00313E1E" w:rsidRPr="00C33C0B"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w:t>
            </w:r>
          </w:p>
        </w:tc>
        <w:tc>
          <w:tcPr>
            <w:tcW w:w="1032" w:type="dxa"/>
            <w:shd w:val="clear" w:color="auto" w:fill="auto"/>
            <w:noWrap/>
          </w:tcPr>
          <w:p w14:paraId="6EFAFC2A" w14:textId="77777777" w:rsidR="00313E1E" w:rsidRPr="00C33C0B"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w:t>
            </w:r>
          </w:p>
        </w:tc>
      </w:tr>
      <w:tr w:rsidR="00313E1E" w:rsidRPr="00C33C0B" w14:paraId="7AF1AA5C" w14:textId="77777777" w:rsidTr="00313E1E">
        <w:trPr>
          <w:trHeight w:val="303"/>
        </w:trPr>
        <w:tc>
          <w:tcPr>
            <w:tcW w:w="613" w:type="dxa"/>
            <w:shd w:val="clear" w:color="auto" w:fill="auto"/>
            <w:noWrap/>
          </w:tcPr>
          <w:p w14:paraId="3EA9DADB" w14:textId="77777777" w:rsidR="00313E1E" w:rsidRPr="00C33C0B" w:rsidRDefault="00313E1E" w:rsidP="00313E1E">
            <w:pPr>
              <w:spacing w:before="20" w:after="20"/>
              <w:rPr>
                <w:rFonts w:ascii="Calibri" w:hAnsi="Calibri"/>
                <w:color w:val="000000"/>
                <w:sz w:val="17"/>
                <w:szCs w:val="17"/>
                <w:lang w:val="en-GB"/>
              </w:rPr>
            </w:pPr>
            <w:r w:rsidRPr="00C33C0B">
              <w:rPr>
                <w:rFonts w:ascii="Calibri" w:hAnsi="Calibri"/>
                <w:color w:val="000000"/>
                <w:sz w:val="17"/>
                <w:szCs w:val="17"/>
                <w:lang w:val="en-GB"/>
              </w:rPr>
              <w:t>6028</w:t>
            </w:r>
          </w:p>
        </w:tc>
        <w:tc>
          <w:tcPr>
            <w:tcW w:w="5165" w:type="dxa"/>
            <w:shd w:val="clear" w:color="auto" w:fill="auto"/>
            <w:noWrap/>
          </w:tcPr>
          <w:p w14:paraId="153DE69E" w14:textId="77777777" w:rsidR="00313E1E" w:rsidRPr="00C33C0B" w:rsidRDefault="00313E1E" w:rsidP="00313E1E">
            <w:pPr>
              <w:spacing w:before="20" w:after="20"/>
              <w:rPr>
                <w:rFonts w:ascii="Calibri" w:hAnsi="Calibri"/>
                <w:color w:val="000000"/>
                <w:sz w:val="17"/>
                <w:szCs w:val="17"/>
                <w:lang w:val="en-GB"/>
              </w:rPr>
            </w:pPr>
            <w:r w:rsidRPr="00C33C0B">
              <w:rPr>
                <w:rFonts w:ascii="Calibri" w:hAnsi="Calibri"/>
                <w:color w:val="000000"/>
                <w:sz w:val="17"/>
                <w:szCs w:val="17"/>
                <w:lang w:val="en-GB"/>
              </w:rPr>
              <w:t>Group therapy (including any associated consultation with a patient taking place on the same occasion and relating to the condition for which group therapy is conducted) of not less than 1 hour, given under the continuous direct supervision of an addiction medicine specialist in the practice of his or her specialty for a group of 2 to 9 unrelated patients, or a family group of more than 2 patients, each of whom is referred to the addiction medicine specialist by a referring practitioner--for each patient</w:t>
            </w:r>
          </w:p>
        </w:tc>
        <w:tc>
          <w:tcPr>
            <w:tcW w:w="1033" w:type="dxa"/>
            <w:shd w:val="clear" w:color="auto" w:fill="auto"/>
            <w:noWrap/>
          </w:tcPr>
          <w:p w14:paraId="02C4F3D3" w14:textId="77777777" w:rsidR="00313E1E" w:rsidRPr="00C33C0B"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No change</w:t>
            </w:r>
          </w:p>
        </w:tc>
        <w:tc>
          <w:tcPr>
            <w:tcW w:w="1240" w:type="dxa"/>
            <w:shd w:val="clear" w:color="auto" w:fill="auto"/>
            <w:noWrap/>
          </w:tcPr>
          <w:p w14:paraId="58CA9083" w14:textId="77777777" w:rsidR="00313E1E" w:rsidRPr="00C33C0B"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w:t>
            </w:r>
          </w:p>
        </w:tc>
        <w:tc>
          <w:tcPr>
            <w:tcW w:w="1032" w:type="dxa"/>
            <w:shd w:val="clear" w:color="auto" w:fill="auto"/>
            <w:noWrap/>
          </w:tcPr>
          <w:p w14:paraId="6E16C788" w14:textId="77777777" w:rsidR="00313E1E" w:rsidRPr="00C33C0B"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w:t>
            </w:r>
          </w:p>
        </w:tc>
      </w:tr>
    </w:tbl>
    <w:p w14:paraId="2421724D" w14:textId="77777777" w:rsidR="00313E1E" w:rsidRDefault="00313E1E" w:rsidP="00313E1E"/>
    <w:p w14:paraId="322AB696" w14:textId="77777777" w:rsidR="00313E1E" w:rsidRPr="00C33C0B" w:rsidRDefault="002355E9" w:rsidP="00313E1E">
      <w:pPr>
        <w:pStyle w:val="Heading2"/>
        <w:numPr>
          <w:ilvl w:val="0"/>
          <w:numId w:val="0"/>
        </w:numPr>
        <w:rPr>
          <w:lang w:val="en-GB"/>
        </w:rPr>
      </w:pPr>
      <w:bookmarkStart w:id="292" w:name="_Toc24544777"/>
      <w:r>
        <w:rPr>
          <w:lang w:val="en-GB"/>
        </w:rPr>
        <w:t xml:space="preserve">Table </w:t>
      </w:r>
      <w:r w:rsidR="00C52816">
        <w:rPr>
          <w:lang w:val="en-GB"/>
        </w:rPr>
        <w:t>D</w:t>
      </w:r>
      <w:r w:rsidR="00313E1E">
        <w:rPr>
          <w:lang w:val="en-GB"/>
        </w:rPr>
        <w:t>.6</w:t>
      </w:r>
      <w:r w:rsidR="00313E1E" w:rsidRPr="00C33C0B">
        <w:rPr>
          <w:lang w:val="en-GB"/>
        </w:rPr>
        <w:t xml:space="preserve">. </w:t>
      </w:r>
      <w:r w:rsidR="00313E1E">
        <w:rPr>
          <w:lang w:val="en-GB"/>
        </w:rPr>
        <w:t>Other Recommendations</w:t>
      </w:r>
      <w:bookmarkEnd w:id="292"/>
    </w:p>
    <w:tbl>
      <w:tblPr>
        <w:tblStyle w:val="TableGrid"/>
        <w:tblW w:w="908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Caption w:val="Appendix D - Other recommendations summary for consumers"/>
        <w:tblDescription w:val="Table D.6 is a 5 column table. Column 1 is the item number. Column 2 describes what the item does. Column 3 is the committee's recommendation. Column 4 describes what would be different about the item. Column 5 describes why it would be different. "/>
      </w:tblPr>
      <w:tblGrid>
        <w:gridCol w:w="613"/>
        <w:gridCol w:w="3351"/>
        <w:gridCol w:w="1701"/>
        <w:gridCol w:w="1560"/>
        <w:gridCol w:w="1858"/>
      </w:tblGrid>
      <w:tr w:rsidR="00313E1E" w:rsidRPr="00C33C0B" w14:paraId="7B2971AC" w14:textId="77777777" w:rsidTr="00313E1E">
        <w:trPr>
          <w:trHeight w:val="1306"/>
          <w:tblHeader/>
        </w:trPr>
        <w:tc>
          <w:tcPr>
            <w:tcW w:w="613" w:type="dxa"/>
            <w:shd w:val="clear" w:color="auto" w:fill="E36C0A" w:themeFill="accent6" w:themeFillShade="BF"/>
            <w:vAlign w:val="bottom"/>
            <w:hideMark/>
          </w:tcPr>
          <w:p w14:paraId="2BAB5E54" w14:textId="77777777" w:rsidR="00313E1E" w:rsidRPr="00C33C0B" w:rsidRDefault="00313E1E" w:rsidP="00313E1E">
            <w:pPr>
              <w:spacing w:before="20" w:after="20"/>
              <w:rPr>
                <w:rFonts w:ascii="Calibri" w:hAnsi="Calibri"/>
                <w:b/>
                <w:color w:val="FFFFFF" w:themeColor="background1"/>
                <w:sz w:val="17"/>
                <w:szCs w:val="17"/>
                <w:lang w:val="en-GB"/>
              </w:rPr>
            </w:pPr>
            <w:r w:rsidRPr="00C33C0B">
              <w:rPr>
                <w:b/>
                <w:color w:val="FFFFFF" w:themeColor="background1"/>
                <w:sz w:val="17"/>
                <w:szCs w:val="17"/>
                <w:lang w:val="en-GB"/>
              </w:rPr>
              <w:t xml:space="preserve">Item </w:t>
            </w:r>
          </w:p>
        </w:tc>
        <w:tc>
          <w:tcPr>
            <w:tcW w:w="3351" w:type="dxa"/>
            <w:shd w:val="clear" w:color="auto" w:fill="E36C0A" w:themeFill="accent6" w:themeFillShade="BF"/>
            <w:vAlign w:val="bottom"/>
            <w:hideMark/>
          </w:tcPr>
          <w:p w14:paraId="684E7B14" w14:textId="77777777" w:rsidR="00313E1E" w:rsidRPr="00C33C0B" w:rsidRDefault="00313E1E" w:rsidP="00313E1E">
            <w:pPr>
              <w:spacing w:before="20" w:after="20"/>
              <w:rPr>
                <w:rFonts w:ascii="Calibri" w:hAnsi="Calibri"/>
                <w:b/>
                <w:color w:val="FFFFFF" w:themeColor="background1"/>
                <w:sz w:val="17"/>
                <w:szCs w:val="17"/>
                <w:lang w:val="en-GB"/>
              </w:rPr>
            </w:pPr>
            <w:r>
              <w:rPr>
                <w:b/>
                <w:color w:val="FFFFFF" w:themeColor="background1"/>
                <w:sz w:val="17"/>
                <w:szCs w:val="17"/>
                <w:lang w:val="en-GB"/>
              </w:rPr>
              <w:t>What it does</w:t>
            </w:r>
          </w:p>
        </w:tc>
        <w:tc>
          <w:tcPr>
            <w:tcW w:w="1701" w:type="dxa"/>
            <w:shd w:val="clear" w:color="auto" w:fill="E36C0A" w:themeFill="accent6" w:themeFillShade="BF"/>
            <w:vAlign w:val="bottom"/>
            <w:hideMark/>
          </w:tcPr>
          <w:p w14:paraId="25D4A1CF" w14:textId="77777777" w:rsidR="00313E1E" w:rsidRPr="00C33C0B" w:rsidRDefault="00313E1E" w:rsidP="00313E1E">
            <w:pPr>
              <w:spacing w:before="20" w:after="20"/>
              <w:rPr>
                <w:rFonts w:ascii="Calibri" w:hAnsi="Calibri"/>
                <w:b/>
                <w:color w:val="FFFFFF" w:themeColor="background1"/>
                <w:sz w:val="17"/>
                <w:szCs w:val="17"/>
                <w:lang w:val="en-GB"/>
              </w:rPr>
            </w:pPr>
            <w:r>
              <w:rPr>
                <w:b/>
                <w:color w:val="FFFFFF" w:themeColor="background1"/>
                <w:sz w:val="17"/>
                <w:szCs w:val="17"/>
                <w:lang w:val="en-GB"/>
              </w:rPr>
              <w:t>Committee recommendation</w:t>
            </w:r>
          </w:p>
        </w:tc>
        <w:tc>
          <w:tcPr>
            <w:tcW w:w="1560" w:type="dxa"/>
            <w:shd w:val="clear" w:color="auto" w:fill="E36C0A" w:themeFill="accent6" w:themeFillShade="BF"/>
            <w:vAlign w:val="bottom"/>
            <w:hideMark/>
          </w:tcPr>
          <w:p w14:paraId="6950391F" w14:textId="77777777" w:rsidR="00313E1E" w:rsidRPr="00C33C0B" w:rsidRDefault="00313E1E" w:rsidP="00313E1E">
            <w:pPr>
              <w:spacing w:before="20" w:after="20"/>
              <w:rPr>
                <w:rFonts w:ascii="Calibri" w:hAnsi="Calibri"/>
                <w:b/>
                <w:color w:val="FFFFFF" w:themeColor="background1"/>
                <w:sz w:val="17"/>
                <w:szCs w:val="17"/>
                <w:lang w:val="en-GB"/>
              </w:rPr>
            </w:pPr>
            <w:r>
              <w:rPr>
                <w:b/>
                <w:color w:val="FFFFFF" w:themeColor="background1"/>
                <w:sz w:val="17"/>
                <w:szCs w:val="17"/>
                <w:lang w:val="en-GB"/>
              </w:rPr>
              <w:t>What would be different</w:t>
            </w:r>
          </w:p>
        </w:tc>
        <w:tc>
          <w:tcPr>
            <w:tcW w:w="1858" w:type="dxa"/>
            <w:shd w:val="clear" w:color="auto" w:fill="E36C0A" w:themeFill="accent6" w:themeFillShade="BF"/>
            <w:vAlign w:val="bottom"/>
            <w:hideMark/>
          </w:tcPr>
          <w:p w14:paraId="45AC3992" w14:textId="77777777" w:rsidR="00313E1E" w:rsidRPr="00C33C0B" w:rsidRDefault="00313E1E" w:rsidP="00313E1E">
            <w:pPr>
              <w:spacing w:before="20" w:after="20"/>
              <w:rPr>
                <w:rFonts w:ascii="Calibri" w:hAnsi="Calibri"/>
                <w:b/>
                <w:color w:val="FFFFFF" w:themeColor="background1"/>
                <w:sz w:val="17"/>
                <w:szCs w:val="17"/>
                <w:lang w:val="en-GB"/>
              </w:rPr>
            </w:pPr>
            <w:r>
              <w:rPr>
                <w:b/>
                <w:color w:val="FFFFFF" w:themeColor="background1"/>
                <w:sz w:val="17"/>
                <w:szCs w:val="17"/>
                <w:lang w:val="en-GB"/>
              </w:rPr>
              <w:t>Why</w:t>
            </w:r>
          </w:p>
        </w:tc>
      </w:tr>
      <w:tr w:rsidR="00313E1E" w:rsidRPr="00C33C0B" w14:paraId="642AC7DD" w14:textId="77777777" w:rsidTr="00313E1E">
        <w:trPr>
          <w:trHeight w:val="303"/>
        </w:trPr>
        <w:tc>
          <w:tcPr>
            <w:tcW w:w="613" w:type="dxa"/>
            <w:shd w:val="clear" w:color="auto" w:fill="auto"/>
            <w:noWrap/>
            <w:hideMark/>
          </w:tcPr>
          <w:p w14:paraId="7FFAD94E" w14:textId="77777777" w:rsidR="00313E1E" w:rsidRPr="00C33C0B"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Recommendation 12</w:t>
            </w:r>
          </w:p>
        </w:tc>
        <w:tc>
          <w:tcPr>
            <w:tcW w:w="3351" w:type="dxa"/>
            <w:shd w:val="clear" w:color="auto" w:fill="auto"/>
            <w:noWrap/>
            <w:hideMark/>
          </w:tcPr>
          <w:p w14:paraId="556F6F0F" w14:textId="77777777" w:rsidR="00313E1E" w:rsidRPr="00C33C0B"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Establish a minimum data set to inform evidence-based clinical practice and inform patient choice</w:t>
            </w:r>
          </w:p>
        </w:tc>
        <w:tc>
          <w:tcPr>
            <w:tcW w:w="1701" w:type="dxa"/>
            <w:shd w:val="clear" w:color="auto" w:fill="auto"/>
            <w:noWrap/>
          </w:tcPr>
          <w:p w14:paraId="2F0477AE" w14:textId="77777777" w:rsidR="00313E1E" w:rsidRPr="00C33C0B"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Step-wise approach to establishing a minimum data set for the purposes of comparison</w:t>
            </w:r>
          </w:p>
        </w:tc>
        <w:tc>
          <w:tcPr>
            <w:tcW w:w="1560" w:type="dxa"/>
            <w:shd w:val="clear" w:color="auto" w:fill="auto"/>
            <w:noWrap/>
          </w:tcPr>
          <w:p w14:paraId="597010E5" w14:textId="77777777" w:rsidR="00313E1E" w:rsidRPr="00C33C0B"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There would be a consistent minimum data set which can be used to inform evidence-based care and patient choice</w:t>
            </w:r>
          </w:p>
        </w:tc>
        <w:tc>
          <w:tcPr>
            <w:tcW w:w="1858" w:type="dxa"/>
            <w:shd w:val="clear" w:color="auto" w:fill="auto"/>
            <w:noWrap/>
          </w:tcPr>
          <w:p w14:paraId="3B45145B" w14:textId="77777777" w:rsidR="00313E1E" w:rsidRPr="00C33C0B"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To inform evidence-based care and patient choice</w:t>
            </w:r>
          </w:p>
        </w:tc>
      </w:tr>
      <w:tr w:rsidR="00313E1E" w:rsidRPr="00C33C0B" w14:paraId="66C28D12" w14:textId="77777777" w:rsidTr="00313E1E">
        <w:trPr>
          <w:trHeight w:val="303"/>
        </w:trPr>
        <w:tc>
          <w:tcPr>
            <w:tcW w:w="613" w:type="dxa"/>
            <w:shd w:val="clear" w:color="auto" w:fill="auto"/>
            <w:noWrap/>
          </w:tcPr>
          <w:p w14:paraId="58425D33"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Recommendation 13</w:t>
            </w:r>
          </w:p>
        </w:tc>
        <w:tc>
          <w:tcPr>
            <w:tcW w:w="3351" w:type="dxa"/>
            <w:shd w:val="clear" w:color="auto" w:fill="auto"/>
            <w:noWrap/>
          </w:tcPr>
          <w:p w14:paraId="04FE474C"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Provide transparency on the cost and quality of consultant specialist services</w:t>
            </w:r>
          </w:p>
        </w:tc>
        <w:tc>
          <w:tcPr>
            <w:tcW w:w="1701" w:type="dxa"/>
            <w:shd w:val="clear" w:color="auto" w:fill="auto"/>
            <w:noWrap/>
          </w:tcPr>
          <w:p w14:paraId="2A01D2F4"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MBS cost data, including data on out-of-pocket fees, along with consultant-specialist risk-weighted outcome data, should be shared at an institutional and individual provider level; Cost and outcome data should be shared with the patient through their GP at the time of referral; and the presentation of this data should be co-designed with consumers.</w:t>
            </w:r>
          </w:p>
        </w:tc>
        <w:tc>
          <w:tcPr>
            <w:tcW w:w="1560" w:type="dxa"/>
            <w:shd w:val="clear" w:color="auto" w:fill="auto"/>
            <w:noWrap/>
          </w:tcPr>
          <w:p w14:paraId="230691CA"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Patients would be better informed about the cost and quality of consultant specialist services, and data would exist to support value-based health care</w:t>
            </w:r>
          </w:p>
        </w:tc>
        <w:tc>
          <w:tcPr>
            <w:tcW w:w="1858" w:type="dxa"/>
            <w:shd w:val="clear" w:color="auto" w:fill="auto"/>
            <w:noWrap/>
          </w:tcPr>
          <w:p w14:paraId="4E13C03C"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To provide patients with transparency on cost and outcomes when choosing an institution or consultant specialist, and to support value-based health care</w:t>
            </w:r>
          </w:p>
        </w:tc>
      </w:tr>
      <w:tr w:rsidR="00313E1E" w:rsidRPr="00C33C0B" w14:paraId="31497163" w14:textId="77777777" w:rsidTr="00313E1E">
        <w:trPr>
          <w:trHeight w:val="303"/>
        </w:trPr>
        <w:tc>
          <w:tcPr>
            <w:tcW w:w="613" w:type="dxa"/>
            <w:shd w:val="clear" w:color="auto" w:fill="auto"/>
            <w:noWrap/>
          </w:tcPr>
          <w:p w14:paraId="50AACC1F"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Recommendation 14</w:t>
            </w:r>
          </w:p>
        </w:tc>
        <w:tc>
          <w:tcPr>
            <w:tcW w:w="3351" w:type="dxa"/>
            <w:shd w:val="clear" w:color="auto" w:fill="auto"/>
            <w:noWrap/>
          </w:tcPr>
          <w:p w14:paraId="4365A045"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Improve informed patient consent and shared decision-making processes</w:t>
            </w:r>
          </w:p>
        </w:tc>
        <w:tc>
          <w:tcPr>
            <w:tcW w:w="1701" w:type="dxa"/>
            <w:shd w:val="clear" w:color="auto" w:fill="auto"/>
            <w:noWrap/>
          </w:tcPr>
          <w:p w14:paraId="2CC25D32"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 xml:space="preserve">Change descriptors where multiple treatment options available to include requirements around discussion of options and information on risks and benefits; improve provider education on patient consent; and improve the consent process by including additional information in provider education materials </w:t>
            </w:r>
          </w:p>
        </w:tc>
        <w:tc>
          <w:tcPr>
            <w:tcW w:w="1560" w:type="dxa"/>
            <w:shd w:val="clear" w:color="auto" w:fill="auto"/>
            <w:noWrap/>
          </w:tcPr>
          <w:p w14:paraId="377E10BF"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There would be more emphasis on shared decision-making and informed patient consent</w:t>
            </w:r>
          </w:p>
        </w:tc>
        <w:tc>
          <w:tcPr>
            <w:tcW w:w="1858" w:type="dxa"/>
            <w:shd w:val="clear" w:color="auto" w:fill="auto"/>
            <w:noWrap/>
          </w:tcPr>
          <w:p w14:paraId="7A553118"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To improve patient consent process and encourage shared decision-making during consultant specialist attendances</w:t>
            </w:r>
          </w:p>
        </w:tc>
      </w:tr>
      <w:tr w:rsidR="00313E1E" w:rsidRPr="00C33C0B" w14:paraId="31D093ED" w14:textId="77777777" w:rsidTr="00313E1E">
        <w:trPr>
          <w:trHeight w:val="303"/>
        </w:trPr>
        <w:tc>
          <w:tcPr>
            <w:tcW w:w="613" w:type="dxa"/>
            <w:shd w:val="clear" w:color="auto" w:fill="auto"/>
            <w:noWrap/>
          </w:tcPr>
          <w:p w14:paraId="698FAC9E"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Recommendation 15</w:t>
            </w:r>
          </w:p>
        </w:tc>
        <w:tc>
          <w:tcPr>
            <w:tcW w:w="3351" w:type="dxa"/>
            <w:shd w:val="clear" w:color="auto" w:fill="auto"/>
            <w:noWrap/>
          </w:tcPr>
          <w:p w14:paraId="47DE1871"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Case conference use of My Health Record</w:t>
            </w:r>
          </w:p>
        </w:tc>
        <w:tc>
          <w:tcPr>
            <w:tcW w:w="1701" w:type="dxa"/>
            <w:shd w:val="clear" w:color="auto" w:fill="auto"/>
            <w:noWrap/>
          </w:tcPr>
          <w:p w14:paraId="2E5C883C"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The outcomes of case conferences should be uploaded to My Health Record</w:t>
            </w:r>
          </w:p>
        </w:tc>
        <w:tc>
          <w:tcPr>
            <w:tcW w:w="1560" w:type="dxa"/>
            <w:shd w:val="clear" w:color="auto" w:fill="auto"/>
            <w:noWrap/>
          </w:tcPr>
          <w:p w14:paraId="2EE32FD4"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Case conference outcomes would be uploaded to My Health Record</w:t>
            </w:r>
          </w:p>
        </w:tc>
        <w:tc>
          <w:tcPr>
            <w:tcW w:w="1858" w:type="dxa"/>
            <w:shd w:val="clear" w:color="auto" w:fill="auto"/>
            <w:noWrap/>
          </w:tcPr>
          <w:p w14:paraId="5CAE9D2C"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To encourage the upload of event summaries to My Health Record</w:t>
            </w:r>
          </w:p>
        </w:tc>
      </w:tr>
      <w:tr w:rsidR="00313E1E" w:rsidRPr="00C33C0B" w14:paraId="5F07547C" w14:textId="77777777" w:rsidTr="00313E1E">
        <w:trPr>
          <w:trHeight w:val="303"/>
        </w:trPr>
        <w:tc>
          <w:tcPr>
            <w:tcW w:w="613" w:type="dxa"/>
            <w:shd w:val="clear" w:color="auto" w:fill="auto"/>
            <w:noWrap/>
          </w:tcPr>
          <w:p w14:paraId="29C7B700"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Recommendation 16</w:t>
            </w:r>
          </w:p>
        </w:tc>
        <w:tc>
          <w:tcPr>
            <w:tcW w:w="3351" w:type="dxa"/>
            <w:shd w:val="clear" w:color="auto" w:fill="auto"/>
            <w:noWrap/>
          </w:tcPr>
          <w:p w14:paraId="6DC454E9"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Incentivise adoption of My Health Record</w:t>
            </w:r>
          </w:p>
        </w:tc>
        <w:tc>
          <w:tcPr>
            <w:tcW w:w="1701" w:type="dxa"/>
            <w:shd w:val="clear" w:color="auto" w:fill="auto"/>
            <w:noWrap/>
          </w:tcPr>
          <w:p w14:paraId="1FFA6DA6"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A single incentive payment to consultant specialists should be introduced upon their adoption of My Health Record, triggered by achieving a volume of uploads proportional to the number of attendances a provider performed (to be reviewed after XX period)</w:t>
            </w:r>
          </w:p>
        </w:tc>
        <w:tc>
          <w:tcPr>
            <w:tcW w:w="1560" w:type="dxa"/>
            <w:shd w:val="clear" w:color="auto" w:fill="auto"/>
            <w:noWrap/>
          </w:tcPr>
          <w:p w14:paraId="654D4EA5"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Consultant specialists would have an incentive to use My Health Record for the majority of their patients</w:t>
            </w:r>
          </w:p>
        </w:tc>
        <w:tc>
          <w:tcPr>
            <w:tcW w:w="1858" w:type="dxa"/>
            <w:shd w:val="clear" w:color="auto" w:fill="auto"/>
            <w:noWrap/>
          </w:tcPr>
          <w:p w14:paraId="61CF0BDF"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To incentivise use of My Health Record by consultant specialists</w:t>
            </w:r>
          </w:p>
        </w:tc>
      </w:tr>
      <w:tr w:rsidR="00313E1E" w:rsidRPr="00C33C0B" w14:paraId="0EEA6AD4" w14:textId="77777777" w:rsidTr="00313E1E">
        <w:trPr>
          <w:trHeight w:val="303"/>
        </w:trPr>
        <w:tc>
          <w:tcPr>
            <w:tcW w:w="613" w:type="dxa"/>
            <w:shd w:val="clear" w:color="auto" w:fill="auto"/>
            <w:noWrap/>
          </w:tcPr>
          <w:p w14:paraId="3740F728"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Recommendation 17</w:t>
            </w:r>
          </w:p>
        </w:tc>
        <w:tc>
          <w:tcPr>
            <w:tcW w:w="3351" w:type="dxa"/>
            <w:shd w:val="clear" w:color="auto" w:fill="auto"/>
            <w:noWrap/>
          </w:tcPr>
          <w:p w14:paraId="525698C4"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Encourage adoption of My Health Record</w:t>
            </w:r>
          </w:p>
        </w:tc>
        <w:tc>
          <w:tcPr>
            <w:tcW w:w="1701" w:type="dxa"/>
            <w:shd w:val="clear" w:color="auto" w:fill="auto"/>
            <w:noWrap/>
          </w:tcPr>
          <w:p w14:paraId="5F2F6BDF"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Improve the functionality of My Health Record and educate consultant specialists on its benefits; enhance the functionality so it becomes a value-add tool for clinicians; broaden training for health care providers to include education about using MHR clinically, and work with academic institutions to embed digital health competencies into degrees</w:t>
            </w:r>
          </w:p>
        </w:tc>
        <w:tc>
          <w:tcPr>
            <w:tcW w:w="1560" w:type="dxa"/>
            <w:shd w:val="clear" w:color="auto" w:fill="auto"/>
            <w:noWrap/>
          </w:tcPr>
          <w:p w14:paraId="394A2D98"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 xml:space="preserve">Measures would be in place to ensure clinicians are well equipped to use MHR, and see it as beneficial </w:t>
            </w:r>
          </w:p>
        </w:tc>
        <w:tc>
          <w:tcPr>
            <w:tcW w:w="1858" w:type="dxa"/>
            <w:shd w:val="clear" w:color="auto" w:fill="auto"/>
            <w:noWrap/>
          </w:tcPr>
          <w:p w14:paraId="6DC3E30D"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To enhance MHR to improve health outcomes and improve the efficiency of the overall system</w:t>
            </w:r>
          </w:p>
        </w:tc>
      </w:tr>
      <w:tr w:rsidR="00313E1E" w:rsidRPr="00C33C0B" w14:paraId="768E9F0A" w14:textId="77777777" w:rsidTr="00313E1E">
        <w:trPr>
          <w:trHeight w:val="303"/>
        </w:trPr>
        <w:tc>
          <w:tcPr>
            <w:tcW w:w="613" w:type="dxa"/>
            <w:shd w:val="clear" w:color="auto" w:fill="auto"/>
            <w:noWrap/>
          </w:tcPr>
          <w:p w14:paraId="5210F94B"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Recommendation 18</w:t>
            </w:r>
          </w:p>
        </w:tc>
        <w:tc>
          <w:tcPr>
            <w:tcW w:w="3351" w:type="dxa"/>
            <w:shd w:val="clear" w:color="auto" w:fill="auto"/>
            <w:noWrap/>
          </w:tcPr>
          <w:p w14:paraId="70388783"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Retain the current specialist to specialist referral validity period</w:t>
            </w:r>
          </w:p>
        </w:tc>
        <w:tc>
          <w:tcPr>
            <w:tcW w:w="1701" w:type="dxa"/>
            <w:shd w:val="clear" w:color="auto" w:fill="auto"/>
            <w:noWrap/>
          </w:tcPr>
          <w:p w14:paraId="43B3A18E"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Retain the specialist-to-specialist referral validity to three months</w:t>
            </w:r>
          </w:p>
        </w:tc>
        <w:tc>
          <w:tcPr>
            <w:tcW w:w="1560" w:type="dxa"/>
            <w:shd w:val="clear" w:color="auto" w:fill="auto"/>
            <w:noWrap/>
          </w:tcPr>
          <w:p w14:paraId="5D498CE4"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No change</w:t>
            </w:r>
          </w:p>
        </w:tc>
        <w:tc>
          <w:tcPr>
            <w:tcW w:w="1858" w:type="dxa"/>
            <w:shd w:val="clear" w:color="auto" w:fill="auto"/>
            <w:noWrap/>
          </w:tcPr>
          <w:p w14:paraId="69AEEB88"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To strike a balance between patient convenience and GP oversight of patient care</w:t>
            </w:r>
          </w:p>
        </w:tc>
      </w:tr>
      <w:tr w:rsidR="00313E1E" w:rsidRPr="00C33C0B" w14:paraId="4642E0E4" w14:textId="77777777" w:rsidTr="00313E1E">
        <w:trPr>
          <w:trHeight w:val="303"/>
        </w:trPr>
        <w:tc>
          <w:tcPr>
            <w:tcW w:w="613" w:type="dxa"/>
            <w:shd w:val="clear" w:color="auto" w:fill="auto"/>
            <w:noWrap/>
          </w:tcPr>
          <w:p w14:paraId="58782C48"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Recommendation 19</w:t>
            </w:r>
          </w:p>
        </w:tc>
        <w:tc>
          <w:tcPr>
            <w:tcW w:w="3351" w:type="dxa"/>
            <w:shd w:val="clear" w:color="auto" w:fill="auto"/>
            <w:noWrap/>
          </w:tcPr>
          <w:p w14:paraId="1547A47E"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Introduce a new AHP pathway</w:t>
            </w:r>
          </w:p>
        </w:tc>
        <w:tc>
          <w:tcPr>
            <w:tcW w:w="1701" w:type="dxa"/>
            <w:shd w:val="clear" w:color="auto" w:fill="auto"/>
            <w:noWrap/>
          </w:tcPr>
          <w:p w14:paraId="787E438C"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Introduce an AHP pathway for consultant specialists under certain circumstances, but only after a full review of the evidence and associated costs</w:t>
            </w:r>
          </w:p>
        </w:tc>
        <w:tc>
          <w:tcPr>
            <w:tcW w:w="1560" w:type="dxa"/>
            <w:shd w:val="clear" w:color="auto" w:fill="auto"/>
            <w:noWrap/>
          </w:tcPr>
          <w:p w14:paraId="1EF24088"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There would be consideration of options for an AHP pathway, assessed against the evidence and associated costs</w:t>
            </w:r>
          </w:p>
        </w:tc>
        <w:tc>
          <w:tcPr>
            <w:tcW w:w="1858" w:type="dxa"/>
            <w:shd w:val="clear" w:color="auto" w:fill="auto"/>
            <w:noWrap/>
          </w:tcPr>
          <w:p w14:paraId="4EA25FD2" w14:textId="77777777" w:rsidR="00313E1E" w:rsidRDefault="00313E1E" w:rsidP="00313E1E">
            <w:pPr>
              <w:spacing w:before="20" w:after="20"/>
              <w:rPr>
                <w:rFonts w:ascii="Calibri" w:hAnsi="Calibri"/>
                <w:color w:val="000000"/>
                <w:sz w:val="17"/>
                <w:szCs w:val="17"/>
                <w:lang w:val="en-GB"/>
              </w:rPr>
            </w:pPr>
            <w:r>
              <w:rPr>
                <w:rFonts w:ascii="Calibri" w:hAnsi="Calibri"/>
                <w:color w:val="000000"/>
                <w:sz w:val="17"/>
                <w:szCs w:val="17"/>
                <w:lang w:val="en-GB"/>
              </w:rPr>
              <w:t>To recognise the increasing importance of the AHP role in consultant specialist care</w:t>
            </w:r>
          </w:p>
        </w:tc>
      </w:tr>
    </w:tbl>
    <w:p w14:paraId="0EBA705C" w14:textId="77777777" w:rsidR="00313E1E" w:rsidRPr="00C70F2D" w:rsidRDefault="00313E1E" w:rsidP="00313E1E">
      <w:pPr>
        <w:rPr>
          <w:rFonts w:cs="Arial"/>
          <w:sz w:val="32"/>
          <w:lang w:val="en-GB" w:eastAsia="en-US"/>
        </w:rPr>
      </w:pPr>
    </w:p>
    <w:p w14:paraId="2175319F" w14:textId="77777777" w:rsidR="008653F8" w:rsidRDefault="008653F8" w:rsidP="008653F8"/>
    <w:sectPr w:rsidR="008653F8" w:rsidSect="00DF09CD">
      <w:endnotePr>
        <w:numFmt w:val="decimal"/>
      </w:endnotePr>
      <w:pgSz w:w="11906" w:h="16838" w:code="9"/>
      <w:pgMar w:top="1440" w:right="1797" w:bottom="1440" w:left="179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9D1321" w14:textId="77777777" w:rsidR="00B85D72" w:rsidRDefault="00B85D72" w:rsidP="000D1CF6">
      <w:r>
        <w:separator/>
      </w:r>
    </w:p>
    <w:p w14:paraId="78F3B260" w14:textId="77777777" w:rsidR="00B85D72" w:rsidRDefault="00B85D72" w:rsidP="000D1CF6"/>
    <w:p w14:paraId="380F0177" w14:textId="77777777" w:rsidR="00B85D72" w:rsidRDefault="00B85D72"/>
  </w:endnote>
  <w:endnote w:type="continuationSeparator" w:id="0">
    <w:p w14:paraId="57977886" w14:textId="77777777" w:rsidR="00B85D72" w:rsidRDefault="00B85D72" w:rsidP="000D1CF6">
      <w:r>
        <w:continuationSeparator/>
      </w:r>
    </w:p>
    <w:p w14:paraId="68F78D8F" w14:textId="77777777" w:rsidR="00B85D72" w:rsidRDefault="00B85D72" w:rsidP="000D1CF6"/>
    <w:p w14:paraId="7BFEA1D4" w14:textId="77777777" w:rsidR="00B85D72" w:rsidRDefault="00B85D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4DE705DC-982E-48F2-AA73-B19CA6DD94E2}"/>
    <w:embedBold r:id="rId2" w:fontKey="{D0235F27-874D-4EAA-97B9-4C2616507620}"/>
    <w:embedItalic r:id="rId3" w:fontKey="{7B5DF53D-6CE2-431A-84D1-9DFD64A97CF9}"/>
    <w:embedBoldItalic r:id="rId4" w:fontKey="{28BCE3F0-8BFE-41E0-94ED-B63844451894}"/>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 w:name="Calibri-Bold">
    <w:altName w:val="Times New Roman"/>
    <w:charset w:val="00"/>
    <w:family w:val="auto"/>
    <w:pitch w:val="variable"/>
    <w:sig w:usb0="00000001"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FE7AA" w14:textId="77777777" w:rsidR="00B85D72" w:rsidRPr="00602688" w:rsidRDefault="00B85D72" w:rsidP="00684AA4">
    <w:pPr>
      <w:pStyle w:val="Footer"/>
    </w:pPr>
    <w:r>
      <w:t>R</w:t>
    </w:r>
    <w:r w:rsidRPr="00655CD2">
      <w:t xml:space="preserve">eport from the </w:t>
    </w:r>
    <w:r>
      <w:t xml:space="preserve">Specialist and Consultant Physician Consultation Clinical </w:t>
    </w:r>
    <w:r w:rsidRPr="00684AA4">
      <w:t>Committee</w:t>
    </w:r>
    <w:r w:rsidRPr="00655CD2">
      <w:t xml:space="preserve">, </w:t>
    </w:r>
    <w:r>
      <w:t>2019</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3B6233">
      <w:rPr>
        <w:noProof/>
      </w:rPr>
      <w:t>151</w:t>
    </w:r>
    <w:r w:rsidRPr="0060268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D2E244" w14:textId="77777777" w:rsidR="00B85D72" w:rsidRDefault="00B85D72" w:rsidP="000D1CF6">
      <w:r>
        <w:separator/>
      </w:r>
    </w:p>
    <w:p w14:paraId="043F14E3" w14:textId="77777777" w:rsidR="00B85D72" w:rsidRDefault="00B85D72" w:rsidP="000D1CF6"/>
    <w:p w14:paraId="0310F533" w14:textId="77777777" w:rsidR="00B85D72" w:rsidRDefault="00B85D72"/>
  </w:footnote>
  <w:footnote w:type="continuationSeparator" w:id="0">
    <w:p w14:paraId="31390FF1" w14:textId="77777777" w:rsidR="00B85D72" w:rsidRDefault="00B85D72" w:rsidP="000D1CF6">
      <w:r>
        <w:continuationSeparator/>
      </w:r>
    </w:p>
    <w:p w14:paraId="7525540F" w14:textId="77777777" w:rsidR="00B85D72" w:rsidRDefault="00B85D72" w:rsidP="000D1CF6"/>
    <w:p w14:paraId="3416B68A" w14:textId="77777777" w:rsidR="00B85D72" w:rsidRDefault="00B85D72"/>
  </w:footnote>
  <w:footnote w:id="1">
    <w:p w14:paraId="7122A2F6" w14:textId="77777777" w:rsidR="00B85D72" w:rsidRPr="008817E9" w:rsidRDefault="00B85D72" w:rsidP="00C7339A">
      <w:pPr>
        <w:pStyle w:val="FootnoteText"/>
        <w:spacing w:after="120"/>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2">
    <w:p w14:paraId="58D2A596" w14:textId="77777777" w:rsidR="00B85D72" w:rsidRPr="008817E9" w:rsidRDefault="00B85D72" w:rsidP="00C7339A">
      <w:pPr>
        <w:pStyle w:val="FootnoteText"/>
        <w:spacing w:after="120"/>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 w:id="3">
    <w:p w14:paraId="24274CD3" w14:textId="77777777" w:rsidR="00B85D72" w:rsidRDefault="00B85D72">
      <w:pPr>
        <w:pStyle w:val="FootnoteText"/>
      </w:pPr>
      <w:r>
        <w:rPr>
          <w:rStyle w:val="FootnoteReference"/>
        </w:rPr>
        <w:footnoteRef/>
      </w:r>
      <w:r>
        <w:t xml:space="preserve"> I</w:t>
      </w:r>
      <w:r w:rsidRPr="00221662">
        <w:t xml:space="preserve">tems </w:t>
      </w:r>
      <w:r>
        <w:t>also exist for c</w:t>
      </w:r>
      <w:r w:rsidRPr="00221662">
        <w:t xml:space="preserve">onsultant </w:t>
      </w:r>
      <w:r>
        <w:t>p</w:t>
      </w:r>
      <w:r w:rsidRPr="00221662">
        <w:t>hysicians to claim “minor” subsequent attendances</w:t>
      </w:r>
      <w:r>
        <w:t xml:space="preserve"> (items </w:t>
      </w:r>
      <w:r w:rsidRPr="00221662">
        <w:t>119 and 131)</w:t>
      </w:r>
      <w:r>
        <w:t>.</w:t>
      </w:r>
    </w:p>
  </w:footnote>
  <w:footnote w:id="4">
    <w:p w14:paraId="12BB129F" w14:textId="77777777" w:rsidR="00B85D72" w:rsidRDefault="00B85D72" w:rsidP="00581273">
      <w:pPr>
        <w:pStyle w:val="FootnoteText"/>
      </w:pPr>
      <w:r>
        <w:rPr>
          <w:rStyle w:val="FootnoteReference"/>
        </w:rPr>
        <w:footnoteRef/>
      </w:r>
      <w:r>
        <w:t xml:space="preserve"> Item numbers listed here indicate a structure for the DHS to follow when assigning item numbers. </w:t>
      </w:r>
    </w:p>
  </w:footnote>
  <w:footnote w:id="5">
    <w:p w14:paraId="2DC61AAE" w14:textId="77777777" w:rsidR="00B85D72" w:rsidRDefault="00B85D72" w:rsidP="0063055E">
      <w:pPr>
        <w:pStyle w:val="FootnoteText"/>
      </w:pPr>
      <w:r>
        <w:rPr>
          <w:rStyle w:val="FootnoteReference"/>
        </w:rPr>
        <w:footnoteRef/>
      </w:r>
      <w:r>
        <w:t xml:space="preserve"> See item level data in Appendix A.2.</w:t>
      </w:r>
    </w:p>
  </w:footnote>
  <w:footnote w:id="6">
    <w:p w14:paraId="23FA528A" w14:textId="77777777" w:rsidR="00B85D72" w:rsidRDefault="00B85D72">
      <w:pPr>
        <w:pStyle w:val="FootnoteText"/>
      </w:pPr>
      <w:r>
        <w:rPr>
          <w:rStyle w:val="FootnoteReference"/>
        </w:rPr>
        <w:footnoteRef/>
      </w:r>
      <w:r>
        <w:t xml:space="preserve"> </w:t>
      </w:r>
      <w:r w:rsidRPr="00CE48B3">
        <w:t xml:space="preserve">Medicare </w:t>
      </w:r>
      <w:r>
        <w:t xml:space="preserve">data </w:t>
      </w:r>
      <w:r w:rsidRPr="00CE48B3">
        <w:t>2016-17</w:t>
      </w:r>
    </w:p>
    <w:p w14:paraId="553D3CFE" w14:textId="77777777" w:rsidR="00B85D72" w:rsidRDefault="00B85D72">
      <w:pPr>
        <w:pStyle w:val="FootnoteText"/>
      </w:pPr>
      <w:r w:rsidRPr="001E18A5">
        <w:rPr>
          <w:rStyle w:val="FootnoteReference"/>
        </w:rPr>
        <w:t>7</w:t>
      </w:r>
      <w:r>
        <w:t xml:space="preserve"> Medicare data 2017-18</w:t>
      </w:r>
    </w:p>
  </w:footnote>
  <w:footnote w:id="7">
    <w:p w14:paraId="2959B358" w14:textId="77777777" w:rsidR="00B85D72" w:rsidRDefault="00B85D72" w:rsidP="0070614E">
      <w:pPr>
        <w:pStyle w:val="FootnoteText"/>
      </w:pPr>
      <w:r>
        <w:rPr>
          <w:rStyle w:val="FootnoteReference"/>
        </w:rPr>
        <w:footnoteRef/>
      </w:r>
      <w:r>
        <w:t xml:space="preserve"> See item-level data for all telehealth attendances in Appendix - A.3.</w:t>
      </w:r>
    </w:p>
  </w:footnote>
  <w:footnote w:id="8">
    <w:p w14:paraId="7141ECFD" w14:textId="77777777" w:rsidR="00B85D72" w:rsidRDefault="00B85D72">
      <w:pPr>
        <w:pStyle w:val="FootnoteText"/>
      </w:pPr>
      <w:r>
        <w:rPr>
          <w:rStyle w:val="FootnoteReference"/>
        </w:rPr>
        <w:footnoteRef/>
      </w:r>
      <w:r>
        <w:t xml:space="preserve"> One item each for specialists, consultant physicians, occupational medicine, pain medicine, palliative care, neurosurgery, addiction medicine and sexual health medicine.</w:t>
      </w:r>
    </w:p>
  </w:footnote>
  <w:footnote w:id="9">
    <w:p w14:paraId="092DA4B1" w14:textId="77777777" w:rsidR="00B85D72" w:rsidRDefault="00B85D72" w:rsidP="00BF4C3B">
      <w:pPr>
        <w:pStyle w:val="FootnoteText"/>
      </w:pPr>
      <w:r>
        <w:rPr>
          <w:rStyle w:val="FootnoteReference"/>
        </w:rPr>
        <w:footnoteRef/>
      </w:r>
      <w:r>
        <w:t xml:space="preserve"> Item numbers listed here indicate a structure for the DHS to follow when assigning item numbers. </w:t>
      </w:r>
    </w:p>
  </w:footnote>
  <w:footnote w:id="10">
    <w:p w14:paraId="3713DAAA" w14:textId="77777777" w:rsidR="00B85D72" w:rsidRDefault="00B85D72">
      <w:pPr>
        <w:pStyle w:val="FootnoteText"/>
      </w:pPr>
      <w:r>
        <w:rPr>
          <w:rStyle w:val="FootnoteReference"/>
        </w:rPr>
        <w:footnoteRef/>
      </w:r>
      <w:r>
        <w:t xml:space="preserve"> MBS data 2011/12 to 2016/17</w:t>
      </w:r>
    </w:p>
  </w:footnote>
  <w:footnote w:id="11">
    <w:p w14:paraId="0FB886B9" w14:textId="77777777" w:rsidR="00B85D72" w:rsidRDefault="00B85D72" w:rsidP="003702F8">
      <w:pPr>
        <w:pStyle w:val="FootnoteText"/>
      </w:pPr>
      <w:r>
        <w:rPr>
          <w:rStyle w:val="FootnoteReference"/>
        </w:rPr>
        <w:footnoteRef/>
      </w:r>
      <w:r>
        <w:t xml:space="preserve"> Wade et al. (2014)</w:t>
      </w:r>
      <w:r w:rsidRPr="00CF3361">
        <w:t xml:space="preserve"> conducted a qualitative study of 36 Australian telehealth services</w:t>
      </w:r>
      <w:r>
        <w:t xml:space="preserve"> and</w:t>
      </w:r>
      <w:r w:rsidRPr="00CF3361">
        <w:t xml:space="preserve"> conclud</w:t>
      </w:r>
      <w:r>
        <w:t>ed</w:t>
      </w:r>
      <w:r w:rsidRPr="00CF3361">
        <w:t xml:space="preserve"> that </w:t>
      </w:r>
      <w:r>
        <w:t xml:space="preserve">physician </w:t>
      </w:r>
      <w:r w:rsidRPr="00CF3361">
        <w:t xml:space="preserve">acceptance of telehealth was </w:t>
      </w:r>
      <w:r>
        <w:t xml:space="preserve">the main driver of </w:t>
      </w:r>
      <w:r w:rsidRPr="00CF3361">
        <w:t>low uptake</w:t>
      </w:r>
      <w:r>
        <w:t>.</w:t>
      </w:r>
      <w:r w:rsidRPr="00CF3361">
        <w:t xml:space="preserve"> </w:t>
      </w:r>
    </w:p>
  </w:footnote>
  <w:footnote w:id="12">
    <w:p w14:paraId="35152E51" w14:textId="77777777" w:rsidR="00B85D72" w:rsidRDefault="00B85D72">
      <w:pPr>
        <w:pStyle w:val="FootnoteText"/>
      </w:pPr>
      <w:r>
        <w:rPr>
          <w:rStyle w:val="FootnoteReference"/>
        </w:rPr>
        <w:footnoteRef/>
      </w:r>
      <w:r>
        <w:t xml:space="preserve"> Medicare 2016-17</w:t>
      </w:r>
    </w:p>
  </w:footnote>
  <w:footnote w:id="13">
    <w:p w14:paraId="089E9B5E" w14:textId="77777777" w:rsidR="00B85D72" w:rsidRDefault="00B85D72">
      <w:pPr>
        <w:pStyle w:val="FootnoteText"/>
      </w:pPr>
      <w:r>
        <w:rPr>
          <w:rStyle w:val="FootnoteReference"/>
        </w:rPr>
        <w:footnoteRef/>
      </w:r>
      <w:r>
        <w:t xml:space="preserve"> M3 includes Aboriginal and Torres Strait Islander health practitioners, Aboriginal health workers, audiologists, chiropractors, diabetes educators, dietitians, exercise physiologists, mental health nurses, occupational therapists, osteopaths, physiotherapists, podiatrists, psychologists, social workers and speech pathologists.</w:t>
      </w:r>
    </w:p>
  </w:footnote>
  <w:footnote w:id="14">
    <w:p w14:paraId="47BB12A1" w14:textId="77777777" w:rsidR="00B85D72" w:rsidRDefault="00B85D72" w:rsidP="000740B5">
      <w:pPr>
        <w:pStyle w:val="FootnoteText"/>
      </w:pPr>
      <w:r>
        <w:rPr>
          <w:rStyle w:val="FootnoteReference"/>
        </w:rPr>
        <w:footnoteRef/>
      </w:r>
      <w:r>
        <w:t xml:space="preserve"> Item numbers listed here indicate a structure for the DHS to follow when assigning item numbers. </w:t>
      </w:r>
    </w:p>
  </w:footnote>
  <w:footnote w:id="15">
    <w:p w14:paraId="6EC68E24" w14:textId="77777777" w:rsidR="00B85D72" w:rsidRDefault="00B85D72" w:rsidP="00974578">
      <w:pPr>
        <w:pStyle w:val="FootnoteText"/>
      </w:pPr>
      <w:r>
        <w:rPr>
          <w:rStyle w:val="FootnoteReference"/>
        </w:rPr>
        <w:footnoteRef/>
      </w:r>
      <w:r>
        <w:t xml:space="preserve"> Item numbers listed here indicate a structure for the DHS to follow when assigning item numbers.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F3756" w14:textId="77777777" w:rsidR="00B85D72" w:rsidRDefault="00B85D72">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9051B" w14:textId="77777777" w:rsidR="00B85D72" w:rsidRDefault="00B85D72">
    <w:r>
      <w:rPr>
        <w:noProof/>
      </w:rPr>
      <w:drawing>
        <wp:anchor distT="0" distB="0" distL="114300" distR="114300" simplePos="0" relativeHeight="251656192" behindDoc="0" locked="0" layoutInCell="1" allowOverlap="1" wp14:anchorId="167F358C" wp14:editId="69EA87EE">
          <wp:simplePos x="0" y="0"/>
          <wp:positionH relativeFrom="page">
            <wp:align>left</wp:align>
          </wp:positionH>
          <wp:positionV relativeFrom="paragraph">
            <wp:posOffset>-360540</wp:posOffset>
          </wp:positionV>
          <wp:extent cx="7619117" cy="736979"/>
          <wp:effectExtent l="0" t="0" r="1270" b="635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1135F" w14:textId="77777777" w:rsidR="00B85D72" w:rsidRDefault="00B85D72" w:rsidP="002D1FF9">
    <w:pPr>
      <w:tabs>
        <w:tab w:val="left" w:pos="6180"/>
      </w:tabs>
      <w:spacing w:before="0" w:after="0" w:line="240" w:lineRule="auto"/>
    </w:pPr>
    <w:r>
      <w:rPr>
        <w:noProof/>
      </w:rPr>
      <w:drawing>
        <wp:anchor distT="0" distB="0" distL="114300" distR="114300" simplePos="0" relativeHeight="251657216" behindDoc="1" locked="0" layoutInCell="1" allowOverlap="1" wp14:anchorId="18F43C55" wp14:editId="656DB7AF">
          <wp:simplePos x="0" y="0"/>
          <wp:positionH relativeFrom="page">
            <wp:align>left</wp:align>
          </wp:positionH>
          <wp:positionV relativeFrom="paragraph">
            <wp:posOffset>-457200</wp:posOffset>
          </wp:positionV>
          <wp:extent cx="7562850" cy="10697357"/>
          <wp:effectExtent l="0" t="0" r="0" b="889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2850" cy="10697357"/>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C1A4A" w14:textId="77777777" w:rsidR="00B85D72" w:rsidRDefault="00B85D72">
    <w:r>
      <w:rPr>
        <w:noProof/>
      </w:rPr>
      <w:drawing>
        <wp:anchor distT="0" distB="0" distL="114300" distR="114300" simplePos="0" relativeHeight="251658240" behindDoc="0" locked="0" layoutInCell="1" allowOverlap="1" wp14:anchorId="6A8DAC9C" wp14:editId="3D2CA8F0">
          <wp:simplePos x="0" y="0"/>
          <wp:positionH relativeFrom="page">
            <wp:align>right</wp:align>
          </wp:positionH>
          <wp:positionV relativeFrom="paragraph">
            <wp:posOffset>-459740</wp:posOffset>
          </wp:positionV>
          <wp:extent cx="7619117" cy="736979"/>
          <wp:effectExtent l="0" t="0" r="1270" b="635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D58F8"/>
    <w:multiLevelType w:val="hybridMultilevel"/>
    <w:tmpl w:val="EF52DCB6"/>
    <w:lvl w:ilvl="0" w:tplc="0C090013">
      <w:start w:val="1"/>
      <w:numFmt w:val="upperRoman"/>
      <w:lvlText w:val="%1."/>
      <w:lvlJc w:val="righ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1" w15:restartNumberingAfterBreak="0">
    <w:nsid w:val="00490E67"/>
    <w:multiLevelType w:val="hybridMultilevel"/>
    <w:tmpl w:val="4B403556"/>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 w15:restartNumberingAfterBreak="0">
    <w:nsid w:val="02C60D64"/>
    <w:multiLevelType w:val="hybridMultilevel"/>
    <w:tmpl w:val="BF1E7252"/>
    <w:lvl w:ilvl="0" w:tplc="9400583C">
      <w:start w:val="1"/>
      <w:numFmt w:val="lowerRoman"/>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 w15:restartNumberingAfterBreak="0">
    <w:nsid w:val="03980014"/>
    <w:multiLevelType w:val="hybridMultilevel"/>
    <w:tmpl w:val="1D2EF096"/>
    <w:lvl w:ilvl="0" w:tplc="0C090019">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 w15:restartNumberingAfterBreak="0">
    <w:nsid w:val="055545E1"/>
    <w:multiLevelType w:val="hybridMultilevel"/>
    <w:tmpl w:val="632AC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2D2961"/>
    <w:multiLevelType w:val="hybridMultilevel"/>
    <w:tmpl w:val="74D694F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 w15:restartNumberingAfterBreak="0">
    <w:nsid w:val="06D255EB"/>
    <w:multiLevelType w:val="hybridMultilevel"/>
    <w:tmpl w:val="A1BE7EB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08682410"/>
    <w:multiLevelType w:val="hybridMultilevel"/>
    <w:tmpl w:val="7A9A039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776AB5"/>
    <w:multiLevelType w:val="hybridMultilevel"/>
    <w:tmpl w:val="7AE2AB78"/>
    <w:lvl w:ilvl="0" w:tplc="9400583C">
      <w:start w:val="1"/>
      <w:numFmt w:val="lowerRoman"/>
      <w:lvlText w:val="%1."/>
      <w:lvlJc w:val="left"/>
      <w:pPr>
        <w:ind w:left="1437" w:hanging="360"/>
      </w:pPr>
      <w:rPr>
        <w:rFonts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9" w15:restartNumberingAfterBreak="0">
    <w:nsid w:val="08E3232D"/>
    <w:multiLevelType w:val="hybridMultilevel"/>
    <w:tmpl w:val="372E2800"/>
    <w:lvl w:ilvl="0" w:tplc="DEA61BCE">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0" w15:restartNumberingAfterBreak="0">
    <w:nsid w:val="08FC4FAA"/>
    <w:multiLevelType w:val="hybridMultilevel"/>
    <w:tmpl w:val="1D2EF096"/>
    <w:lvl w:ilvl="0" w:tplc="0C090019">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 w15:restartNumberingAfterBreak="0">
    <w:nsid w:val="091106FD"/>
    <w:multiLevelType w:val="hybridMultilevel"/>
    <w:tmpl w:val="4B403556"/>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15:restartNumberingAfterBreak="0">
    <w:nsid w:val="09D859EB"/>
    <w:multiLevelType w:val="hybridMultilevel"/>
    <w:tmpl w:val="449CA324"/>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0A5932F6"/>
    <w:multiLevelType w:val="hybridMultilevel"/>
    <w:tmpl w:val="A1BE7EB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0B950AB5"/>
    <w:multiLevelType w:val="hybridMultilevel"/>
    <w:tmpl w:val="2B68B62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0C3B5D8C"/>
    <w:multiLevelType w:val="hybridMultilevel"/>
    <w:tmpl w:val="70B65718"/>
    <w:lvl w:ilvl="0" w:tplc="0C090019">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6" w15:restartNumberingAfterBreak="0">
    <w:nsid w:val="0F696390"/>
    <w:multiLevelType w:val="hybridMultilevel"/>
    <w:tmpl w:val="3500BFF2"/>
    <w:lvl w:ilvl="0" w:tplc="0C090017">
      <w:start w:val="1"/>
      <w:numFmt w:val="lowerLetter"/>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17" w15:restartNumberingAfterBreak="0">
    <w:nsid w:val="0FA562D0"/>
    <w:multiLevelType w:val="hybridMultilevel"/>
    <w:tmpl w:val="3500BFF2"/>
    <w:lvl w:ilvl="0" w:tplc="0C090017">
      <w:start w:val="1"/>
      <w:numFmt w:val="lowerLetter"/>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18" w15:restartNumberingAfterBreak="0">
    <w:nsid w:val="0FF84FC3"/>
    <w:multiLevelType w:val="hybridMultilevel"/>
    <w:tmpl w:val="56C8AE3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138474C1"/>
    <w:multiLevelType w:val="hybridMultilevel"/>
    <w:tmpl w:val="8E5E4A5E"/>
    <w:lvl w:ilvl="0" w:tplc="5F663EF6">
      <w:start w:val="1"/>
      <w:numFmt w:val="bullet"/>
      <w:pStyle w:val="Bullet-orange"/>
      <w:lvlText w:val=""/>
      <w:lvlJc w:val="left"/>
      <w:pPr>
        <w:ind w:left="720" w:hanging="360"/>
      </w:pPr>
      <w:rPr>
        <w:rFonts w:ascii="Symbol" w:hAnsi="Symbol" w:hint="default"/>
        <w:color w:val="B6611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2" w15:restartNumberingAfterBreak="0">
    <w:nsid w:val="149266DC"/>
    <w:multiLevelType w:val="hybridMultilevel"/>
    <w:tmpl w:val="A6045036"/>
    <w:lvl w:ilvl="0" w:tplc="0C09001B">
      <w:start w:val="1"/>
      <w:numFmt w:val="lowerRoman"/>
      <w:lvlText w:val="%1."/>
      <w:lvlJc w:val="right"/>
      <w:pPr>
        <w:ind w:left="720" w:hanging="360"/>
      </w:pPr>
    </w:lvl>
    <w:lvl w:ilvl="1" w:tplc="9CE8E6A6">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4E42D5F"/>
    <w:multiLevelType w:val="hybridMultilevel"/>
    <w:tmpl w:val="A9FCCE4A"/>
    <w:lvl w:ilvl="0" w:tplc="0C090019">
      <w:start w:val="1"/>
      <w:numFmt w:val="lowerLetter"/>
      <w:lvlText w:val="%1."/>
      <w:lvlJc w:val="left"/>
      <w:pPr>
        <w:ind w:left="720" w:hanging="360"/>
      </w:pPr>
      <w:rPr>
        <w:b/>
        <w:color w:val="01653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7723834"/>
    <w:multiLevelType w:val="hybridMultilevel"/>
    <w:tmpl w:val="833AC7B4"/>
    <w:lvl w:ilvl="0" w:tplc="FB1E62B0">
      <w:start w:val="1"/>
      <w:numFmt w:val="upperLetter"/>
      <w:pStyle w:val="AppendixStyle1"/>
      <w:lvlText w:val="Appendix %1"/>
      <w:lvlJc w:val="left"/>
      <w:pPr>
        <w:ind w:left="0" w:firstLine="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26" w15:restartNumberingAfterBreak="0">
    <w:nsid w:val="192C73A9"/>
    <w:multiLevelType w:val="hybridMultilevel"/>
    <w:tmpl w:val="BF1E7252"/>
    <w:lvl w:ilvl="0" w:tplc="9400583C">
      <w:start w:val="1"/>
      <w:numFmt w:val="lowerRoman"/>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27" w15:restartNumberingAfterBreak="0">
    <w:nsid w:val="199F2A8A"/>
    <w:multiLevelType w:val="hybridMultilevel"/>
    <w:tmpl w:val="98824D90"/>
    <w:lvl w:ilvl="0" w:tplc="0C090019">
      <w:start w:val="1"/>
      <w:numFmt w:val="lowerLetter"/>
      <w:lvlText w:val="%1."/>
      <w:lvlJc w:val="left"/>
      <w:pPr>
        <w:ind w:left="1077" w:hanging="360"/>
      </w:pPr>
      <w:rPr>
        <w:rFonts w:hint="default"/>
      </w:rPr>
    </w:lvl>
    <w:lvl w:ilvl="1" w:tplc="0C090019">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8" w15:restartNumberingAfterBreak="0">
    <w:nsid w:val="1CC5718F"/>
    <w:multiLevelType w:val="hybridMultilevel"/>
    <w:tmpl w:val="F920CD84"/>
    <w:lvl w:ilvl="0" w:tplc="ECF88AD6">
      <w:start w:val="1"/>
      <w:numFmt w:val="bullet"/>
      <w:pStyle w:val="BulletStyle3"/>
      <w:lvlText w:val="–"/>
      <w:lvlJc w:val="left"/>
      <w:pPr>
        <w:ind w:left="726" w:hanging="360"/>
      </w:pPr>
      <w:rPr>
        <w:rFonts w:ascii="Calibri" w:hAnsi="Calibri" w:hint="default"/>
      </w:rPr>
    </w:lvl>
    <w:lvl w:ilvl="1" w:tplc="9400583C">
      <w:start w:val="1"/>
      <w:numFmt w:val="lowerRoman"/>
      <w:lvlText w:val="%2."/>
      <w:lvlJc w:val="left"/>
      <w:pPr>
        <w:ind w:left="1446" w:hanging="360"/>
      </w:pPr>
      <w:rPr>
        <w:rFonts w:hint="default"/>
      </w:rPr>
    </w:lvl>
    <w:lvl w:ilvl="2" w:tplc="04090005" w:tentative="1">
      <w:start w:val="1"/>
      <w:numFmt w:val="bullet"/>
      <w:lvlText w:val=""/>
      <w:lvlJc w:val="left"/>
      <w:pPr>
        <w:ind w:left="2166" w:hanging="360"/>
      </w:pPr>
      <w:rPr>
        <w:rFonts w:ascii="Wingdings" w:hAnsi="Wingdings" w:hint="default"/>
      </w:rPr>
    </w:lvl>
    <w:lvl w:ilvl="3" w:tplc="04090001" w:tentative="1">
      <w:start w:val="1"/>
      <w:numFmt w:val="bullet"/>
      <w:lvlText w:val=""/>
      <w:lvlJc w:val="left"/>
      <w:pPr>
        <w:ind w:left="2886" w:hanging="360"/>
      </w:pPr>
      <w:rPr>
        <w:rFonts w:ascii="Symbol" w:hAnsi="Symbol" w:hint="default"/>
      </w:rPr>
    </w:lvl>
    <w:lvl w:ilvl="4" w:tplc="04090003" w:tentative="1">
      <w:start w:val="1"/>
      <w:numFmt w:val="bullet"/>
      <w:lvlText w:val="o"/>
      <w:lvlJc w:val="left"/>
      <w:pPr>
        <w:ind w:left="3606" w:hanging="360"/>
      </w:pPr>
      <w:rPr>
        <w:rFonts w:ascii="Courier New" w:hAnsi="Courier New" w:cs="Courier New" w:hint="default"/>
      </w:rPr>
    </w:lvl>
    <w:lvl w:ilvl="5" w:tplc="04090005" w:tentative="1">
      <w:start w:val="1"/>
      <w:numFmt w:val="bullet"/>
      <w:lvlText w:val=""/>
      <w:lvlJc w:val="left"/>
      <w:pPr>
        <w:ind w:left="4326" w:hanging="360"/>
      </w:pPr>
      <w:rPr>
        <w:rFonts w:ascii="Wingdings" w:hAnsi="Wingdings" w:hint="default"/>
      </w:rPr>
    </w:lvl>
    <w:lvl w:ilvl="6" w:tplc="04090001" w:tentative="1">
      <w:start w:val="1"/>
      <w:numFmt w:val="bullet"/>
      <w:lvlText w:val=""/>
      <w:lvlJc w:val="left"/>
      <w:pPr>
        <w:ind w:left="5046" w:hanging="360"/>
      </w:pPr>
      <w:rPr>
        <w:rFonts w:ascii="Symbol" w:hAnsi="Symbol" w:hint="default"/>
      </w:rPr>
    </w:lvl>
    <w:lvl w:ilvl="7" w:tplc="04090003" w:tentative="1">
      <w:start w:val="1"/>
      <w:numFmt w:val="bullet"/>
      <w:lvlText w:val="o"/>
      <w:lvlJc w:val="left"/>
      <w:pPr>
        <w:ind w:left="5766" w:hanging="360"/>
      </w:pPr>
      <w:rPr>
        <w:rFonts w:ascii="Courier New" w:hAnsi="Courier New" w:cs="Courier New" w:hint="default"/>
      </w:rPr>
    </w:lvl>
    <w:lvl w:ilvl="8" w:tplc="04090005" w:tentative="1">
      <w:start w:val="1"/>
      <w:numFmt w:val="bullet"/>
      <w:lvlText w:val=""/>
      <w:lvlJc w:val="left"/>
      <w:pPr>
        <w:ind w:left="6486" w:hanging="360"/>
      </w:pPr>
      <w:rPr>
        <w:rFonts w:ascii="Wingdings" w:hAnsi="Wingdings" w:hint="default"/>
      </w:rPr>
    </w:lvl>
  </w:abstractNum>
  <w:abstractNum w:abstractNumId="29" w15:restartNumberingAfterBreak="0">
    <w:nsid w:val="1FF77984"/>
    <w:multiLevelType w:val="hybridMultilevel"/>
    <w:tmpl w:val="241A7AA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2263B48"/>
    <w:multiLevelType w:val="hybridMultilevel"/>
    <w:tmpl w:val="B21C6340"/>
    <w:lvl w:ilvl="0" w:tplc="0C090019">
      <w:start w:val="1"/>
      <w:numFmt w:val="decimal"/>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233E3D46"/>
    <w:multiLevelType w:val="hybridMultilevel"/>
    <w:tmpl w:val="CFF0BFB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33" w15:restartNumberingAfterBreak="0">
    <w:nsid w:val="2420076F"/>
    <w:multiLevelType w:val="hybridMultilevel"/>
    <w:tmpl w:val="BB2E814E"/>
    <w:lvl w:ilvl="0" w:tplc="F6C69526">
      <w:start w:val="1"/>
      <w:numFmt w:val="bullet"/>
      <w:lvlText w:val="•"/>
      <w:lvlJc w:val="left"/>
      <w:pPr>
        <w:tabs>
          <w:tab w:val="num" w:pos="720"/>
        </w:tabs>
        <w:ind w:left="720" w:hanging="360"/>
      </w:pPr>
      <w:rPr>
        <w:rFonts w:ascii="Arial" w:hAnsi="Arial" w:hint="default"/>
      </w:rPr>
    </w:lvl>
    <w:lvl w:ilvl="1" w:tplc="806ACEC0" w:tentative="1">
      <w:start w:val="1"/>
      <w:numFmt w:val="bullet"/>
      <w:lvlText w:val="•"/>
      <w:lvlJc w:val="left"/>
      <w:pPr>
        <w:tabs>
          <w:tab w:val="num" w:pos="1440"/>
        </w:tabs>
        <w:ind w:left="1440" w:hanging="360"/>
      </w:pPr>
      <w:rPr>
        <w:rFonts w:ascii="Arial" w:hAnsi="Arial" w:hint="default"/>
      </w:rPr>
    </w:lvl>
    <w:lvl w:ilvl="2" w:tplc="12A4843A" w:tentative="1">
      <w:start w:val="1"/>
      <w:numFmt w:val="bullet"/>
      <w:lvlText w:val="•"/>
      <w:lvlJc w:val="left"/>
      <w:pPr>
        <w:tabs>
          <w:tab w:val="num" w:pos="2160"/>
        </w:tabs>
        <w:ind w:left="2160" w:hanging="360"/>
      </w:pPr>
      <w:rPr>
        <w:rFonts w:ascii="Arial" w:hAnsi="Arial" w:hint="default"/>
      </w:rPr>
    </w:lvl>
    <w:lvl w:ilvl="3" w:tplc="088E962C" w:tentative="1">
      <w:start w:val="1"/>
      <w:numFmt w:val="bullet"/>
      <w:lvlText w:val="•"/>
      <w:lvlJc w:val="left"/>
      <w:pPr>
        <w:tabs>
          <w:tab w:val="num" w:pos="2880"/>
        </w:tabs>
        <w:ind w:left="2880" w:hanging="360"/>
      </w:pPr>
      <w:rPr>
        <w:rFonts w:ascii="Arial" w:hAnsi="Arial" w:hint="default"/>
      </w:rPr>
    </w:lvl>
    <w:lvl w:ilvl="4" w:tplc="82F69860" w:tentative="1">
      <w:start w:val="1"/>
      <w:numFmt w:val="bullet"/>
      <w:lvlText w:val="•"/>
      <w:lvlJc w:val="left"/>
      <w:pPr>
        <w:tabs>
          <w:tab w:val="num" w:pos="3600"/>
        </w:tabs>
        <w:ind w:left="3600" w:hanging="360"/>
      </w:pPr>
      <w:rPr>
        <w:rFonts w:ascii="Arial" w:hAnsi="Arial" w:hint="default"/>
      </w:rPr>
    </w:lvl>
    <w:lvl w:ilvl="5" w:tplc="0D549BA4" w:tentative="1">
      <w:start w:val="1"/>
      <w:numFmt w:val="bullet"/>
      <w:lvlText w:val="•"/>
      <w:lvlJc w:val="left"/>
      <w:pPr>
        <w:tabs>
          <w:tab w:val="num" w:pos="4320"/>
        </w:tabs>
        <w:ind w:left="4320" w:hanging="360"/>
      </w:pPr>
      <w:rPr>
        <w:rFonts w:ascii="Arial" w:hAnsi="Arial" w:hint="default"/>
      </w:rPr>
    </w:lvl>
    <w:lvl w:ilvl="6" w:tplc="56521F58" w:tentative="1">
      <w:start w:val="1"/>
      <w:numFmt w:val="bullet"/>
      <w:lvlText w:val="•"/>
      <w:lvlJc w:val="left"/>
      <w:pPr>
        <w:tabs>
          <w:tab w:val="num" w:pos="5040"/>
        </w:tabs>
        <w:ind w:left="5040" w:hanging="360"/>
      </w:pPr>
      <w:rPr>
        <w:rFonts w:ascii="Arial" w:hAnsi="Arial" w:hint="default"/>
      </w:rPr>
    </w:lvl>
    <w:lvl w:ilvl="7" w:tplc="FAF63854" w:tentative="1">
      <w:start w:val="1"/>
      <w:numFmt w:val="bullet"/>
      <w:lvlText w:val="•"/>
      <w:lvlJc w:val="left"/>
      <w:pPr>
        <w:tabs>
          <w:tab w:val="num" w:pos="5760"/>
        </w:tabs>
        <w:ind w:left="5760" w:hanging="360"/>
      </w:pPr>
      <w:rPr>
        <w:rFonts w:ascii="Arial" w:hAnsi="Arial" w:hint="default"/>
      </w:rPr>
    </w:lvl>
    <w:lvl w:ilvl="8" w:tplc="40B0321A"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4A628DF"/>
    <w:multiLevelType w:val="hybridMultilevel"/>
    <w:tmpl w:val="5AC22F22"/>
    <w:lvl w:ilvl="0" w:tplc="9400583C">
      <w:start w:val="1"/>
      <w:numFmt w:val="lowerRoman"/>
      <w:lvlText w:val="%1."/>
      <w:lvlJc w:val="left"/>
      <w:pPr>
        <w:ind w:left="1437" w:hanging="36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35" w15:restartNumberingAfterBreak="0">
    <w:nsid w:val="259921ED"/>
    <w:multiLevelType w:val="hybridMultilevel"/>
    <w:tmpl w:val="4F0002D6"/>
    <w:lvl w:ilvl="0" w:tplc="9400583C">
      <w:start w:val="1"/>
      <w:numFmt w:val="lowerRoman"/>
      <w:lvlText w:val="%1."/>
      <w:lvlJc w:val="left"/>
      <w:pPr>
        <w:ind w:left="1287" w:hanging="360"/>
      </w:pPr>
      <w:rPr>
        <w:rFonts w:hint="default"/>
      </w:rPr>
    </w:lvl>
    <w:lvl w:ilvl="1" w:tplc="9400583C">
      <w:start w:val="1"/>
      <w:numFmt w:val="lowerRoman"/>
      <w:lvlText w:val="%2."/>
      <w:lvlJc w:val="left"/>
      <w:pPr>
        <w:ind w:left="2007" w:hanging="360"/>
      </w:pPr>
      <w:rPr>
        <w:rFonts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6" w15:restartNumberingAfterBreak="0">
    <w:nsid w:val="261A701B"/>
    <w:multiLevelType w:val="hybridMultilevel"/>
    <w:tmpl w:val="B2D4177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6A41AE6"/>
    <w:multiLevelType w:val="hybridMultilevel"/>
    <w:tmpl w:val="70B65718"/>
    <w:lvl w:ilvl="0" w:tplc="0C090019">
      <w:start w:val="1"/>
      <w:numFmt w:val="lowerLetter"/>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8" w15:restartNumberingAfterBreak="0">
    <w:nsid w:val="28847781"/>
    <w:multiLevelType w:val="hybridMultilevel"/>
    <w:tmpl w:val="B14096B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C420994"/>
    <w:multiLevelType w:val="hybridMultilevel"/>
    <w:tmpl w:val="3678205E"/>
    <w:lvl w:ilvl="0" w:tplc="9400583C">
      <w:start w:val="1"/>
      <w:numFmt w:val="lowerRoman"/>
      <w:lvlText w:val="%1."/>
      <w:lvlJc w:val="left"/>
      <w:pPr>
        <w:ind w:left="1437" w:hanging="360"/>
      </w:pPr>
      <w:rPr>
        <w:rFonts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40" w15:restartNumberingAfterBreak="0">
    <w:nsid w:val="2F297689"/>
    <w:multiLevelType w:val="hybridMultilevel"/>
    <w:tmpl w:val="7092FCC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1287C9A"/>
    <w:multiLevelType w:val="hybridMultilevel"/>
    <w:tmpl w:val="1D2EF096"/>
    <w:lvl w:ilvl="0" w:tplc="0C090019">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42" w15:restartNumberingAfterBreak="0">
    <w:nsid w:val="32022602"/>
    <w:multiLevelType w:val="hybridMultilevel"/>
    <w:tmpl w:val="1A8E08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2C14B1E"/>
    <w:multiLevelType w:val="hybridMultilevel"/>
    <w:tmpl w:val="7A9A039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45"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56C30C7"/>
    <w:multiLevelType w:val="hybridMultilevel"/>
    <w:tmpl w:val="3F18C86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35BC21C0"/>
    <w:multiLevelType w:val="hybridMultilevel"/>
    <w:tmpl w:val="0534F354"/>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5CB607B"/>
    <w:multiLevelType w:val="hybridMultilevel"/>
    <w:tmpl w:val="19706822"/>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36702FF0"/>
    <w:multiLevelType w:val="hybridMultilevel"/>
    <w:tmpl w:val="91F4E95C"/>
    <w:lvl w:ilvl="0" w:tplc="9400583C">
      <w:start w:val="1"/>
      <w:numFmt w:val="lowerRoman"/>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 w15:restartNumberingAfterBreak="0">
    <w:nsid w:val="367F6B53"/>
    <w:multiLevelType w:val="hybridMultilevel"/>
    <w:tmpl w:val="6B0881DE"/>
    <w:lvl w:ilvl="0" w:tplc="0C090019">
      <w:start w:val="1"/>
      <w:numFmt w:val="lowerLetter"/>
      <w:lvlText w:val="%1."/>
      <w:lvlJc w:val="left"/>
      <w:pPr>
        <w:ind w:left="1077" w:hanging="360"/>
      </w:pPr>
    </w:lvl>
    <w:lvl w:ilvl="1" w:tplc="0C090019">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51" w15:restartNumberingAfterBreak="0">
    <w:nsid w:val="36882B4D"/>
    <w:multiLevelType w:val="hybridMultilevel"/>
    <w:tmpl w:val="434ADD5E"/>
    <w:lvl w:ilvl="0" w:tplc="DAF80D9E">
      <w:start w:val="1"/>
      <w:numFmt w:val="decimal"/>
      <w:lvlText w:val="%1."/>
      <w:lvlJc w:val="left"/>
      <w:pPr>
        <w:ind w:left="720" w:hanging="360"/>
      </w:pPr>
      <w:rPr>
        <w:rFonts w:asciiTheme="minorHAnsi" w:hAnsiTheme="minorHAnsi" w:cstheme="minorHAnsi" w:hint="default"/>
        <w:color w:val="548DD4" w:themeColor="text2" w:themeTint="9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89C7162"/>
    <w:multiLevelType w:val="hybridMultilevel"/>
    <w:tmpl w:val="FEDC0AD4"/>
    <w:lvl w:ilvl="0" w:tplc="0C09001B">
      <w:start w:val="1"/>
      <w:numFmt w:val="lowerRoman"/>
      <w:lvlText w:val="%1."/>
      <w:lvlJc w:val="right"/>
      <w:pPr>
        <w:ind w:left="1353" w:hanging="360"/>
      </w:p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53" w15:restartNumberingAfterBreak="0">
    <w:nsid w:val="3A32526D"/>
    <w:multiLevelType w:val="hybridMultilevel"/>
    <w:tmpl w:val="AA2873E2"/>
    <w:lvl w:ilvl="0" w:tplc="9400583C">
      <w:start w:val="1"/>
      <w:numFmt w:val="lowerRoman"/>
      <w:lvlText w:val="%1."/>
      <w:lvlJc w:val="left"/>
      <w:pPr>
        <w:ind w:left="1287" w:hanging="360"/>
      </w:pPr>
      <w:rPr>
        <w:rFonts w:hint="default"/>
      </w:rPr>
    </w:lvl>
    <w:lvl w:ilvl="1" w:tplc="9400583C">
      <w:start w:val="1"/>
      <w:numFmt w:val="lowerRoman"/>
      <w:lvlText w:val="%2."/>
      <w:lvlJc w:val="left"/>
      <w:pPr>
        <w:ind w:left="2007" w:hanging="360"/>
      </w:pPr>
      <w:rPr>
        <w:rFonts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4" w15:restartNumberingAfterBreak="0">
    <w:nsid w:val="3AEF1A1B"/>
    <w:multiLevelType w:val="hybridMultilevel"/>
    <w:tmpl w:val="4190C66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17">
      <w:start w:val="1"/>
      <w:numFmt w:val="lowerLetter"/>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3B240E44"/>
    <w:multiLevelType w:val="hybridMultilevel"/>
    <w:tmpl w:val="EAA45B76"/>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6" w15:restartNumberingAfterBreak="0">
    <w:nsid w:val="3D4F4488"/>
    <w:multiLevelType w:val="hybridMultilevel"/>
    <w:tmpl w:val="EF52DCB6"/>
    <w:lvl w:ilvl="0" w:tplc="0C090013">
      <w:start w:val="1"/>
      <w:numFmt w:val="upperRoman"/>
      <w:lvlText w:val="%1."/>
      <w:lvlJc w:val="righ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57" w15:restartNumberingAfterBreak="0">
    <w:nsid w:val="3D546F25"/>
    <w:multiLevelType w:val="hybridMultilevel"/>
    <w:tmpl w:val="D7DA850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8" w15:restartNumberingAfterBreak="0">
    <w:nsid w:val="3DCC6FAC"/>
    <w:multiLevelType w:val="hybridMultilevel"/>
    <w:tmpl w:val="D11A4F4A"/>
    <w:lvl w:ilvl="0" w:tplc="787EE9CA">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3E690F2F"/>
    <w:multiLevelType w:val="hybridMultilevel"/>
    <w:tmpl w:val="4A562D80"/>
    <w:lvl w:ilvl="0" w:tplc="787EE9CA">
      <w:start w:val="1"/>
      <w:numFmt w:val="bullet"/>
      <w:lvlText w:val="•"/>
      <w:lvlJc w:val="left"/>
      <w:pPr>
        <w:tabs>
          <w:tab w:val="num" w:pos="754"/>
        </w:tabs>
        <w:ind w:left="754" w:hanging="360"/>
      </w:pPr>
      <w:rPr>
        <w:rFonts w:ascii="Arial" w:hAnsi="Aria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60" w15:restartNumberingAfterBreak="0">
    <w:nsid w:val="3EDC33C5"/>
    <w:multiLevelType w:val="hybridMultilevel"/>
    <w:tmpl w:val="A112B2D8"/>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1" w15:restartNumberingAfterBreak="0">
    <w:nsid w:val="3F2D65E6"/>
    <w:multiLevelType w:val="hybridMultilevel"/>
    <w:tmpl w:val="EF52DCB6"/>
    <w:lvl w:ilvl="0" w:tplc="0C090013">
      <w:start w:val="1"/>
      <w:numFmt w:val="upperRoman"/>
      <w:lvlText w:val="%1."/>
      <w:lvlJc w:val="righ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62" w15:restartNumberingAfterBreak="0">
    <w:nsid w:val="3F991D1E"/>
    <w:multiLevelType w:val="hybridMultilevel"/>
    <w:tmpl w:val="7BF2541E"/>
    <w:lvl w:ilvl="0" w:tplc="041602B6">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63" w15:restartNumberingAfterBreak="0">
    <w:nsid w:val="40F703AE"/>
    <w:multiLevelType w:val="hybridMultilevel"/>
    <w:tmpl w:val="9D429B1A"/>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1C2697E"/>
    <w:multiLevelType w:val="hybridMultilevel"/>
    <w:tmpl w:val="3678205E"/>
    <w:lvl w:ilvl="0" w:tplc="9400583C">
      <w:start w:val="1"/>
      <w:numFmt w:val="lowerRoman"/>
      <w:lvlText w:val="%1."/>
      <w:lvlJc w:val="left"/>
      <w:pPr>
        <w:ind w:left="1437" w:hanging="360"/>
      </w:pPr>
      <w:rPr>
        <w:rFonts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65" w15:restartNumberingAfterBreak="0">
    <w:nsid w:val="433B6EFC"/>
    <w:multiLevelType w:val="hybridMultilevel"/>
    <w:tmpl w:val="6C70657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3F968D9"/>
    <w:multiLevelType w:val="hybridMultilevel"/>
    <w:tmpl w:val="B21C6340"/>
    <w:lvl w:ilvl="0" w:tplc="0C090019">
      <w:start w:val="1"/>
      <w:numFmt w:val="decimal"/>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45B97DED"/>
    <w:multiLevelType w:val="hybridMultilevel"/>
    <w:tmpl w:val="085E5568"/>
    <w:lvl w:ilvl="0" w:tplc="0C090019">
      <w:start w:val="1"/>
      <w:numFmt w:val="lowerLetter"/>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68" w15:restartNumberingAfterBreak="0">
    <w:nsid w:val="45D70B0D"/>
    <w:multiLevelType w:val="hybridMultilevel"/>
    <w:tmpl w:val="65B2B38E"/>
    <w:lvl w:ilvl="0" w:tplc="0C09001B">
      <w:start w:val="1"/>
      <w:numFmt w:val="lowerRoman"/>
      <w:lvlText w:val="%1."/>
      <w:lvlJc w:val="righ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69" w15:restartNumberingAfterBreak="0">
    <w:nsid w:val="47221638"/>
    <w:multiLevelType w:val="hybridMultilevel"/>
    <w:tmpl w:val="3500BFF2"/>
    <w:lvl w:ilvl="0" w:tplc="0C090017">
      <w:start w:val="1"/>
      <w:numFmt w:val="lowerLetter"/>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70" w15:restartNumberingAfterBreak="0">
    <w:nsid w:val="47747147"/>
    <w:multiLevelType w:val="hybridMultilevel"/>
    <w:tmpl w:val="7A9A039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48F10B23"/>
    <w:multiLevelType w:val="hybridMultilevel"/>
    <w:tmpl w:val="2B68B62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B5013B7"/>
    <w:multiLevelType w:val="hybridMultilevel"/>
    <w:tmpl w:val="EF52DCB6"/>
    <w:lvl w:ilvl="0" w:tplc="0C090013">
      <w:start w:val="1"/>
      <w:numFmt w:val="upperRoman"/>
      <w:lvlText w:val="%1."/>
      <w:lvlJc w:val="righ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73" w15:restartNumberingAfterBreak="0">
    <w:nsid w:val="4CAB07AC"/>
    <w:multiLevelType w:val="hybridMultilevel"/>
    <w:tmpl w:val="04D233DE"/>
    <w:lvl w:ilvl="0" w:tplc="28D6FA9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8A7E6F"/>
    <w:multiLevelType w:val="hybridMultilevel"/>
    <w:tmpl w:val="1AE416B8"/>
    <w:lvl w:ilvl="0" w:tplc="D32498A4">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5" w15:restartNumberingAfterBreak="0">
    <w:nsid w:val="4EA12B73"/>
    <w:multiLevelType w:val="hybridMultilevel"/>
    <w:tmpl w:val="4A8C2BFE"/>
    <w:lvl w:ilvl="0" w:tplc="787EE9CA">
      <w:start w:val="1"/>
      <w:numFmt w:val="bullet"/>
      <w:lvlText w:val="•"/>
      <w:lvlJc w:val="left"/>
      <w:pPr>
        <w:tabs>
          <w:tab w:val="num" w:pos="720"/>
        </w:tabs>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1394FF3"/>
    <w:multiLevelType w:val="hybridMultilevel"/>
    <w:tmpl w:val="75747320"/>
    <w:lvl w:ilvl="0" w:tplc="0C090019">
      <w:start w:val="1"/>
      <w:numFmt w:val="lowerLetter"/>
      <w:lvlText w:val="%1."/>
      <w:lvlJc w:val="left"/>
      <w:pPr>
        <w:ind w:left="720" w:hanging="360"/>
      </w:pPr>
    </w:lvl>
    <w:lvl w:ilvl="1" w:tplc="0C09001B">
      <w:start w:val="1"/>
      <w:numFmt w:val="lowerRoman"/>
      <w:lvlText w:val="%2."/>
      <w:lvlJc w:val="right"/>
      <w:pPr>
        <w:ind w:left="1495"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1637B6D"/>
    <w:multiLevelType w:val="hybridMultilevel"/>
    <w:tmpl w:val="2B68B62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521D7C29"/>
    <w:multiLevelType w:val="hybridMultilevel"/>
    <w:tmpl w:val="19182F90"/>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9" w15:restartNumberingAfterBreak="0">
    <w:nsid w:val="52A07850"/>
    <w:multiLevelType w:val="hybridMultilevel"/>
    <w:tmpl w:val="1F3A3C84"/>
    <w:lvl w:ilvl="0" w:tplc="0C090019">
      <w:start w:val="1"/>
      <w:numFmt w:val="lowerLetter"/>
      <w:lvlText w:val="%1."/>
      <w:lvlJc w:val="left"/>
      <w:pPr>
        <w:ind w:left="1077" w:hanging="360"/>
      </w:pPr>
    </w:lvl>
    <w:lvl w:ilvl="1" w:tplc="9400583C">
      <w:start w:val="1"/>
      <w:numFmt w:val="lowerRoman"/>
      <w:lvlText w:val="%2."/>
      <w:lvlJc w:val="left"/>
      <w:pPr>
        <w:ind w:left="1797" w:hanging="360"/>
      </w:pPr>
      <w:rPr>
        <w:rFonts w:hint="default"/>
      </w:r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80" w15:restartNumberingAfterBreak="0">
    <w:nsid w:val="53BF1408"/>
    <w:multiLevelType w:val="hybridMultilevel"/>
    <w:tmpl w:val="82FED58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556A1BD9"/>
    <w:multiLevelType w:val="hybridMultilevel"/>
    <w:tmpl w:val="0088CFC8"/>
    <w:lvl w:ilvl="0" w:tplc="9400583C">
      <w:start w:val="1"/>
      <w:numFmt w:val="lowerRoman"/>
      <w:lvlText w:val="%1."/>
      <w:lvlJc w:val="left"/>
      <w:pPr>
        <w:ind w:left="1437" w:hanging="360"/>
      </w:pPr>
      <w:rPr>
        <w:rFonts w:hint="default"/>
      </w:rPr>
    </w:lvl>
    <w:lvl w:ilvl="1" w:tplc="0C09000F">
      <w:start w:val="1"/>
      <w:numFmt w:val="decimal"/>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82" w15:restartNumberingAfterBreak="0">
    <w:nsid w:val="58AA4677"/>
    <w:multiLevelType w:val="hybridMultilevel"/>
    <w:tmpl w:val="921A5C72"/>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C128E1"/>
    <w:multiLevelType w:val="hybridMultilevel"/>
    <w:tmpl w:val="EF52DCB6"/>
    <w:lvl w:ilvl="0" w:tplc="0C090013">
      <w:start w:val="1"/>
      <w:numFmt w:val="upperRoman"/>
      <w:lvlText w:val="%1."/>
      <w:lvlJc w:val="right"/>
      <w:pPr>
        <w:ind w:left="774" w:hanging="360"/>
      </w:pPr>
    </w:lvl>
    <w:lvl w:ilvl="1" w:tplc="0C090019" w:tentative="1">
      <w:start w:val="1"/>
      <w:numFmt w:val="lowerLetter"/>
      <w:lvlText w:val="%2."/>
      <w:lvlJc w:val="left"/>
      <w:pPr>
        <w:ind w:left="1494" w:hanging="360"/>
      </w:pPr>
    </w:lvl>
    <w:lvl w:ilvl="2" w:tplc="0C09001B" w:tentative="1">
      <w:start w:val="1"/>
      <w:numFmt w:val="lowerRoman"/>
      <w:lvlText w:val="%3."/>
      <w:lvlJc w:val="right"/>
      <w:pPr>
        <w:ind w:left="2214" w:hanging="180"/>
      </w:pPr>
    </w:lvl>
    <w:lvl w:ilvl="3" w:tplc="0C09000F" w:tentative="1">
      <w:start w:val="1"/>
      <w:numFmt w:val="decimal"/>
      <w:lvlText w:val="%4."/>
      <w:lvlJc w:val="left"/>
      <w:pPr>
        <w:ind w:left="2934" w:hanging="360"/>
      </w:pPr>
    </w:lvl>
    <w:lvl w:ilvl="4" w:tplc="0C090019" w:tentative="1">
      <w:start w:val="1"/>
      <w:numFmt w:val="lowerLetter"/>
      <w:lvlText w:val="%5."/>
      <w:lvlJc w:val="left"/>
      <w:pPr>
        <w:ind w:left="3654" w:hanging="360"/>
      </w:pPr>
    </w:lvl>
    <w:lvl w:ilvl="5" w:tplc="0C09001B" w:tentative="1">
      <w:start w:val="1"/>
      <w:numFmt w:val="lowerRoman"/>
      <w:lvlText w:val="%6."/>
      <w:lvlJc w:val="right"/>
      <w:pPr>
        <w:ind w:left="4374" w:hanging="180"/>
      </w:pPr>
    </w:lvl>
    <w:lvl w:ilvl="6" w:tplc="0C09000F" w:tentative="1">
      <w:start w:val="1"/>
      <w:numFmt w:val="decimal"/>
      <w:lvlText w:val="%7."/>
      <w:lvlJc w:val="left"/>
      <w:pPr>
        <w:ind w:left="5094" w:hanging="360"/>
      </w:pPr>
    </w:lvl>
    <w:lvl w:ilvl="7" w:tplc="0C090019" w:tentative="1">
      <w:start w:val="1"/>
      <w:numFmt w:val="lowerLetter"/>
      <w:lvlText w:val="%8."/>
      <w:lvlJc w:val="left"/>
      <w:pPr>
        <w:ind w:left="5814" w:hanging="360"/>
      </w:pPr>
    </w:lvl>
    <w:lvl w:ilvl="8" w:tplc="0C09001B" w:tentative="1">
      <w:start w:val="1"/>
      <w:numFmt w:val="lowerRoman"/>
      <w:lvlText w:val="%9."/>
      <w:lvlJc w:val="right"/>
      <w:pPr>
        <w:ind w:left="6534" w:hanging="180"/>
      </w:pPr>
    </w:lvl>
  </w:abstractNum>
  <w:abstractNum w:abstractNumId="84" w15:restartNumberingAfterBreak="0">
    <w:nsid w:val="59572B49"/>
    <w:multiLevelType w:val="hybridMultilevel"/>
    <w:tmpl w:val="D7DA850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5" w15:restartNumberingAfterBreak="0">
    <w:nsid w:val="5A6770C7"/>
    <w:multiLevelType w:val="hybridMultilevel"/>
    <w:tmpl w:val="A112B2D8"/>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86" w15:restartNumberingAfterBreak="0">
    <w:nsid w:val="5A815F4F"/>
    <w:multiLevelType w:val="hybridMultilevel"/>
    <w:tmpl w:val="30EE93E0"/>
    <w:lvl w:ilvl="0" w:tplc="5A82B162">
      <w:start w:val="1"/>
      <w:numFmt w:val="decimal"/>
      <w:lvlText w:val="%1."/>
      <w:lvlJc w:val="left"/>
      <w:pPr>
        <w:ind w:left="360" w:hanging="360"/>
      </w:pPr>
      <w:rPr>
        <w:rFonts w:hint="default"/>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5D427028"/>
    <w:multiLevelType w:val="hybridMultilevel"/>
    <w:tmpl w:val="3AF666FA"/>
    <w:lvl w:ilvl="0" w:tplc="0C090001">
      <w:start w:val="1"/>
      <w:numFmt w:val="bullet"/>
      <w:lvlText w:val=""/>
      <w:lvlJc w:val="left"/>
      <w:pPr>
        <w:ind w:left="1437" w:hanging="360"/>
      </w:pPr>
      <w:rPr>
        <w:rFonts w:ascii="Symbol" w:hAnsi="Symbol" w:hint="default"/>
      </w:rPr>
    </w:lvl>
    <w:lvl w:ilvl="1" w:tplc="207814B2">
      <w:start w:val="1"/>
      <w:numFmt w:val="bullet"/>
      <w:lvlText w:val="•"/>
      <w:lvlJc w:val="left"/>
      <w:pPr>
        <w:ind w:left="2367" w:hanging="570"/>
      </w:pPr>
      <w:rPr>
        <w:rFonts w:ascii="Calibri" w:eastAsia="Times New Roman" w:hAnsi="Calibri" w:cs="Calibri" w:hint="default"/>
      </w:r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88" w15:restartNumberingAfterBreak="0">
    <w:nsid w:val="5D7E6B11"/>
    <w:multiLevelType w:val="hybridMultilevel"/>
    <w:tmpl w:val="6B0881DE"/>
    <w:lvl w:ilvl="0" w:tplc="0C090019">
      <w:start w:val="1"/>
      <w:numFmt w:val="lowerLetter"/>
      <w:lvlText w:val="%1."/>
      <w:lvlJc w:val="left"/>
      <w:pPr>
        <w:ind w:left="1077" w:hanging="360"/>
      </w:pPr>
    </w:lvl>
    <w:lvl w:ilvl="1" w:tplc="0C090019">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89" w15:restartNumberingAfterBreak="0">
    <w:nsid w:val="5DF7059D"/>
    <w:multiLevelType w:val="hybridMultilevel"/>
    <w:tmpl w:val="2D56CB3A"/>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0" w15:restartNumberingAfterBreak="0">
    <w:nsid w:val="5F297E56"/>
    <w:multiLevelType w:val="hybridMultilevel"/>
    <w:tmpl w:val="EAA45B76"/>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1" w15:restartNumberingAfterBreak="0">
    <w:nsid w:val="5F520E92"/>
    <w:multiLevelType w:val="hybridMultilevel"/>
    <w:tmpl w:val="41DE4D8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602958C9"/>
    <w:multiLevelType w:val="hybridMultilevel"/>
    <w:tmpl w:val="A73C2D32"/>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3" w15:restartNumberingAfterBreak="0">
    <w:nsid w:val="6090520D"/>
    <w:multiLevelType w:val="hybridMultilevel"/>
    <w:tmpl w:val="219CE88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4" w15:restartNumberingAfterBreak="0">
    <w:nsid w:val="62D25F38"/>
    <w:multiLevelType w:val="hybridMultilevel"/>
    <w:tmpl w:val="EBCEE5E2"/>
    <w:lvl w:ilvl="0" w:tplc="9400583C">
      <w:start w:val="1"/>
      <w:numFmt w:val="lowerRoman"/>
      <w:lvlText w:val="%1."/>
      <w:lvlJc w:val="left"/>
      <w:pPr>
        <w:ind w:left="1287" w:hanging="360"/>
      </w:pPr>
      <w:rPr>
        <w:rFonts w:hint="default"/>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5" w15:restartNumberingAfterBreak="0">
    <w:nsid w:val="63114BD0"/>
    <w:multiLevelType w:val="hybridMultilevel"/>
    <w:tmpl w:val="D7DA850E"/>
    <w:lvl w:ilvl="0" w:tplc="0C090019">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6" w15:restartNumberingAfterBreak="0">
    <w:nsid w:val="63353B3E"/>
    <w:multiLevelType w:val="hybridMultilevel"/>
    <w:tmpl w:val="EBCEE5E2"/>
    <w:lvl w:ilvl="0" w:tplc="9400583C">
      <w:start w:val="1"/>
      <w:numFmt w:val="lowerRoman"/>
      <w:lvlText w:val="%1."/>
      <w:lvlJc w:val="left"/>
      <w:pPr>
        <w:ind w:left="1287" w:hanging="360"/>
      </w:pPr>
      <w:rPr>
        <w:rFonts w:hint="default"/>
      </w:rPr>
    </w:lvl>
    <w:lvl w:ilvl="1" w:tplc="0C090019">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97" w15:restartNumberingAfterBreak="0">
    <w:nsid w:val="64542E61"/>
    <w:multiLevelType w:val="multilevel"/>
    <w:tmpl w:val="AE32499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720" w:hanging="720"/>
      </w:pPr>
      <w:rPr>
        <w:rFonts w:hint="default"/>
        <w:color w:val="auto"/>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98" w15:restartNumberingAfterBreak="0">
    <w:nsid w:val="667B4977"/>
    <w:multiLevelType w:val="hybridMultilevel"/>
    <w:tmpl w:val="3CE6B25E"/>
    <w:lvl w:ilvl="0" w:tplc="0C090019">
      <w:start w:val="1"/>
      <w:numFmt w:val="lowerLetter"/>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99" w15:restartNumberingAfterBreak="0">
    <w:nsid w:val="6AC14950"/>
    <w:multiLevelType w:val="hybridMultilevel"/>
    <w:tmpl w:val="A73C2D32"/>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0" w15:restartNumberingAfterBreak="0">
    <w:nsid w:val="6B235D8F"/>
    <w:multiLevelType w:val="hybridMultilevel"/>
    <w:tmpl w:val="7092FCC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6B7B19D8"/>
    <w:multiLevelType w:val="hybridMultilevel"/>
    <w:tmpl w:val="2D56CB3A"/>
    <w:lvl w:ilvl="0" w:tplc="0C09001B">
      <w:start w:val="1"/>
      <w:numFmt w:val="lowerRoman"/>
      <w:lvlText w:val="%1."/>
      <w:lvlJc w:val="righ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2" w15:restartNumberingAfterBreak="0">
    <w:nsid w:val="6BBF56B6"/>
    <w:multiLevelType w:val="hybridMultilevel"/>
    <w:tmpl w:val="74A451B0"/>
    <w:lvl w:ilvl="0" w:tplc="9400583C">
      <w:start w:val="1"/>
      <w:numFmt w:val="lowerRoman"/>
      <w:lvlText w:val="%1."/>
      <w:lvlJc w:val="left"/>
      <w:pPr>
        <w:ind w:left="1437" w:hanging="36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03" w15:restartNumberingAfterBreak="0">
    <w:nsid w:val="6C4432A2"/>
    <w:multiLevelType w:val="hybridMultilevel"/>
    <w:tmpl w:val="39E8E9C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6DE36EFA"/>
    <w:multiLevelType w:val="hybridMultilevel"/>
    <w:tmpl w:val="DBF269CC"/>
    <w:lvl w:ilvl="0" w:tplc="0C090019">
      <w:start w:val="1"/>
      <w:numFmt w:val="lowerLetter"/>
      <w:lvlText w:val="%1."/>
      <w:lvlJc w:val="left"/>
      <w:pPr>
        <w:ind w:left="1077" w:hanging="360"/>
      </w:pPr>
      <w:rPr>
        <w:rFonts w:hint="default"/>
      </w:rPr>
    </w:lvl>
    <w:lvl w:ilvl="1" w:tplc="0C090019">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05" w15:restartNumberingAfterBreak="0">
    <w:nsid w:val="6E493633"/>
    <w:multiLevelType w:val="hybridMultilevel"/>
    <w:tmpl w:val="55AE67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6"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71076C9B"/>
    <w:multiLevelType w:val="hybridMultilevel"/>
    <w:tmpl w:val="CFF0BFB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15:restartNumberingAfterBreak="0">
    <w:nsid w:val="73F25871"/>
    <w:multiLevelType w:val="hybridMultilevel"/>
    <w:tmpl w:val="5CE400BE"/>
    <w:lvl w:ilvl="0" w:tplc="13D6454C">
      <w:start w:val="1"/>
      <w:numFmt w:val="bullet"/>
      <w:pStyle w:val="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4D428C8"/>
    <w:multiLevelType w:val="hybridMultilevel"/>
    <w:tmpl w:val="55AE67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75BC0773"/>
    <w:multiLevelType w:val="hybridMultilevel"/>
    <w:tmpl w:val="A69C16D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79F748D4"/>
    <w:multiLevelType w:val="hybridMultilevel"/>
    <w:tmpl w:val="449CA324"/>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2" w15:restartNumberingAfterBreak="0">
    <w:nsid w:val="7B8E557E"/>
    <w:multiLevelType w:val="multilevel"/>
    <w:tmpl w:val="B0C4F5F0"/>
    <w:lvl w:ilvl="0">
      <w:start w:val="1"/>
      <w:numFmt w:val="decimal"/>
      <w:pStyle w:val="05number1"/>
      <w:lvlText w:val="%1."/>
      <w:lvlJc w:val="left"/>
      <w:pPr>
        <w:tabs>
          <w:tab w:val="num" w:pos="360"/>
        </w:tabs>
        <w:ind w:left="360" w:hanging="360"/>
      </w:pPr>
      <w:rPr>
        <w:rFonts w:ascii="Arial" w:hAnsi="Arial" w:hint="default"/>
        <w:color w:val="auto"/>
        <w:sz w:val="22"/>
      </w:rPr>
    </w:lvl>
    <w:lvl w:ilvl="1">
      <w:start w:val="1"/>
      <w:numFmt w:val="lowerLetter"/>
      <w:pStyle w:val="06letter2"/>
      <w:lvlText w:val="%2."/>
      <w:lvlJc w:val="left"/>
      <w:pPr>
        <w:tabs>
          <w:tab w:val="num" w:pos="646"/>
        </w:tabs>
        <w:ind w:left="646" w:hanging="289"/>
      </w:pPr>
      <w:rPr>
        <w:rFonts w:ascii="Arial" w:hAnsi="Arial" w:hint="default"/>
        <w:color w:val="auto"/>
        <w:sz w:val="22"/>
      </w:rPr>
    </w:lvl>
    <w:lvl w:ilvl="2">
      <w:start w:val="1"/>
      <w:numFmt w:val="decimal"/>
      <w:pStyle w:val="07number3"/>
      <w:lvlText w:val="%3)"/>
      <w:lvlJc w:val="left"/>
      <w:pPr>
        <w:tabs>
          <w:tab w:val="num" w:pos="924"/>
        </w:tabs>
        <w:ind w:left="924" w:hanging="278"/>
      </w:pPr>
      <w:rPr>
        <w:rFonts w:ascii="Arial" w:hAnsi="Arial" w:hint="default"/>
        <w:color w:val="auto"/>
        <w:sz w:val="22"/>
      </w:rPr>
    </w:lvl>
    <w:lvl w:ilvl="3">
      <w:start w:val="1"/>
      <w:numFmt w:val="lowerLetter"/>
      <w:pStyle w:val="08letter4"/>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3" w15:restartNumberingAfterBreak="0">
    <w:nsid w:val="7D0575B2"/>
    <w:multiLevelType w:val="multilevel"/>
    <w:tmpl w:val="239CA310"/>
    <w:lvl w:ilvl="0">
      <w:start w:val="1"/>
      <w:numFmt w:val="decimal"/>
      <w:lvlText w:val="%1."/>
      <w:lvlJc w:val="left"/>
      <w:pPr>
        <w:ind w:left="3125" w:hanging="432"/>
      </w:pPr>
      <w:rPr>
        <w:rFonts w:hint="default"/>
      </w:rPr>
    </w:lvl>
    <w:lvl w:ilvl="1">
      <w:start w:val="1"/>
      <w:numFmt w:val="decimal"/>
      <w:lvlText w:val="%1.%2"/>
      <w:lvlJc w:val="left"/>
      <w:pPr>
        <w:ind w:left="576"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114" w15:restartNumberingAfterBreak="0">
    <w:nsid w:val="7EDB59BA"/>
    <w:multiLevelType w:val="multilevel"/>
    <w:tmpl w:val="8DB4AC64"/>
    <w:numStyleLink w:val="Style2"/>
  </w:abstractNum>
  <w:abstractNum w:abstractNumId="115" w15:restartNumberingAfterBreak="0">
    <w:nsid w:val="7F0365B9"/>
    <w:multiLevelType w:val="hybridMultilevel"/>
    <w:tmpl w:val="5AC22F22"/>
    <w:lvl w:ilvl="0" w:tplc="9400583C">
      <w:start w:val="1"/>
      <w:numFmt w:val="lowerRoman"/>
      <w:lvlText w:val="%1."/>
      <w:lvlJc w:val="left"/>
      <w:pPr>
        <w:ind w:left="1437" w:hanging="360"/>
      </w:pPr>
      <w:rPr>
        <w:rFonts w:hint="default"/>
      </w:rPr>
    </w:lvl>
    <w:lvl w:ilvl="1" w:tplc="0C090019" w:tentative="1">
      <w:start w:val="1"/>
      <w:numFmt w:val="lowerLetter"/>
      <w:lvlText w:val="%2."/>
      <w:lvlJc w:val="left"/>
      <w:pPr>
        <w:ind w:left="2157" w:hanging="360"/>
      </w:pPr>
    </w:lvl>
    <w:lvl w:ilvl="2" w:tplc="0C09001B" w:tentative="1">
      <w:start w:val="1"/>
      <w:numFmt w:val="lowerRoman"/>
      <w:lvlText w:val="%3."/>
      <w:lvlJc w:val="right"/>
      <w:pPr>
        <w:ind w:left="2877" w:hanging="180"/>
      </w:pPr>
    </w:lvl>
    <w:lvl w:ilvl="3" w:tplc="0C09000F" w:tentative="1">
      <w:start w:val="1"/>
      <w:numFmt w:val="decimal"/>
      <w:lvlText w:val="%4."/>
      <w:lvlJc w:val="left"/>
      <w:pPr>
        <w:ind w:left="3597" w:hanging="360"/>
      </w:pPr>
    </w:lvl>
    <w:lvl w:ilvl="4" w:tplc="0C090019" w:tentative="1">
      <w:start w:val="1"/>
      <w:numFmt w:val="lowerLetter"/>
      <w:lvlText w:val="%5."/>
      <w:lvlJc w:val="left"/>
      <w:pPr>
        <w:ind w:left="4317" w:hanging="360"/>
      </w:pPr>
    </w:lvl>
    <w:lvl w:ilvl="5" w:tplc="0C09001B" w:tentative="1">
      <w:start w:val="1"/>
      <w:numFmt w:val="lowerRoman"/>
      <w:lvlText w:val="%6."/>
      <w:lvlJc w:val="right"/>
      <w:pPr>
        <w:ind w:left="5037" w:hanging="180"/>
      </w:pPr>
    </w:lvl>
    <w:lvl w:ilvl="6" w:tplc="0C09000F" w:tentative="1">
      <w:start w:val="1"/>
      <w:numFmt w:val="decimal"/>
      <w:lvlText w:val="%7."/>
      <w:lvlJc w:val="left"/>
      <w:pPr>
        <w:ind w:left="5757" w:hanging="360"/>
      </w:pPr>
    </w:lvl>
    <w:lvl w:ilvl="7" w:tplc="0C090019" w:tentative="1">
      <w:start w:val="1"/>
      <w:numFmt w:val="lowerLetter"/>
      <w:lvlText w:val="%8."/>
      <w:lvlJc w:val="left"/>
      <w:pPr>
        <w:ind w:left="6477" w:hanging="360"/>
      </w:pPr>
    </w:lvl>
    <w:lvl w:ilvl="8" w:tplc="0C09001B" w:tentative="1">
      <w:start w:val="1"/>
      <w:numFmt w:val="lowerRoman"/>
      <w:lvlText w:val="%9."/>
      <w:lvlJc w:val="right"/>
      <w:pPr>
        <w:ind w:left="7197" w:hanging="180"/>
      </w:pPr>
    </w:lvl>
  </w:abstractNum>
  <w:abstractNum w:abstractNumId="116" w15:restartNumberingAfterBreak="0">
    <w:nsid w:val="7F7D30AA"/>
    <w:multiLevelType w:val="hybridMultilevel"/>
    <w:tmpl w:val="39E8E9C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5"/>
  </w:num>
  <w:num w:numId="2">
    <w:abstractNumId w:val="106"/>
  </w:num>
  <w:num w:numId="3">
    <w:abstractNumId w:val="21"/>
  </w:num>
  <w:num w:numId="4">
    <w:abstractNumId w:val="32"/>
  </w:num>
  <w:num w:numId="5">
    <w:abstractNumId w:val="73"/>
  </w:num>
  <w:num w:numId="6">
    <w:abstractNumId w:val="19"/>
  </w:num>
  <w:num w:numId="7">
    <w:abstractNumId w:val="44"/>
  </w:num>
  <w:num w:numId="8">
    <w:abstractNumId w:val="45"/>
  </w:num>
  <w:num w:numId="9">
    <w:abstractNumId w:val="82"/>
  </w:num>
  <w:num w:numId="10">
    <w:abstractNumId w:val="20"/>
  </w:num>
  <w:num w:numId="11">
    <w:abstractNumId w:val="108"/>
  </w:num>
  <w:num w:numId="12">
    <w:abstractNumId w:val="24"/>
  </w:num>
  <w:num w:numId="13">
    <w:abstractNumId w:val="28"/>
  </w:num>
  <w:num w:numId="14">
    <w:abstractNumId w:val="114"/>
    <w:lvlOverride w:ilvl="0">
      <w:lvl w:ilvl="0">
        <w:start w:val="1"/>
        <w:numFmt w:val="bullet"/>
        <w:pStyle w:val="01squarebullet"/>
        <w:lvlText w:val="Δ"/>
        <w:lvlJc w:val="left"/>
        <w:pPr>
          <w:ind w:left="360" w:hanging="360"/>
        </w:pPr>
        <w:rPr>
          <w:rFonts w:ascii="Calibri" w:hAnsi="Calibri" w:cs="Times New Roman" w:hint="default"/>
          <w:color w:val="B66113"/>
          <w:sz w:val="24"/>
        </w:rPr>
      </w:lvl>
    </w:lvlOverride>
    <w:lvlOverride w:ilvl="6">
      <w:lvl w:ilvl="6">
        <w:start w:val="1"/>
        <w:numFmt w:val="decimal"/>
        <w:lvlText w:val="%7."/>
        <w:lvlJc w:val="left"/>
        <w:pPr>
          <w:tabs>
            <w:tab w:val="num" w:pos="360"/>
          </w:tabs>
          <w:ind w:left="360" w:hanging="360"/>
        </w:pPr>
        <w:rPr>
          <w:rFonts w:hint="default"/>
          <w:i w:val="0"/>
        </w:rPr>
      </w:lvl>
    </w:lvlOverride>
  </w:num>
  <w:num w:numId="15">
    <w:abstractNumId w:val="97"/>
  </w:num>
  <w:num w:numId="16">
    <w:abstractNumId w:val="54"/>
  </w:num>
  <w:num w:numId="17">
    <w:abstractNumId w:val="65"/>
  </w:num>
  <w:num w:numId="18">
    <w:abstractNumId w:val="7"/>
  </w:num>
  <w:num w:numId="19">
    <w:abstractNumId w:val="42"/>
  </w:num>
  <w:num w:numId="20">
    <w:abstractNumId w:val="80"/>
  </w:num>
  <w:num w:numId="21">
    <w:abstractNumId w:val="38"/>
  </w:num>
  <w:num w:numId="22">
    <w:abstractNumId w:val="17"/>
  </w:num>
  <w:num w:numId="23">
    <w:abstractNumId w:val="16"/>
  </w:num>
  <w:num w:numId="24">
    <w:abstractNumId w:val="69"/>
  </w:num>
  <w:num w:numId="25">
    <w:abstractNumId w:val="66"/>
    <w:lvlOverride w:ilvl="0">
      <w:startOverride w:val="1"/>
    </w:lvlOverride>
  </w:num>
  <w:num w:numId="26">
    <w:abstractNumId w:val="22"/>
  </w:num>
  <w:num w:numId="27">
    <w:abstractNumId w:val="70"/>
  </w:num>
  <w:num w:numId="28">
    <w:abstractNumId w:val="47"/>
  </w:num>
  <w:num w:numId="29">
    <w:abstractNumId w:val="29"/>
  </w:num>
  <w:num w:numId="30">
    <w:abstractNumId w:val="43"/>
  </w:num>
  <w:num w:numId="31">
    <w:abstractNumId w:val="110"/>
  </w:num>
  <w:num w:numId="32">
    <w:abstractNumId w:val="46"/>
  </w:num>
  <w:num w:numId="33">
    <w:abstractNumId w:val="61"/>
  </w:num>
  <w:num w:numId="34">
    <w:abstractNumId w:val="83"/>
  </w:num>
  <w:num w:numId="35">
    <w:abstractNumId w:val="72"/>
  </w:num>
  <w:num w:numId="36">
    <w:abstractNumId w:val="0"/>
  </w:num>
  <w:num w:numId="37">
    <w:abstractNumId w:val="56"/>
  </w:num>
  <w:num w:numId="3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3"/>
  </w:num>
  <w:num w:numId="40">
    <w:abstractNumId w:val="66"/>
    <w:lvlOverride w:ilvl="0">
      <w:startOverride w:val="1"/>
    </w:lvlOverride>
  </w:num>
  <w:num w:numId="41">
    <w:abstractNumId w:val="23"/>
  </w:num>
  <w:num w:numId="42">
    <w:abstractNumId w:val="79"/>
  </w:num>
  <w:num w:numId="43">
    <w:abstractNumId w:val="8"/>
  </w:num>
  <w:num w:numId="44">
    <w:abstractNumId w:val="88"/>
  </w:num>
  <w:num w:numId="45">
    <w:abstractNumId w:val="50"/>
  </w:num>
  <w:num w:numId="46">
    <w:abstractNumId w:val="10"/>
  </w:num>
  <w:num w:numId="47">
    <w:abstractNumId w:val="96"/>
  </w:num>
  <w:num w:numId="48">
    <w:abstractNumId w:val="94"/>
  </w:num>
  <w:num w:numId="49">
    <w:abstractNumId w:val="49"/>
  </w:num>
  <w:num w:numId="50">
    <w:abstractNumId w:val="41"/>
  </w:num>
  <w:num w:numId="51">
    <w:abstractNumId w:val="3"/>
  </w:num>
  <w:num w:numId="52">
    <w:abstractNumId w:val="35"/>
  </w:num>
  <w:num w:numId="53">
    <w:abstractNumId w:val="53"/>
  </w:num>
  <w:num w:numId="54">
    <w:abstractNumId w:val="5"/>
  </w:num>
  <w:num w:numId="55">
    <w:abstractNumId w:val="27"/>
  </w:num>
  <w:num w:numId="56">
    <w:abstractNumId w:val="39"/>
  </w:num>
  <w:num w:numId="57">
    <w:abstractNumId w:val="115"/>
  </w:num>
  <w:num w:numId="58">
    <w:abstractNumId w:val="81"/>
  </w:num>
  <w:num w:numId="59">
    <w:abstractNumId w:val="26"/>
  </w:num>
  <w:num w:numId="60">
    <w:abstractNumId w:val="102"/>
  </w:num>
  <w:num w:numId="61">
    <w:abstractNumId w:val="37"/>
  </w:num>
  <w:num w:numId="62">
    <w:abstractNumId w:val="111"/>
  </w:num>
  <w:num w:numId="63">
    <w:abstractNumId w:val="116"/>
  </w:num>
  <w:num w:numId="64">
    <w:abstractNumId w:val="67"/>
  </w:num>
  <w:num w:numId="65">
    <w:abstractNumId w:val="40"/>
  </w:num>
  <w:num w:numId="66">
    <w:abstractNumId w:val="31"/>
  </w:num>
  <w:num w:numId="67">
    <w:abstractNumId w:val="90"/>
  </w:num>
  <w:num w:numId="68">
    <w:abstractNumId w:val="13"/>
  </w:num>
  <w:num w:numId="69">
    <w:abstractNumId w:val="95"/>
  </w:num>
  <w:num w:numId="70">
    <w:abstractNumId w:val="85"/>
  </w:num>
  <w:num w:numId="71">
    <w:abstractNumId w:val="78"/>
  </w:num>
  <w:num w:numId="72">
    <w:abstractNumId w:val="30"/>
  </w:num>
  <w:num w:numId="73">
    <w:abstractNumId w:val="103"/>
  </w:num>
  <w:num w:numId="74">
    <w:abstractNumId w:val="15"/>
  </w:num>
  <w:num w:numId="75">
    <w:abstractNumId w:val="57"/>
  </w:num>
  <w:num w:numId="76">
    <w:abstractNumId w:val="60"/>
  </w:num>
  <w:num w:numId="77">
    <w:abstractNumId w:val="107"/>
  </w:num>
  <w:num w:numId="78">
    <w:abstractNumId w:val="55"/>
  </w:num>
  <w:num w:numId="79">
    <w:abstractNumId w:val="6"/>
  </w:num>
  <w:num w:numId="80">
    <w:abstractNumId w:val="100"/>
  </w:num>
  <w:num w:numId="81">
    <w:abstractNumId w:val="84"/>
  </w:num>
  <w:num w:numId="82">
    <w:abstractNumId w:val="101"/>
  </w:num>
  <w:num w:numId="83">
    <w:abstractNumId w:val="1"/>
  </w:num>
  <w:num w:numId="84">
    <w:abstractNumId w:val="12"/>
  </w:num>
  <w:num w:numId="85">
    <w:abstractNumId w:val="89"/>
  </w:num>
  <w:num w:numId="86">
    <w:abstractNumId w:val="11"/>
  </w:num>
  <w:num w:numId="87">
    <w:abstractNumId w:val="104"/>
  </w:num>
  <w:num w:numId="88">
    <w:abstractNumId w:val="64"/>
  </w:num>
  <w:num w:numId="89">
    <w:abstractNumId w:val="34"/>
  </w:num>
  <w:num w:numId="90">
    <w:abstractNumId w:val="2"/>
  </w:num>
  <w:num w:numId="91">
    <w:abstractNumId w:val="87"/>
  </w:num>
  <w:num w:numId="92">
    <w:abstractNumId w:val="76"/>
  </w:num>
  <w:num w:numId="93">
    <w:abstractNumId w:val="52"/>
  </w:num>
  <w:num w:numId="94">
    <w:abstractNumId w:val="63"/>
  </w:num>
  <w:num w:numId="95">
    <w:abstractNumId w:val="68"/>
  </w:num>
  <w:num w:numId="96">
    <w:abstractNumId w:val="36"/>
  </w:num>
  <w:num w:numId="97">
    <w:abstractNumId w:val="92"/>
  </w:num>
  <w:num w:numId="98">
    <w:abstractNumId w:val="99"/>
  </w:num>
  <w:num w:numId="99">
    <w:abstractNumId w:val="48"/>
  </w:num>
  <w:num w:numId="100">
    <w:abstractNumId w:val="91"/>
  </w:num>
  <w:num w:numId="101">
    <w:abstractNumId w:val="18"/>
  </w:num>
  <w:num w:numId="102">
    <w:abstractNumId w:val="77"/>
  </w:num>
  <w:num w:numId="103">
    <w:abstractNumId w:val="93"/>
  </w:num>
  <w:num w:numId="104">
    <w:abstractNumId w:val="71"/>
  </w:num>
  <w:num w:numId="105">
    <w:abstractNumId w:val="86"/>
  </w:num>
  <w:num w:numId="106">
    <w:abstractNumId w:val="112"/>
  </w:num>
  <w:num w:numId="107">
    <w:abstractNumId w:val="33"/>
  </w:num>
  <w:num w:numId="108">
    <w:abstractNumId w:val="75"/>
  </w:num>
  <w:num w:numId="109">
    <w:abstractNumId w:val="59"/>
  </w:num>
  <w:num w:numId="110">
    <w:abstractNumId w:val="51"/>
  </w:num>
  <w:num w:numId="111">
    <w:abstractNumId w:val="58"/>
  </w:num>
  <w:num w:numId="112">
    <w:abstractNumId w:val="74"/>
  </w:num>
  <w:num w:numId="113">
    <w:abstractNumId w:val="109"/>
  </w:num>
  <w:num w:numId="114">
    <w:abstractNumId w:val="105"/>
  </w:num>
  <w:num w:numId="115">
    <w:abstractNumId w:val="14"/>
  </w:num>
  <w:num w:numId="116">
    <w:abstractNumId w:val="4"/>
  </w:num>
  <w:num w:numId="117">
    <w:abstractNumId w:val="73"/>
  </w:num>
  <w:num w:numId="118">
    <w:abstractNumId w:val="62"/>
  </w:num>
  <w:num w:numId="119">
    <w:abstractNumId w:val="9"/>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embedTrueTypeFonts/>
  <w:saveSubsetFonts/>
  <w:activeWritingStyle w:appName="MSWord" w:lang="fr-CA"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activeWritingStyle w:appName="MSWord" w:lang="fr-CA" w:vendorID="64" w:dllVersion="0"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mailMerge>
    <w:mainDocumentType w:val="formLetters"/>
    <w:dataType w:val="textFile"/>
    <w:activeRecord w:val="-1"/>
  </w:mailMerge>
  <w:defaultTabStop w:val="567"/>
  <w:hyphenationZone w:val="425"/>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042"/>
    <w:rsid w:val="000006E3"/>
    <w:rsid w:val="00000962"/>
    <w:rsid w:val="0000150F"/>
    <w:rsid w:val="00001F7B"/>
    <w:rsid w:val="00002222"/>
    <w:rsid w:val="000022FD"/>
    <w:rsid w:val="00002477"/>
    <w:rsid w:val="00002678"/>
    <w:rsid w:val="00002A0C"/>
    <w:rsid w:val="00002EE0"/>
    <w:rsid w:val="000036E5"/>
    <w:rsid w:val="000044E9"/>
    <w:rsid w:val="0000476B"/>
    <w:rsid w:val="00004920"/>
    <w:rsid w:val="00004CCA"/>
    <w:rsid w:val="0000514C"/>
    <w:rsid w:val="0000566B"/>
    <w:rsid w:val="00005952"/>
    <w:rsid w:val="00006116"/>
    <w:rsid w:val="000062A1"/>
    <w:rsid w:val="000064C3"/>
    <w:rsid w:val="000068EE"/>
    <w:rsid w:val="00006915"/>
    <w:rsid w:val="0000693D"/>
    <w:rsid w:val="00006AE9"/>
    <w:rsid w:val="00006EE9"/>
    <w:rsid w:val="0000717A"/>
    <w:rsid w:val="00007CFB"/>
    <w:rsid w:val="000100B7"/>
    <w:rsid w:val="000107B3"/>
    <w:rsid w:val="0001084A"/>
    <w:rsid w:val="00010B01"/>
    <w:rsid w:val="00010ED9"/>
    <w:rsid w:val="00011026"/>
    <w:rsid w:val="00011132"/>
    <w:rsid w:val="00011546"/>
    <w:rsid w:val="0001226A"/>
    <w:rsid w:val="00012943"/>
    <w:rsid w:val="0001294F"/>
    <w:rsid w:val="00012E74"/>
    <w:rsid w:val="00013000"/>
    <w:rsid w:val="0001359C"/>
    <w:rsid w:val="00013881"/>
    <w:rsid w:val="0001393A"/>
    <w:rsid w:val="00013A75"/>
    <w:rsid w:val="00013B75"/>
    <w:rsid w:val="00013D78"/>
    <w:rsid w:val="00013E9E"/>
    <w:rsid w:val="00013EA4"/>
    <w:rsid w:val="000140BC"/>
    <w:rsid w:val="000140C8"/>
    <w:rsid w:val="00014712"/>
    <w:rsid w:val="00014973"/>
    <w:rsid w:val="00014B3B"/>
    <w:rsid w:val="0001508C"/>
    <w:rsid w:val="0001545C"/>
    <w:rsid w:val="00015973"/>
    <w:rsid w:val="00015D7B"/>
    <w:rsid w:val="000160F5"/>
    <w:rsid w:val="00016A2E"/>
    <w:rsid w:val="00016F4E"/>
    <w:rsid w:val="00017563"/>
    <w:rsid w:val="00017680"/>
    <w:rsid w:val="000179E6"/>
    <w:rsid w:val="00020196"/>
    <w:rsid w:val="00020431"/>
    <w:rsid w:val="00020587"/>
    <w:rsid w:val="000206BB"/>
    <w:rsid w:val="000207BA"/>
    <w:rsid w:val="00020823"/>
    <w:rsid w:val="00020E0E"/>
    <w:rsid w:val="000212CE"/>
    <w:rsid w:val="00021658"/>
    <w:rsid w:val="00021A9A"/>
    <w:rsid w:val="00021C6C"/>
    <w:rsid w:val="00022514"/>
    <w:rsid w:val="000227B8"/>
    <w:rsid w:val="00022CD0"/>
    <w:rsid w:val="00022D9F"/>
    <w:rsid w:val="00022E87"/>
    <w:rsid w:val="00022FE5"/>
    <w:rsid w:val="0002346A"/>
    <w:rsid w:val="0002353D"/>
    <w:rsid w:val="00023663"/>
    <w:rsid w:val="00023C89"/>
    <w:rsid w:val="00024230"/>
    <w:rsid w:val="000243B2"/>
    <w:rsid w:val="000245A7"/>
    <w:rsid w:val="00024A6A"/>
    <w:rsid w:val="00024C1F"/>
    <w:rsid w:val="00024FE0"/>
    <w:rsid w:val="0002517D"/>
    <w:rsid w:val="000253EC"/>
    <w:rsid w:val="0002630C"/>
    <w:rsid w:val="000265CD"/>
    <w:rsid w:val="000267AB"/>
    <w:rsid w:val="00026E8F"/>
    <w:rsid w:val="00027148"/>
    <w:rsid w:val="00027296"/>
    <w:rsid w:val="000278CF"/>
    <w:rsid w:val="000279B1"/>
    <w:rsid w:val="00027C07"/>
    <w:rsid w:val="00027EBC"/>
    <w:rsid w:val="00027FC8"/>
    <w:rsid w:val="0003025F"/>
    <w:rsid w:val="00030407"/>
    <w:rsid w:val="0003055F"/>
    <w:rsid w:val="000309CE"/>
    <w:rsid w:val="00031095"/>
    <w:rsid w:val="000311D8"/>
    <w:rsid w:val="00031ADE"/>
    <w:rsid w:val="00031E6C"/>
    <w:rsid w:val="00031F0C"/>
    <w:rsid w:val="00031F39"/>
    <w:rsid w:val="00032108"/>
    <w:rsid w:val="00032E1C"/>
    <w:rsid w:val="00033747"/>
    <w:rsid w:val="0003376B"/>
    <w:rsid w:val="000337EF"/>
    <w:rsid w:val="00033CA9"/>
    <w:rsid w:val="00033DA4"/>
    <w:rsid w:val="00033E48"/>
    <w:rsid w:val="0003453A"/>
    <w:rsid w:val="00034764"/>
    <w:rsid w:val="00034C29"/>
    <w:rsid w:val="0003544F"/>
    <w:rsid w:val="00035587"/>
    <w:rsid w:val="000356E8"/>
    <w:rsid w:val="00035A74"/>
    <w:rsid w:val="00035DB5"/>
    <w:rsid w:val="00036C0E"/>
    <w:rsid w:val="000370CE"/>
    <w:rsid w:val="00037A67"/>
    <w:rsid w:val="00040940"/>
    <w:rsid w:val="00040E88"/>
    <w:rsid w:val="00040EAC"/>
    <w:rsid w:val="00040F54"/>
    <w:rsid w:val="000411E6"/>
    <w:rsid w:val="00042655"/>
    <w:rsid w:val="00042A17"/>
    <w:rsid w:val="00042C23"/>
    <w:rsid w:val="0004329E"/>
    <w:rsid w:val="00043742"/>
    <w:rsid w:val="0004385E"/>
    <w:rsid w:val="00043EE1"/>
    <w:rsid w:val="000440C2"/>
    <w:rsid w:val="000441C6"/>
    <w:rsid w:val="000446C1"/>
    <w:rsid w:val="00044A34"/>
    <w:rsid w:val="0004538D"/>
    <w:rsid w:val="00045495"/>
    <w:rsid w:val="00045942"/>
    <w:rsid w:val="000459AD"/>
    <w:rsid w:val="00045A32"/>
    <w:rsid w:val="00045DD2"/>
    <w:rsid w:val="00045F1B"/>
    <w:rsid w:val="00045F48"/>
    <w:rsid w:val="00045F6B"/>
    <w:rsid w:val="00046004"/>
    <w:rsid w:val="00046638"/>
    <w:rsid w:val="00046AF0"/>
    <w:rsid w:val="00046C9C"/>
    <w:rsid w:val="0004705F"/>
    <w:rsid w:val="00047145"/>
    <w:rsid w:val="0004725A"/>
    <w:rsid w:val="0004747F"/>
    <w:rsid w:val="00047796"/>
    <w:rsid w:val="00047E97"/>
    <w:rsid w:val="00047FB5"/>
    <w:rsid w:val="0005001C"/>
    <w:rsid w:val="000500A1"/>
    <w:rsid w:val="000501C9"/>
    <w:rsid w:val="00050D6B"/>
    <w:rsid w:val="00050D87"/>
    <w:rsid w:val="00050DF1"/>
    <w:rsid w:val="00050E30"/>
    <w:rsid w:val="00050ED2"/>
    <w:rsid w:val="00050EF0"/>
    <w:rsid w:val="00051058"/>
    <w:rsid w:val="0005126C"/>
    <w:rsid w:val="00051689"/>
    <w:rsid w:val="00052ADF"/>
    <w:rsid w:val="00052BF7"/>
    <w:rsid w:val="00053191"/>
    <w:rsid w:val="000531AF"/>
    <w:rsid w:val="000536D5"/>
    <w:rsid w:val="000537C0"/>
    <w:rsid w:val="00053A92"/>
    <w:rsid w:val="00053B1C"/>
    <w:rsid w:val="00054036"/>
    <w:rsid w:val="000544D2"/>
    <w:rsid w:val="00054751"/>
    <w:rsid w:val="00054778"/>
    <w:rsid w:val="00054BE3"/>
    <w:rsid w:val="00054D62"/>
    <w:rsid w:val="0005522D"/>
    <w:rsid w:val="0005557F"/>
    <w:rsid w:val="0005565E"/>
    <w:rsid w:val="000556FB"/>
    <w:rsid w:val="000558E5"/>
    <w:rsid w:val="00056412"/>
    <w:rsid w:val="000564F8"/>
    <w:rsid w:val="00056C3D"/>
    <w:rsid w:val="00056CF7"/>
    <w:rsid w:val="00057AB0"/>
    <w:rsid w:val="00057F0D"/>
    <w:rsid w:val="00060787"/>
    <w:rsid w:val="00060C76"/>
    <w:rsid w:val="00061104"/>
    <w:rsid w:val="00061127"/>
    <w:rsid w:val="000612DC"/>
    <w:rsid w:val="000612E4"/>
    <w:rsid w:val="000613CF"/>
    <w:rsid w:val="0006140B"/>
    <w:rsid w:val="0006177C"/>
    <w:rsid w:val="00062144"/>
    <w:rsid w:val="000621CD"/>
    <w:rsid w:val="00062404"/>
    <w:rsid w:val="0006248E"/>
    <w:rsid w:val="0006272C"/>
    <w:rsid w:val="00062B74"/>
    <w:rsid w:val="00062B9D"/>
    <w:rsid w:val="00062DCA"/>
    <w:rsid w:val="00062FA4"/>
    <w:rsid w:val="0006309D"/>
    <w:rsid w:val="0006374D"/>
    <w:rsid w:val="0006379D"/>
    <w:rsid w:val="00063D1A"/>
    <w:rsid w:val="00064107"/>
    <w:rsid w:val="00064465"/>
    <w:rsid w:val="0006464C"/>
    <w:rsid w:val="000648A0"/>
    <w:rsid w:val="00064A52"/>
    <w:rsid w:val="00064BAE"/>
    <w:rsid w:val="0006504A"/>
    <w:rsid w:val="000653C1"/>
    <w:rsid w:val="000655C1"/>
    <w:rsid w:val="000657FC"/>
    <w:rsid w:val="00065ADB"/>
    <w:rsid w:val="00065F63"/>
    <w:rsid w:val="00066AF2"/>
    <w:rsid w:val="00066F57"/>
    <w:rsid w:val="00066F5E"/>
    <w:rsid w:val="00066FA3"/>
    <w:rsid w:val="00067BEC"/>
    <w:rsid w:val="00067C58"/>
    <w:rsid w:val="000701B6"/>
    <w:rsid w:val="00070239"/>
    <w:rsid w:val="00070252"/>
    <w:rsid w:val="000702C4"/>
    <w:rsid w:val="00070347"/>
    <w:rsid w:val="000703EC"/>
    <w:rsid w:val="000707D3"/>
    <w:rsid w:val="000708D6"/>
    <w:rsid w:val="00070928"/>
    <w:rsid w:val="00070CD8"/>
    <w:rsid w:val="00071373"/>
    <w:rsid w:val="0007194A"/>
    <w:rsid w:val="00071E47"/>
    <w:rsid w:val="00071EA9"/>
    <w:rsid w:val="00071F4A"/>
    <w:rsid w:val="0007261D"/>
    <w:rsid w:val="00072904"/>
    <w:rsid w:val="00072D68"/>
    <w:rsid w:val="00072F9C"/>
    <w:rsid w:val="00073202"/>
    <w:rsid w:val="0007358A"/>
    <w:rsid w:val="00073660"/>
    <w:rsid w:val="000737C9"/>
    <w:rsid w:val="000740B5"/>
    <w:rsid w:val="000742BB"/>
    <w:rsid w:val="00074357"/>
    <w:rsid w:val="000744E0"/>
    <w:rsid w:val="0007488D"/>
    <w:rsid w:val="0007491E"/>
    <w:rsid w:val="00074D3D"/>
    <w:rsid w:val="0007506F"/>
    <w:rsid w:val="00075395"/>
    <w:rsid w:val="000760CD"/>
    <w:rsid w:val="0007623D"/>
    <w:rsid w:val="000763CB"/>
    <w:rsid w:val="000765ED"/>
    <w:rsid w:val="00076AB6"/>
    <w:rsid w:val="00076C83"/>
    <w:rsid w:val="00076CD5"/>
    <w:rsid w:val="00076D53"/>
    <w:rsid w:val="00076E25"/>
    <w:rsid w:val="0007750B"/>
    <w:rsid w:val="00077813"/>
    <w:rsid w:val="00077D1F"/>
    <w:rsid w:val="00077EDF"/>
    <w:rsid w:val="00077F41"/>
    <w:rsid w:val="000801A7"/>
    <w:rsid w:val="000802C1"/>
    <w:rsid w:val="00081166"/>
    <w:rsid w:val="00081875"/>
    <w:rsid w:val="00081DD2"/>
    <w:rsid w:val="00081E28"/>
    <w:rsid w:val="00081F8E"/>
    <w:rsid w:val="0008200C"/>
    <w:rsid w:val="00082219"/>
    <w:rsid w:val="000823C5"/>
    <w:rsid w:val="000824E3"/>
    <w:rsid w:val="0008284E"/>
    <w:rsid w:val="0008289B"/>
    <w:rsid w:val="00082B10"/>
    <w:rsid w:val="00082B43"/>
    <w:rsid w:val="00082CEB"/>
    <w:rsid w:val="000831A1"/>
    <w:rsid w:val="000831DB"/>
    <w:rsid w:val="000838B7"/>
    <w:rsid w:val="000838BC"/>
    <w:rsid w:val="000839A9"/>
    <w:rsid w:val="00083CCA"/>
    <w:rsid w:val="00083CF7"/>
    <w:rsid w:val="00083E2A"/>
    <w:rsid w:val="0008448B"/>
    <w:rsid w:val="00084534"/>
    <w:rsid w:val="000846B3"/>
    <w:rsid w:val="0008494C"/>
    <w:rsid w:val="00084999"/>
    <w:rsid w:val="00084B53"/>
    <w:rsid w:val="00084C9B"/>
    <w:rsid w:val="00084F7A"/>
    <w:rsid w:val="00084FB4"/>
    <w:rsid w:val="00084FF6"/>
    <w:rsid w:val="0008533C"/>
    <w:rsid w:val="00085979"/>
    <w:rsid w:val="00085D6F"/>
    <w:rsid w:val="000862FA"/>
    <w:rsid w:val="0008648C"/>
    <w:rsid w:val="0008664C"/>
    <w:rsid w:val="000869E6"/>
    <w:rsid w:val="00086A1E"/>
    <w:rsid w:val="00086AFF"/>
    <w:rsid w:val="00086C40"/>
    <w:rsid w:val="00086C4E"/>
    <w:rsid w:val="00086E0B"/>
    <w:rsid w:val="00086FD0"/>
    <w:rsid w:val="00087160"/>
    <w:rsid w:val="0008778F"/>
    <w:rsid w:val="00087958"/>
    <w:rsid w:val="00087975"/>
    <w:rsid w:val="000910BA"/>
    <w:rsid w:val="00091393"/>
    <w:rsid w:val="0009172D"/>
    <w:rsid w:val="00091AC3"/>
    <w:rsid w:val="00091C06"/>
    <w:rsid w:val="00091C81"/>
    <w:rsid w:val="00091C87"/>
    <w:rsid w:val="00091FB9"/>
    <w:rsid w:val="0009219F"/>
    <w:rsid w:val="000923EA"/>
    <w:rsid w:val="00092463"/>
    <w:rsid w:val="00092465"/>
    <w:rsid w:val="0009284F"/>
    <w:rsid w:val="00092AB5"/>
    <w:rsid w:val="00092E2A"/>
    <w:rsid w:val="00092E3D"/>
    <w:rsid w:val="000930A7"/>
    <w:rsid w:val="00093404"/>
    <w:rsid w:val="000943EE"/>
    <w:rsid w:val="00094411"/>
    <w:rsid w:val="000945CA"/>
    <w:rsid w:val="00094628"/>
    <w:rsid w:val="000949B2"/>
    <w:rsid w:val="00095335"/>
    <w:rsid w:val="0009565B"/>
    <w:rsid w:val="00095810"/>
    <w:rsid w:val="000959B5"/>
    <w:rsid w:val="000970B9"/>
    <w:rsid w:val="00097A3F"/>
    <w:rsid w:val="00097A82"/>
    <w:rsid w:val="00097CE7"/>
    <w:rsid w:val="00097F23"/>
    <w:rsid w:val="00097FCE"/>
    <w:rsid w:val="00097FF5"/>
    <w:rsid w:val="000A0939"/>
    <w:rsid w:val="000A0BE2"/>
    <w:rsid w:val="000A0C01"/>
    <w:rsid w:val="000A0FE6"/>
    <w:rsid w:val="000A126D"/>
    <w:rsid w:val="000A14CF"/>
    <w:rsid w:val="000A1728"/>
    <w:rsid w:val="000A2C3B"/>
    <w:rsid w:val="000A2DF2"/>
    <w:rsid w:val="000A333B"/>
    <w:rsid w:val="000A3644"/>
    <w:rsid w:val="000A36F3"/>
    <w:rsid w:val="000A38E3"/>
    <w:rsid w:val="000A3C55"/>
    <w:rsid w:val="000A3FBE"/>
    <w:rsid w:val="000A3FDE"/>
    <w:rsid w:val="000A4057"/>
    <w:rsid w:val="000A4760"/>
    <w:rsid w:val="000A4BCF"/>
    <w:rsid w:val="000A4EF9"/>
    <w:rsid w:val="000A5376"/>
    <w:rsid w:val="000A5CE9"/>
    <w:rsid w:val="000A5F7C"/>
    <w:rsid w:val="000A6DC4"/>
    <w:rsid w:val="000A6E8A"/>
    <w:rsid w:val="000A7018"/>
    <w:rsid w:val="000A705B"/>
    <w:rsid w:val="000A7200"/>
    <w:rsid w:val="000A7254"/>
    <w:rsid w:val="000A7958"/>
    <w:rsid w:val="000A79FF"/>
    <w:rsid w:val="000A7EC1"/>
    <w:rsid w:val="000A7FE0"/>
    <w:rsid w:val="000B0100"/>
    <w:rsid w:val="000B0990"/>
    <w:rsid w:val="000B0FB3"/>
    <w:rsid w:val="000B1484"/>
    <w:rsid w:val="000B1575"/>
    <w:rsid w:val="000B167F"/>
    <w:rsid w:val="000B1892"/>
    <w:rsid w:val="000B18FD"/>
    <w:rsid w:val="000B197F"/>
    <w:rsid w:val="000B199E"/>
    <w:rsid w:val="000B1C88"/>
    <w:rsid w:val="000B21A6"/>
    <w:rsid w:val="000B234F"/>
    <w:rsid w:val="000B24D3"/>
    <w:rsid w:val="000B24FA"/>
    <w:rsid w:val="000B2534"/>
    <w:rsid w:val="000B2AAD"/>
    <w:rsid w:val="000B2CCD"/>
    <w:rsid w:val="000B30AF"/>
    <w:rsid w:val="000B357C"/>
    <w:rsid w:val="000B35AC"/>
    <w:rsid w:val="000B3728"/>
    <w:rsid w:val="000B378E"/>
    <w:rsid w:val="000B3DCA"/>
    <w:rsid w:val="000B483F"/>
    <w:rsid w:val="000B487E"/>
    <w:rsid w:val="000B48DB"/>
    <w:rsid w:val="000B490A"/>
    <w:rsid w:val="000B49A2"/>
    <w:rsid w:val="000B4B1F"/>
    <w:rsid w:val="000B4CE8"/>
    <w:rsid w:val="000B4D61"/>
    <w:rsid w:val="000B4EB8"/>
    <w:rsid w:val="000B5054"/>
    <w:rsid w:val="000B52C1"/>
    <w:rsid w:val="000B52C9"/>
    <w:rsid w:val="000B52F1"/>
    <w:rsid w:val="000B544F"/>
    <w:rsid w:val="000B5E6B"/>
    <w:rsid w:val="000B5EEC"/>
    <w:rsid w:val="000B60E6"/>
    <w:rsid w:val="000B6543"/>
    <w:rsid w:val="000B710A"/>
    <w:rsid w:val="000B7216"/>
    <w:rsid w:val="000B76A8"/>
    <w:rsid w:val="000B76F2"/>
    <w:rsid w:val="000B7D7D"/>
    <w:rsid w:val="000B7F3F"/>
    <w:rsid w:val="000C0435"/>
    <w:rsid w:val="000C04E8"/>
    <w:rsid w:val="000C098B"/>
    <w:rsid w:val="000C0A46"/>
    <w:rsid w:val="000C0BD8"/>
    <w:rsid w:val="000C0CE4"/>
    <w:rsid w:val="000C10BE"/>
    <w:rsid w:val="000C182E"/>
    <w:rsid w:val="000C185A"/>
    <w:rsid w:val="000C18EC"/>
    <w:rsid w:val="000C1AEA"/>
    <w:rsid w:val="000C2086"/>
    <w:rsid w:val="000C2144"/>
    <w:rsid w:val="000C24F6"/>
    <w:rsid w:val="000C2699"/>
    <w:rsid w:val="000C2768"/>
    <w:rsid w:val="000C2B97"/>
    <w:rsid w:val="000C2EE2"/>
    <w:rsid w:val="000C3580"/>
    <w:rsid w:val="000C366C"/>
    <w:rsid w:val="000C4035"/>
    <w:rsid w:val="000C41CB"/>
    <w:rsid w:val="000C421B"/>
    <w:rsid w:val="000C4299"/>
    <w:rsid w:val="000C46F6"/>
    <w:rsid w:val="000C4756"/>
    <w:rsid w:val="000C498A"/>
    <w:rsid w:val="000C4AF1"/>
    <w:rsid w:val="000C4B00"/>
    <w:rsid w:val="000C4DF5"/>
    <w:rsid w:val="000C5002"/>
    <w:rsid w:val="000C50F0"/>
    <w:rsid w:val="000C516E"/>
    <w:rsid w:val="000C5351"/>
    <w:rsid w:val="000C5357"/>
    <w:rsid w:val="000C5375"/>
    <w:rsid w:val="000C53B1"/>
    <w:rsid w:val="000C53B3"/>
    <w:rsid w:val="000C5451"/>
    <w:rsid w:val="000C5483"/>
    <w:rsid w:val="000C548F"/>
    <w:rsid w:val="000C54E8"/>
    <w:rsid w:val="000C565E"/>
    <w:rsid w:val="000C5F18"/>
    <w:rsid w:val="000C6126"/>
    <w:rsid w:val="000C62F9"/>
    <w:rsid w:val="000C64F7"/>
    <w:rsid w:val="000C6641"/>
    <w:rsid w:val="000C689B"/>
    <w:rsid w:val="000C6B29"/>
    <w:rsid w:val="000C6BE3"/>
    <w:rsid w:val="000C70F5"/>
    <w:rsid w:val="000C7453"/>
    <w:rsid w:val="000C7A37"/>
    <w:rsid w:val="000C7B86"/>
    <w:rsid w:val="000C7D4C"/>
    <w:rsid w:val="000C7EBF"/>
    <w:rsid w:val="000D0603"/>
    <w:rsid w:val="000D071D"/>
    <w:rsid w:val="000D0DE9"/>
    <w:rsid w:val="000D1176"/>
    <w:rsid w:val="000D14E3"/>
    <w:rsid w:val="000D18BC"/>
    <w:rsid w:val="000D1905"/>
    <w:rsid w:val="000D1CF6"/>
    <w:rsid w:val="000D1FF8"/>
    <w:rsid w:val="000D25AD"/>
    <w:rsid w:val="000D27B2"/>
    <w:rsid w:val="000D2CEC"/>
    <w:rsid w:val="000D2E96"/>
    <w:rsid w:val="000D3691"/>
    <w:rsid w:val="000D3857"/>
    <w:rsid w:val="000D3D4F"/>
    <w:rsid w:val="000D4345"/>
    <w:rsid w:val="000D4490"/>
    <w:rsid w:val="000D512F"/>
    <w:rsid w:val="000D5132"/>
    <w:rsid w:val="000D532B"/>
    <w:rsid w:val="000D5670"/>
    <w:rsid w:val="000D5B02"/>
    <w:rsid w:val="000D5C22"/>
    <w:rsid w:val="000D5CFD"/>
    <w:rsid w:val="000D5DE5"/>
    <w:rsid w:val="000D5E90"/>
    <w:rsid w:val="000D5ECA"/>
    <w:rsid w:val="000D60DB"/>
    <w:rsid w:val="000D6131"/>
    <w:rsid w:val="000D63FB"/>
    <w:rsid w:val="000D677B"/>
    <w:rsid w:val="000D68B2"/>
    <w:rsid w:val="000D6BFF"/>
    <w:rsid w:val="000D6C33"/>
    <w:rsid w:val="000D73DF"/>
    <w:rsid w:val="000D7716"/>
    <w:rsid w:val="000D7D7F"/>
    <w:rsid w:val="000D7EDA"/>
    <w:rsid w:val="000D7F4F"/>
    <w:rsid w:val="000E0021"/>
    <w:rsid w:val="000E015A"/>
    <w:rsid w:val="000E03E7"/>
    <w:rsid w:val="000E0526"/>
    <w:rsid w:val="000E064B"/>
    <w:rsid w:val="000E0690"/>
    <w:rsid w:val="000E07AD"/>
    <w:rsid w:val="000E0950"/>
    <w:rsid w:val="000E0FE7"/>
    <w:rsid w:val="000E0FF8"/>
    <w:rsid w:val="000E13E8"/>
    <w:rsid w:val="000E1636"/>
    <w:rsid w:val="000E1934"/>
    <w:rsid w:val="000E1B03"/>
    <w:rsid w:val="000E1BE2"/>
    <w:rsid w:val="000E1D63"/>
    <w:rsid w:val="000E204F"/>
    <w:rsid w:val="000E247C"/>
    <w:rsid w:val="000E28DA"/>
    <w:rsid w:val="000E2F64"/>
    <w:rsid w:val="000E3310"/>
    <w:rsid w:val="000E347D"/>
    <w:rsid w:val="000E39CD"/>
    <w:rsid w:val="000E4A79"/>
    <w:rsid w:val="000E4CBE"/>
    <w:rsid w:val="000E4D4C"/>
    <w:rsid w:val="000E512E"/>
    <w:rsid w:val="000E521E"/>
    <w:rsid w:val="000E5433"/>
    <w:rsid w:val="000E5498"/>
    <w:rsid w:val="000E5530"/>
    <w:rsid w:val="000E574D"/>
    <w:rsid w:val="000E5890"/>
    <w:rsid w:val="000E5E69"/>
    <w:rsid w:val="000E5F6D"/>
    <w:rsid w:val="000E5FE9"/>
    <w:rsid w:val="000E6B0A"/>
    <w:rsid w:val="000E6C56"/>
    <w:rsid w:val="000E70E3"/>
    <w:rsid w:val="000E7727"/>
    <w:rsid w:val="000E7A4F"/>
    <w:rsid w:val="000F00E7"/>
    <w:rsid w:val="000F038B"/>
    <w:rsid w:val="000F0414"/>
    <w:rsid w:val="000F07CC"/>
    <w:rsid w:val="000F085F"/>
    <w:rsid w:val="000F0B7D"/>
    <w:rsid w:val="000F0D2A"/>
    <w:rsid w:val="000F0D87"/>
    <w:rsid w:val="000F0F68"/>
    <w:rsid w:val="000F0F7F"/>
    <w:rsid w:val="000F1863"/>
    <w:rsid w:val="000F1A82"/>
    <w:rsid w:val="000F2CDA"/>
    <w:rsid w:val="000F2E2B"/>
    <w:rsid w:val="000F2E9B"/>
    <w:rsid w:val="000F34E2"/>
    <w:rsid w:val="000F388E"/>
    <w:rsid w:val="000F3C1E"/>
    <w:rsid w:val="000F3CA8"/>
    <w:rsid w:val="000F3F4F"/>
    <w:rsid w:val="000F4518"/>
    <w:rsid w:val="000F4DB6"/>
    <w:rsid w:val="000F5115"/>
    <w:rsid w:val="000F536D"/>
    <w:rsid w:val="000F5455"/>
    <w:rsid w:val="000F6378"/>
    <w:rsid w:val="000F6A23"/>
    <w:rsid w:val="000F6A75"/>
    <w:rsid w:val="000F6B21"/>
    <w:rsid w:val="000F6B85"/>
    <w:rsid w:val="000F6D2F"/>
    <w:rsid w:val="000F6EE9"/>
    <w:rsid w:val="000F705F"/>
    <w:rsid w:val="000F72BF"/>
    <w:rsid w:val="000F73A5"/>
    <w:rsid w:val="000F7608"/>
    <w:rsid w:val="000F76AC"/>
    <w:rsid w:val="000F7D1F"/>
    <w:rsid w:val="000F7F35"/>
    <w:rsid w:val="000F7F49"/>
    <w:rsid w:val="0010003C"/>
    <w:rsid w:val="0010008F"/>
    <w:rsid w:val="001005C1"/>
    <w:rsid w:val="00100605"/>
    <w:rsid w:val="001007F0"/>
    <w:rsid w:val="0010086B"/>
    <w:rsid w:val="00100BAB"/>
    <w:rsid w:val="00100D0F"/>
    <w:rsid w:val="00100DFC"/>
    <w:rsid w:val="00100F2F"/>
    <w:rsid w:val="00101268"/>
    <w:rsid w:val="00101410"/>
    <w:rsid w:val="00101489"/>
    <w:rsid w:val="001015D3"/>
    <w:rsid w:val="00101DE4"/>
    <w:rsid w:val="00101E86"/>
    <w:rsid w:val="00102075"/>
    <w:rsid w:val="0010257C"/>
    <w:rsid w:val="00102D40"/>
    <w:rsid w:val="00103373"/>
    <w:rsid w:val="00103433"/>
    <w:rsid w:val="00103D46"/>
    <w:rsid w:val="00103DA5"/>
    <w:rsid w:val="00104311"/>
    <w:rsid w:val="0010517A"/>
    <w:rsid w:val="001051FE"/>
    <w:rsid w:val="00105EB2"/>
    <w:rsid w:val="00106078"/>
    <w:rsid w:val="0010664E"/>
    <w:rsid w:val="00106681"/>
    <w:rsid w:val="0010672D"/>
    <w:rsid w:val="0010682C"/>
    <w:rsid w:val="00106987"/>
    <w:rsid w:val="00106A37"/>
    <w:rsid w:val="00106A87"/>
    <w:rsid w:val="00106BB1"/>
    <w:rsid w:val="00106F4B"/>
    <w:rsid w:val="0010767D"/>
    <w:rsid w:val="001079FF"/>
    <w:rsid w:val="00107A57"/>
    <w:rsid w:val="00107B15"/>
    <w:rsid w:val="00107F53"/>
    <w:rsid w:val="00110042"/>
    <w:rsid w:val="001104FA"/>
    <w:rsid w:val="00110719"/>
    <w:rsid w:val="0011099B"/>
    <w:rsid w:val="001113FC"/>
    <w:rsid w:val="001114C1"/>
    <w:rsid w:val="0011158E"/>
    <w:rsid w:val="0011166D"/>
    <w:rsid w:val="00111714"/>
    <w:rsid w:val="00111884"/>
    <w:rsid w:val="00111A0E"/>
    <w:rsid w:val="00111EFB"/>
    <w:rsid w:val="001121E7"/>
    <w:rsid w:val="001122B9"/>
    <w:rsid w:val="001122BF"/>
    <w:rsid w:val="00112877"/>
    <w:rsid w:val="00112C49"/>
    <w:rsid w:val="0011308E"/>
    <w:rsid w:val="00113744"/>
    <w:rsid w:val="00113841"/>
    <w:rsid w:val="00113907"/>
    <w:rsid w:val="001139E5"/>
    <w:rsid w:val="00113AE1"/>
    <w:rsid w:val="00113CF9"/>
    <w:rsid w:val="00113E12"/>
    <w:rsid w:val="001140C8"/>
    <w:rsid w:val="00114103"/>
    <w:rsid w:val="001141BB"/>
    <w:rsid w:val="001143E8"/>
    <w:rsid w:val="00114E0F"/>
    <w:rsid w:val="00115549"/>
    <w:rsid w:val="001156AF"/>
    <w:rsid w:val="00115D7F"/>
    <w:rsid w:val="00115F6A"/>
    <w:rsid w:val="00116136"/>
    <w:rsid w:val="00116A9A"/>
    <w:rsid w:val="00116BB6"/>
    <w:rsid w:val="00116F99"/>
    <w:rsid w:val="001176AD"/>
    <w:rsid w:val="0011770F"/>
    <w:rsid w:val="00117935"/>
    <w:rsid w:val="00117B4E"/>
    <w:rsid w:val="001201D4"/>
    <w:rsid w:val="001202B7"/>
    <w:rsid w:val="0012096A"/>
    <w:rsid w:val="00120ACD"/>
    <w:rsid w:val="00120CE6"/>
    <w:rsid w:val="00120E25"/>
    <w:rsid w:val="001214FE"/>
    <w:rsid w:val="00121576"/>
    <w:rsid w:val="0012185F"/>
    <w:rsid w:val="0012258D"/>
    <w:rsid w:val="00122872"/>
    <w:rsid w:val="00122B8B"/>
    <w:rsid w:val="00122BBD"/>
    <w:rsid w:val="00122E25"/>
    <w:rsid w:val="00123147"/>
    <w:rsid w:val="00123BDE"/>
    <w:rsid w:val="00123D3B"/>
    <w:rsid w:val="00123EBF"/>
    <w:rsid w:val="00123ED4"/>
    <w:rsid w:val="00123F01"/>
    <w:rsid w:val="001247DF"/>
    <w:rsid w:val="00124833"/>
    <w:rsid w:val="00124A29"/>
    <w:rsid w:val="0012541B"/>
    <w:rsid w:val="00125AAD"/>
    <w:rsid w:val="00125F82"/>
    <w:rsid w:val="00125FC3"/>
    <w:rsid w:val="001261D7"/>
    <w:rsid w:val="001265C4"/>
    <w:rsid w:val="00126641"/>
    <w:rsid w:val="00126E67"/>
    <w:rsid w:val="00126E93"/>
    <w:rsid w:val="0012701C"/>
    <w:rsid w:val="0012764C"/>
    <w:rsid w:val="00127BD9"/>
    <w:rsid w:val="00130234"/>
    <w:rsid w:val="001306E4"/>
    <w:rsid w:val="00130B5D"/>
    <w:rsid w:val="00130C5B"/>
    <w:rsid w:val="00130E0F"/>
    <w:rsid w:val="00131546"/>
    <w:rsid w:val="00131578"/>
    <w:rsid w:val="001316B8"/>
    <w:rsid w:val="001319BA"/>
    <w:rsid w:val="00131D66"/>
    <w:rsid w:val="00131F19"/>
    <w:rsid w:val="001320F8"/>
    <w:rsid w:val="00132336"/>
    <w:rsid w:val="00132535"/>
    <w:rsid w:val="0013263E"/>
    <w:rsid w:val="001329BB"/>
    <w:rsid w:val="00132F58"/>
    <w:rsid w:val="00133B1C"/>
    <w:rsid w:val="001343E8"/>
    <w:rsid w:val="00134475"/>
    <w:rsid w:val="00134ACF"/>
    <w:rsid w:val="001352F2"/>
    <w:rsid w:val="00135D05"/>
    <w:rsid w:val="00135D88"/>
    <w:rsid w:val="00135E51"/>
    <w:rsid w:val="0013614E"/>
    <w:rsid w:val="00136321"/>
    <w:rsid w:val="0013638A"/>
    <w:rsid w:val="0013698A"/>
    <w:rsid w:val="00136AB0"/>
    <w:rsid w:val="00136C3E"/>
    <w:rsid w:val="00137097"/>
    <w:rsid w:val="00137537"/>
    <w:rsid w:val="001408CC"/>
    <w:rsid w:val="00140B7B"/>
    <w:rsid w:val="00141321"/>
    <w:rsid w:val="0014139C"/>
    <w:rsid w:val="00141621"/>
    <w:rsid w:val="00141E68"/>
    <w:rsid w:val="00142795"/>
    <w:rsid w:val="00142B28"/>
    <w:rsid w:val="00142C1E"/>
    <w:rsid w:val="00142C57"/>
    <w:rsid w:val="0014315F"/>
    <w:rsid w:val="0014366A"/>
    <w:rsid w:val="00143948"/>
    <w:rsid w:val="00143A60"/>
    <w:rsid w:val="00143DC8"/>
    <w:rsid w:val="00143F1F"/>
    <w:rsid w:val="0014411D"/>
    <w:rsid w:val="001445C5"/>
    <w:rsid w:val="00144C29"/>
    <w:rsid w:val="00144D8A"/>
    <w:rsid w:val="00144F4F"/>
    <w:rsid w:val="00145034"/>
    <w:rsid w:val="00145128"/>
    <w:rsid w:val="00145358"/>
    <w:rsid w:val="001453BB"/>
    <w:rsid w:val="001455B8"/>
    <w:rsid w:val="001461F3"/>
    <w:rsid w:val="00146541"/>
    <w:rsid w:val="00146742"/>
    <w:rsid w:val="0014694A"/>
    <w:rsid w:val="00146A89"/>
    <w:rsid w:val="00146D46"/>
    <w:rsid w:val="001470D8"/>
    <w:rsid w:val="001471DF"/>
    <w:rsid w:val="001472FA"/>
    <w:rsid w:val="00150150"/>
    <w:rsid w:val="00150566"/>
    <w:rsid w:val="00150C38"/>
    <w:rsid w:val="001513F0"/>
    <w:rsid w:val="0015141E"/>
    <w:rsid w:val="001514D7"/>
    <w:rsid w:val="0015155E"/>
    <w:rsid w:val="001518DA"/>
    <w:rsid w:val="00151AAE"/>
    <w:rsid w:val="00151F01"/>
    <w:rsid w:val="0015236D"/>
    <w:rsid w:val="00152849"/>
    <w:rsid w:val="001528CD"/>
    <w:rsid w:val="00152940"/>
    <w:rsid w:val="00152C99"/>
    <w:rsid w:val="00152DA0"/>
    <w:rsid w:val="001530FC"/>
    <w:rsid w:val="00153249"/>
    <w:rsid w:val="001533D8"/>
    <w:rsid w:val="001537E9"/>
    <w:rsid w:val="00153816"/>
    <w:rsid w:val="00153957"/>
    <w:rsid w:val="00153CA2"/>
    <w:rsid w:val="001544CD"/>
    <w:rsid w:val="001545AB"/>
    <w:rsid w:val="0015489D"/>
    <w:rsid w:val="001548FB"/>
    <w:rsid w:val="00154A50"/>
    <w:rsid w:val="00154B2C"/>
    <w:rsid w:val="0015505E"/>
    <w:rsid w:val="001553A5"/>
    <w:rsid w:val="001560F9"/>
    <w:rsid w:val="001563B7"/>
    <w:rsid w:val="00156679"/>
    <w:rsid w:val="00156826"/>
    <w:rsid w:val="00157102"/>
    <w:rsid w:val="00157337"/>
    <w:rsid w:val="001576A1"/>
    <w:rsid w:val="00157751"/>
    <w:rsid w:val="0015789A"/>
    <w:rsid w:val="001578A9"/>
    <w:rsid w:val="00157B33"/>
    <w:rsid w:val="00157CAC"/>
    <w:rsid w:val="00157F85"/>
    <w:rsid w:val="0016013D"/>
    <w:rsid w:val="0016023F"/>
    <w:rsid w:val="001603C5"/>
    <w:rsid w:val="00160601"/>
    <w:rsid w:val="0016086D"/>
    <w:rsid w:val="001611A5"/>
    <w:rsid w:val="001614A0"/>
    <w:rsid w:val="00161BE6"/>
    <w:rsid w:val="00161F3A"/>
    <w:rsid w:val="00162703"/>
    <w:rsid w:val="001629A1"/>
    <w:rsid w:val="001629F3"/>
    <w:rsid w:val="00162BC1"/>
    <w:rsid w:val="00162E47"/>
    <w:rsid w:val="00162F73"/>
    <w:rsid w:val="001631CB"/>
    <w:rsid w:val="00163874"/>
    <w:rsid w:val="001638DC"/>
    <w:rsid w:val="00163AA0"/>
    <w:rsid w:val="001643F5"/>
    <w:rsid w:val="00164423"/>
    <w:rsid w:val="00164EAF"/>
    <w:rsid w:val="00164FEC"/>
    <w:rsid w:val="0016539B"/>
    <w:rsid w:val="00165514"/>
    <w:rsid w:val="001655DA"/>
    <w:rsid w:val="00165ACC"/>
    <w:rsid w:val="0016604A"/>
    <w:rsid w:val="001661F9"/>
    <w:rsid w:val="00166228"/>
    <w:rsid w:val="001662A2"/>
    <w:rsid w:val="0016694A"/>
    <w:rsid w:val="0016694C"/>
    <w:rsid w:val="00166C3F"/>
    <w:rsid w:val="00166CAF"/>
    <w:rsid w:val="00166D14"/>
    <w:rsid w:val="00166D43"/>
    <w:rsid w:val="00167150"/>
    <w:rsid w:val="001671D2"/>
    <w:rsid w:val="001672F2"/>
    <w:rsid w:val="00167632"/>
    <w:rsid w:val="001677C8"/>
    <w:rsid w:val="00167A0E"/>
    <w:rsid w:val="001700F2"/>
    <w:rsid w:val="001700F4"/>
    <w:rsid w:val="001701C0"/>
    <w:rsid w:val="001704D2"/>
    <w:rsid w:val="00170653"/>
    <w:rsid w:val="00170846"/>
    <w:rsid w:val="0017098E"/>
    <w:rsid w:val="00170AFD"/>
    <w:rsid w:val="00170C40"/>
    <w:rsid w:val="00170EB5"/>
    <w:rsid w:val="00170F32"/>
    <w:rsid w:val="00171193"/>
    <w:rsid w:val="00171463"/>
    <w:rsid w:val="001717C6"/>
    <w:rsid w:val="00171AC1"/>
    <w:rsid w:val="00171BA8"/>
    <w:rsid w:val="00171DB2"/>
    <w:rsid w:val="00172119"/>
    <w:rsid w:val="001722C6"/>
    <w:rsid w:val="0017232B"/>
    <w:rsid w:val="0017270D"/>
    <w:rsid w:val="001727E3"/>
    <w:rsid w:val="00172A0E"/>
    <w:rsid w:val="0017395F"/>
    <w:rsid w:val="0017407B"/>
    <w:rsid w:val="001747D1"/>
    <w:rsid w:val="00174822"/>
    <w:rsid w:val="00174860"/>
    <w:rsid w:val="00174940"/>
    <w:rsid w:val="00174BD7"/>
    <w:rsid w:val="001751C2"/>
    <w:rsid w:val="00175794"/>
    <w:rsid w:val="00175BCE"/>
    <w:rsid w:val="00176080"/>
    <w:rsid w:val="00176294"/>
    <w:rsid w:val="001767DD"/>
    <w:rsid w:val="001768B6"/>
    <w:rsid w:val="00176E14"/>
    <w:rsid w:val="00176F32"/>
    <w:rsid w:val="00177E5A"/>
    <w:rsid w:val="00177E9F"/>
    <w:rsid w:val="001802A2"/>
    <w:rsid w:val="00180343"/>
    <w:rsid w:val="00180688"/>
    <w:rsid w:val="00180710"/>
    <w:rsid w:val="0018075E"/>
    <w:rsid w:val="0018075F"/>
    <w:rsid w:val="001807AC"/>
    <w:rsid w:val="001807ED"/>
    <w:rsid w:val="001808D2"/>
    <w:rsid w:val="001810DB"/>
    <w:rsid w:val="001817A3"/>
    <w:rsid w:val="00181812"/>
    <w:rsid w:val="00181A30"/>
    <w:rsid w:val="00181C5E"/>
    <w:rsid w:val="00181D56"/>
    <w:rsid w:val="001822ED"/>
    <w:rsid w:val="001824B2"/>
    <w:rsid w:val="001825EC"/>
    <w:rsid w:val="001826DB"/>
    <w:rsid w:val="00182826"/>
    <w:rsid w:val="00182A9B"/>
    <w:rsid w:val="00182CAC"/>
    <w:rsid w:val="00182DB9"/>
    <w:rsid w:val="00182EC2"/>
    <w:rsid w:val="00183251"/>
    <w:rsid w:val="0018333D"/>
    <w:rsid w:val="0018356E"/>
    <w:rsid w:val="0018384D"/>
    <w:rsid w:val="0018389D"/>
    <w:rsid w:val="00184199"/>
    <w:rsid w:val="001841BB"/>
    <w:rsid w:val="001842C4"/>
    <w:rsid w:val="00184634"/>
    <w:rsid w:val="001849D5"/>
    <w:rsid w:val="00184BDA"/>
    <w:rsid w:val="00184C23"/>
    <w:rsid w:val="0018506D"/>
    <w:rsid w:val="00185217"/>
    <w:rsid w:val="00185F48"/>
    <w:rsid w:val="001865DD"/>
    <w:rsid w:val="00186CD0"/>
    <w:rsid w:val="00187050"/>
    <w:rsid w:val="001871A8"/>
    <w:rsid w:val="001872C9"/>
    <w:rsid w:val="00187333"/>
    <w:rsid w:val="00187C96"/>
    <w:rsid w:val="00187E6A"/>
    <w:rsid w:val="00187F36"/>
    <w:rsid w:val="0019004A"/>
    <w:rsid w:val="001900C4"/>
    <w:rsid w:val="00190347"/>
    <w:rsid w:val="001906B0"/>
    <w:rsid w:val="001908F4"/>
    <w:rsid w:val="001909C2"/>
    <w:rsid w:val="00190CC5"/>
    <w:rsid w:val="00191078"/>
    <w:rsid w:val="0019117E"/>
    <w:rsid w:val="00191C66"/>
    <w:rsid w:val="00192413"/>
    <w:rsid w:val="00192597"/>
    <w:rsid w:val="001925E8"/>
    <w:rsid w:val="00192783"/>
    <w:rsid w:val="00192897"/>
    <w:rsid w:val="00192B0B"/>
    <w:rsid w:val="00192F97"/>
    <w:rsid w:val="001932EC"/>
    <w:rsid w:val="00193329"/>
    <w:rsid w:val="001937BB"/>
    <w:rsid w:val="001938F8"/>
    <w:rsid w:val="00193ACD"/>
    <w:rsid w:val="00194048"/>
    <w:rsid w:val="001948EE"/>
    <w:rsid w:val="00194950"/>
    <w:rsid w:val="00194A25"/>
    <w:rsid w:val="00194FB3"/>
    <w:rsid w:val="0019507E"/>
    <w:rsid w:val="001951F7"/>
    <w:rsid w:val="001953EF"/>
    <w:rsid w:val="00195590"/>
    <w:rsid w:val="00195D92"/>
    <w:rsid w:val="00195DEC"/>
    <w:rsid w:val="00196316"/>
    <w:rsid w:val="001967A2"/>
    <w:rsid w:val="001969CC"/>
    <w:rsid w:val="001969DA"/>
    <w:rsid w:val="00196AA8"/>
    <w:rsid w:val="00196C0C"/>
    <w:rsid w:val="00196F67"/>
    <w:rsid w:val="00197283"/>
    <w:rsid w:val="0019747D"/>
    <w:rsid w:val="0019781D"/>
    <w:rsid w:val="00197F2A"/>
    <w:rsid w:val="00197F7F"/>
    <w:rsid w:val="001A0339"/>
    <w:rsid w:val="001A0DCA"/>
    <w:rsid w:val="001A0F70"/>
    <w:rsid w:val="001A10D5"/>
    <w:rsid w:val="001A125A"/>
    <w:rsid w:val="001A128A"/>
    <w:rsid w:val="001A1523"/>
    <w:rsid w:val="001A1A5C"/>
    <w:rsid w:val="001A1ACD"/>
    <w:rsid w:val="001A1B51"/>
    <w:rsid w:val="001A2221"/>
    <w:rsid w:val="001A22B6"/>
    <w:rsid w:val="001A24FA"/>
    <w:rsid w:val="001A2772"/>
    <w:rsid w:val="001A2F4C"/>
    <w:rsid w:val="001A3164"/>
    <w:rsid w:val="001A320F"/>
    <w:rsid w:val="001A34B3"/>
    <w:rsid w:val="001A3816"/>
    <w:rsid w:val="001A3858"/>
    <w:rsid w:val="001A38CA"/>
    <w:rsid w:val="001A3B71"/>
    <w:rsid w:val="001A3D86"/>
    <w:rsid w:val="001A44DD"/>
    <w:rsid w:val="001A44E7"/>
    <w:rsid w:val="001A4923"/>
    <w:rsid w:val="001A4AEB"/>
    <w:rsid w:val="001A4DC2"/>
    <w:rsid w:val="001A4F65"/>
    <w:rsid w:val="001A5017"/>
    <w:rsid w:val="001A56B3"/>
    <w:rsid w:val="001A6C49"/>
    <w:rsid w:val="001A71AB"/>
    <w:rsid w:val="001A7629"/>
    <w:rsid w:val="001A7644"/>
    <w:rsid w:val="001A78CD"/>
    <w:rsid w:val="001A7E44"/>
    <w:rsid w:val="001B0195"/>
    <w:rsid w:val="001B05B0"/>
    <w:rsid w:val="001B05C2"/>
    <w:rsid w:val="001B08A1"/>
    <w:rsid w:val="001B0A0F"/>
    <w:rsid w:val="001B0D54"/>
    <w:rsid w:val="001B0D7E"/>
    <w:rsid w:val="001B0EFC"/>
    <w:rsid w:val="001B1197"/>
    <w:rsid w:val="001B126C"/>
    <w:rsid w:val="001B1416"/>
    <w:rsid w:val="001B15DF"/>
    <w:rsid w:val="001B17FD"/>
    <w:rsid w:val="001B1882"/>
    <w:rsid w:val="001B1EC2"/>
    <w:rsid w:val="001B20EE"/>
    <w:rsid w:val="001B21CA"/>
    <w:rsid w:val="001B22A0"/>
    <w:rsid w:val="001B3443"/>
    <w:rsid w:val="001B36A2"/>
    <w:rsid w:val="001B36E8"/>
    <w:rsid w:val="001B3A43"/>
    <w:rsid w:val="001B3A4D"/>
    <w:rsid w:val="001B3AA3"/>
    <w:rsid w:val="001B3F0A"/>
    <w:rsid w:val="001B4115"/>
    <w:rsid w:val="001B4414"/>
    <w:rsid w:val="001B444E"/>
    <w:rsid w:val="001B44C3"/>
    <w:rsid w:val="001B4762"/>
    <w:rsid w:val="001B4D91"/>
    <w:rsid w:val="001B5249"/>
    <w:rsid w:val="001B53C1"/>
    <w:rsid w:val="001B5822"/>
    <w:rsid w:val="001B58AF"/>
    <w:rsid w:val="001B5B16"/>
    <w:rsid w:val="001B5C81"/>
    <w:rsid w:val="001B62CC"/>
    <w:rsid w:val="001B64DC"/>
    <w:rsid w:val="001B6884"/>
    <w:rsid w:val="001B7726"/>
    <w:rsid w:val="001B7A86"/>
    <w:rsid w:val="001B7B5F"/>
    <w:rsid w:val="001B7D4C"/>
    <w:rsid w:val="001B7DCA"/>
    <w:rsid w:val="001B7DD1"/>
    <w:rsid w:val="001C0116"/>
    <w:rsid w:val="001C032F"/>
    <w:rsid w:val="001C0C67"/>
    <w:rsid w:val="001C0D52"/>
    <w:rsid w:val="001C1428"/>
    <w:rsid w:val="001C152C"/>
    <w:rsid w:val="001C1650"/>
    <w:rsid w:val="001C167A"/>
    <w:rsid w:val="001C172A"/>
    <w:rsid w:val="001C1A01"/>
    <w:rsid w:val="001C1BDF"/>
    <w:rsid w:val="001C248F"/>
    <w:rsid w:val="001C2780"/>
    <w:rsid w:val="001C28D6"/>
    <w:rsid w:val="001C2AA1"/>
    <w:rsid w:val="001C2CAA"/>
    <w:rsid w:val="001C2D99"/>
    <w:rsid w:val="001C2FE0"/>
    <w:rsid w:val="001C335A"/>
    <w:rsid w:val="001C37C5"/>
    <w:rsid w:val="001C385D"/>
    <w:rsid w:val="001C388B"/>
    <w:rsid w:val="001C38FE"/>
    <w:rsid w:val="001C3D07"/>
    <w:rsid w:val="001C5E1D"/>
    <w:rsid w:val="001C5E2F"/>
    <w:rsid w:val="001C610D"/>
    <w:rsid w:val="001C6790"/>
    <w:rsid w:val="001C6F68"/>
    <w:rsid w:val="001C7211"/>
    <w:rsid w:val="001C79A8"/>
    <w:rsid w:val="001C7C91"/>
    <w:rsid w:val="001C7D45"/>
    <w:rsid w:val="001C7E81"/>
    <w:rsid w:val="001C7FDB"/>
    <w:rsid w:val="001D0063"/>
    <w:rsid w:val="001D0B63"/>
    <w:rsid w:val="001D0D1A"/>
    <w:rsid w:val="001D0D30"/>
    <w:rsid w:val="001D0F3F"/>
    <w:rsid w:val="001D1098"/>
    <w:rsid w:val="001D14D9"/>
    <w:rsid w:val="001D1A31"/>
    <w:rsid w:val="001D1D83"/>
    <w:rsid w:val="001D1DD5"/>
    <w:rsid w:val="001D2000"/>
    <w:rsid w:val="001D2167"/>
    <w:rsid w:val="001D226A"/>
    <w:rsid w:val="001D2AF1"/>
    <w:rsid w:val="001D2CD1"/>
    <w:rsid w:val="001D2E5C"/>
    <w:rsid w:val="001D3D54"/>
    <w:rsid w:val="001D4409"/>
    <w:rsid w:val="001D4675"/>
    <w:rsid w:val="001D477A"/>
    <w:rsid w:val="001D4C5B"/>
    <w:rsid w:val="001D4C7C"/>
    <w:rsid w:val="001D507E"/>
    <w:rsid w:val="001D559F"/>
    <w:rsid w:val="001D55D2"/>
    <w:rsid w:val="001D56DE"/>
    <w:rsid w:val="001D57DE"/>
    <w:rsid w:val="001D5B59"/>
    <w:rsid w:val="001D5D6E"/>
    <w:rsid w:val="001D658B"/>
    <w:rsid w:val="001D6AE1"/>
    <w:rsid w:val="001D6B44"/>
    <w:rsid w:val="001D6C01"/>
    <w:rsid w:val="001D6EE7"/>
    <w:rsid w:val="001D6FE1"/>
    <w:rsid w:val="001D708B"/>
    <w:rsid w:val="001D7199"/>
    <w:rsid w:val="001D71A1"/>
    <w:rsid w:val="001D71E5"/>
    <w:rsid w:val="001D722B"/>
    <w:rsid w:val="001D73E5"/>
    <w:rsid w:val="001D7873"/>
    <w:rsid w:val="001D7C3C"/>
    <w:rsid w:val="001D7C4E"/>
    <w:rsid w:val="001D7F51"/>
    <w:rsid w:val="001E0048"/>
    <w:rsid w:val="001E05F9"/>
    <w:rsid w:val="001E06F1"/>
    <w:rsid w:val="001E0A42"/>
    <w:rsid w:val="001E0B5F"/>
    <w:rsid w:val="001E0F00"/>
    <w:rsid w:val="001E11BD"/>
    <w:rsid w:val="001E13BA"/>
    <w:rsid w:val="001E1468"/>
    <w:rsid w:val="001E146E"/>
    <w:rsid w:val="001E18A5"/>
    <w:rsid w:val="001E1B30"/>
    <w:rsid w:val="001E1F14"/>
    <w:rsid w:val="001E2467"/>
    <w:rsid w:val="001E26B2"/>
    <w:rsid w:val="001E2778"/>
    <w:rsid w:val="001E2E7D"/>
    <w:rsid w:val="001E2FA6"/>
    <w:rsid w:val="001E3134"/>
    <w:rsid w:val="001E3265"/>
    <w:rsid w:val="001E3727"/>
    <w:rsid w:val="001E3A97"/>
    <w:rsid w:val="001E3E01"/>
    <w:rsid w:val="001E3E7E"/>
    <w:rsid w:val="001E3F8F"/>
    <w:rsid w:val="001E41A8"/>
    <w:rsid w:val="001E4780"/>
    <w:rsid w:val="001E4930"/>
    <w:rsid w:val="001E59A7"/>
    <w:rsid w:val="001E5FFD"/>
    <w:rsid w:val="001E68C9"/>
    <w:rsid w:val="001E69D0"/>
    <w:rsid w:val="001E69EB"/>
    <w:rsid w:val="001E71C0"/>
    <w:rsid w:val="001E7500"/>
    <w:rsid w:val="001E75A2"/>
    <w:rsid w:val="001E7A37"/>
    <w:rsid w:val="001E7BD7"/>
    <w:rsid w:val="001F012F"/>
    <w:rsid w:val="001F0514"/>
    <w:rsid w:val="001F051E"/>
    <w:rsid w:val="001F0F85"/>
    <w:rsid w:val="001F0FE7"/>
    <w:rsid w:val="001F10B3"/>
    <w:rsid w:val="001F10F7"/>
    <w:rsid w:val="001F1135"/>
    <w:rsid w:val="001F11CE"/>
    <w:rsid w:val="001F134F"/>
    <w:rsid w:val="001F1412"/>
    <w:rsid w:val="001F17B0"/>
    <w:rsid w:val="001F1810"/>
    <w:rsid w:val="001F1D83"/>
    <w:rsid w:val="001F1D87"/>
    <w:rsid w:val="001F1DE6"/>
    <w:rsid w:val="001F1E31"/>
    <w:rsid w:val="001F1E9D"/>
    <w:rsid w:val="001F1FED"/>
    <w:rsid w:val="001F21E6"/>
    <w:rsid w:val="001F2714"/>
    <w:rsid w:val="001F297A"/>
    <w:rsid w:val="001F30EB"/>
    <w:rsid w:val="001F3387"/>
    <w:rsid w:val="001F34A2"/>
    <w:rsid w:val="001F35F3"/>
    <w:rsid w:val="001F36CE"/>
    <w:rsid w:val="001F390A"/>
    <w:rsid w:val="001F3A83"/>
    <w:rsid w:val="001F3ED7"/>
    <w:rsid w:val="001F4038"/>
    <w:rsid w:val="001F45A9"/>
    <w:rsid w:val="001F494D"/>
    <w:rsid w:val="001F4ED5"/>
    <w:rsid w:val="001F50C1"/>
    <w:rsid w:val="001F5AB3"/>
    <w:rsid w:val="001F5B4E"/>
    <w:rsid w:val="001F5E3F"/>
    <w:rsid w:val="001F6540"/>
    <w:rsid w:val="001F6CB0"/>
    <w:rsid w:val="001F7873"/>
    <w:rsid w:val="001F7C54"/>
    <w:rsid w:val="001F7CAE"/>
    <w:rsid w:val="001F7E8A"/>
    <w:rsid w:val="002009CD"/>
    <w:rsid w:val="00200A16"/>
    <w:rsid w:val="00200D04"/>
    <w:rsid w:val="00200DDC"/>
    <w:rsid w:val="00200F16"/>
    <w:rsid w:val="00201125"/>
    <w:rsid w:val="002013DB"/>
    <w:rsid w:val="00201530"/>
    <w:rsid w:val="0020189E"/>
    <w:rsid w:val="0020199E"/>
    <w:rsid w:val="0020205A"/>
    <w:rsid w:val="00202531"/>
    <w:rsid w:val="00202BC7"/>
    <w:rsid w:val="00202DB4"/>
    <w:rsid w:val="002031BC"/>
    <w:rsid w:val="0020429F"/>
    <w:rsid w:val="00204534"/>
    <w:rsid w:val="00204676"/>
    <w:rsid w:val="00204BEE"/>
    <w:rsid w:val="00204D4F"/>
    <w:rsid w:val="00204EE2"/>
    <w:rsid w:val="0020555B"/>
    <w:rsid w:val="00205BC3"/>
    <w:rsid w:val="00205C46"/>
    <w:rsid w:val="00206109"/>
    <w:rsid w:val="002062F4"/>
    <w:rsid w:val="00206E15"/>
    <w:rsid w:val="00206E80"/>
    <w:rsid w:val="00206F6E"/>
    <w:rsid w:val="00206FF1"/>
    <w:rsid w:val="002071F1"/>
    <w:rsid w:val="002072A1"/>
    <w:rsid w:val="002074CE"/>
    <w:rsid w:val="0020796B"/>
    <w:rsid w:val="002079A4"/>
    <w:rsid w:val="00207BD4"/>
    <w:rsid w:val="002101C0"/>
    <w:rsid w:val="002103A0"/>
    <w:rsid w:val="002105D6"/>
    <w:rsid w:val="002105F7"/>
    <w:rsid w:val="0021097C"/>
    <w:rsid w:val="00210A7C"/>
    <w:rsid w:val="002116BF"/>
    <w:rsid w:val="00211A73"/>
    <w:rsid w:val="00211AAB"/>
    <w:rsid w:val="00211B24"/>
    <w:rsid w:val="00211CCA"/>
    <w:rsid w:val="00211D8A"/>
    <w:rsid w:val="00211FE7"/>
    <w:rsid w:val="0021272D"/>
    <w:rsid w:val="0021280E"/>
    <w:rsid w:val="002129AE"/>
    <w:rsid w:val="00212AF8"/>
    <w:rsid w:val="00212BB5"/>
    <w:rsid w:val="002132C5"/>
    <w:rsid w:val="00213592"/>
    <w:rsid w:val="00213BF4"/>
    <w:rsid w:val="00213F7E"/>
    <w:rsid w:val="002147B7"/>
    <w:rsid w:val="00214AF6"/>
    <w:rsid w:val="00214C02"/>
    <w:rsid w:val="00214D4C"/>
    <w:rsid w:val="002153C5"/>
    <w:rsid w:val="002154A4"/>
    <w:rsid w:val="00215607"/>
    <w:rsid w:val="002156E7"/>
    <w:rsid w:val="00215A2B"/>
    <w:rsid w:val="00215CDD"/>
    <w:rsid w:val="002161AE"/>
    <w:rsid w:val="00216340"/>
    <w:rsid w:val="00216901"/>
    <w:rsid w:val="00216DD6"/>
    <w:rsid w:val="0021732D"/>
    <w:rsid w:val="002173BC"/>
    <w:rsid w:val="002173D9"/>
    <w:rsid w:val="002175F5"/>
    <w:rsid w:val="0021772A"/>
    <w:rsid w:val="00217DE5"/>
    <w:rsid w:val="00217EB9"/>
    <w:rsid w:val="00220C72"/>
    <w:rsid w:val="00220D1C"/>
    <w:rsid w:val="002215A8"/>
    <w:rsid w:val="00221662"/>
    <w:rsid w:val="00221664"/>
    <w:rsid w:val="00221854"/>
    <w:rsid w:val="00221B74"/>
    <w:rsid w:val="0022219C"/>
    <w:rsid w:val="002227B6"/>
    <w:rsid w:val="002229DB"/>
    <w:rsid w:val="00222A36"/>
    <w:rsid w:val="00222A43"/>
    <w:rsid w:val="00222CF9"/>
    <w:rsid w:val="00222E2F"/>
    <w:rsid w:val="0022331C"/>
    <w:rsid w:val="0022351A"/>
    <w:rsid w:val="00223FB2"/>
    <w:rsid w:val="00224135"/>
    <w:rsid w:val="00224AC8"/>
    <w:rsid w:val="0022526A"/>
    <w:rsid w:val="00225328"/>
    <w:rsid w:val="00225887"/>
    <w:rsid w:val="00225D72"/>
    <w:rsid w:val="002262DB"/>
    <w:rsid w:val="002269B5"/>
    <w:rsid w:val="00226CA6"/>
    <w:rsid w:val="00226CB2"/>
    <w:rsid w:val="0022729C"/>
    <w:rsid w:val="00227512"/>
    <w:rsid w:val="00227A1C"/>
    <w:rsid w:val="00227D28"/>
    <w:rsid w:val="00227F0B"/>
    <w:rsid w:val="0023051F"/>
    <w:rsid w:val="00230619"/>
    <w:rsid w:val="00230669"/>
    <w:rsid w:val="00230E9F"/>
    <w:rsid w:val="0023138C"/>
    <w:rsid w:val="002313DE"/>
    <w:rsid w:val="0023150C"/>
    <w:rsid w:val="00231559"/>
    <w:rsid w:val="0023163F"/>
    <w:rsid w:val="00231889"/>
    <w:rsid w:val="00231AB8"/>
    <w:rsid w:val="00231CB9"/>
    <w:rsid w:val="002327D0"/>
    <w:rsid w:val="002328D0"/>
    <w:rsid w:val="00232971"/>
    <w:rsid w:val="00232CD4"/>
    <w:rsid w:val="00232D4F"/>
    <w:rsid w:val="00232DD1"/>
    <w:rsid w:val="00232FDF"/>
    <w:rsid w:val="0023319F"/>
    <w:rsid w:val="002337BB"/>
    <w:rsid w:val="002337EE"/>
    <w:rsid w:val="00233CC6"/>
    <w:rsid w:val="00234095"/>
    <w:rsid w:val="00234139"/>
    <w:rsid w:val="002343E4"/>
    <w:rsid w:val="002345D8"/>
    <w:rsid w:val="002345FA"/>
    <w:rsid w:val="00234BE8"/>
    <w:rsid w:val="0023502C"/>
    <w:rsid w:val="0023535B"/>
    <w:rsid w:val="002355B4"/>
    <w:rsid w:val="002355E9"/>
    <w:rsid w:val="002356E1"/>
    <w:rsid w:val="00235840"/>
    <w:rsid w:val="0023584F"/>
    <w:rsid w:val="00235892"/>
    <w:rsid w:val="002358D6"/>
    <w:rsid w:val="0023595B"/>
    <w:rsid w:val="00235DD0"/>
    <w:rsid w:val="00235E50"/>
    <w:rsid w:val="00236BB7"/>
    <w:rsid w:val="00236D60"/>
    <w:rsid w:val="00236FB1"/>
    <w:rsid w:val="00237403"/>
    <w:rsid w:val="002378DB"/>
    <w:rsid w:val="00237B22"/>
    <w:rsid w:val="00237B25"/>
    <w:rsid w:val="00237BA5"/>
    <w:rsid w:val="00237DD9"/>
    <w:rsid w:val="00240083"/>
    <w:rsid w:val="002400C9"/>
    <w:rsid w:val="002404AE"/>
    <w:rsid w:val="002407CB"/>
    <w:rsid w:val="00240A81"/>
    <w:rsid w:val="00240B1E"/>
    <w:rsid w:val="00240CAF"/>
    <w:rsid w:val="00240DD0"/>
    <w:rsid w:val="00240E05"/>
    <w:rsid w:val="00240F23"/>
    <w:rsid w:val="00241429"/>
    <w:rsid w:val="00241C48"/>
    <w:rsid w:val="00241D60"/>
    <w:rsid w:val="00241E3C"/>
    <w:rsid w:val="00241F9A"/>
    <w:rsid w:val="002422FB"/>
    <w:rsid w:val="002426E8"/>
    <w:rsid w:val="0024276B"/>
    <w:rsid w:val="0024277A"/>
    <w:rsid w:val="0024296F"/>
    <w:rsid w:val="002429D9"/>
    <w:rsid w:val="0024317B"/>
    <w:rsid w:val="0024332A"/>
    <w:rsid w:val="00243A06"/>
    <w:rsid w:val="00243BE2"/>
    <w:rsid w:val="00243F29"/>
    <w:rsid w:val="0024465D"/>
    <w:rsid w:val="00244CFB"/>
    <w:rsid w:val="002454FD"/>
    <w:rsid w:val="002457A7"/>
    <w:rsid w:val="00245C36"/>
    <w:rsid w:val="002462E8"/>
    <w:rsid w:val="00246852"/>
    <w:rsid w:val="002468CD"/>
    <w:rsid w:val="002468E7"/>
    <w:rsid w:val="00246C0E"/>
    <w:rsid w:val="00247204"/>
    <w:rsid w:val="0024720B"/>
    <w:rsid w:val="002477A3"/>
    <w:rsid w:val="002478C9"/>
    <w:rsid w:val="00247FF2"/>
    <w:rsid w:val="00250831"/>
    <w:rsid w:val="002508D0"/>
    <w:rsid w:val="0025096F"/>
    <w:rsid w:val="00250A9B"/>
    <w:rsid w:val="00250B7A"/>
    <w:rsid w:val="00250B9C"/>
    <w:rsid w:val="00250EA3"/>
    <w:rsid w:val="002513F9"/>
    <w:rsid w:val="00251536"/>
    <w:rsid w:val="002518AC"/>
    <w:rsid w:val="00251B0D"/>
    <w:rsid w:val="00251B9C"/>
    <w:rsid w:val="00251BA0"/>
    <w:rsid w:val="00251EEE"/>
    <w:rsid w:val="00251FF0"/>
    <w:rsid w:val="00252024"/>
    <w:rsid w:val="00252576"/>
    <w:rsid w:val="00252AC9"/>
    <w:rsid w:val="00252F67"/>
    <w:rsid w:val="00252FCB"/>
    <w:rsid w:val="0025322B"/>
    <w:rsid w:val="00253414"/>
    <w:rsid w:val="0025347C"/>
    <w:rsid w:val="00253780"/>
    <w:rsid w:val="00253F2C"/>
    <w:rsid w:val="0025405E"/>
    <w:rsid w:val="0025408D"/>
    <w:rsid w:val="0025414F"/>
    <w:rsid w:val="002545BD"/>
    <w:rsid w:val="00254616"/>
    <w:rsid w:val="00254BE8"/>
    <w:rsid w:val="002552B6"/>
    <w:rsid w:val="0025547C"/>
    <w:rsid w:val="00255544"/>
    <w:rsid w:val="0025585B"/>
    <w:rsid w:val="0025591E"/>
    <w:rsid w:val="00255AD3"/>
    <w:rsid w:val="00255B23"/>
    <w:rsid w:val="00255E89"/>
    <w:rsid w:val="002561A2"/>
    <w:rsid w:val="00256391"/>
    <w:rsid w:val="0025669D"/>
    <w:rsid w:val="00256BB1"/>
    <w:rsid w:val="00256C41"/>
    <w:rsid w:val="00256FEA"/>
    <w:rsid w:val="002571F7"/>
    <w:rsid w:val="0025740C"/>
    <w:rsid w:val="00257570"/>
    <w:rsid w:val="002575B0"/>
    <w:rsid w:val="00257CB6"/>
    <w:rsid w:val="00257F6B"/>
    <w:rsid w:val="0026010C"/>
    <w:rsid w:val="0026013C"/>
    <w:rsid w:val="00260D0B"/>
    <w:rsid w:val="00260DB3"/>
    <w:rsid w:val="00260E86"/>
    <w:rsid w:val="002611D8"/>
    <w:rsid w:val="002614A6"/>
    <w:rsid w:val="0026152A"/>
    <w:rsid w:val="0026160A"/>
    <w:rsid w:val="002618FC"/>
    <w:rsid w:val="00261AE9"/>
    <w:rsid w:val="00262127"/>
    <w:rsid w:val="002623F5"/>
    <w:rsid w:val="002626FF"/>
    <w:rsid w:val="002629CE"/>
    <w:rsid w:val="00263297"/>
    <w:rsid w:val="0026365B"/>
    <w:rsid w:val="002636E3"/>
    <w:rsid w:val="00264364"/>
    <w:rsid w:val="00264673"/>
    <w:rsid w:val="002647E1"/>
    <w:rsid w:val="00264819"/>
    <w:rsid w:val="00264A6B"/>
    <w:rsid w:val="00265446"/>
    <w:rsid w:val="002654D7"/>
    <w:rsid w:val="00265DC7"/>
    <w:rsid w:val="00266013"/>
    <w:rsid w:val="00266187"/>
    <w:rsid w:val="00266262"/>
    <w:rsid w:val="00266516"/>
    <w:rsid w:val="00266606"/>
    <w:rsid w:val="0026678E"/>
    <w:rsid w:val="002667DF"/>
    <w:rsid w:val="002668A5"/>
    <w:rsid w:val="00266968"/>
    <w:rsid w:val="00266A07"/>
    <w:rsid w:val="00266CEA"/>
    <w:rsid w:val="00266F6D"/>
    <w:rsid w:val="002670A5"/>
    <w:rsid w:val="00267280"/>
    <w:rsid w:val="0026774A"/>
    <w:rsid w:val="00267E18"/>
    <w:rsid w:val="00267FA1"/>
    <w:rsid w:val="0027084B"/>
    <w:rsid w:val="00270866"/>
    <w:rsid w:val="00270DA4"/>
    <w:rsid w:val="00270E97"/>
    <w:rsid w:val="00270F66"/>
    <w:rsid w:val="002716AD"/>
    <w:rsid w:val="00271732"/>
    <w:rsid w:val="00271869"/>
    <w:rsid w:val="00271F4D"/>
    <w:rsid w:val="00272056"/>
    <w:rsid w:val="00272413"/>
    <w:rsid w:val="00272419"/>
    <w:rsid w:val="00272695"/>
    <w:rsid w:val="002730D8"/>
    <w:rsid w:val="0027331F"/>
    <w:rsid w:val="0027339C"/>
    <w:rsid w:val="002733A1"/>
    <w:rsid w:val="0027362F"/>
    <w:rsid w:val="00273B42"/>
    <w:rsid w:val="00273F5A"/>
    <w:rsid w:val="002741EF"/>
    <w:rsid w:val="0027474C"/>
    <w:rsid w:val="00274B6A"/>
    <w:rsid w:val="00274F60"/>
    <w:rsid w:val="00275338"/>
    <w:rsid w:val="002755AF"/>
    <w:rsid w:val="0027586B"/>
    <w:rsid w:val="0027605E"/>
    <w:rsid w:val="0027616B"/>
    <w:rsid w:val="0027641D"/>
    <w:rsid w:val="00276A36"/>
    <w:rsid w:val="00277043"/>
    <w:rsid w:val="00277050"/>
    <w:rsid w:val="0027719A"/>
    <w:rsid w:val="00277440"/>
    <w:rsid w:val="00277990"/>
    <w:rsid w:val="00277B28"/>
    <w:rsid w:val="00277BC0"/>
    <w:rsid w:val="00277E3F"/>
    <w:rsid w:val="00277F69"/>
    <w:rsid w:val="0028007A"/>
    <w:rsid w:val="00280517"/>
    <w:rsid w:val="00280CAC"/>
    <w:rsid w:val="0028159A"/>
    <w:rsid w:val="0028172C"/>
    <w:rsid w:val="0028177C"/>
    <w:rsid w:val="00281A36"/>
    <w:rsid w:val="00281D09"/>
    <w:rsid w:val="002821CA"/>
    <w:rsid w:val="00282869"/>
    <w:rsid w:val="00283024"/>
    <w:rsid w:val="00283102"/>
    <w:rsid w:val="00283151"/>
    <w:rsid w:val="00283359"/>
    <w:rsid w:val="0028345C"/>
    <w:rsid w:val="00283A15"/>
    <w:rsid w:val="00283FBA"/>
    <w:rsid w:val="002841E4"/>
    <w:rsid w:val="00284391"/>
    <w:rsid w:val="002843C6"/>
    <w:rsid w:val="00284D13"/>
    <w:rsid w:val="00284E84"/>
    <w:rsid w:val="00285508"/>
    <w:rsid w:val="00285CC7"/>
    <w:rsid w:val="00285E03"/>
    <w:rsid w:val="0028613E"/>
    <w:rsid w:val="002866D5"/>
    <w:rsid w:val="002867BE"/>
    <w:rsid w:val="00286922"/>
    <w:rsid w:val="00286CD3"/>
    <w:rsid w:val="00286D15"/>
    <w:rsid w:val="00286DBC"/>
    <w:rsid w:val="0028721F"/>
    <w:rsid w:val="0028758E"/>
    <w:rsid w:val="00287A88"/>
    <w:rsid w:val="00287FA4"/>
    <w:rsid w:val="00287FC7"/>
    <w:rsid w:val="00290376"/>
    <w:rsid w:val="002907FC"/>
    <w:rsid w:val="00290D04"/>
    <w:rsid w:val="00291257"/>
    <w:rsid w:val="00291A31"/>
    <w:rsid w:val="00291BF6"/>
    <w:rsid w:val="00291CB2"/>
    <w:rsid w:val="00292332"/>
    <w:rsid w:val="002924F7"/>
    <w:rsid w:val="002926F0"/>
    <w:rsid w:val="00292BBC"/>
    <w:rsid w:val="00292C7A"/>
    <w:rsid w:val="002932E7"/>
    <w:rsid w:val="0029368F"/>
    <w:rsid w:val="00293AD6"/>
    <w:rsid w:val="00293C64"/>
    <w:rsid w:val="00294001"/>
    <w:rsid w:val="002940BC"/>
    <w:rsid w:val="002941A3"/>
    <w:rsid w:val="002945B4"/>
    <w:rsid w:val="00294805"/>
    <w:rsid w:val="00294895"/>
    <w:rsid w:val="00294A4B"/>
    <w:rsid w:val="00294CA5"/>
    <w:rsid w:val="00294D3C"/>
    <w:rsid w:val="00294EE2"/>
    <w:rsid w:val="00295167"/>
    <w:rsid w:val="00295886"/>
    <w:rsid w:val="00295954"/>
    <w:rsid w:val="00295AF0"/>
    <w:rsid w:val="00295FAC"/>
    <w:rsid w:val="00296439"/>
    <w:rsid w:val="00296C96"/>
    <w:rsid w:val="00296E41"/>
    <w:rsid w:val="00297548"/>
    <w:rsid w:val="00297CD3"/>
    <w:rsid w:val="002A00C2"/>
    <w:rsid w:val="002A01FE"/>
    <w:rsid w:val="002A07E5"/>
    <w:rsid w:val="002A0827"/>
    <w:rsid w:val="002A0ACE"/>
    <w:rsid w:val="002A0BF1"/>
    <w:rsid w:val="002A11EA"/>
    <w:rsid w:val="002A1285"/>
    <w:rsid w:val="002A1546"/>
    <w:rsid w:val="002A155C"/>
    <w:rsid w:val="002A1756"/>
    <w:rsid w:val="002A18E0"/>
    <w:rsid w:val="002A1A39"/>
    <w:rsid w:val="002A239C"/>
    <w:rsid w:val="002A23B3"/>
    <w:rsid w:val="002A26B8"/>
    <w:rsid w:val="002A293E"/>
    <w:rsid w:val="002A2D68"/>
    <w:rsid w:val="002A3098"/>
    <w:rsid w:val="002A36B5"/>
    <w:rsid w:val="002A3863"/>
    <w:rsid w:val="002A389E"/>
    <w:rsid w:val="002A39D7"/>
    <w:rsid w:val="002A4872"/>
    <w:rsid w:val="002A4900"/>
    <w:rsid w:val="002A4A6C"/>
    <w:rsid w:val="002A53CD"/>
    <w:rsid w:val="002A551E"/>
    <w:rsid w:val="002A5C75"/>
    <w:rsid w:val="002A5D87"/>
    <w:rsid w:val="002A5E16"/>
    <w:rsid w:val="002A6020"/>
    <w:rsid w:val="002A614A"/>
    <w:rsid w:val="002A62B0"/>
    <w:rsid w:val="002A6599"/>
    <w:rsid w:val="002A7362"/>
    <w:rsid w:val="002A7942"/>
    <w:rsid w:val="002A7C69"/>
    <w:rsid w:val="002B03B0"/>
    <w:rsid w:val="002B0686"/>
    <w:rsid w:val="002B0BC7"/>
    <w:rsid w:val="002B0FBC"/>
    <w:rsid w:val="002B10FF"/>
    <w:rsid w:val="002B11A3"/>
    <w:rsid w:val="002B137D"/>
    <w:rsid w:val="002B1D8A"/>
    <w:rsid w:val="002B1F64"/>
    <w:rsid w:val="002B2596"/>
    <w:rsid w:val="002B2866"/>
    <w:rsid w:val="002B2D5B"/>
    <w:rsid w:val="002B2D68"/>
    <w:rsid w:val="002B2D9F"/>
    <w:rsid w:val="002B2E9C"/>
    <w:rsid w:val="002B339F"/>
    <w:rsid w:val="002B37F6"/>
    <w:rsid w:val="002B3BAF"/>
    <w:rsid w:val="002B42C5"/>
    <w:rsid w:val="002B449C"/>
    <w:rsid w:val="002B462B"/>
    <w:rsid w:val="002B465E"/>
    <w:rsid w:val="002B506F"/>
    <w:rsid w:val="002B5090"/>
    <w:rsid w:val="002B51FB"/>
    <w:rsid w:val="002B5426"/>
    <w:rsid w:val="002B574A"/>
    <w:rsid w:val="002B5F77"/>
    <w:rsid w:val="002B65D4"/>
    <w:rsid w:val="002B781B"/>
    <w:rsid w:val="002B7C6B"/>
    <w:rsid w:val="002C01EB"/>
    <w:rsid w:val="002C04EB"/>
    <w:rsid w:val="002C0891"/>
    <w:rsid w:val="002C0BFE"/>
    <w:rsid w:val="002C0C20"/>
    <w:rsid w:val="002C1176"/>
    <w:rsid w:val="002C14F1"/>
    <w:rsid w:val="002C1916"/>
    <w:rsid w:val="002C20EC"/>
    <w:rsid w:val="002C26D3"/>
    <w:rsid w:val="002C289D"/>
    <w:rsid w:val="002C2A74"/>
    <w:rsid w:val="002C2B9B"/>
    <w:rsid w:val="002C2BD5"/>
    <w:rsid w:val="002C37B8"/>
    <w:rsid w:val="002C3AA9"/>
    <w:rsid w:val="002C3B81"/>
    <w:rsid w:val="002C3E37"/>
    <w:rsid w:val="002C3E74"/>
    <w:rsid w:val="002C450D"/>
    <w:rsid w:val="002C4900"/>
    <w:rsid w:val="002C4BDA"/>
    <w:rsid w:val="002C4FED"/>
    <w:rsid w:val="002C51A3"/>
    <w:rsid w:val="002C52C1"/>
    <w:rsid w:val="002C5616"/>
    <w:rsid w:val="002C58AC"/>
    <w:rsid w:val="002C5905"/>
    <w:rsid w:val="002C5916"/>
    <w:rsid w:val="002C635C"/>
    <w:rsid w:val="002C6606"/>
    <w:rsid w:val="002C7C8F"/>
    <w:rsid w:val="002C7D25"/>
    <w:rsid w:val="002D0488"/>
    <w:rsid w:val="002D048E"/>
    <w:rsid w:val="002D0526"/>
    <w:rsid w:val="002D15EF"/>
    <w:rsid w:val="002D19FB"/>
    <w:rsid w:val="002D1EF1"/>
    <w:rsid w:val="002D1FF9"/>
    <w:rsid w:val="002D2021"/>
    <w:rsid w:val="002D2CF0"/>
    <w:rsid w:val="002D2DDC"/>
    <w:rsid w:val="002D2DFE"/>
    <w:rsid w:val="002D2F76"/>
    <w:rsid w:val="002D2FD2"/>
    <w:rsid w:val="002D3019"/>
    <w:rsid w:val="002D3553"/>
    <w:rsid w:val="002D3642"/>
    <w:rsid w:val="002D3800"/>
    <w:rsid w:val="002D3B4D"/>
    <w:rsid w:val="002D43C1"/>
    <w:rsid w:val="002D442F"/>
    <w:rsid w:val="002D4825"/>
    <w:rsid w:val="002D4973"/>
    <w:rsid w:val="002D4BC0"/>
    <w:rsid w:val="002D58A0"/>
    <w:rsid w:val="002D5A84"/>
    <w:rsid w:val="002D5C08"/>
    <w:rsid w:val="002D5D6C"/>
    <w:rsid w:val="002D60CE"/>
    <w:rsid w:val="002D6189"/>
    <w:rsid w:val="002D6310"/>
    <w:rsid w:val="002D63AE"/>
    <w:rsid w:val="002D6965"/>
    <w:rsid w:val="002D6A0A"/>
    <w:rsid w:val="002D6E0F"/>
    <w:rsid w:val="002D6FCA"/>
    <w:rsid w:val="002D72AA"/>
    <w:rsid w:val="002D7EE3"/>
    <w:rsid w:val="002E009B"/>
    <w:rsid w:val="002E01EF"/>
    <w:rsid w:val="002E0254"/>
    <w:rsid w:val="002E0FAE"/>
    <w:rsid w:val="002E0FC2"/>
    <w:rsid w:val="002E0FCA"/>
    <w:rsid w:val="002E1102"/>
    <w:rsid w:val="002E11DF"/>
    <w:rsid w:val="002E1509"/>
    <w:rsid w:val="002E1BB1"/>
    <w:rsid w:val="002E1E87"/>
    <w:rsid w:val="002E25EA"/>
    <w:rsid w:val="002E28FD"/>
    <w:rsid w:val="002E2AC8"/>
    <w:rsid w:val="002E2F45"/>
    <w:rsid w:val="002E3582"/>
    <w:rsid w:val="002E372E"/>
    <w:rsid w:val="002E3CF7"/>
    <w:rsid w:val="002E3FB3"/>
    <w:rsid w:val="002E4168"/>
    <w:rsid w:val="002E438F"/>
    <w:rsid w:val="002E4513"/>
    <w:rsid w:val="002E515D"/>
    <w:rsid w:val="002E531B"/>
    <w:rsid w:val="002E5508"/>
    <w:rsid w:val="002E5CDA"/>
    <w:rsid w:val="002E5E59"/>
    <w:rsid w:val="002E6483"/>
    <w:rsid w:val="002E65D3"/>
    <w:rsid w:val="002E65E4"/>
    <w:rsid w:val="002E6844"/>
    <w:rsid w:val="002E6BA5"/>
    <w:rsid w:val="002E71F1"/>
    <w:rsid w:val="002E7957"/>
    <w:rsid w:val="002E7F34"/>
    <w:rsid w:val="002F007C"/>
    <w:rsid w:val="002F0202"/>
    <w:rsid w:val="002F08F3"/>
    <w:rsid w:val="002F0C10"/>
    <w:rsid w:val="002F0CCD"/>
    <w:rsid w:val="002F0DBF"/>
    <w:rsid w:val="002F1377"/>
    <w:rsid w:val="002F1598"/>
    <w:rsid w:val="002F16A9"/>
    <w:rsid w:val="002F17BA"/>
    <w:rsid w:val="002F17EF"/>
    <w:rsid w:val="002F1CA9"/>
    <w:rsid w:val="002F1EFD"/>
    <w:rsid w:val="002F2214"/>
    <w:rsid w:val="002F24B5"/>
    <w:rsid w:val="002F300D"/>
    <w:rsid w:val="002F3115"/>
    <w:rsid w:val="002F383E"/>
    <w:rsid w:val="002F3BB5"/>
    <w:rsid w:val="002F4265"/>
    <w:rsid w:val="002F479C"/>
    <w:rsid w:val="002F50F6"/>
    <w:rsid w:val="002F5343"/>
    <w:rsid w:val="002F5424"/>
    <w:rsid w:val="002F5A7A"/>
    <w:rsid w:val="002F5F27"/>
    <w:rsid w:val="002F5FDB"/>
    <w:rsid w:val="002F600D"/>
    <w:rsid w:val="002F68BD"/>
    <w:rsid w:val="002F6975"/>
    <w:rsid w:val="002F75A6"/>
    <w:rsid w:val="002F77CD"/>
    <w:rsid w:val="002F7B44"/>
    <w:rsid w:val="002F7E66"/>
    <w:rsid w:val="0030064F"/>
    <w:rsid w:val="0030069F"/>
    <w:rsid w:val="00300EDA"/>
    <w:rsid w:val="003010F7"/>
    <w:rsid w:val="0030114B"/>
    <w:rsid w:val="003013B5"/>
    <w:rsid w:val="00301462"/>
    <w:rsid w:val="00301524"/>
    <w:rsid w:val="00301746"/>
    <w:rsid w:val="0030194D"/>
    <w:rsid w:val="00301CAE"/>
    <w:rsid w:val="00302A30"/>
    <w:rsid w:val="00302B5E"/>
    <w:rsid w:val="00302E78"/>
    <w:rsid w:val="00302F55"/>
    <w:rsid w:val="00303067"/>
    <w:rsid w:val="0030341A"/>
    <w:rsid w:val="00303AE1"/>
    <w:rsid w:val="00303CB6"/>
    <w:rsid w:val="00304630"/>
    <w:rsid w:val="003048BA"/>
    <w:rsid w:val="00304A10"/>
    <w:rsid w:val="00304ABE"/>
    <w:rsid w:val="00304E74"/>
    <w:rsid w:val="00304E7A"/>
    <w:rsid w:val="0030537C"/>
    <w:rsid w:val="003056CB"/>
    <w:rsid w:val="00305702"/>
    <w:rsid w:val="00305745"/>
    <w:rsid w:val="00305D5C"/>
    <w:rsid w:val="003063B7"/>
    <w:rsid w:val="003063B8"/>
    <w:rsid w:val="003067E4"/>
    <w:rsid w:val="00306AC2"/>
    <w:rsid w:val="00306C91"/>
    <w:rsid w:val="00306D5B"/>
    <w:rsid w:val="00306E49"/>
    <w:rsid w:val="00306EF2"/>
    <w:rsid w:val="00307001"/>
    <w:rsid w:val="003072CD"/>
    <w:rsid w:val="0030786C"/>
    <w:rsid w:val="0030796F"/>
    <w:rsid w:val="00307B0B"/>
    <w:rsid w:val="00307DF1"/>
    <w:rsid w:val="00307ECB"/>
    <w:rsid w:val="00310011"/>
    <w:rsid w:val="00310029"/>
    <w:rsid w:val="0031002A"/>
    <w:rsid w:val="00310A19"/>
    <w:rsid w:val="00310C71"/>
    <w:rsid w:val="00310DC6"/>
    <w:rsid w:val="00310F62"/>
    <w:rsid w:val="00311389"/>
    <w:rsid w:val="003119FF"/>
    <w:rsid w:val="00311B66"/>
    <w:rsid w:val="00311CC1"/>
    <w:rsid w:val="00311EF5"/>
    <w:rsid w:val="003126DB"/>
    <w:rsid w:val="00312BB4"/>
    <w:rsid w:val="00313126"/>
    <w:rsid w:val="0031317F"/>
    <w:rsid w:val="00313447"/>
    <w:rsid w:val="003134A5"/>
    <w:rsid w:val="003136F2"/>
    <w:rsid w:val="003137A7"/>
    <w:rsid w:val="003138CB"/>
    <w:rsid w:val="00313BF8"/>
    <w:rsid w:val="00313E1E"/>
    <w:rsid w:val="00313F6A"/>
    <w:rsid w:val="00314122"/>
    <w:rsid w:val="00314386"/>
    <w:rsid w:val="00314F69"/>
    <w:rsid w:val="0031595E"/>
    <w:rsid w:val="003159BF"/>
    <w:rsid w:val="00315BC0"/>
    <w:rsid w:val="003168F5"/>
    <w:rsid w:val="00316C0E"/>
    <w:rsid w:val="00316D32"/>
    <w:rsid w:val="003174CF"/>
    <w:rsid w:val="0031759A"/>
    <w:rsid w:val="003177F3"/>
    <w:rsid w:val="00317932"/>
    <w:rsid w:val="0031799A"/>
    <w:rsid w:val="00317AC1"/>
    <w:rsid w:val="00317C67"/>
    <w:rsid w:val="00317F56"/>
    <w:rsid w:val="003201E1"/>
    <w:rsid w:val="0032076A"/>
    <w:rsid w:val="00320A2E"/>
    <w:rsid w:val="00320AB4"/>
    <w:rsid w:val="00321288"/>
    <w:rsid w:val="003213C2"/>
    <w:rsid w:val="003215D3"/>
    <w:rsid w:val="003216B7"/>
    <w:rsid w:val="00321A4E"/>
    <w:rsid w:val="00321A5A"/>
    <w:rsid w:val="00321B3D"/>
    <w:rsid w:val="0032206C"/>
    <w:rsid w:val="003221B8"/>
    <w:rsid w:val="00322482"/>
    <w:rsid w:val="00322E12"/>
    <w:rsid w:val="00322E13"/>
    <w:rsid w:val="003231DE"/>
    <w:rsid w:val="0032320C"/>
    <w:rsid w:val="00323267"/>
    <w:rsid w:val="003235B2"/>
    <w:rsid w:val="00323AE8"/>
    <w:rsid w:val="00323B09"/>
    <w:rsid w:val="00323CCF"/>
    <w:rsid w:val="003241F5"/>
    <w:rsid w:val="003242C8"/>
    <w:rsid w:val="00324415"/>
    <w:rsid w:val="003246B4"/>
    <w:rsid w:val="003246CB"/>
    <w:rsid w:val="00324730"/>
    <w:rsid w:val="00324818"/>
    <w:rsid w:val="00324852"/>
    <w:rsid w:val="00324D7D"/>
    <w:rsid w:val="00324DC9"/>
    <w:rsid w:val="00325359"/>
    <w:rsid w:val="0032559C"/>
    <w:rsid w:val="003259B5"/>
    <w:rsid w:val="00325EE9"/>
    <w:rsid w:val="00325FB1"/>
    <w:rsid w:val="0032600B"/>
    <w:rsid w:val="00326040"/>
    <w:rsid w:val="0032631D"/>
    <w:rsid w:val="003269B0"/>
    <w:rsid w:val="00326D7D"/>
    <w:rsid w:val="003271C7"/>
    <w:rsid w:val="003271F9"/>
    <w:rsid w:val="0032742C"/>
    <w:rsid w:val="003277BD"/>
    <w:rsid w:val="00327919"/>
    <w:rsid w:val="00327931"/>
    <w:rsid w:val="00327A7E"/>
    <w:rsid w:val="00327C01"/>
    <w:rsid w:val="003304D6"/>
    <w:rsid w:val="00330931"/>
    <w:rsid w:val="00330A53"/>
    <w:rsid w:val="00331C02"/>
    <w:rsid w:val="00331ED5"/>
    <w:rsid w:val="0033219A"/>
    <w:rsid w:val="003324EB"/>
    <w:rsid w:val="00332A68"/>
    <w:rsid w:val="00332A99"/>
    <w:rsid w:val="00332C4D"/>
    <w:rsid w:val="00333192"/>
    <w:rsid w:val="00333F3A"/>
    <w:rsid w:val="00334453"/>
    <w:rsid w:val="0033460A"/>
    <w:rsid w:val="00334A38"/>
    <w:rsid w:val="00334DB3"/>
    <w:rsid w:val="00334FFC"/>
    <w:rsid w:val="00335149"/>
    <w:rsid w:val="00335999"/>
    <w:rsid w:val="00336257"/>
    <w:rsid w:val="003362F6"/>
    <w:rsid w:val="003367BD"/>
    <w:rsid w:val="003367CA"/>
    <w:rsid w:val="00336BD9"/>
    <w:rsid w:val="0033730C"/>
    <w:rsid w:val="003376DA"/>
    <w:rsid w:val="003377D3"/>
    <w:rsid w:val="003378B7"/>
    <w:rsid w:val="00337E9D"/>
    <w:rsid w:val="00340324"/>
    <w:rsid w:val="0034064A"/>
    <w:rsid w:val="00340E57"/>
    <w:rsid w:val="00341360"/>
    <w:rsid w:val="00341503"/>
    <w:rsid w:val="003416B7"/>
    <w:rsid w:val="0034180C"/>
    <w:rsid w:val="00341948"/>
    <w:rsid w:val="003420BD"/>
    <w:rsid w:val="0034216C"/>
    <w:rsid w:val="00342170"/>
    <w:rsid w:val="003421B8"/>
    <w:rsid w:val="00342A8F"/>
    <w:rsid w:val="00342E98"/>
    <w:rsid w:val="00342F02"/>
    <w:rsid w:val="00342F35"/>
    <w:rsid w:val="00343B07"/>
    <w:rsid w:val="00343F31"/>
    <w:rsid w:val="003444D2"/>
    <w:rsid w:val="00344535"/>
    <w:rsid w:val="00344975"/>
    <w:rsid w:val="00344A70"/>
    <w:rsid w:val="003452E5"/>
    <w:rsid w:val="003455D6"/>
    <w:rsid w:val="00345764"/>
    <w:rsid w:val="00345CDC"/>
    <w:rsid w:val="00345DF5"/>
    <w:rsid w:val="00346088"/>
    <w:rsid w:val="0034626A"/>
    <w:rsid w:val="003462F3"/>
    <w:rsid w:val="0034635E"/>
    <w:rsid w:val="0034674B"/>
    <w:rsid w:val="00346844"/>
    <w:rsid w:val="00346F24"/>
    <w:rsid w:val="00346FA4"/>
    <w:rsid w:val="0034729D"/>
    <w:rsid w:val="00347389"/>
    <w:rsid w:val="003500F6"/>
    <w:rsid w:val="00350453"/>
    <w:rsid w:val="00350813"/>
    <w:rsid w:val="00350D59"/>
    <w:rsid w:val="00350FC0"/>
    <w:rsid w:val="0035187A"/>
    <w:rsid w:val="00351DA2"/>
    <w:rsid w:val="00352B47"/>
    <w:rsid w:val="003530A2"/>
    <w:rsid w:val="003531A4"/>
    <w:rsid w:val="00353206"/>
    <w:rsid w:val="003532BD"/>
    <w:rsid w:val="00353987"/>
    <w:rsid w:val="00354168"/>
    <w:rsid w:val="003542DD"/>
    <w:rsid w:val="003549AB"/>
    <w:rsid w:val="00354AC7"/>
    <w:rsid w:val="00355473"/>
    <w:rsid w:val="00355CD0"/>
    <w:rsid w:val="00355E4D"/>
    <w:rsid w:val="003562BD"/>
    <w:rsid w:val="003562F7"/>
    <w:rsid w:val="003565A0"/>
    <w:rsid w:val="003566C5"/>
    <w:rsid w:val="00356CF7"/>
    <w:rsid w:val="00356EBF"/>
    <w:rsid w:val="00356EDB"/>
    <w:rsid w:val="003572E5"/>
    <w:rsid w:val="0036052D"/>
    <w:rsid w:val="00360889"/>
    <w:rsid w:val="00360B7A"/>
    <w:rsid w:val="00361580"/>
    <w:rsid w:val="0036177A"/>
    <w:rsid w:val="003617A0"/>
    <w:rsid w:val="00361B59"/>
    <w:rsid w:val="00361D34"/>
    <w:rsid w:val="00361E69"/>
    <w:rsid w:val="003624B5"/>
    <w:rsid w:val="00362613"/>
    <w:rsid w:val="003627A4"/>
    <w:rsid w:val="00362B5F"/>
    <w:rsid w:val="00362D8A"/>
    <w:rsid w:val="00362EBB"/>
    <w:rsid w:val="003637D8"/>
    <w:rsid w:val="003639F7"/>
    <w:rsid w:val="00363D74"/>
    <w:rsid w:val="00363DDB"/>
    <w:rsid w:val="00364159"/>
    <w:rsid w:val="003645FB"/>
    <w:rsid w:val="00364BB7"/>
    <w:rsid w:val="0036530F"/>
    <w:rsid w:val="0036549D"/>
    <w:rsid w:val="00365539"/>
    <w:rsid w:val="00366500"/>
    <w:rsid w:val="00366847"/>
    <w:rsid w:val="00366D0C"/>
    <w:rsid w:val="0036799A"/>
    <w:rsid w:val="00367C89"/>
    <w:rsid w:val="00367D34"/>
    <w:rsid w:val="00367EB3"/>
    <w:rsid w:val="00367F67"/>
    <w:rsid w:val="0037015F"/>
    <w:rsid w:val="003702F8"/>
    <w:rsid w:val="003705DB"/>
    <w:rsid w:val="003706AE"/>
    <w:rsid w:val="00370DEF"/>
    <w:rsid w:val="0037183B"/>
    <w:rsid w:val="0037198B"/>
    <w:rsid w:val="00372460"/>
    <w:rsid w:val="00372A48"/>
    <w:rsid w:val="00372BF0"/>
    <w:rsid w:val="00372CAA"/>
    <w:rsid w:val="00372E34"/>
    <w:rsid w:val="003744BA"/>
    <w:rsid w:val="003744D6"/>
    <w:rsid w:val="00374D9F"/>
    <w:rsid w:val="00375131"/>
    <w:rsid w:val="0037582D"/>
    <w:rsid w:val="00375B2C"/>
    <w:rsid w:val="00375EEE"/>
    <w:rsid w:val="00376174"/>
    <w:rsid w:val="00376240"/>
    <w:rsid w:val="003767F0"/>
    <w:rsid w:val="00377017"/>
    <w:rsid w:val="003773D0"/>
    <w:rsid w:val="00377D19"/>
    <w:rsid w:val="00377F6E"/>
    <w:rsid w:val="00380A8B"/>
    <w:rsid w:val="00380EB4"/>
    <w:rsid w:val="00380EEE"/>
    <w:rsid w:val="00381125"/>
    <w:rsid w:val="00381526"/>
    <w:rsid w:val="00382641"/>
    <w:rsid w:val="00382AB0"/>
    <w:rsid w:val="00382C96"/>
    <w:rsid w:val="00382CC5"/>
    <w:rsid w:val="00383079"/>
    <w:rsid w:val="003831B0"/>
    <w:rsid w:val="0038322B"/>
    <w:rsid w:val="00383337"/>
    <w:rsid w:val="00383555"/>
    <w:rsid w:val="003836FB"/>
    <w:rsid w:val="003837AF"/>
    <w:rsid w:val="00384070"/>
    <w:rsid w:val="00384152"/>
    <w:rsid w:val="00384239"/>
    <w:rsid w:val="003847A6"/>
    <w:rsid w:val="003847E1"/>
    <w:rsid w:val="0038490A"/>
    <w:rsid w:val="00384A6E"/>
    <w:rsid w:val="00384F35"/>
    <w:rsid w:val="003856AA"/>
    <w:rsid w:val="003860A4"/>
    <w:rsid w:val="00386D66"/>
    <w:rsid w:val="003872F9"/>
    <w:rsid w:val="00387321"/>
    <w:rsid w:val="003877EF"/>
    <w:rsid w:val="0038783A"/>
    <w:rsid w:val="00387EDF"/>
    <w:rsid w:val="0039008B"/>
    <w:rsid w:val="003901A8"/>
    <w:rsid w:val="003902C1"/>
    <w:rsid w:val="003904BB"/>
    <w:rsid w:val="003905E0"/>
    <w:rsid w:val="003906F1"/>
    <w:rsid w:val="00390877"/>
    <w:rsid w:val="003909E1"/>
    <w:rsid w:val="00390A4B"/>
    <w:rsid w:val="00390B94"/>
    <w:rsid w:val="00390BD4"/>
    <w:rsid w:val="00390D75"/>
    <w:rsid w:val="00390F34"/>
    <w:rsid w:val="00391421"/>
    <w:rsid w:val="00391665"/>
    <w:rsid w:val="00391B78"/>
    <w:rsid w:val="00391B9B"/>
    <w:rsid w:val="00391C72"/>
    <w:rsid w:val="003922A8"/>
    <w:rsid w:val="00392426"/>
    <w:rsid w:val="00392464"/>
    <w:rsid w:val="003928ED"/>
    <w:rsid w:val="00392A02"/>
    <w:rsid w:val="00393A1C"/>
    <w:rsid w:val="00393CB3"/>
    <w:rsid w:val="0039419C"/>
    <w:rsid w:val="00394698"/>
    <w:rsid w:val="00394771"/>
    <w:rsid w:val="00394A93"/>
    <w:rsid w:val="00394EAE"/>
    <w:rsid w:val="003951F1"/>
    <w:rsid w:val="0039545A"/>
    <w:rsid w:val="0039568A"/>
    <w:rsid w:val="00395F39"/>
    <w:rsid w:val="00396147"/>
    <w:rsid w:val="003968FA"/>
    <w:rsid w:val="00396B69"/>
    <w:rsid w:val="003970A7"/>
    <w:rsid w:val="00397EFB"/>
    <w:rsid w:val="003A0046"/>
    <w:rsid w:val="003A0250"/>
    <w:rsid w:val="003A04C9"/>
    <w:rsid w:val="003A0619"/>
    <w:rsid w:val="003A1051"/>
    <w:rsid w:val="003A1401"/>
    <w:rsid w:val="003A1648"/>
    <w:rsid w:val="003A1AEE"/>
    <w:rsid w:val="003A1F27"/>
    <w:rsid w:val="003A2186"/>
    <w:rsid w:val="003A235D"/>
    <w:rsid w:val="003A2586"/>
    <w:rsid w:val="003A27C7"/>
    <w:rsid w:val="003A3A7C"/>
    <w:rsid w:val="003A3AC6"/>
    <w:rsid w:val="003A4125"/>
    <w:rsid w:val="003A418B"/>
    <w:rsid w:val="003A42B0"/>
    <w:rsid w:val="003A4449"/>
    <w:rsid w:val="003A46D2"/>
    <w:rsid w:val="003A4787"/>
    <w:rsid w:val="003A4907"/>
    <w:rsid w:val="003A527D"/>
    <w:rsid w:val="003A528F"/>
    <w:rsid w:val="003A5728"/>
    <w:rsid w:val="003A5BF4"/>
    <w:rsid w:val="003A5EF1"/>
    <w:rsid w:val="003A605D"/>
    <w:rsid w:val="003A6674"/>
    <w:rsid w:val="003A6A64"/>
    <w:rsid w:val="003A6B42"/>
    <w:rsid w:val="003A6BD8"/>
    <w:rsid w:val="003A6D31"/>
    <w:rsid w:val="003A726D"/>
    <w:rsid w:val="003A75BF"/>
    <w:rsid w:val="003A77D6"/>
    <w:rsid w:val="003A7914"/>
    <w:rsid w:val="003A7D57"/>
    <w:rsid w:val="003A7F85"/>
    <w:rsid w:val="003B00FD"/>
    <w:rsid w:val="003B04C3"/>
    <w:rsid w:val="003B08CA"/>
    <w:rsid w:val="003B0AAD"/>
    <w:rsid w:val="003B0B47"/>
    <w:rsid w:val="003B0C45"/>
    <w:rsid w:val="003B0C4E"/>
    <w:rsid w:val="003B1222"/>
    <w:rsid w:val="003B1592"/>
    <w:rsid w:val="003B2193"/>
    <w:rsid w:val="003B23E5"/>
    <w:rsid w:val="003B25F4"/>
    <w:rsid w:val="003B2657"/>
    <w:rsid w:val="003B2804"/>
    <w:rsid w:val="003B2972"/>
    <w:rsid w:val="003B2C42"/>
    <w:rsid w:val="003B2E5C"/>
    <w:rsid w:val="003B3001"/>
    <w:rsid w:val="003B3033"/>
    <w:rsid w:val="003B3142"/>
    <w:rsid w:val="003B375B"/>
    <w:rsid w:val="003B3C7F"/>
    <w:rsid w:val="003B4384"/>
    <w:rsid w:val="003B44E3"/>
    <w:rsid w:val="003B457C"/>
    <w:rsid w:val="003B4A8D"/>
    <w:rsid w:val="003B4B2A"/>
    <w:rsid w:val="003B4C9E"/>
    <w:rsid w:val="003B4EED"/>
    <w:rsid w:val="003B50E2"/>
    <w:rsid w:val="003B52BF"/>
    <w:rsid w:val="003B539C"/>
    <w:rsid w:val="003B54BC"/>
    <w:rsid w:val="003B59C4"/>
    <w:rsid w:val="003B5AC1"/>
    <w:rsid w:val="003B5F8E"/>
    <w:rsid w:val="003B6012"/>
    <w:rsid w:val="003B60A7"/>
    <w:rsid w:val="003B6233"/>
    <w:rsid w:val="003B6823"/>
    <w:rsid w:val="003B6FDD"/>
    <w:rsid w:val="003B7468"/>
    <w:rsid w:val="003B7766"/>
    <w:rsid w:val="003B797C"/>
    <w:rsid w:val="003B7C92"/>
    <w:rsid w:val="003B7EC1"/>
    <w:rsid w:val="003C0160"/>
    <w:rsid w:val="003C0612"/>
    <w:rsid w:val="003C0856"/>
    <w:rsid w:val="003C08F4"/>
    <w:rsid w:val="003C0974"/>
    <w:rsid w:val="003C0BDC"/>
    <w:rsid w:val="003C0FC5"/>
    <w:rsid w:val="003C13E5"/>
    <w:rsid w:val="003C15EC"/>
    <w:rsid w:val="003C1742"/>
    <w:rsid w:val="003C175E"/>
    <w:rsid w:val="003C1DD5"/>
    <w:rsid w:val="003C1EBB"/>
    <w:rsid w:val="003C1F67"/>
    <w:rsid w:val="003C208F"/>
    <w:rsid w:val="003C2695"/>
    <w:rsid w:val="003C2893"/>
    <w:rsid w:val="003C2A00"/>
    <w:rsid w:val="003C2BB4"/>
    <w:rsid w:val="003C2F8E"/>
    <w:rsid w:val="003C36FF"/>
    <w:rsid w:val="003C3713"/>
    <w:rsid w:val="003C3D3A"/>
    <w:rsid w:val="003C3E2A"/>
    <w:rsid w:val="003C4884"/>
    <w:rsid w:val="003C48FC"/>
    <w:rsid w:val="003C4BFF"/>
    <w:rsid w:val="003C502B"/>
    <w:rsid w:val="003C51B9"/>
    <w:rsid w:val="003C543E"/>
    <w:rsid w:val="003C5C34"/>
    <w:rsid w:val="003C5D5A"/>
    <w:rsid w:val="003C5DFE"/>
    <w:rsid w:val="003C6087"/>
    <w:rsid w:val="003C6180"/>
    <w:rsid w:val="003C65ED"/>
    <w:rsid w:val="003C6B36"/>
    <w:rsid w:val="003C6EE7"/>
    <w:rsid w:val="003C6F05"/>
    <w:rsid w:val="003C6FAA"/>
    <w:rsid w:val="003C729B"/>
    <w:rsid w:val="003C736D"/>
    <w:rsid w:val="003C7719"/>
    <w:rsid w:val="003C794A"/>
    <w:rsid w:val="003C7E7B"/>
    <w:rsid w:val="003D02C1"/>
    <w:rsid w:val="003D0BA7"/>
    <w:rsid w:val="003D0D1C"/>
    <w:rsid w:val="003D12A0"/>
    <w:rsid w:val="003D282A"/>
    <w:rsid w:val="003D2C50"/>
    <w:rsid w:val="003D2E0F"/>
    <w:rsid w:val="003D2F8F"/>
    <w:rsid w:val="003D3218"/>
    <w:rsid w:val="003D349A"/>
    <w:rsid w:val="003D361C"/>
    <w:rsid w:val="003D39FF"/>
    <w:rsid w:val="003D3E15"/>
    <w:rsid w:val="003D4044"/>
    <w:rsid w:val="003D41BC"/>
    <w:rsid w:val="003D423F"/>
    <w:rsid w:val="003D4E74"/>
    <w:rsid w:val="003D501C"/>
    <w:rsid w:val="003D5539"/>
    <w:rsid w:val="003D56A5"/>
    <w:rsid w:val="003D5781"/>
    <w:rsid w:val="003D5854"/>
    <w:rsid w:val="003D59E7"/>
    <w:rsid w:val="003D5E17"/>
    <w:rsid w:val="003D5E45"/>
    <w:rsid w:val="003D64D2"/>
    <w:rsid w:val="003D66E9"/>
    <w:rsid w:val="003D6BC1"/>
    <w:rsid w:val="003D6CD1"/>
    <w:rsid w:val="003D6DB3"/>
    <w:rsid w:val="003D71A4"/>
    <w:rsid w:val="003D725B"/>
    <w:rsid w:val="003D72E0"/>
    <w:rsid w:val="003E0430"/>
    <w:rsid w:val="003E058B"/>
    <w:rsid w:val="003E0610"/>
    <w:rsid w:val="003E0843"/>
    <w:rsid w:val="003E108E"/>
    <w:rsid w:val="003E1403"/>
    <w:rsid w:val="003E1611"/>
    <w:rsid w:val="003E1CD3"/>
    <w:rsid w:val="003E209D"/>
    <w:rsid w:val="003E21C5"/>
    <w:rsid w:val="003E2419"/>
    <w:rsid w:val="003E28F1"/>
    <w:rsid w:val="003E2FE2"/>
    <w:rsid w:val="003E30FE"/>
    <w:rsid w:val="003E36C5"/>
    <w:rsid w:val="003E39C7"/>
    <w:rsid w:val="003E3A85"/>
    <w:rsid w:val="003E3BEF"/>
    <w:rsid w:val="003E3CA7"/>
    <w:rsid w:val="003E4622"/>
    <w:rsid w:val="003E481B"/>
    <w:rsid w:val="003E4C34"/>
    <w:rsid w:val="003E4EDB"/>
    <w:rsid w:val="003E4F8F"/>
    <w:rsid w:val="003E5720"/>
    <w:rsid w:val="003E577A"/>
    <w:rsid w:val="003E5BE4"/>
    <w:rsid w:val="003E5CE1"/>
    <w:rsid w:val="003E5D0B"/>
    <w:rsid w:val="003E5D20"/>
    <w:rsid w:val="003E63E6"/>
    <w:rsid w:val="003E651E"/>
    <w:rsid w:val="003E6584"/>
    <w:rsid w:val="003E6A42"/>
    <w:rsid w:val="003E6B4C"/>
    <w:rsid w:val="003E6F74"/>
    <w:rsid w:val="003E7AB4"/>
    <w:rsid w:val="003E7ADD"/>
    <w:rsid w:val="003E7EC0"/>
    <w:rsid w:val="003F03D0"/>
    <w:rsid w:val="003F04AB"/>
    <w:rsid w:val="003F06B0"/>
    <w:rsid w:val="003F09FF"/>
    <w:rsid w:val="003F14FF"/>
    <w:rsid w:val="003F1759"/>
    <w:rsid w:val="003F179F"/>
    <w:rsid w:val="003F19D4"/>
    <w:rsid w:val="003F1D5A"/>
    <w:rsid w:val="003F1DC7"/>
    <w:rsid w:val="003F2A8D"/>
    <w:rsid w:val="003F2C1E"/>
    <w:rsid w:val="003F35FA"/>
    <w:rsid w:val="003F3668"/>
    <w:rsid w:val="003F3900"/>
    <w:rsid w:val="003F3A0D"/>
    <w:rsid w:val="003F3A64"/>
    <w:rsid w:val="003F4635"/>
    <w:rsid w:val="003F485A"/>
    <w:rsid w:val="003F4862"/>
    <w:rsid w:val="003F48B0"/>
    <w:rsid w:val="003F4CF2"/>
    <w:rsid w:val="003F4E26"/>
    <w:rsid w:val="003F4FE2"/>
    <w:rsid w:val="003F5929"/>
    <w:rsid w:val="003F59D0"/>
    <w:rsid w:val="003F5A3A"/>
    <w:rsid w:val="003F5E49"/>
    <w:rsid w:val="003F6163"/>
    <w:rsid w:val="003F6171"/>
    <w:rsid w:val="003F62F2"/>
    <w:rsid w:val="003F64B4"/>
    <w:rsid w:val="003F6634"/>
    <w:rsid w:val="003F6F14"/>
    <w:rsid w:val="003F75C9"/>
    <w:rsid w:val="003F776D"/>
    <w:rsid w:val="003F777B"/>
    <w:rsid w:val="003F7882"/>
    <w:rsid w:val="003F788A"/>
    <w:rsid w:val="003F78AA"/>
    <w:rsid w:val="003F7A83"/>
    <w:rsid w:val="003F7AD9"/>
    <w:rsid w:val="003F7B43"/>
    <w:rsid w:val="0040008D"/>
    <w:rsid w:val="004004C3"/>
    <w:rsid w:val="00401607"/>
    <w:rsid w:val="0040164D"/>
    <w:rsid w:val="00401BF7"/>
    <w:rsid w:val="00401DCE"/>
    <w:rsid w:val="00401E59"/>
    <w:rsid w:val="004020CA"/>
    <w:rsid w:val="004022AA"/>
    <w:rsid w:val="004027D3"/>
    <w:rsid w:val="004028C7"/>
    <w:rsid w:val="00402D30"/>
    <w:rsid w:val="00402EE3"/>
    <w:rsid w:val="00403598"/>
    <w:rsid w:val="00403D98"/>
    <w:rsid w:val="00403E1A"/>
    <w:rsid w:val="0040407B"/>
    <w:rsid w:val="00404475"/>
    <w:rsid w:val="00404704"/>
    <w:rsid w:val="0040486C"/>
    <w:rsid w:val="00405B3A"/>
    <w:rsid w:val="00405FE2"/>
    <w:rsid w:val="0040670B"/>
    <w:rsid w:val="0040678A"/>
    <w:rsid w:val="00406946"/>
    <w:rsid w:val="00406ED1"/>
    <w:rsid w:val="00407143"/>
    <w:rsid w:val="004072A8"/>
    <w:rsid w:val="00407314"/>
    <w:rsid w:val="004074E1"/>
    <w:rsid w:val="004075A4"/>
    <w:rsid w:val="00407609"/>
    <w:rsid w:val="00407A3F"/>
    <w:rsid w:val="00407A70"/>
    <w:rsid w:val="004104CB"/>
    <w:rsid w:val="004115AD"/>
    <w:rsid w:val="00411892"/>
    <w:rsid w:val="00412037"/>
    <w:rsid w:val="00412122"/>
    <w:rsid w:val="00412202"/>
    <w:rsid w:val="00412255"/>
    <w:rsid w:val="004123A0"/>
    <w:rsid w:val="00412607"/>
    <w:rsid w:val="004129FD"/>
    <w:rsid w:val="00412AE0"/>
    <w:rsid w:val="00412F32"/>
    <w:rsid w:val="00413087"/>
    <w:rsid w:val="00413EA0"/>
    <w:rsid w:val="00413F8C"/>
    <w:rsid w:val="00414499"/>
    <w:rsid w:val="004144CE"/>
    <w:rsid w:val="00414778"/>
    <w:rsid w:val="00414954"/>
    <w:rsid w:val="00415124"/>
    <w:rsid w:val="004152E6"/>
    <w:rsid w:val="00415A4F"/>
    <w:rsid w:val="00415B47"/>
    <w:rsid w:val="00415FBA"/>
    <w:rsid w:val="00416004"/>
    <w:rsid w:val="00416622"/>
    <w:rsid w:val="0041688C"/>
    <w:rsid w:val="004175B2"/>
    <w:rsid w:val="0041788F"/>
    <w:rsid w:val="00417FDF"/>
    <w:rsid w:val="004200CD"/>
    <w:rsid w:val="0042033B"/>
    <w:rsid w:val="00420391"/>
    <w:rsid w:val="0042071B"/>
    <w:rsid w:val="00420A01"/>
    <w:rsid w:val="00420CCB"/>
    <w:rsid w:val="00420D7D"/>
    <w:rsid w:val="00420DEC"/>
    <w:rsid w:val="00421C1A"/>
    <w:rsid w:val="0042224B"/>
    <w:rsid w:val="00422385"/>
    <w:rsid w:val="00422829"/>
    <w:rsid w:val="004229BD"/>
    <w:rsid w:val="00422E08"/>
    <w:rsid w:val="00423928"/>
    <w:rsid w:val="00423A8B"/>
    <w:rsid w:val="00423F58"/>
    <w:rsid w:val="00424A99"/>
    <w:rsid w:val="00424DB2"/>
    <w:rsid w:val="00424FED"/>
    <w:rsid w:val="00425360"/>
    <w:rsid w:val="004253DB"/>
    <w:rsid w:val="00425761"/>
    <w:rsid w:val="004257BD"/>
    <w:rsid w:val="004258C7"/>
    <w:rsid w:val="004258EE"/>
    <w:rsid w:val="00425D06"/>
    <w:rsid w:val="0042614A"/>
    <w:rsid w:val="0042615E"/>
    <w:rsid w:val="0042696C"/>
    <w:rsid w:val="00426D6B"/>
    <w:rsid w:val="0042753C"/>
    <w:rsid w:val="0042756C"/>
    <w:rsid w:val="00427683"/>
    <w:rsid w:val="0042770E"/>
    <w:rsid w:val="004302C4"/>
    <w:rsid w:val="004304EA"/>
    <w:rsid w:val="00430655"/>
    <w:rsid w:val="004307C5"/>
    <w:rsid w:val="004308B0"/>
    <w:rsid w:val="00430D5B"/>
    <w:rsid w:val="00430EC1"/>
    <w:rsid w:val="0043134E"/>
    <w:rsid w:val="00431BD2"/>
    <w:rsid w:val="00431BFF"/>
    <w:rsid w:val="00431C07"/>
    <w:rsid w:val="00432023"/>
    <w:rsid w:val="0043241A"/>
    <w:rsid w:val="00432495"/>
    <w:rsid w:val="00432604"/>
    <w:rsid w:val="00432CCB"/>
    <w:rsid w:val="00432D8C"/>
    <w:rsid w:val="0043303C"/>
    <w:rsid w:val="0043359F"/>
    <w:rsid w:val="0043369E"/>
    <w:rsid w:val="004337BA"/>
    <w:rsid w:val="004338A7"/>
    <w:rsid w:val="00433AD6"/>
    <w:rsid w:val="00433B4A"/>
    <w:rsid w:val="00433DF0"/>
    <w:rsid w:val="00433F31"/>
    <w:rsid w:val="00434114"/>
    <w:rsid w:val="0043427F"/>
    <w:rsid w:val="0043437B"/>
    <w:rsid w:val="004346BA"/>
    <w:rsid w:val="00434CB9"/>
    <w:rsid w:val="00434D9D"/>
    <w:rsid w:val="00434F4D"/>
    <w:rsid w:val="00435810"/>
    <w:rsid w:val="00435A5F"/>
    <w:rsid w:val="00435BCB"/>
    <w:rsid w:val="0043636D"/>
    <w:rsid w:val="00436C63"/>
    <w:rsid w:val="00436E54"/>
    <w:rsid w:val="004372E9"/>
    <w:rsid w:val="004374B9"/>
    <w:rsid w:val="00437620"/>
    <w:rsid w:val="004378E1"/>
    <w:rsid w:val="00437C3D"/>
    <w:rsid w:val="00437F91"/>
    <w:rsid w:val="0044011C"/>
    <w:rsid w:val="00440330"/>
    <w:rsid w:val="00440344"/>
    <w:rsid w:val="0044043A"/>
    <w:rsid w:val="004405D1"/>
    <w:rsid w:val="0044076B"/>
    <w:rsid w:val="00440815"/>
    <w:rsid w:val="00440845"/>
    <w:rsid w:val="00440AC0"/>
    <w:rsid w:val="00440F18"/>
    <w:rsid w:val="00441295"/>
    <w:rsid w:val="00441324"/>
    <w:rsid w:val="00441458"/>
    <w:rsid w:val="004414C6"/>
    <w:rsid w:val="00441FC2"/>
    <w:rsid w:val="0044224F"/>
    <w:rsid w:val="0044292D"/>
    <w:rsid w:val="00442A2B"/>
    <w:rsid w:val="00443623"/>
    <w:rsid w:val="00443C72"/>
    <w:rsid w:val="00443D18"/>
    <w:rsid w:val="00444173"/>
    <w:rsid w:val="00444343"/>
    <w:rsid w:val="00444A17"/>
    <w:rsid w:val="00444B57"/>
    <w:rsid w:val="00445169"/>
    <w:rsid w:val="00445203"/>
    <w:rsid w:val="0044555A"/>
    <w:rsid w:val="00445614"/>
    <w:rsid w:val="00445975"/>
    <w:rsid w:val="00445A2F"/>
    <w:rsid w:val="00445CC7"/>
    <w:rsid w:val="00446362"/>
    <w:rsid w:val="004465C8"/>
    <w:rsid w:val="00446898"/>
    <w:rsid w:val="00446A6B"/>
    <w:rsid w:val="00446CE4"/>
    <w:rsid w:val="004477BE"/>
    <w:rsid w:val="0044781C"/>
    <w:rsid w:val="004500BA"/>
    <w:rsid w:val="00450311"/>
    <w:rsid w:val="00450820"/>
    <w:rsid w:val="00450871"/>
    <w:rsid w:val="00451013"/>
    <w:rsid w:val="00451065"/>
    <w:rsid w:val="004516DC"/>
    <w:rsid w:val="00451A5E"/>
    <w:rsid w:val="00451CA2"/>
    <w:rsid w:val="00451F76"/>
    <w:rsid w:val="004520E6"/>
    <w:rsid w:val="00452C36"/>
    <w:rsid w:val="00452D76"/>
    <w:rsid w:val="0045378C"/>
    <w:rsid w:val="00453887"/>
    <w:rsid w:val="00453DAD"/>
    <w:rsid w:val="0045425F"/>
    <w:rsid w:val="00454387"/>
    <w:rsid w:val="00454393"/>
    <w:rsid w:val="00454FD0"/>
    <w:rsid w:val="00454FE1"/>
    <w:rsid w:val="004553EF"/>
    <w:rsid w:val="00455780"/>
    <w:rsid w:val="00455A67"/>
    <w:rsid w:val="00456427"/>
    <w:rsid w:val="004564DA"/>
    <w:rsid w:val="00456EEC"/>
    <w:rsid w:val="00457661"/>
    <w:rsid w:val="00457693"/>
    <w:rsid w:val="00457A12"/>
    <w:rsid w:val="004601A9"/>
    <w:rsid w:val="0046054C"/>
    <w:rsid w:val="0046065C"/>
    <w:rsid w:val="00460A32"/>
    <w:rsid w:val="00460C2C"/>
    <w:rsid w:val="00460C94"/>
    <w:rsid w:val="00460DBC"/>
    <w:rsid w:val="00461237"/>
    <w:rsid w:val="00461322"/>
    <w:rsid w:val="004618FB"/>
    <w:rsid w:val="00461945"/>
    <w:rsid w:val="00461CAA"/>
    <w:rsid w:val="00462415"/>
    <w:rsid w:val="00462BAA"/>
    <w:rsid w:val="00462C69"/>
    <w:rsid w:val="00462CB1"/>
    <w:rsid w:val="0046317E"/>
    <w:rsid w:val="004632FD"/>
    <w:rsid w:val="00463319"/>
    <w:rsid w:val="00463467"/>
    <w:rsid w:val="00463557"/>
    <w:rsid w:val="00463683"/>
    <w:rsid w:val="00463720"/>
    <w:rsid w:val="00463747"/>
    <w:rsid w:val="00463B1C"/>
    <w:rsid w:val="00463CE2"/>
    <w:rsid w:val="0046418D"/>
    <w:rsid w:val="004644A3"/>
    <w:rsid w:val="004644F9"/>
    <w:rsid w:val="0046512B"/>
    <w:rsid w:val="004652B9"/>
    <w:rsid w:val="004658CC"/>
    <w:rsid w:val="004658EA"/>
    <w:rsid w:val="00465DEA"/>
    <w:rsid w:val="004660CC"/>
    <w:rsid w:val="004665F0"/>
    <w:rsid w:val="00466771"/>
    <w:rsid w:val="00466953"/>
    <w:rsid w:val="00466A0E"/>
    <w:rsid w:val="00466C5D"/>
    <w:rsid w:val="00466F00"/>
    <w:rsid w:val="004670E3"/>
    <w:rsid w:val="0046737D"/>
    <w:rsid w:val="00467750"/>
    <w:rsid w:val="00467A36"/>
    <w:rsid w:val="00467B07"/>
    <w:rsid w:val="00467C07"/>
    <w:rsid w:val="004700D9"/>
    <w:rsid w:val="0047019F"/>
    <w:rsid w:val="0047073B"/>
    <w:rsid w:val="0047078E"/>
    <w:rsid w:val="00470B37"/>
    <w:rsid w:val="00470CDE"/>
    <w:rsid w:val="004710BE"/>
    <w:rsid w:val="00471B83"/>
    <w:rsid w:val="00471C6E"/>
    <w:rsid w:val="00471D37"/>
    <w:rsid w:val="004721AC"/>
    <w:rsid w:val="00472534"/>
    <w:rsid w:val="0047256D"/>
    <w:rsid w:val="00472652"/>
    <w:rsid w:val="00472706"/>
    <w:rsid w:val="00472743"/>
    <w:rsid w:val="00472A1E"/>
    <w:rsid w:val="00472BEA"/>
    <w:rsid w:val="00472C91"/>
    <w:rsid w:val="00472D28"/>
    <w:rsid w:val="004730C0"/>
    <w:rsid w:val="0047337F"/>
    <w:rsid w:val="00473A49"/>
    <w:rsid w:val="00474551"/>
    <w:rsid w:val="00474686"/>
    <w:rsid w:val="00474780"/>
    <w:rsid w:val="004749E9"/>
    <w:rsid w:val="00474ADC"/>
    <w:rsid w:val="00474DAD"/>
    <w:rsid w:val="00475386"/>
    <w:rsid w:val="00475457"/>
    <w:rsid w:val="00475589"/>
    <w:rsid w:val="00475785"/>
    <w:rsid w:val="00475B94"/>
    <w:rsid w:val="00475E69"/>
    <w:rsid w:val="00475F44"/>
    <w:rsid w:val="00476094"/>
    <w:rsid w:val="0047654A"/>
    <w:rsid w:val="0047675E"/>
    <w:rsid w:val="00476C07"/>
    <w:rsid w:val="00476F5B"/>
    <w:rsid w:val="0047733E"/>
    <w:rsid w:val="00477345"/>
    <w:rsid w:val="00477917"/>
    <w:rsid w:val="00477A38"/>
    <w:rsid w:val="00480E9F"/>
    <w:rsid w:val="0048125A"/>
    <w:rsid w:val="0048144C"/>
    <w:rsid w:val="00481DA5"/>
    <w:rsid w:val="00481FDB"/>
    <w:rsid w:val="00482555"/>
    <w:rsid w:val="00482932"/>
    <w:rsid w:val="00482B19"/>
    <w:rsid w:val="0048339E"/>
    <w:rsid w:val="004834F0"/>
    <w:rsid w:val="0048386A"/>
    <w:rsid w:val="00483AFC"/>
    <w:rsid w:val="00483F48"/>
    <w:rsid w:val="0048416D"/>
    <w:rsid w:val="00484218"/>
    <w:rsid w:val="004843A9"/>
    <w:rsid w:val="004844A1"/>
    <w:rsid w:val="0048455A"/>
    <w:rsid w:val="004849C9"/>
    <w:rsid w:val="00484C45"/>
    <w:rsid w:val="004854C2"/>
    <w:rsid w:val="004854CE"/>
    <w:rsid w:val="004859A5"/>
    <w:rsid w:val="004859DF"/>
    <w:rsid w:val="00485D21"/>
    <w:rsid w:val="004862D3"/>
    <w:rsid w:val="0048637C"/>
    <w:rsid w:val="0048646D"/>
    <w:rsid w:val="004867E2"/>
    <w:rsid w:val="004869ED"/>
    <w:rsid w:val="00486A7D"/>
    <w:rsid w:val="00486C58"/>
    <w:rsid w:val="00486E85"/>
    <w:rsid w:val="00487394"/>
    <w:rsid w:val="004875C3"/>
    <w:rsid w:val="00487674"/>
    <w:rsid w:val="004901D1"/>
    <w:rsid w:val="00490494"/>
    <w:rsid w:val="004907CE"/>
    <w:rsid w:val="00490F36"/>
    <w:rsid w:val="00491573"/>
    <w:rsid w:val="004918C0"/>
    <w:rsid w:val="00491D20"/>
    <w:rsid w:val="00491E18"/>
    <w:rsid w:val="00491E3E"/>
    <w:rsid w:val="00491F70"/>
    <w:rsid w:val="004923D8"/>
    <w:rsid w:val="0049247B"/>
    <w:rsid w:val="00492E65"/>
    <w:rsid w:val="00492F3B"/>
    <w:rsid w:val="004931BF"/>
    <w:rsid w:val="00493E31"/>
    <w:rsid w:val="00494144"/>
    <w:rsid w:val="004942CA"/>
    <w:rsid w:val="00494473"/>
    <w:rsid w:val="00494B98"/>
    <w:rsid w:val="00495219"/>
    <w:rsid w:val="00495393"/>
    <w:rsid w:val="00495EAD"/>
    <w:rsid w:val="00495F02"/>
    <w:rsid w:val="0049603B"/>
    <w:rsid w:val="004963B8"/>
    <w:rsid w:val="00496480"/>
    <w:rsid w:val="00496CD3"/>
    <w:rsid w:val="00496E54"/>
    <w:rsid w:val="00496E77"/>
    <w:rsid w:val="00497603"/>
    <w:rsid w:val="00497F80"/>
    <w:rsid w:val="004A00FB"/>
    <w:rsid w:val="004A02C3"/>
    <w:rsid w:val="004A116E"/>
    <w:rsid w:val="004A13A9"/>
    <w:rsid w:val="004A14CE"/>
    <w:rsid w:val="004A1D0D"/>
    <w:rsid w:val="004A1F55"/>
    <w:rsid w:val="004A1FD6"/>
    <w:rsid w:val="004A253B"/>
    <w:rsid w:val="004A25C4"/>
    <w:rsid w:val="004A28CA"/>
    <w:rsid w:val="004A29C3"/>
    <w:rsid w:val="004A2B9A"/>
    <w:rsid w:val="004A2F14"/>
    <w:rsid w:val="004A355F"/>
    <w:rsid w:val="004A3803"/>
    <w:rsid w:val="004A386F"/>
    <w:rsid w:val="004A3956"/>
    <w:rsid w:val="004A40A5"/>
    <w:rsid w:val="004A40BD"/>
    <w:rsid w:val="004A411E"/>
    <w:rsid w:val="004A43F3"/>
    <w:rsid w:val="004A465E"/>
    <w:rsid w:val="004A4956"/>
    <w:rsid w:val="004A4D71"/>
    <w:rsid w:val="004A4FD5"/>
    <w:rsid w:val="004A5331"/>
    <w:rsid w:val="004A54F7"/>
    <w:rsid w:val="004A61AD"/>
    <w:rsid w:val="004A61DB"/>
    <w:rsid w:val="004A6740"/>
    <w:rsid w:val="004A6E95"/>
    <w:rsid w:val="004A6EBB"/>
    <w:rsid w:val="004A6F15"/>
    <w:rsid w:val="004A7CB7"/>
    <w:rsid w:val="004A7E00"/>
    <w:rsid w:val="004B0418"/>
    <w:rsid w:val="004B06F8"/>
    <w:rsid w:val="004B0831"/>
    <w:rsid w:val="004B0928"/>
    <w:rsid w:val="004B0B34"/>
    <w:rsid w:val="004B0C44"/>
    <w:rsid w:val="004B0D27"/>
    <w:rsid w:val="004B0DA8"/>
    <w:rsid w:val="004B205A"/>
    <w:rsid w:val="004B24DA"/>
    <w:rsid w:val="004B25B1"/>
    <w:rsid w:val="004B2987"/>
    <w:rsid w:val="004B2A15"/>
    <w:rsid w:val="004B2F46"/>
    <w:rsid w:val="004B2F56"/>
    <w:rsid w:val="004B30CB"/>
    <w:rsid w:val="004B3259"/>
    <w:rsid w:val="004B3313"/>
    <w:rsid w:val="004B3658"/>
    <w:rsid w:val="004B3844"/>
    <w:rsid w:val="004B39E1"/>
    <w:rsid w:val="004B3E21"/>
    <w:rsid w:val="004B411A"/>
    <w:rsid w:val="004B4440"/>
    <w:rsid w:val="004B4A57"/>
    <w:rsid w:val="004B4B2E"/>
    <w:rsid w:val="004B4D10"/>
    <w:rsid w:val="004B5338"/>
    <w:rsid w:val="004B54A1"/>
    <w:rsid w:val="004B5A9D"/>
    <w:rsid w:val="004B6170"/>
    <w:rsid w:val="004B6382"/>
    <w:rsid w:val="004B66AD"/>
    <w:rsid w:val="004B6750"/>
    <w:rsid w:val="004B679A"/>
    <w:rsid w:val="004B67AD"/>
    <w:rsid w:val="004B68A4"/>
    <w:rsid w:val="004B6F11"/>
    <w:rsid w:val="004B7162"/>
    <w:rsid w:val="004B71C6"/>
    <w:rsid w:val="004B7242"/>
    <w:rsid w:val="004B7C2D"/>
    <w:rsid w:val="004C0614"/>
    <w:rsid w:val="004C0BE5"/>
    <w:rsid w:val="004C0CA0"/>
    <w:rsid w:val="004C13B1"/>
    <w:rsid w:val="004C1ADC"/>
    <w:rsid w:val="004C2733"/>
    <w:rsid w:val="004C2904"/>
    <w:rsid w:val="004C29CE"/>
    <w:rsid w:val="004C2D8C"/>
    <w:rsid w:val="004C3289"/>
    <w:rsid w:val="004C344F"/>
    <w:rsid w:val="004C35C7"/>
    <w:rsid w:val="004C35D2"/>
    <w:rsid w:val="004C3AE0"/>
    <w:rsid w:val="004C3B51"/>
    <w:rsid w:val="004C3BE2"/>
    <w:rsid w:val="004C4891"/>
    <w:rsid w:val="004C4951"/>
    <w:rsid w:val="004C4CAD"/>
    <w:rsid w:val="004C519A"/>
    <w:rsid w:val="004C5252"/>
    <w:rsid w:val="004C5431"/>
    <w:rsid w:val="004C5E9C"/>
    <w:rsid w:val="004C64BC"/>
    <w:rsid w:val="004C6540"/>
    <w:rsid w:val="004C6985"/>
    <w:rsid w:val="004C6B6E"/>
    <w:rsid w:val="004C7214"/>
    <w:rsid w:val="004C724D"/>
    <w:rsid w:val="004C74B7"/>
    <w:rsid w:val="004C787B"/>
    <w:rsid w:val="004D00E5"/>
    <w:rsid w:val="004D0762"/>
    <w:rsid w:val="004D0A22"/>
    <w:rsid w:val="004D0C02"/>
    <w:rsid w:val="004D15F7"/>
    <w:rsid w:val="004D196B"/>
    <w:rsid w:val="004D1AC7"/>
    <w:rsid w:val="004D1B38"/>
    <w:rsid w:val="004D2469"/>
    <w:rsid w:val="004D2602"/>
    <w:rsid w:val="004D2641"/>
    <w:rsid w:val="004D2685"/>
    <w:rsid w:val="004D2C42"/>
    <w:rsid w:val="004D34AD"/>
    <w:rsid w:val="004D38CB"/>
    <w:rsid w:val="004D3AEC"/>
    <w:rsid w:val="004D3DDB"/>
    <w:rsid w:val="004D4053"/>
    <w:rsid w:val="004D4098"/>
    <w:rsid w:val="004D4525"/>
    <w:rsid w:val="004D482B"/>
    <w:rsid w:val="004D5156"/>
    <w:rsid w:val="004D53DE"/>
    <w:rsid w:val="004D5665"/>
    <w:rsid w:val="004D57AE"/>
    <w:rsid w:val="004D584F"/>
    <w:rsid w:val="004D5989"/>
    <w:rsid w:val="004D6453"/>
    <w:rsid w:val="004D6531"/>
    <w:rsid w:val="004D66D0"/>
    <w:rsid w:val="004D67AF"/>
    <w:rsid w:val="004D68B5"/>
    <w:rsid w:val="004D691E"/>
    <w:rsid w:val="004D69BB"/>
    <w:rsid w:val="004D6A47"/>
    <w:rsid w:val="004D6A64"/>
    <w:rsid w:val="004D6FB9"/>
    <w:rsid w:val="004D72E6"/>
    <w:rsid w:val="004D781D"/>
    <w:rsid w:val="004D7A02"/>
    <w:rsid w:val="004D7CBA"/>
    <w:rsid w:val="004E0161"/>
    <w:rsid w:val="004E025F"/>
    <w:rsid w:val="004E09DD"/>
    <w:rsid w:val="004E14A4"/>
    <w:rsid w:val="004E15B9"/>
    <w:rsid w:val="004E1A2A"/>
    <w:rsid w:val="004E1F3F"/>
    <w:rsid w:val="004E2050"/>
    <w:rsid w:val="004E21F8"/>
    <w:rsid w:val="004E296E"/>
    <w:rsid w:val="004E3D3A"/>
    <w:rsid w:val="004E4471"/>
    <w:rsid w:val="004E49EA"/>
    <w:rsid w:val="004E53EC"/>
    <w:rsid w:val="004E5711"/>
    <w:rsid w:val="004E5C08"/>
    <w:rsid w:val="004E6392"/>
    <w:rsid w:val="004E66DD"/>
    <w:rsid w:val="004E705F"/>
    <w:rsid w:val="004E72CB"/>
    <w:rsid w:val="004E72CC"/>
    <w:rsid w:val="004E734A"/>
    <w:rsid w:val="004E7548"/>
    <w:rsid w:val="004E7EEA"/>
    <w:rsid w:val="004F01C2"/>
    <w:rsid w:val="004F0267"/>
    <w:rsid w:val="004F0590"/>
    <w:rsid w:val="004F0673"/>
    <w:rsid w:val="004F0CC7"/>
    <w:rsid w:val="004F12D4"/>
    <w:rsid w:val="004F15EC"/>
    <w:rsid w:val="004F1ACF"/>
    <w:rsid w:val="004F1DA0"/>
    <w:rsid w:val="004F23A5"/>
    <w:rsid w:val="004F2979"/>
    <w:rsid w:val="004F2D47"/>
    <w:rsid w:val="004F2D4F"/>
    <w:rsid w:val="004F2D82"/>
    <w:rsid w:val="004F306D"/>
    <w:rsid w:val="004F3346"/>
    <w:rsid w:val="004F3775"/>
    <w:rsid w:val="004F4047"/>
    <w:rsid w:val="004F4165"/>
    <w:rsid w:val="004F4BFA"/>
    <w:rsid w:val="004F4D96"/>
    <w:rsid w:val="004F50BA"/>
    <w:rsid w:val="004F5223"/>
    <w:rsid w:val="004F5595"/>
    <w:rsid w:val="004F56EF"/>
    <w:rsid w:val="004F64FD"/>
    <w:rsid w:val="004F66EA"/>
    <w:rsid w:val="004F6A17"/>
    <w:rsid w:val="004F6D63"/>
    <w:rsid w:val="004F7139"/>
    <w:rsid w:val="004F7273"/>
    <w:rsid w:val="004F73A6"/>
    <w:rsid w:val="004F73FD"/>
    <w:rsid w:val="004F7428"/>
    <w:rsid w:val="004F7914"/>
    <w:rsid w:val="004F7C8E"/>
    <w:rsid w:val="004F7DE8"/>
    <w:rsid w:val="004F7FBE"/>
    <w:rsid w:val="00500EBE"/>
    <w:rsid w:val="00500F5A"/>
    <w:rsid w:val="00501223"/>
    <w:rsid w:val="00501544"/>
    <w:rsid w:val="00501593"/>
    <w:rsid w:val="00501A51"/>
    <w:rsid w:val="00501FC3"/>
    <w:rsid w:val="005021F3"/>
    <w:rsid w:val="00502A2A"/>
    <w:rsid w:val="00502AFA"/>
    <w:rsid w:val="005036E9"/>
    <w:rsid w:val="00503A52"/>
    <w:rsid w:val="00503DD0"/>
    <w:rsid w:val="005040B7"/>
    <w:rsid w:val="00504859"/>
    <w:rsid w:val="005049DD"/>
    <w:rsid w:val="005051F0"/>
    <w:rsid w:val="005051FD"/>
    <w:rsid w:val="00505500"/>
    <w:rsid w:val="00505720"/>
    <w:rsid w:val="005057EB"/>
    <w:rsid w:val="00505CCB"/>
    <w:rsid w:val="00505CF0"/>
    <w:rsid w:val="00505D08"/>
    <w:rsid w:val="00505DA5"/>
    <w:rsid w:val="00505FF1"/>
    <w:rsid w:val="00506249"/>
    <w:rsid w:val="00506714"/>
    <w:rsid w:val="00506ADC"/>
    <w:rsid w:val="00506B5B"/>
    <w:rsid w:val="00506F44"/>
    <w:rsid w:val="005070F7"/>
    <w:rsid w:val="005072E5"/>
    <w:rsid w:val="00507402"/>
    <w:rsid w:val="00507569"/>
    <w:rsid w:val="005079DD"/>
    <w:rsid w:val="00507B37"/>
    <w:rsid w:val="00507C3B"/>
    <w:rsid w:val="00507F8F"/>
    <w:rsid w:val="00510445"/>
    <w:rsid w:val="0051055B"/>
    <w:rsid w:val="0051059A"/>
    <w:rsid w:val="005106F9"/>
    <w:rsid w:val="00510835"/>
    <w:rsid w:val="00510C8D"/>
    <w:rsid w:val="00510D4D"/>
    <w:rsid w:val="00510E92"/>
    <w:rsid w:val="00511205"/>
    <w:rsid w:val="00511214"/>
    <w:rsid w:val="00512065"/>
    <w:rsid w:val="0051250F"/>
    <w:rsid w:val="0051271C"/>
    <w:rsid w:val="00512DE7"/>
    <w:rsid w:val="005130A6"/>
    <w:rsid w:val="00513846"/>
    <w:rsid w:val="0051427F"/>
    <w:rsid w:val="0051463D"/>
    <w:rsid w:val="005147DF"/>
    <w:rsid w:val="005148BE"/>
    <w:rsid w:val="005149E5"/>
    <w:rsid w:val="00514F83"/>
    <w:rsid w:val="0051563E"/>
    <w:rsid w:val="00515734"/>
    <w:rsid w:val="00515C8C"/>
    <w:rsid w:val="00515FDE"/>
    <w:rsid w:val="00516298"/>
    <w:rsid w:val="0051650E"/>
    <w:rsid w:val="0051672D"/>
    <w:rsid w:val="00516758"/>
    <w:rsid w:val="00516848"/>
    <w:rsid w:val="00516E38"/>
    <w:rsid w:val="00516E77"/>
    <w:rsid w:val="00516EF9"/>
    <w:rsid w:val="00516F16"/>
    <w:rsid w:val="0051703A"/>
    <w:rsid w:val="00517383"/>
    <w:rsid w:val="005173EC"/>
    <w:rsid w:val="00517639"/>
    <w:rsid w:val="00517D3C"/>
    <w:rsid w:val="0052060D"/>
    <w:rsid w:val="00520BA6"/>
    <w:rsid w:val="005211BA"/>
    <w:rsid w:val="0052142D"/>
    <w:rsid w:val="00521625"/>
    <w:rsid w:val="00521767"/>
    <w:rsid w:val="00521A28"/>
    <w:rsid w:val="00521B07"/>
    <w:rsid w:val="00521DC4"/>
    <w:rsid w:val="005222F2"/>
    <w:rsid w:val="00522916"/>
    <w:rsid w:val="00522B51"/>
    <w:rsid w:val="00522C7A"/>
    <w:rsid w:val="0052315B"/>
    <w:rsid w:val="00523499"/>
    <w:rsid w:val="005236FE"/>
    <w:rsid w:val="0052373D"/>
    <w:rsid w:val="00523AC7"/>
    <w:rsid w:val="00523BE9"/>
    <w:rsid w:val="005240CB"/>
    <w:rsid w:val="0052439D"/>
    <w:rsid w:val="00524A3C"/>
    <w:rsid w:val="00524BFA"/>
    <w:rsid w:val="00525633"/>
    <w:rsid w:val="00525974"/>
    <w:rsid w:val="00526191"/>
    <w:rsid w:val="005262C3"/>
    <w:rsid w:val="00526832"/>
    <w:rsid w:val="00526835"/>
    <w:rsid w:val="005269F1"/>
    <w:rsid w:val="00526A35"/>
    <w:rsid w:val="00526A4E"/>
    <w:rsid w:val="00526F01"/>
    <w:rsid w:val="00527034"/>
    <w:rsid w:val="005277E1"/>
    <w:rsid w:val="0053053F"/>
    <w:rsid w:val="005307BB"/>
    <w:rsid w:val="00530888"/>
    <w:rsid w:val="00530ED3"/>
    <w:rsid w:val="005310CF"/>
    <w:rsid w:val="00531387"/>
    <w:rsid w:val="005316EA"/>
    <w:rsid w:val="005317D6"/>
    <w:rsid w:val="00531E4A"/>
    <w:rsid w:val="00531ECF"/>
    <w:rsid w:val="00532054"/>
    <w:rsid w:val="00532271"/>
    <w:rsid w:val="005326B6"/>
    <w:rsid w:val="00532D8C"/>
    <w:rsid w:val="0053300A"/>
    <w:rsid w:val="005332A5"/>
    <w:rsid w:val="00533CEF"/>
    <w:rsid w:val="00533CFE"/>
    <w:rsid w:val="00533FFD"/>
    <w:rsid w:val="0053407B"/>
    <w:rsid w:val="00534335"/>
    <w:rsid w:val="00534C4A"/>
    <w:rsid w:val="00535542"/>
    <w:rsid w:val="005355F8"/>
    <w:rsid w:val="005355FD"/>
    <w:rsid w:val="005359FF"/>
    <w:rsid w:val="00535E22"/>
    <w:rsid w:val="005364D9"/>
    <w:rsid w:val="005366A2"/>
    <w:rsid w:val="0053694B"/>
    <w:rsid w:val="00536C27"/>
    <w:rsid w:val="00536EB8"/>
    <w:rsid w:val="00536EDC"/>
    <w:rsid w:val="0053789D"/>
    <w:rsid w:val="0053791D"/>
    <w:rsid w:val="00537E8F"/>
    <w:rsid w:val="0054010A"/>
    <w:rsid w:val="00540176"/>
    <w:rsid w:val="0054050D"/>
    <w:rsid w:val="00540534"/>
    <w:rsid w:val="00540CE4"/>
    <w:rsid w:val="00540D0E"/>
    <w:rsid w:val="0054100C"/>
    <w:rsid w:val="00541141"/>
    <w:rsid w:val="00541393"/>
    <w:rsid w:val="00541994"/>
    <w:rsid w:val="00541CB7"/>
    <w:rsid w:val="00541E6E"/>
    <w:rsid w:val="0054210F"/>
    <w:rsid w:val="005422B4"/>
    <w:rsid w:val="005428B8"/>
    <w:rsid w:val="00542990"/>
    <w:rsid w:val="0054443F"/>
    <w:rsid w:val="005445A2"/>
    <w:rsid w:val="00544BB8"/>
    <w:rsid w:val="00544C04"/>
    <w:rsid w:val="00544ED5"/>
    <w:rsid w:val="0054523C"/>
    <w:rsid w:val="0054559B"/>
    <w:rsid w:val="00545D0C"/>
    <w:rsid w:val="0054602A"/>
    <w:rsid w:val="005460E7"/>
    <w:rsid w:val="0054627D"/>
    <w:rsid w:val="00546C8D"/>
    <w:rsid w:val="00546F85"/>
    <w:rsid w:val="005472BB"/>
    <w:rsid w:val="00547427"/>
    <w:rsid w:val="00547752"/>
    <w:rsid w:val="0054775B"/>
    <w:rsid w:val="005478EA"/>
    <w:rsid w:val="00547BE8"/>
    <w:rsid w:val="005505EE"/>
    <w:rsid w:val="00550612"/>
    <w:rsid w:val="005508A4"/>
    <w:rsid w:val="00550D28"/>
    <w:rsid w:val="00550F68"/>
    <w:rsid w:val="0055136E"/>
    <w:rsid w:val="0055162A"/>
    <w:rsid w:val="00551ADA"/>
    <w:rsid w:val="00551DC2"/>
    <w:rsid w:val="005520B2"/>
    <w:rsid w:val="005521F7"/>
    <w:rsid w:val="00552618"/>
    <w:rsid w:val="0055285B"/>
    <w:rsid w:val="00552935"/>
    <w:rsid w:val="00552F9E"/>
    <w:rsid w:val="0055338F"/>
    <w:rsid w:val="005539EA"/>
    <w:rsid w:val="00553DAC"/>
    <w:rsid w:val="00553EC5"/>
    <w:rsid w:val="005542A2"/>
    <w:rsid w:val="005542B8"/>
    <w:rsid w:val="0055458C"/>
    <w:rsid w:val="00554991"/>
    <w:rsid w:val="00554E0A"/>
    <w:rsid w:val="00555061"/>
    <w:rsid w:val="0055544B"/>
    <w:rsid w:val="00555A5E"/>
    <w:rsid w:val="00555BA9"/>
    <w:rsid w:val="00555C8E"/>
    <w:rsid w:val="00555DE4"/>
    <w:rsid w:val="00555E49"/>
    <w:rsid w:val="00556001"/>
    <w:rsid w:val="0055643B"/>
    <w:rsid w:val="00556AF0"/>
    <w:rsid w:val="00556CAF"/>
    <w:rsid w:val="005577C4"/>
    <w:rsid w:val="005579D0"/>
    <w:rsid w:val="00557E9F"/>
    <w:rsid w:val="00557EE9"/>
    <w:rsid w:val="00560EB9"/>
    <w:rsid w:val="00561614"/>
    <w:rsid w:val="0056191C"/>
    <w:rsid w:val="00561E3B"/>
    <w:rsid w:val="005620AE"/>
    <w:rsid w:val="00562241"/>
    <w:rsid w:val="0056258F"/>
    <w:rsid w:val="00562602"/>
    <w:rsid w:val="005626D5"/>
    <w:rsid w:val="00562DD9"/>
    <w:rsid w:val="00562F23"/>
    <w:rsid w:val="005630BE"/>
    <w:rsid w:val="005631FB"/>
    <w:rsid w:val="00563284"/>
    <w:rsid w:val="005632B5"/>
    <w:rsid w:val="005635EA"/>
    <w:rsid w:val="00563946"/>
    <w:rsid w:val="00563B64"/>
    <w:rsid w:val="00563CCC"/>
    <w:rsid w:val="00563F39"/>
    <w:rsid w:val="00564473"/>
    <w:rsid w:val="00564AE9"/>
    <w:rsid w:val="00564DA4"/>
    <w:rsid w:val="00565224"/>
    <w:rsid w:val="0056522B"/>
    <w:rsid w:val="0056626E"/>
    <w:rsid w:val="00566467"/>
    <w:rsid w:val="00566815"/>
    <w:rsid w:val="005669B0"/>
    <w:rsid w:val="00566B8B"/>
    <w:rsid w:val="00566CE0"/>
    <w:rsid w:val="00566F49"/>
    <w:rsid w:val="00567041"/>
    <w:rsid w:val="005670D1"/>
    <w:rsid w:val="005673D8"/>
    <w:rsid w:val="0056794B"/>
    <w:rsid w:val="00567A33"/>
    <w:rsid w:val="00567D0B"/>
    <w:rsid w:val="00567FF0"/>
    <w:rsid w:val="0057008A"/>
    <w:rsid w:val="005703A3"/>
    <w:rsid w:val="00570845"/>
    <w:rsid w:val="00570A1E"/>
    <w:rsid w:val="00570B39"/>
    <w:rsid w:val="005717BB"/>
    <w:rsid w:val="005719DA"/>
    <w:rsid w:val="00571DC5"/>
    <w:rsid w:val="005727D3"/>
    <w:rsid w:val="00572ADA"/>
    <w:rsid w:val="00572B5D"/>
    <w:rsid w:val="0057309C"/>
    <w:rsid w:val="005734F8"/>
    <w:rsid w:val="00573D95"/>
    <w:rsid w:val="005743D3"/>
    <w:rsid w:val="005749DC"/>
    <w:rsid w:val="00575313"/>
    <w:rsid w:val="005755AF"/>
    <w:rsid w:val="00575736"/>
    <w:rsid w:val="0057592C"/>
    <w:rsid w:val="00575C2E"/>
    <w:rsid w:val="00575F16"/>
    <w:rsid w:val="0057605A"/>
    <w:rsid w:val="0057608E"/>
    <w:rsid w:val="00576D6E"/>
    <w:rsid w:val="00576EFD"/>
    <w:rsid w:val="00577178"/>
    <w:rsid w:val="005801CC"/>
    <w:rsid w:val="00580207"/>
    <w:rsid w:val="00580263"/>
    <w:rsid w:val="00580988"/>
    <w:rsid w:val="00580CCE"/>
    <w:rsid w:val="00580E35"/>
    <w:rsid w:val="00580F5D"/>
    <w:rsid w:val="00581273"/>
    <w:rsid w:val="00581939"/>
    <w:rsid w:val="0058196D"/>
    <w:rsid w:val="00581AB9"/>
    <w:rsid w:val="00581CB6"/>
    <w:rsid w:val="005825D0"/>
    <w:rsid w:val="00582620"/>
    <w:rsid w:val="00582748"/>
    <w:rsid w:val="005831E2"/>
    <w:rsid w:val="00583729"/>
    <w:rsid w:val="00583ACA"/>
    <w:rsid w:val="00583BF8"/>
    <w:rsid w:val="00583C98"/>
    <w:rsid w:val="005843CB"/>
    <w:rsid w:val="00584525"/>
    <w:rsid w:val="005847C1"/>
    <w:rsid w:val="00584831"/>
    <w:rsid w:val="00584AFC"/>
    <w:rsid w:val="00584B8F"/>
    <w:rsid w:val="00584C97"/>
    <w:rsid w:val="00584C9A"/>
    <w:rsid w:val="00584F5B"/>
    <w:rsid w:val="00585031"/>
    <w:rsid w:val="00585733"/>
    <w:rsid w:val="00585A1A"/>
    <w:rsid w:val="00585C90"/>
    <w:rsid w:val="00585CD0"/>
    <w:rsid w:val="00585F54"/>
    <w:rsid w:val="00585FA2"/>
    <w:rsid w:val="005862F9"/>
    <w:rsid w:val="00586306"/>
    <w:rsid w:val="00586465"/>
    <w:rsid w:val="00586B5F"/>
    <w:rsid w:val="00586F93"/>
    <w:rsid w:val="005870D1"/>
    <w:rsid w:val="00587227"/>
    <w:rsid w:val="005873AE"/>
    <w:rsid w:val="00587AB6"/>
    <w:rsid w:val="005901F2"/>
    <w:rsid w:val="0059028E"/>
    <w:rsid w:val="00590928"/>
    <w:rsid w:val="00590D1E"/>
    <w:rsid w:val="00590D84"/>
    <w:rsid w:val="00590D93"/>
    <w:rsid w:val="005910B3"/>
    <w:rsid w:val="005910BD"/>
    <w:rsid w:val="00591292"/>
    <w:rsid w:val="005913C5"/>
    <w:rsid w:val="00591519"/>
    <w:rsid w:val="00591D2D"/>
    <w:rsid w:val="00591EB8"/>
    <w:rsid w:val="005921B6"/>
    <w:rsid w:val="0059223F"/>
    <w:rsid w:val="005924BE"/>
    <w:rsid w:val="00593BA8"/>
    <w:rsid w:val="00593BB7"/>
    <w:rsid w:val="00593ED0"/>
    <w:rsid w:val="00594362"/>
    <w:rsid w:val="0059489D"/>
    <w:rsid w:val="00594B8F"/>
    <w:rsid w:val="00594C2A"/>
    <w:rsid w:val="00594C2B"/>
    <w:rsid w:val="00594FD0"/>
    <w:rsid w:val="005953AE"/>
    <w:rsid w:val="005955C5"/>
    <w:rsid w:val="00595811"/>
    <w:rsid w:val="00595B9E"/>
    <w:rsid w:val="00595CB6"/>
    <w:rsid w:val="00595F78"/>
    <w:rsid w:val="0059628F"/>
    <w:rsid w:val="005962BE"/>
    <w:rsid w:val="00596777"/>
    <w:rsid w:val="00596FBA"/>
    <w:rsid w:val="00597233"/>
    <w:rsid w:val="005975C1"/>
    <w:rsid w:val="00597C04"/>
    <w:rsid w:val="00597DE9"/>
    <w:rsid w:val="005A0169"/>
    <w:rsid w:val="005A04DC"/>
    <w:rsid w:val="005A056C"/>
    <w:rsid w:val="005A0D3B"/>
    <w:rsid w:val="005A0E0D"/>
    <w:rsid w:val="005A14FF"/>
    <w:rsid w:val="005A1A12"/>
    <w:rsid w:val="005A1DFD"/>
    <w:rsid w:val="005A1EEC"/>
    <w:rsid w:val="005A25E8"/>
    <w:rsid w:val="005A27A3"/>
    <w:rsid w:val="005A29A5"/>
    <w:rsid w:val="005A3395"/>
    <w:rsid w:val="005A3460"/>
    <w:rsid w:val="005A42CA"/>
    <w:rsid w:val="005A445F"/>
    <w:rsid w:val="005A4485"/>
    <w:rsid w:val="005A4501"/>
    <w:rsid w:val="005A45A3"/>
    <w:rsid w:val="005A462A"/>
    <w:rsid w:val="005A4794"/>
    <w:rsid w:val="005A47E9"/>
    <w:rsid w:val="005A4A3A"/>
    <w:rsid w:val="005A4B09"/>
    <w:rsid w:val="005A52F2"/>
    <w:rsid w:val="005A5416"/>
    <w:rsid w:val="005A57E4"/>
    <w:rsid w:val="005A58D1"/>
    <w:rsid w:val="005A58DE"/>
    <w:rsid w:val="005A5C4E"/>
    <w:rsid w:val="005A6179"/>
    <w:rsid w:val="005A623E"/>
    <w:rsid w:val="005A66D7"/>
    <w:rsid w:val="005A6B6A"/>
    <w:rsid w:val="005A6D6D"/>
    <w:rsid w:val="005A6EAF"/>
    <w:rsid w:val="005A77BC"/>
    <w:rsid w:val="005B006C"/>
    <w:rsid w:val="005B03CB"/>
    <w:rsid w:val="005B0648"/>
    <w:rsid w:val="005B107D"/>
    <w:rsid w:val="005B1496"/>
    <w:rsid w:val="005B168B"/>
    <w:rsid w:val="005B1C3D"/>
    <w:rsid w:val="005B2E79"/>
    <w:rsid w:val="005B2EA2"/>
    <w:rsid w:val="005B2EB9"/>
    <w:rsid w:val="005B2F78"/>
    <w:rsid w:val="005B30E9"/>
    <w:rsid w:val="005B3495"/>
    <w:rsid w:val="005B364C"/>
    <w:rsid w:val="005B3ABE"/>
    <w:rsid w:val="005B3D3B"/>
    <w:rsid w:val="005B4085"/>
    <w:rsid w:val="005B4FEA"/>
    <w:rsid w:val="005B53E5"/>
    <w:rsid w:val="005B5F86"/>
    <w:rsid w:val="005B6C5B"/>
    <w:rsid w:val="005B7582"/>
    <w:rsid w:val="005B774B"/>
    <w:rsid w:val="005B77DC"/>
    <w:rsid w:val="005B77F0"/>
    <w:rsid w:val="005B7D85"/>
    <w:rsid w:val="005C0054"/>
    <w:rsid w:val="005C018E"/>
    <w:rsid w:val="005C02CB"/>
    <w:rsid w:val="005C0727"/>
    <w:rsid w:val="005C0D6B"/>
    <w:rsid w:val="005C0FE7"/>
    <w:rsid w:val="005C1005"/>
    <w:rsid w:val="005C11B4"/>
    <w:rsid w:val="005C1230"/>
    <w:rsid w:val="005C1B8E"/>
    <w:rsid w:val="005C1E8C"/>
    <w:rsid w:val="005C1ECF"/>
    <w:rsid w:val="005C2B1B"/>
    <w:rsid w:val="005C2C4F"/>
    <w:rsid w:val="005C2DAC"/>
    <w:rsid w:val="005C2F46"/>
    <w:rsid w:val="005C33EF"/>
    <w:rsid w:val="005C3D54"/>
    <w:rsid w:val="005C3E0A"/>
    <w:rsid w:val="005C40C7"/>
    <w:rsid w:val="005C43A3"/>
    <w:rsid w:val="005C44F7"/>
    <w:rsid w:val="005C4D02"/>
    <w:rsid w:val="005C4DFD"/>
    <w:rsid w:val="005C4E6E"/>
    <w:rsid w:val="005C519A"/>
    <w:rsid w:val="005C5993"/>
    <w:rsid w:val="005C59EC"/>
    <w:rsid w:val="005C5C4A"/>
    <w:rsid w:val="005C5C96"/>
    <w:rsid w:val="005C65DD"/>
    <w:rsid w:val="005C6FAB"/>
    <w:rsid w:val="005C6FFC"/>
    <w:rsid w:val="005C70E0"/>
    <w:rsid w:val="005C7127"/>
    <w:rsid w:val="005C71B8"/>
    <w:rsid w:val="005C7FB0"/>
    <w:rsid w:val="005D0181"/>
    <w:rsid w:val="005D0441"/>
    <w:rsid w:val="005D0697"/>
    <w:rsid w:val="005D08A8"/>
    <w:rsid w:val="005D08E3"/>
    <w:rsid w:val="005D0C65"/>
    <w:rsid w:val="005D0F52"/>
    <w:rsid w:val="005D1009"/>
    <w:rsid w:val="005D1190"/>
    <w:rsid w:val="005D1490"/>
    <w:rsid w:val="005D1B05"/>
    <w:rsid w:val="005D20B2"/>
    <w:rsid w:val="005D24EC"/>
    <w:rsid w:val="005D2609"/>
    <w:rsid w:val="005D2C6E"/>
    <w:rsid w:val="005D2D3C"/>
    <w:rsid w:val="005D2E12"/>
    <w:rsid w:val="005D32C7"/>
    <w:rsid w:val="005D3387"/>
    <w:rsid w:val="005D3847"/>
    <w:rsid w:val="005D3931"/>
    <w:rsid w:val="005D3B21"/>
    <w:rsid w:val="005D3C52"/>
    <w:rsid w:val="005D3DD8"/>
    <w:rsid w:val="005D3E91"/>
    <w:rsid w:val="005D451B"/>
    <w:rsid w:val="005D4CF7"/>
    <w:rsid w:val="005D4E3F"/>
    <w:rsid w:val="005D51CB"/>
    <w:rsid w:val="005D5503"/>
    <w:rsid w:val="005D5559"/>
    <w:rsid w:val="005D5697"/>
    <w:rsid w:val="005D596D"/>
    <w:rsid w:val="005D5A68"/>
    <w:rsid w:val="005D5EC0"/>
    <w:rsid w:val="005D5F95"/>
    <w:rsid w:val="005D723F"/>
    <w:rsid w:val="005D7386"/>
    <w:rsid w:val="005D7699"/>
    <w:rsid w:val="005D78F0"/>
    <w:rsid w:val="005D7F35"/>
    <w:rsid w:val="005E06D0"/>
    <w:rsid w:val="005E073C"/>
    <w:rsid w:val="005E0AB7"/>
    <w:rsid w:val="005E0AD2"/>
    <w:rsid w:val="005E0DEC"/>
    <w:rsid w:val="005E0FEE"/>
    <w:rsid w:val="005E1695"/>
    <w:rsid w:val="005E18FB"/>
    <w:rsid w:val="005E1D35"/>
    <w:rsid w:val="005E1DBF"/>
    <w:rsid w:val="005E1E25"/>
    <w:rsid w:val="005E20D5"/>
    <w:rsid w:val="005E238C"/>
    <w:rsid w:val="005E2710"/>
    <w:rsid w:val="005E29D8"/>
    <w:rsid w:val="005E2CF2"/>
    <w:rsid w:val="005E2D5A"/>
    <w:rsid w:val="005E2F0D"/>
    <w:rsid w:val="005E3042"/>
    <w:rsid w:val="005E31B4"/>
    <w:rsid w:val="005E32D5"/>
    <w:rsid w:val="005E3627"/>
    <w:rsid w:val="005E3726"/>
    <w:rsid w:val="005E379F"/>
    <w:rsid w:val="005E39B6"/>
    <w:rsid w:val="005E44E0"/>
    <w:rsid w:val="005E4AC9"/>
    <w:rsid w:val="005E4E94"/>
    <w:rsid w:val="005E4F4B"/>
    <w:rsid w:val="005E5468"/>
    <w:rsid w:val="005E55C2"/>
    <w:rsid w:val="005E5CE4"/>
    <w:rsid w:val="005E600D"/>
    <w:rsid w:val="005E670B"/>
    <w:rsid w:val="005E6B44"/>
    <w:rsid w:val="005E6F21"/>
    <w:rsid w:val="005E6FC3"/>
    <w:rsid w:val="005E76E5"/>
    <w:rsid w:val="005E78AE"/>
    <w:rsid w:val="005E791E"/>
    <w:rsid w:val="005E7AD3"/>
    <w:rsid w:val="005E7E6C"/>
    <w:rsid w:val="005F0181"/>
    <w:rsid w:val="005F01BE"/>
    <w:rsid w:val="005F03A4"/>
    <w:rsid w:val="005F1303"/>
    <w:rsid w:val="005F1562"/>
    <w:rsid w:val="005F16AA"/>
    <w:rsid w:val="005F1818"/>
    <w:rsid w:val="005F1A28"/>
    <w:rsid w:val="005F1A8B"/>
    <w:rsid w:val="005F1E73"/>
    <w:rsid w:val="005F1EF7"/>
    <w:rsid w:val="005F2150"/>
    <w:rsid w:val="005F22EC"/>
    <w:rsid w:val="005F2885"/>
    <w:rsid w:val="005F28EF"/>
    <w:rsid w:val="005F2966"/>
    <w:rsid w:val="005F2D6B"/>
    <w:rsid w:val="005F2DD9"/>
    <w:rsid w:val="005F32AF"/>
    <w:rsid w:val="005F34EA"/>
    <w:rsid w:val="005F358F"/>
    <w:rsid w:val="005F3C7E"/>
    <w:rsid w:val="005F3EFD"/>
    <w:rsid w:val="005F40D3"/>
    <w:rsid w:val="005F40FA"/>
    <w:rsid w:val="005F4832"/>
    <w:rsid w:val="005F5744"/>
    <w:rsid w:val="005F5E86"/>
    <w:rsid w:val="005F6325"/>
    <w:rsid w:val="005F63CE"/>
    <w:rsid w:val="005F65AE"/>
    <w:rsid w:val="005F6683"/>
    <w:rsid w:val="005F67F4"/>
    <w:rsid w:val="005F7C4B"/>
    <w:rsid w:val="0060071B"/>
    <w:rsid w:val="0060075E"/>
    <w:rsid w:val="00600D70"/>
    <w:rsid w:val="006010BC"/>
    <w:rsid w:val="006013F1"/>
    <w:rsid w:val="00601415"/>
    <w:rsid w:val="006016D7"/>
    <w:rsid w:val="00601C45"/>
    <w:rsid w:val="00601DA4"/>
    <w:rsid w:val="00601F51"/>
    <w:rsid w:val="0060224F"/>
    <w:rsid w:val="006022F5"/>
    <w:rsid w:val="0060242C"/>
    <w:rsid w:val="00602566"/>
    <w:rsid w:val="006025EB"/>
    <w:rsid w:val="00602648"/>
    <w:rsid w:val="00602688"/>
    <w:rsid w:val="006026EC"/>
    <w:rsid w:val="00602753"/>
    <w:rsid w:val="006028B7"/>
    <w:rsid w:val="00602965"/>
    <w:rsid w:val="00602D00"/>
    <w:rsid w:val="00602F15"/>
    <w:rsid w:val="00603052"/>
    <w:rsid w:val="00603074"/>
    <w:rsid w:val="00603612"/>
    <w:rsid w:val="00603825"/>
    <w:rsid w:val="00603D51"/>
    <w:rsid w:val="00603DB9"/>
    <w:rsid w:val="00603FF9"/>
    <w:rsid w:val="0060459B"/>
    <w:rsid w:val="00604626"/>
    <w:rsid w:val="00604769"/>
    <w:rsid w:val="00604E6C"/>
    <w:rsid w:val="006053AB"/>
    <w:rsid w:val="006055A2"/>
    <w:rsid w:val="006055C8"/>
    <w:rsid w:val="00605812"/>
    <w:rsid w:val="00605A06"/>
    <w:rsid w:val="00605B07"/>
    <w:rsid w:val="00605DF3"/>
    <w:rsid w:val="0060609E"/>
    <w:rsid w:val="0060697D"/>
    <w:rsid w:val="006070F0"/>
    <w:rsid w:val="00607274"/>
    <w:rsid w:val="00607BDA"/>
    <w:rsid w:val="00607D0F"/>
    <w:rsid w:val="00610121"/>
    <w:rsid w:val="006101B0"/>
    <w:rsid w:val="0061043D"/>
    <w:rsid w:val="0061049F"/>
    <w:rsid w:val="0061065D"/>
    <w:rsid w:val="006107E6"/>
    <w:rsid w:val="00611188"/>
    <w:rsid w:val="006111F0"/>
    <w:rsid w:val="00611706"/>
    <w:rsid w:val="0061198D"/>
    <w:rsid w:val="00611C95"/>
    <w:rsid w:val="00611DCB"/>
    <w:rsid w:val="00611EC0"/>
    <w:rsid w:val="006123AD"/>
    <w:rsid w:val="0061248A"/>
    <w:rsid w:val="00612B3B"/>
    <w:rsid w:val="00613143"/>
    <w:rsid w:val="00613533"/>
    <w:rsid w:val="006135B6"/>
    <w:rsid w:val="00613B5F"/>
    <w:rsid w:val="00613EFB"/>
    <w:rsid w:val="00614121"/>
    <w:rsid w:val="006144C1"/>
    <w:rsid w:val="00614692"/>
    <w:rsid w:val="00614A82"/>
    <w:rsid w:val="00614DE3"/>
    <w:rsid w:val="00615102"/>
    <w:rsid w:val="00615329"/>
    <w:rsid w:val="0061595F"/>
    <w:rsid w:val="00616144"/>
    <w:rsid w:val="006161C7"/>
    <w:rsid w:val="006163D8"/>
    <w:rsid w:val="0061697D"/>
    <w:rsid w:val="00616A18"/>
    <w:rsid w:val="00616D3D"/>
    <w:rsid w:val="00616D90"/>
    <w:rsid w:val="006170BE"/>
    <w:rsid w:val="00617ACF"/>
    <w:rsid w:val="006202B7"/>
    <w:rsid w:val="00620441"/>
    <w:rsid w:val="006204B1"/>
    <w:rsid w:val="00620CB9"/>
    <w:rsid w:val="00620F24"/>
    <w:rsid w:val="00621170"/>
    <w:rsid w:val="006219EB"/>
    <w:rsid w:val="00622642"/>
    <w:rsid w:val="0062288C"/>
    <w:rsid w:val="00622B51"/>
    <w:rsid w:val="00622D1E"/>
    <w:rsid w:val="006231E3"/>
    <w:rsid w:val="006234D9"/>
    <w:rsid w:val="006237E2"/>
    <w:rsid w:val="006237F3"/>
    <w:rsid w:val="00623A58"/>
    <w:rsid w:val="00623B4E"/>
    <w:rsid w:val="00623C5D"/>
    <w:rsid w:val="00623F29"/>
    <w:rsid w:val="006240B5"/>
    <w:rsid w:val="006241D5"/>
    <w:rsid w:val="00624267"/>
    <w:rsid w:val="006244E2"/>
    <w:rsid w:val="00624A6C"/>
    <w:rsid w:val="0062552E"/>
    <w:rsid w:val="006255E6"/>
    <w:rsid w:val="00625692"/>
    <w:rsid w:val="00625801"/>
    <w:rsid w:val="00625C35"/>
    <w:rsid w:val="0062643F"/>
    <w:rsid w:val="00626680"/>
    <w:rsid w:val="00626700"/>
    <w:rsid w:val="006267F6"/>
    <w:rsid w:val="006268A5"/>
    <w:rsid w:val="00626E49"/>
    <w:rsid w:val="00626F91"/>
    <w:rsid w:val="00627C17"/>
    <w:rsid w:val="00630271"/>
    <w:rsid w:val="006302D8"/>
    <w:rsid w:val="00630391"/>
    <w:rsid w:val="006304AD"/>
    <w:rsid w:val="0063055E"/>
    <w:rsid w:val="0063127C"/>
    <w:rsid w:val="00631D51"/>
    <w:rsid w:val="00631E24"/>
    <w:rsid w:val="00631E2E"/>
    <w:rsid w:val="006322C6"/>
    <w:rsid w:val="00632328"/>
    <w:rsid w:val="006323A0"/>
    <w:rsid w:val="006325B6"/>
    <w:rsid w:val="006326BE"/>
    <w:rsid w:val="0063279E"/>
    <w:rsid w:val="00632883"/>
    <w:rsid w:val="00633420"/>
    <w:rsid w:val="00633424"/>
    <w:rsid w:val="006336ED"/>
    <w:rsid w:val="0063470C"/>
    <w:rsid w:val="0063478C"/>
    <w:rsid w:val="00634ABD"/>
    <w:rsid w:val="00634B44"/>
    <w:rsid w:val="00634E32"/>
    <w:rsid w:val="00634F8B"/>
    <w:rsid w:val="00634FA3"/>
    <w:rsid w:val="0063505F"/>
    <w:rsid w:val="00635080"/>
    <w:rsid w:val="006351E8"/>
    <w:rsid w:val="00635969"/>
    <w:rsid w:val="00635AAD"/>
    <w:rsid w:val="00635B19"/>
    <w:rsid w:val="00635B53"/>
    <w:rsid w:val="006361A4"/>
    <w:rsid w:val="006363DB"/>
    <w:rsid w:val="006369EA"/>
    <w:rsid w:val="00636B8D"/>
    <w:rsid w:val="00636BA9"/>
    <w:rsid w:val="00636C93"/>
    <w:rsid w:val="00636DBA"/>
    <w:rsid w:val="00636EE9"/>
    <w:rsid w:val="006373C6"/>
    <w:rsid w:val="006373F3"/>
    <w:rsid w:val="00637A1B"/>
    <w:rsid w:val="00637B3B"/>
    <w:rsid w:val="00637C7B"/>
    <w:rsid w:val="00640015"/>
    <w:rsid w:val="00640207"/>
    <w:rsid w:val="00640325"/>
    <w:rsid w:val="006404FA"/>
    <w:rsid w:val="00640794"/>
    <w:rsid w:val="006408F4"/>
    <w:rsid w:val="00640ADE"/>
    <w:rsid w:val="00640EF8"/>
    <w:rsid w:val="00640F5D"/>
    <w:rsid w:val="00641092"/>
    <w:rsid w:val="006413F7"/>
    <w:rsid w:val="00641651"/>
    <w:rsid w:val="006419B3"/>
    <w:rsid w:val="006419B9"/>
    <w:rsid w:val="00641CAF"/>
    <w:rsid w:val="006426A3"/>
    <w:rsid w:val="006429B6"/>
    <w:rsid w:val="0064303E"/>
    <w:rsid w:val="00643290"/>
    <w:rsid w:val="00643356"/>
    <w:rsid w:val="0064346B"/>
    <w:rsid w:val="00643535"/>
    <w:rsid w:val="0064373A"/>
    <w:rsid w:val="006438D0"/>
    <w:rsid w:val="00643E18"/>
    <w:rsid w:val="00643FD7"/>
    <w:rsid w:val="00644425"/>
    <w:rsid w:val="0064480D"/>
    <w:rsid w:val="00644D64"/>
    <w:rsid w:val="0064562F"/>
    <w:rsid w:val="006458E6"/>
    <w:rsid w:val="00645949"/>
    <w:rsid w:val="00645A2D"/>
    <w:rsid w:val="00645A3D"/>
    <w:rsid w:val="00645CCE"/>
    <w:rsid w:val="00645ED4"/>
    <w:rsid w:val="00645F1D"/>
    <w:rsid w:val="006462DC"/>
    <w:rsid w:val="00646309"/>
    <w:rsid w:val="006465F1"/>
    <w:rsid w:val="00646BCE"/>
    <w:rsid w:val="00646F70"/>
    <w:rsid w:val="00647973"/>
    <w:rsid w:val="006504E4"/>
    <w:rsid w:val="0065067D"/>
    <w:rsid w:val="00650725"/>
    <w:rsid w:val="00650915"/>
    <w:rsid w:val="00651006"/>
    <w:rsid w:val="006514AB"/>
    <w:rsid w:val="006514AD"/>
    <w:rsid w:val="00651739"/>
    <w:rsid w:val="0065183E"/>
    <w:rsid w:val="006519CA"/>
    <w:rsid w:val="00651A96"/>
    <w:rsid w:val="0065256C"/>
    <w:rsid w:val="0065281F"/>
    <w:rsid w:val="00652C99"/>
    <w:rsid w:val="0065351B"/>
    <w:rsid w:val="00653610"/>
    <w:rsid w:val="00653785"/>
    <w:rsid w:val="006543DD"/>
    <w:rsid w:val="006547EC"/>
    <w:rsid w:val="006549E9"/>
    <w:rsid w:val="00655054"/>
    <w:rsid w:val="00655586"/>
    <w:rsid w:val="00656330"/>
    <w:rsid w:val="0065658D"/>
    <w:rsid w:val="0065684D"/>
    <w:rsid w:val="00656891"/>
    <w:rsid w:val="00656F65"/>
    <w:rsid w:val="0065702C"/>
    <w:rsid w:val="0065723A"/>
    <w:rsid w:val="00657B5D"/>
    <w:rsid w:val="00657C74"/>
    <w:rsid w:val="00660142"/>
    <w:rsid w:val="0066028E"/>
    <w:rsid w:val="00660319"/>
    <w:rsid w:val="006607A8"/>
    <w:rsid w:val="00660D8A"/>
    <w:rsid w:val="00661260"/>
    <w:rsid w:val="00661453"/>
    <w:rsid w:val="00661B69"/>
    <w:rsid w:val="006620C7"/>
    <w:rsid w:val="00662AF3"/>
    <w:rsid w:val="00662AF8"/>
    <w:rsid w:val="00662C45"/>
    <w:rsid w:val="00662D4A"/>
    <w:rsid w:val="00662D59"/>
    <w:rsid w:val="00662D65"/>
    <w:rsid w:val="00662DFF"/>
    <w:rsid w:val="00663059"/>
    <w:rsid w:val="00663524"/>
    <w:rsid w:val="006637C7"/>
    <w:rsid w:val="006638C5"/>
    <w:rsid w:val="00663A08"/>
    <w:rsid w:val="00663BD7"/>
    <w:rsid w:val="00663D06"/>
    <w:rsid w:val="006646CB"/>
    <w:rsid w:val="00664881"/>
    <w:rsid w:val="006649F3"/>
    <w:rsid w:val="00664A0A"/>
    <w:rsid w:val="00664AB8"/>
    <w:rsid w:val="006655DE"/>
    <w:rsid w:val="00665606"/>
    <w:rsid w:val="00665B8C"/>
    <w:rsid w:val="00666241"/>
    <w:rsid w:val="0066705F"/>
    <w:rsid w:val="006673A0"/>
    <w:rsid w:val="006673E0"/>
    <w:rsid w:val="006674A5"/>
    <w:rsid w:val="00667660"/>
    <w:rsid w:val="00667982"/>
    <w:rsid w:val="00670376"/>
    <w:rsid w:val="0067037B"/>
    <w:rsid w:val="00670C77"/>
    <w:rsid w:val="006719FD"/>
    <w:rsid w:val="00671DC0"/>
    <w:rsid w:val="0067213C"/>
    <w:rsid w:val="0067229E"/>
    <w:rsid w:val="006722EB"/>
    <w:rsid w:val="00672333"/>
    <w:rsid w:val="006728AE"/>
    <w:rsid w:val="0067299F"/>
    <w:rsid w:val="00672B9B"/>
    <w:rsid w:val="00673471"/>
    <w:rsid w:val="006734A7"/>
    <w:rsid w:val="00673823"/>
    <w:rsid w:val="00673EDA"/>
    <w:rsid w:val="006740E8"/>
    <w:rsid w:val="00674199"/>
    <w:rsid w:val="00674781"/>
    <w:rsid w:val="006747A1"/>
    <w:rsid w:val="00674878"/>
    <w:rsid w:val="006748B5"/>
    <w:rsid w:val="00674D6A"/>
    <w:rsid w:val="00675000"/>
    <w:rsid w:val="00675304"/>
    <w:rsid w:val="00675D05"/>
    <w:rsid w:val="00675DF3"/>
    <w:rsid w:val="00675F01"/>
    <w:rsid w:val="00676311"/>
    <w:rsid w:val="006764C4"/>
    <w:rsid w:val="00676894"/>
    <w:rsid w:val="00676B82"/>
    <w:rsid w:val="00676C1D"/>
    <w:rsid w:val="00676F13"/>
    <w:rsid w:val="006771AD"/>
    <w:rsid w:val="00677374"/>
    <w:rsid w:val="006776FE"/>
    <w:rsid w:val="00677E98"/>
    <w:rsid w:val="00677EBB"/>
    <w:rsid w:val="00677F0C"/>
    <w:rsid w:val="00680542"/>
    <w:rsid w:val="0068074B"/>
    <w:rsid w:val="00680760"/>
    <w:rsid w:val="006807EC"/>
    <w:rsid w:val="00680A05"/>
    <w:rsid w:val="00680AA9"/>
    <w:rsid w:val="00680B44"/>
    <w:rsid w:val="00681471"/>
    <w:rsid w:val="006814F7"/>
    <w:rsid w:val="006816D3"/>
    <w:rsid w:val="00681BDA"/>
    <w:rsid w:val="00681FAB"/>
    <w:rsid w:val="006826AB"/>
    <w:rsid w:val="0068298D"/>
    <w:rsid w:val="00682C10"/>
    <w:rsid w:val="0068343E"/>
    <w:rsid w:val="0068387C"/>
    <w:rsid w:val="00683966"/>
    <w:rsid w:val="00683B78"/>
    <w:rsid w:val="00683F3F"/>
    <w:rsid w:val="0068431A"/>
    <w:rsid w:val="0068431D"/>
    <w:rsid w:val="00684874"/>
    <w:rsid w:val="00684AA4"/>
    <w:rsid w:val="00684DE2"/>
    <w:rsid w:val="0068545A"/>
    <w:rsid w:val="00685CE3"/>
    <w:rsid w:val="00685E41"/>
    <w:rsid w:val="006861F1"/>
    <w:rsid w:val="00686517"/>
    <w:rsid w:val="00686778"/>
    <w:rsid w:val="00686FA0"/>
    <w:rsid w:val="006877D3"/>
    <w:rsid w:val="00687DAD"/>
    <w:rsid w:val="00687E1F"/>
    <w:rsid w:val="006907FA"/>
    <w:rsid w:val="00690894"/>
    <w:rsid w:val="00690E94"/>
    <w:rsid w:val="00690EC7"/>
    <w:rsid w:val="00690FC3"/>
    <w:rsid w:val="006910E4"/>
    <w:rsid w:val="006913C1"/>
    <w:rsid w:val="00691592"/>
    <w:rsid w:val="006915AC"/>
    <w:rsid w:val="00691881"/>
    <w:rsid w:val="00691A78"/>
    <w:rsid w:val="00691BBA"/>
    <w:rsid w:val="00691C5B"/>
    <w:rsid w:val="00691D24"/>
    <w:rsid w:val="00691D31"/>
    <w:rsid w:val="00691E5B"/>
    <w:rsid w:val="00692057"/>
    <w:rsid w:val="006923B9"/>
    <w:rsid w:val="00692C6A"/>
    <w:rsid w:val="0069342F"/>
    <w:rsid w:val="0069343C"/>
    <w:rsid w:val="0069424C"/>
    <w:rsid w:val="0069448B"/>
    <w:rsid w:val="00694803"/>
    <w:rsid w:val="006949D8"/>
    <w:rsid w:val="00694E7B"/>
    <w:rsid w:val="00695B69"/>
    <w:rsid w:val="00695F0B"/>
    <w:rsid w:val="00695FE7"/>
    <w:rsid w:val="00696295"/>
    <w:rsid w:val="0069661A"/>
    <w:rsid w:val="006966F6"/>
    <w:rsid w:val="00696ABB"/>
    <w:rsid w:val="00696AEF"/>
    <w:rsid w:val="00696E97"/>
    <w:rsid w:val="006972EE"/>
    <w:rsid w:val="0069737A"/>
    <w:rsid w:val="006976AE"/>
    <w:rsid w:val="00697D03"/>
    <w:rsid w:val="00697E86"/>
    <w:rsid w:val="00697EAF"/>
    <w:rsid w:val="00697F76"/>
    <w:rsid w:val="006A058F"/>
    <w:rsid w:val="006A05CF"/>
    <w:rsid w:val="006A066F"/>
    <w:rsid w:val="006A079D"/>
    <w:rsid w:val="006A086E"/>
    <w:rsid w:val="006A0DD6"/>
    <w:rsid w:val="006A107C"/>
    <w:rsid w:val="006A1155"/>
    <w:rsid w:val="006A1236"/>
    <w:rsid w:val="006A1CFA"/>
    <w:rsid w:val="006A24C9"/>
    <w:rsid w:val="006A24DB"/>
    <w:rsid w:val="006A25FA"/>
    <w:rsid w:val="006A26B8"/>
    <w:rsid w:val="006A286B"/>
    <w:rsid w:val="006A2951"/>
    <w:rsid w:val="006A2BC3"/>
    <w:rsid w:val="006A2ED5"/>
    <w:rsid w:val="006A344F"/>
    <w:rsid w:val="006A347E"/>
    <w:rsid w:val="006A37AE"/>
    <w:rsid w:val="006A39E5"/>
    <w:rsid w:val="006A3A98"/>
    <w:rsid w:val="006A3BF1"/>
    <w:rsid w:val="006A429F"/>
    <w:rsid w:val="006A48FC"/>
    <w:rsid w:val="006A4922"/>
    <w:rsid w:val="006A4A9B"/>
    <w:rsid w:val="006A4BB7"/>
    <w:rsid w:val="006A5170"/>
    <w:rsid w:val="006A51E0"/>
    <w:rsid w:val="006A55FB"/>
    <w:rsid w:val="006A56FA"/>
    <w:rsid w:val="006A5DE0"/>
    <w:rsid w:val="006A5E0F"/>
    <w:rsid w:val="006A6791"/>
    <w:rsid w:val="006A6878"/>
    <w:rsid w:val="006A6883"/>
    <w:rsid w:val="006A6A70"/>
    <w:rsid w:val="006A7406"/>
    <w:rsid w:val="006A7956"/>
    <w:rsid w:val="006A7AB2"/>
    <w:rsid w:val="006B0087"/>
    <w:rsid w:val="006B010B"/>
    <w:rsid w:val="006B0170"/>
    <w:rsid w:val="006B0259"/>
    <w:rsid w:val="006B034B"/>
    <w:rsid w:val="006B0D15"/>
    <w:rsid w:val="006B1119"/>
    <w:rsid w:val="006B15BC"/>
    <w:rsid w:val="006B16BF"/>
    <w:rsid w:val="006B187C"/>
    <w:rsid w:val="006B193A"/>
    <w:rsid w:val="006B1EE0"/>
    <w:rsid w:val="006B2C13"/>
    <w:rsid w:val="006B2E99"/>
    <w:rsid w:val="006B2EB4"/>
    <w:rsid w:val="006B31A8"/>
    <w:rsid w:val="006B3527"/>
    <w:rsid w:val="006B36E9"/>
    <w:rsid w:val="006B383C"/>
    <w:rsid w:val="006B3967"/>
    <w:rsid w:val="006B3C13"/>
    <w:rsid w:val="006B4430"/>
    <w:rsid w:val="006B44AF"/>
    <w:rsid w:val="006B4606"/>
    <w:rsid w:val="006B4AEE"/>
    <w:rsid w:val="006B4BA8"/>
    <w:rsid w:val="006B5271"/>
    <w:rsid w:val="006B5552"/>
    <w:rsid w:val="006B562A"/>
    <w:rsid w:val="006B58BF"/>
    <w:rsid w:val="006B5E88"/>
    <w:rsid w:val="006B608B"/>
    <w:rsid w:val="006B6787"/>
    <w:rsid w:val="006B67CE"/>
    <w:rsid w:val="006B68E2"/>
    <w:rsid w:val="006B6DBF"/>
    <w:rsid w:val="006B7CF5"/>
    <w:rsid w:val="006C0049"/>
    <w:rsid w:val="006C02B8"/>
    <w:rsid w:val="006C0588"/>
    <w:rsid w:val="006C0A7E"/>
    <w:rsid w:val="006C0EC2"/>
    <w:rsid w:val="006C1AB1"/>
    <w:rsid w:val="006C1BC5"/>
    <w:rsid w:val="006C1FA2"/>
    <w:rsid w:val="006C2A0D"/>
    <w:rsid w:val="006C2B28"/>
    <w:rsid w:val="006C2C37"/>
    <w:rsid w:val="006C319C"/>
    <w:rsid w:val="006C3338"/>
    <w:rsid w:val="006C3B68"/>
    <w:rsid w:val="006C3F52"/>
    <w:rsid w:val="006C436B"/>
    <w:rsid w:val="006C4C99"/>
    <w:rsid w:val="006C509C"/>
    <w:rsid w:val="006C5141"/>
    <w:rsid w:val="006C5359"/>
    <w:rsid w:val="006C57B1"/>
    <w:rsid w:val="006C5A6A"/>
    <w:rsid w:val="006C5F72"/>
    <w:rsid w:val="006C6534"/>
    <w:rsid w:val="006C6555"/>
    <w:rsid w:val="006C65D4"/>
    <w:rsid w:val="006C688E"/>
    <w:rsid w:val="006C751B"/>
    <w:rsid w:val="006C7531"/>
    <w:rsid w:val="006C7FE8"/>
    <w:rsid w:val="006D0012"/>
    <w:rsid w:val="006D03BD"/>
    <w:rsid w:val="006D0BEA"/>
    <w:rsid w:val="006D0DAE"/>
    <w:rsid w:val="006D12EA"/>
    <w:rsid w:val="006D161F"/>
    <w:rsid w:val="006D1884"/>
    <w:rsid w:val="006D1D8A"/>
    <w:rsid w:val="006D1EEA"/>
    <w:rsid w:val="006D2067"/>
    <w:rsid w:val="006D218D"/>
    <w:rsid w:val="006D21CB"/>
    <w:rsid w:val="006D23CC"/>
    <w:rsid w:val="006D2449"/>
    <w:rsid w:val="006D2667"/>
    <w:rsid w:val="006D2958"/>
    <w:rsid w:val="006D2A3D"/>
    <w:rsid w:val="006D2AC0"/>
    <w:rsid w:val="006D2D3D"/>
    <w:rsid w:val="006D3040"/>
    <w:rsid w:val="006D306A"/>
    <w:rsid w:val="006D337E"/>
    <w:rsid w:val="006D36F2"/>
    <w:rsid w:val="006D376A"/>
    <w:rsid w:val="006D39E1"/>
    <w:rsid w:val="006D3C32"/>
    <w:rsid w:val="006D3D43"/>
    <w:rsid w:val="006D402F"/>
    <w:rsid w:val="006D4747"/>
    <w:rsid w:val="006D4822"/>
    <w:rsid w:val="006D4902"/>
    <w:rsid w:val="006D4EEF"/>
    <w:rsid w:val="006D4FA4"/>
    <w:rsid w:val="006D55C7"/>
    <w:rsid w:val="006D5A1D"/>
    <w:rsid w:val="006D5ACC"/>
    <w:rsid w:val="006D5B9D"/>
    <w:rsid w:val="006D5FFA"/>
    <w:rsid w:val="006D624B"/>
    <w:rsid w:val="006D6592"/>
    <w:rsid w:val="006D65A1"/>
    <w:rsid w:val="006D683C"/>
    <w:rsid w:val="006D69F8"/>
    <w:rsid w:val="006D6A5D"/>
    <w:rsid w:val="006D6AEA"/>
    <w:rsid w:val="006D6C03"/>
    <w:rsid w:val="006D6FE4"/>
    <w:rsid w:val="006D73D5"/>
    <w:rsid w:val="006D74E2"/>
    <w:rsid w:val="006D7557"/>
    <w:rsid w:val="006D758D"/>
    <w:rsid w:val="006D7645"/>
    <w:rsid w:val="006D7C35"/>
    <w:rsid w:val="006D7C4B"/>
    <w:rsid w:val="006D7C75"/>
    <w:rsid w:val="006E00E1"/>
    <w:rsid w:val="006E01A1"/>
    <w:rsid w:val="006E043E"/>
    <w:rsid w:val="006E0886"/>
    <w:rsid w:val="006E08C4"/>
    <w:rsid w:val="006E08C7"/>
    <w:rsid w:val="006E0B52"/>
    <w:rsid w:val="006E0D20"/>
    <w:rsid w:val="006E169A"/>
    <w:rsid w:val="006E173A"/>
    <w:rsid w:val="006E182E"/>
    <w:rsid w:val="006E1CA6"/>
    <w:rsid w:val="006E1F47"/>
    <w:rsid w:val="006E27D7"/>
    <w:rsid w:val="006E2919"/>
    <w:rsid w:val="006E2B84"/>
    <w:rsid w:val="006E2C4B"/>
    <w:rsid w:val="006E312A"/>
    <w:rsid w:val="006E3397"/>
    <w:rsid w:val="006E3C62"/>
    <w:rsid w:val="006E3F24"/>
    <w:rsid w:val="006E4403"/>
    <w:rsid w:val="006E47CC"/>
    <w:rsid w:val="006E4A8A"/>
    <w:rsid w:val="006E4B27"/>
    <w:rsid w:val="006E4BDB"/>
    <w:rsid w:val="006E4EA6"/>
    <w:rsid w:val="006E52E2"/>
    <w:rsid w:val="006E560B"/>
    <w:rsid w:val="006E563D"/>
    <w:rsid w:val="006E5C29"/>
    <w:rsid w:val="006E5F5A"/>
    <w:rsid w:val="006E5FB0"/>
    <w:rsid w:val="006E624E"/>
    <w:rsid w:val="006E6738"/>
    <w:rsid w:val="006E689B"/>
    <w:rsid w:val="006E6B20"/>
    <w:rsid w:val="006E6C19"/>
    <w:rsid w:val="006E6D09"/>
    <w:rsid w:val="006E720B"/>
    <w:rsid w:val="006E729A"/>
    <w:rsid w:val="006E77A4"/>
    <w:rsid w:val="006E7930"/>
    <w:rsid w:val="006E799D"/>
    <w:rsid w:val="006E7B93"/>
    <w:rsid w:val="006E7D62"/>
    <w:rsid w:val="006E7E00"/>
    <w:rsid w:val="006F0082"/>
    <w:rsid w:val="006F025F"/>
    <w:rsid w:val="006F02A9"/>
    <w:rsid w:val="006F0506"/>
    <w:rsid w:val="006F05BD"/>
    <w:rsid w:val="006F0637"/>
    <w:rsid w:val="006F0682"/>
    <w:rsid w:val="006F07CC"/>
    <w:rsid w:val="006F0CE8"/>
    <w:rsid w:val="006F0E41"/>
    <w:rsid w:val="006F15BF"/>
    <w:rsid w:val="006F17AF"/>
    <w:rsid w:val="006F1800"/>
    <w:rsid w:val="006F1A8C"/>
    <w:rsid w:val="006F1D86"/>
    <w:rsid w:val="006F1E0D"/>
    <w:rsid w:val="006F1E90"/>
    <w:rsid w:val="006F23A9"/>
    <w:rsid w:val="006F2630"/>
    <w:rsid w:val="006F2792"/>
    <w:rsid w:val="006F2998"/>
    <w:rsid w:val="006F2A16"/>
    <w:rsid w:val="006F2CC1"/>
    <w:rsid w:val="006F2D1C"/>
    <w:rsid w:val="006F3247"/>
    <w:rsid w:val="006F3AA9"/>
    <w:rsid w:val="006F3E20"/>
    <w:rsid w:val="006F411C"/>
    <w:rsid w:val="006F41C3"/>
    <w:rsid w:val="006F48B9"/>
    <w:rsid w:val="006F491A"/>
    <w:rsid w:val="006F4955"/>
    <w:rsid w:val="006F5369"/>
    <w:rsid w:val="006F57E6"/>
    <w:rsid w:val="006F61CF"/>
    <w:rsid w:val="006F62FC"/>
    <w:rsid w:val="006F640B"/>
    <w:rsid w:val="006F6592"/>
    <w:rsid w:val="006F6B91"/>
    <w:rsid w:val="006F7E2D"/>
    <w:rsid w:val="0070040D"/>
    <w:rsid w:val="00700D3F"/>
    <w:rsid w:val="00700E31"/>
    <w:rsid w:val="00700FA2"/>
    <w:rsid w:val="00701661"/>
    <w:rsid w:val="00701F36"/>
    <w:rsid w:val="007027A1"/>
    <w:rsid w:val="00702869"/>
    <w:rsid w:val="00702E8E"/>
    <w:rsid w:val="007037A7"/>
    <w:rsid w:val="007037AD"/>
    <w:rsid w:val="00703B27"/>
    <w:rsid w:val="00703DC7"/>
    <w:rsid w:val="00704042"/>
    <w:rsid w:val="00704669"/>
    <w:rsid w:val="007046FD"/>
    <w:rsid w:val="007049ED"/>
    <w:rsid w:val="00704C69"/>
    <w:rsid w:val="00704D2F"/>
    <w:rsid w:val="00704E29"/>
    <w:rsid w:val="00704FD0"/>
    <w:rsid w:val="007058EE"/>
    <w:rsid w:val="007060DA"/>
    <w:rsid w:val="00706138"/>
    <w:rsid w:val="0070614E"/>
    <w:rsid w:val="00706219"/>
    <w:rsid w:val="0070687A"/>
    <w:rsid w:val="007068F1"/>
    <w:rsid w:val="00706C75"/>
    <w:rsid w:val="00706F08"/>
    <w:rsid w:val="0070781E"/>
    <w:rsid w:val="0070797F"/>
    <w:rsid w:val="00707EF2"/>
    <w:rsid w:val="00707FD9"/>
    <w:rsid w:val="00710394"/>
    <w:rsid w:val="0071076E"/>
    <w:rsid w:val="00710A71"/>
    <w:rsid w:val="00710E4D"/>
    <w:rsid w:val="00710E65"/>
    <w:rsid w:val="00710ED1"/>
    <w:rsid w:val="00711182"/>
    <w:rsid w:val="00711BF7"/>
    <w:rsid w:val="00711E43"/>
    <w:rsid w:val="0071203E"/>
    <w:rsid w:val="007124B9"/>
    <w:rsid w:val="00712BC4"/>
    <w:rsid w:val="00712BD5"/>
    <w:rsid w:val="007131DD"/>
    <w:rsid w:val="0071355B"/>
    <w:rsid w:val="00713594"/>
    <w:rsid w:val="00713662"/>
    <w:rsid w:val="00713875"/>
    <w:rsid w:val="00713A95"/>
    <w:rsid w:val="00713B32"/>
    <w:rsid w:val="00713E66"/>
    <w:rsid w:val="00714279"/>
    <w:rsid w:val="0071481F"/>
    <w:rsid w:val="00714858"/>
    <w:rsid w:val="00714C81"/>
    <w:rsid w:val="00714DBD"/>
    <w:rsid w:val="0071509B"/>
    <w:rsid w:val="007154E8"/>
    <w:rsid w:val="007156CF"/>
    <w:rsid w:val="00715996"/>
    <w:rsid w:val="007159CD"/>
    <w:rsid w:val="00715CA7"/>
    <w:rsid w:val="00715EC9"/>
    <w:rsid w:val="007163AE"/>
    <w:rsid w:val="007167B6"/>
    <w:rsid w:val="007169C2"/>
    <w:rsid w:val="00716A19"/>
    <w:rsid w:val="007171C6"/>
    <w:rsid w:val="00717254"/>
    <w:rsid w:val="007174A5"/>
    <w:rsid w:val="00717672"/>
    <w:rsid w:val="00717B26"/>
    <w:rsid w:val="00717EEE"/>
    <w:rsid w:val="0072016D"/>
    <w:rsid w:val="007203D1"/>
    <w:rsid w:val="00720502"/>
    <w:rsid w:val="007205DF"/>
    <w:rsid w:val="0072088E"/>
    <w:rsid w:val="007219C3"/>
    <w:rsid w:val="00721F2F"/>
    <w:rsid w:val="0072209C"/>
    <w:rsid w:val="007220D9"/>
    <w:rsid w:val="0072229A"/>
    <w:rsid w:val="00722780"/>
    <w:rsid w:val="00722B05"/>
    <w:rsid w:val="00722BBD"/>
    <w:rsid w:val="00723228"/>
    <w:rsid w:val="00723285"/>
    <w:rsid w:val="007232A4"/>
    <w:rsid w:val="00723389"/>
    <w:rsid w:val="007234CA"/>
    <w:rsid w:val="007237A9"/>
    <w:rsid w:val="007237B6"/>
    <w:rsid w:val="00723915"/>
    <w:rsid w:val="00723932"/>
    <w:rsid w:val="00723A8A"/>
    <w:rsid w:val="00723B3A"/>
    <w:rsid w:val="0072472C"/>
    <w:rsid w:val="00725622"/>
    <w:rsid w:val="00725788"/>
    <w:rsid w:val="00725D11"/>
    <w:rsid w:val="00725EF0"/>
    <w:rsid w:val="007260AE"/>
    <w:rsid w:val="00726488"/>
    <w:rsid w:val="007266CB"/>
    <w:rsid w:val="00726769"/>
    <w:rsid w:val="00726D3B"/>
    <w:rsid w:val="0072705E"/>
    <w:rsid w:val="007274A9"/>
    <w:rsid w:val="00730545"/>
    <w:rsid w:val="007305FA"/>
    <w:rsid w:val="007307B2"/>
    <w:rsid w:val="00730C7B"/>
    <w:rsid w:val="00731023"/>
    <w:rsid w:val="0073152D"/>
    <w:rsid w:val="00731934"/>
    <w:rsid w:val="00731B5C"/>
    <w:rsid w:val="00731C68"/>
    <w:rsid w:val="00731FB8"/>
    <w:rsid w:val="00732E1D"/>
    <w:rsid w:val="00732EDC"/>
    <w:rsid w:val="00733070"/>
    <w:rsid w:val="007331E2"/>
    <w:rsid w:val="00733204"/>
    <w:rsid w:val="00733691"/>
    <w:rsid w:val="0073374D"/>
    <w:rsid w:val="007337C8"/>
    <w:rsid w:val="00733853"/>
    <w:rsid w:val="00733E3D"/>
    <w:rsid w:val="00734176"/>
    <w:rsid w:val="007342BE"/>
    <w:rsid w:val="00734311"/>
    <w:rsid w:val="00734D22"/>
    <w:rsid w:val="00735378"/>
    <w:rsid w:val="00735A9C"/>
    <w:rsid w:val="00735B38"/>
    <w:rsid w:val="00735FAB"/>
    <w:rsid w:val="007362FA"/>
    <w:rsid w:val="00736591"/>
    <w:rsid w:val="00737491"/>
    <w:rsid w:val="0073798D"/>
    <w:rsid w:val="00737AEE"/>
    <w:rsid w:val="00737B23"/>
    <w:rsid w:val="00737E7E"/>
    <w:rsid w:val="007405AB"/>
    <w:rsid w:val="007410A9"/>
    <w:rsid w:val="0074117E"/>
    <w:rsid w:val="007411EF"/>
    <w:rsid w:val="0074171E"/>
    <w:rsid w:val="00741959"/>
    <w:rsid w:val="00741A07"/>
    <w:rsid w:val="00741A3D"/>
    <w:rsid w:val="00741B8F"/>
    <w:rsid w:val="00741C5B"/>
    <w:rsid w:val="007427F3"/>
    <w:rsid w:val="00742A3B"/>
    <w:rsid w:val="00742EAD"/>
    <w:rsid w:val="007430B1"/>
    <w:rsid w:val="00743B01"/>
    <w:rsid w:val="00743B78"/>
    <w:rsid w:val="00743BA7"/>
    <w:rsid w:val="00743C89"/>
    <w:rsid w:val="00743CBC"/>
    <w:rsid w:val="00743D9C"/>
    <w:rsid w:val="00743F5B"/>
    <w:rsid w:val="007442B4"/>
    <w:rsid w:val="007447EB"/>
    <w:rsid w:val="00744949"/>
    <w:rsid w:val="00744FBE"/>
    <w:rsid w:val="0074515B"/>
    <w:rsid w:val="0074538E"/>
    <w:rsid w:val="00745425"/>
    <w:rsid w:val="007457F2"/>
    <w:rsid w:val="00745ABC"/>
    <w:rsid w:val="0074604E"/>
    <w:rsid w:val="00746466"/>
    <w:rsid w:val="007468DB"/>
    <w:rsid w:val="00746AF2"/>
    <w:rsid w:val="00746CF5"/>
    <w:rsid w:val="00746DCD"/>
    <w:rsid w:val="00746E5F"/>
    <w:rsid w:val="00746EBF"/>
    <w:rsid w:val="00747449"/>
    <w:rsid w:val="007474AD"/>
    <w:rsid w:val="0074754E"/>
    <w:rsid w:val="00747935"/>
    <w:rsid w:val="00747B2E"/>
    <w:rsid w:val="00747E8F"/>
    <w:rsid w:val="0075020A"/>
    <w:rsid w:val="007502D6"/>
    <w:rsid w:val="007505FE"/>
    <w:rsid w:val="00750F8A"/>
    <w:rsid w:val="007512B4"/>
    <w:rsid w:val="0075152D"/>
    <w:rsid w:val="00751666"/>
    <w:rsid w:val="0075194D"/>
    <w:rsid w:val="007519C9"/>
    <w:rsid w:val="007519CE"/>
    <w:rsid w:val="00751CF2"/>
    <w:rsid w:val="00751E27"/>
    <w:rsid w:val="007520E9"/>
    <w:rsid w:val="007522AD"/>
    <w:rsid w:val="007524C0"/>
    <w:rsid w:val="007526F1"/>
    <w:rsid w:val="0075296D"/>
    <w:rsid w:val="00753466"/>
    <w:rsid w:val="0075380E"/>
    <w:rsid w:val="00753B3C"/>
    <w:rsid w:val="00753B42"/>
    <w:rsid w:val="00753FA9"/>
    <w:rsid w:val="00754383"/>
    <w:rsid w:val="00754691"/>
    <w:rsid w:val="007548B6"/>
    <w:rsid w:val="007552AC"/>
    <w:rsid w:val="0075547D"/>
    <w:rsid w:val="00755971"/>
    <w:rsid w:val="00755F29"/>
    <w:rsid w:val="00755FE9"/>
    <w:rsid w:val="00756090"/>
    <w:rsid w:val="0075664E"/>
    <w:rsid w:val="0075682D"/>
    <w:rsid w:val="00756A5C"/>
    <w:rsid w:val="00756EB7"/>
    <w:rsid w:val="00757424"/>
    <w:rsid w:val="007575F5"/>
    <w:rsid w:val="0075781D"/>
    <w:rsid w:val="00757C05"/>
    <w:rsid w:val="00760386"/>
    <w:rsid w:val="00760C53"/>
    <w:rsid w:val="00760E27"/>
    <w:rsid w:val="00760E50"/>
    <w:rsid w:val="00761CB2"/>
    <w:rsid w:val="00761D70"/>
    <w:rsid w:val="00761F52"/>
    <w:rsid w:val="0076213C"/>
    <w:rsid w:val="007623ED"/>
    <w:rsid w:val="007624B1"/>
    <w:rsid w:val="007624D3"/>
    <w:rsid w:val="0076273A"/>
    <w:rsid w:val="0076275C"/>
    <w:rsid w:val="007627E0"/>
    <w:rsid w:val="00762D5B"/>
    <w:rsid w:val="00762F35"/>
    <w:rsid w:val="007630B3"/>
    <w:rsid w:val="00763120"/>
    <w:rsid w:val="0076332F"/>
    <w:rsid w:val="00763390"/>
    <w:rsid w:val="0076349B"/>
    <w:rsid w:val="00763611"/>
    <w:rsid w:val="0076381C"/>
    <w:rsid w:val="00763CD7"/>
    <w:rsid w:val="0076421E"/>
    <w:rsid w:val="007643C4"/>
    <w:rsid w:val="007649DC"/>
    <w:rsid w:val="00764AC0"/>
    <w:rsid w:val="00764C09"/>
    <w:rsid w:val="00764D6C"/>
    <w:rsid w:val="00764E69"/>
    <w:rsid w:val="0076511E"/>
    <w:rsid w:val="00765370"/>
    <w:rsid w:val="00765536"/>
    <w:rsid w:val="007655EC"/>
    <w:rsid w:val="00765933"/>
    <w:rsid w:val="00765965"/>
    <w:rsid w:val="00765C0A"/>
    <w:rsid w:val="00765E19"/>
    <w:rsid w:val="007660C1"/>
    <w:rsid w:val="0076619C"/>
    <w:rsid w:val="0076620F"/>
    <w:rsid w:val="007668FB"/>
    <w:rsid w:val="00766E70"/>
    <w:rsid w:val="0076705E"/>
    <w:rsid w:val="0076706F"/>
    <w:rsid w:val="00767868"/>
    <w:rsid w:val="00767C3E"/>
    <w:rsid w:val="00767F23"/>
    <w:rsid w:val="00767F2D"/>
    <w:rsid w:val="007703B3"/>
    <w:rsid w:val="007704E0"/>
    <w:rsid w:val="00770854"/>
    <w:rsid w:val="007708CE"/>
    <w:rsid w:val="007712D0"/>
    <w:rsid w:val="0077174E"/>
    <w:rsid w:val="007717A5"/>
    <w:rsid w:val="00771873"/>
    <w:rsid w:val="00771FA9"/>
    <w:rsid w:val="00771FCC"/>
    <w:rsid w:val="0077228B"/>
    <w:rsid w:val="0077269E"/>
    <w:rsid w:val="007728EB"/>
    <w:rsid w:val="00772B65"/>
    <w:rsid w:val="007740BF"/>
    <w:rsid w:val="007747F4"/>
    <w:rsid w:val="00774B99"/>
    <w:rsid w:val="00774D10"/>
    <w:rsid w:val="007754FB"/>
    <w:rsid w:val="00775BF0"/>
    <w:rsid w:val="007760A3"/>
    <w:rsid w:val="0077625E"/>
    <w:rsid w:val="00776ADA"/>
    <w:rsid w:val="00777701"/>
    <w:rsid w:val="00777733"/>
    <w:rsid w:val="007777EE"/>
    <w:rsid w:val="0077793C"/>
    <w:rsid w:val="00777C67"/>
    <w:rsid w:val="00777D66"/>
    <w:rsid w:val="00777DB4"/>
    <w:rsid w:val="0078052D"/>
    <w:rsid w:val="007805ED"/>
    <w:rsid w:val="00780996"/>
    <w:rsid w:val="00780BD4"/>
    <w:rsid w:val="00780EBF"/>
    <w:rsid w:val="0078103B"/>
    <w:rsid w:val="0078249E"/>
    <w:rsid w:val="00782701"/>
    <w:rsid w:val="00783276"/>
    <w:rsid w:val="00783285"/>
    <w:rsid w:val="00783548"/>
    <w:rsid w:val="00783554"/>
    <w:rsid w:val="007835DF"/>
    <w:rsid w:val="00783C92"/>
    <w:rsid w:val="00783F83"/>
    <w:rsid w:val="0078483B"/>
    <w:rsid w:val="00784B22"/>
    <w:rsid w:val="00784EAE"/>
    <w:rsid w:val="00785016"/>
    <w:rsid w:val="007851E8"/>
    <w:rsid w:val="00785236"/>
    <w:rsid w:val="00785931"/>
    <w:rsid w:val="00785C6E"/>
    <w:rsid w:val="00785C9F"/>
    <w:rsid w:val="00785FF2"/>
    <w:rsid w:val="00786207"/>
    <w:rsid w:val="0078621B"/>
    <w:rsid w:val="00786468"/>
    <w:rsid w:val="007867B5"/>
    <w:rsid w:val="007868F4"/>
    <w:rsid w:val="007869A5"/>
    <w:rsid w:val="0078706C"/>
    <w:rsid w:val="00787666"/>
    <w:rsid w:val="00790BF8"/>
    <w:rsid w:val="00790C75"/>
    <w:rsid w:val="00790CE0"/>
    <w:rsid w:val="00791154"/>
    <w:rsid w:val="0079162D"/>
    <w:rsid w:val="00791A2E"/>
    <w:rsid w:val="00791B88"/>
    <w:rsid w:val="00791CA7"/>
    <w:rsid w:val="00791EC6"/>
    <w:rsid w:val="00791ECC"/>
    <w:rsid w:val="0079203B"/>
    <w:rsid w:val="007921CA"/>
    <w:rsid w:val="00792253"/>
    <w:rsid w:val="00792521"/>
    <w:rsid w:val="0079259F"/>
    <w:rsid w:val="00792914"/>
    <w:rsid w:val="007929E6"/>
    <w:rsid w:val="00792A2F"/>
    <w:rsid w:val="00792AE4"/>
    <w:rsid w:val="00793027"/>
    <w:rsid w:val="0079346C"/>
    <w:rsid w:val="007934E1"/>
    <w:rsid w:val="00793669"/>
    <w:rsid w:val="00793681"/>
    <w:rsid w:val="0079394C"/>
    <w:rsid w:val="00793A59"/>
    <w:rsid w:val="007943EE"/>
    <w:rsid w:val="007944D2"/>
    <w:rsid w:val="0079471F"/>
    <w:rsid w:val="00794929"/>
    <w:rsid w:val="0079494A"/>
    <w:rsid w:val="007949D8"/>
    <w:rsid w:val="00794CCB"/>
    <w:rsid w:val="00795937"/>
    <w:rsid w:val="00796647"/>
    <w:rsid w:val="00797207"/>
    <w:rsid w:val="00797298"/>
    <w:rsid w:val="007975FC"/>
    <w:rsid w:val="0079763C"/>
    <w:rsid w:val="00797801"/>
    <w:rsid w:val="007A0C4E"/>
    <w:rsid w:val="007A0FC6"/>
    <w:rsid w:val="007A14A4"/>
    <w:rsid w:val="007A1647"/>
    <w:rsid w:val="007A18BD"/>
    <w:rsid w:val="007A1A79"/>
    <w:rsid w:val="007A1E01"/>
    <w:rsid w:val="007A2143"/>
    <w:rsid w:val="007A21EF"/>
    <w:rsid w:val="007A2741"/>
    <w:rsid w:val="007A287F"/>
    <w:rsid w:val="007A296B"/>
    <w:rsid w:val="007A2F4A"/>
    <w:rsid w:val="007A2FA7"/>
    <w:rsid w:val="007A3124"/>
    <w:rsid w:val="007A3B72"/>
    <w:rsid w:val="007A41A7"/>
    <w:rsid w:val="007A42FD"/>
    <w:rsid w:val="007A4396"/>
    <w:rsid w:val="007A46C7"/>
    <w:rsid w:val="007A52F9"/>
    <w:rsid w:val="007A540A"/>
    <w:rsid w:val="007A5495"/>
    <w:rsid w:val="007A60FA"/>
    <w:rsid w:val="007A64FB"/>
    <w:rsid w:val="007A673E"/>
    <w:rsid w:val="007A6B19"/>
    <w:rsid w:val="007A78DA"/>
    <w:rsid w:val="007A7A34"/>
    <w:rsid w:val="007B0852"/>
    <w:rsid w:val="007B10AC"/>
    <w:rsid w:val="007B18B4"/>
    <w:rsid w:val="007B191C"/>
    <w:rsid w:val="007B1CE4"/>
    <w:rsid w:val="007B1FEB"/>
    <w:rsid w:val="007B2494"/>
    <w:rsid w:val="007B2517"/>
    <w:rsid w:val="007B2D2E"/>
    <w:rsid w:val="007B2E28"/>
    <w:rsid w:val="007B31A4"/>
    <w:rsid w:val="007B3382"/>
    <w:rsid w:val="007B357D"/>
    <w:rsid w:val="007B3CDC"/>
    <w:rsid w:val="007B41AC"/>
    <w:rsid w:val="007B4508"/>
    <w:rsid w:val="007B46FC"/>
    <w:rsid w:val="007B4B0F"/>
    <w:rsid w:val="007B4FA2"/>
    <w:rsid w:val="007B533A"/>
    <w:rsid w:val="007B57A1"/>
    <w:rsid w:val="007B5D36"/>
    <w:rsid w:val="007B5EF6"/>
    <w:rsid w:val="007B65A2"/>
    <w:rsid w:val="007B65CC"/>
    <w:rsid w:val="007B6F10"/>
    <w:rsid w:val="007B769F"/>
    <w:rsid w:val="007B78D5"/>
    <w:rsid w:val="007B78DD"/>
    <w:rsid w:val="007B7CB8"/>
    <w:rsid w:val="007B7DBF"/>
    <w:rsid w:val="007B7F33"/>
    <w:rsid w:val="007C00A5"/>
    <w:rsid w:val="007C00E1"/>
    <w:rsid w:val="007C0426"/>
    <w:rsid w:val="007C0433"/>
    <w:rsid w:val="007C051E"/>
    <w:rsid w:val="007C0A8D"/>
    <w:rsid w:val="007C0B33"/>
    <w:rsid w:val="007C123C"/>
    <w:rsid w:val="007C1530"/>
    <w:rsid w:val="007C1C32"/>
    <w:rsid w:val="007C2075"/>
    <w:rsid w:val="007C2345"/>
    <w:rsid w:val="007C370E"/>
    <w:rsid w:val="007C3E09"/>
    <w:rsid w:val="007C3F89"/>
    <w:rsid w:val="007C40E8"/>
    <w:rsid w:val="007C416A"/>
    <w:rsid w:val="007C426B"/>
    <w:rsid w:val="007C49F1"/>
    <w:rsid w:val="007C4CF3"/>
    <w:rsid w:val="007C5386"/>
    <w:rsid w:val="007C5DFA"/>
    <w:rsid w:val="007C6C57"/>
    <w:rsid w:val="007C6DD5"/>
    <w:rsid w:val="007C7016"/>
    <w:rsid w:val="007C714B"/>
    <w:rsid w:val="007C7787"/>
    <w:rsid w:val="007C77D6"/>
    <w:rsid w:val="007C787B"/>
    <w:rsid w:val="007C7B29"/>
    <w:rsid w:val="007C7FC3"/>
    <w:rsid w:val="007D0000"/>
    <w:rsid w:val="007D02E5"/>
    <w:rsid w:val="007D03B6"/>
    <w:rsid w:val="007D0784"/>
    <w:rsid w:val="007D0DF0"/>
    <w:rsid w:val="007D15E7"/>
    <w:rsid w:val="007D1735"/>
    <w:rsid w:val="007D1BD4"/>
    <w:rsid w:val="007D2105"/>
    <w:rsid w:val="007D2730"/>
    <w:rsid w:val="007D2992"/>
    <w:rsid w:val="007D2B7B"/>
    <w:rsid w:val="007D2F0B"/>
    <w:rsid w:val="007D2F6A"/>
    <w:rsid w:val="007D3156"/>
    <w:rsid w:val="007D3287"/>
    <w:rsid w:val="007D36B9"/>
    <w:rsid w:val="007D38AE"/>
    <w:rsid w:val="007D4032"/>
    <w:rsid w:val="007D4373"/>
    <w:rsid w:val="007D49F1"/>
    <w:rsid w:val="007D4A1B"/>
    <w:rsid w:val="007D4A89"/>
    <w:rsid w:val="007D4B3E"/>
    <w:rsid w:val="007D5043"/>
    <w:rsid w:val="007D566D"/>
    <w:rsid w:val="007D5BB4"/>
    <w:rsid w:val="007D5E0A"/>
    <w:rsid w:val="007D642B"/>
    <w:rsid w:val="007D669C"/>
    <w:rsid w:val="007D686E"/>
    <w:rsid w:val="007D74CA"/>
    <w:rsid w:val="007D797C"/>
    <w:rsid w:val="007D79E4"/>
    <w:rsid w:val="007D7C98"/>
    <w:rsid w:val="007D7D22"/>
    <w:rsid w:val="007D7E91"/>
    <w:rsid w:val="007E0201"/>
    <w:rsid w:val="007E02A7"/>
    <w:rsid w:val="007E02E9"/>
    <w:rsid w:val="007E08C7"/>
    <w:rsid w:val="007E0B37"/>
    <w:rsid w:val="007E1027"/>
    <w:rsid w:val="007E107B"/>
    <w:rsid w:val="007E1388"/>
    <w:rsid w:val="007E1461"/>
    <w:rsid w:val="007E1A2E"/>
    <w:rsid w:val="007E1B2D"/>
    <w:rsid w:val="007E1C56"/>
    <w:rsid w:val="007E1EF8"/>
    <w:rsid w:val="007E2342"/>
    <w:rsid w:val="007E2344"/>
    <w:rsid w:val="007E248B"/>
    <w:rsid w:val="007E2B6C"/>
    <w:rsid w:val="007E2BD5"/>
    <w:rsid w:val="007E2D83"/>
    <w:rsid w:val="007E2E14"/>
    <w:rsid w:val="007E2F00"/>
    <w:rsid w:val="007E356A"/>
    <w:rsid w:val="007E3A89"/>
    <w:rsid w:val="007E4154"/>
    <w:rsid w:val="007E4653"/>
    <w:rsid w:val="007E47EF"/>
    <w:rsid w:val="007E4D20"/>
    <w:rsid w:val="007E508F"/>
    <w:rsid w:val="007E50B7"/>
    <w:rsid w:val="007E54C4"/>
    <w:rsid w:val="007E5782"/>
    <w:rsid w:val="007E588A"/>
    <w:rsid w:val="007E6567"/>
    <w:rsid w:val="007E67A0"/>
    <w:rsid w:val="007E69FC"/>
    <w:rsid w:val="007E74DC"/>
    <w:rsid w:val="007E751A"/>
    <w:rsid w:val="007E79CE"/>
    <w:rsid w:val="007E79EE"/>
    <w:rsid w:val="007E7EE4"/>
    <w:rsid w:val="007E7FC8"/>
    <w:rsid w:val="007F00FB"/>
    <w:rsid w:val="007F023B"/>
    <w:rsid w:val="007F02B6"/>
    <w:rsid w:val="007F0B1F"/>
    <w:rsid w:val="007F0C41"/>
    <w:rsid w:val="007F1243"/>
    <w:rsid w:val="007F136B"/>
    <w:rsid w:val="007F1641"/>
    <w:rsid w:val="007F176F"/>
    <w:rsid w:val="007F178F"/>
    <w:rsid w:val="007F17F3"/>
    <w:rsid w:val="007F2051"/>
    <w:rsid w:val="007F2067"/>
    <w:rsid w:val="007F250C"/>
    <w:rsid w:val="007F2719"/>
    <w:rsid w:val="007F2B73"/>
    <w:rsid w:val="007F2F48"/>
    <w:rsid w:val="007F3209"/>
    <w:rsid w:val="007F345C"/>
    <w:rsid w:val="007F3653"/>
    <w:rsid w:val="007F3B9D"/>
    <w:rsid w:val="007F3CBF"/>
    <w:rsid w:val="007F4209"/>
    <w:rsid w:val="007F43E9"/>
    <w:rsid w:val="007F441D"/>
    <w:rsid w:val="007F500B"/>
    <w:rsid w:val="007F51FE"/>
    <w:rsid w:val="007F59A2"/>
    <w:rsid w:val="007F5F99"/>
    <w:rsid w:val="007F60DE"/>
    <w:rsid w:val="007F61CB"/>
    <w:rsid w:val="007F637C"/>
    <w:rsid w:val="007F6438"/>
    <w:rsid w:val="007F65AE"/>
    <w:rsid w:val="007F6814"/>
    <w:rsid w:val="007F6EF6"/>
    <w:rsid w:val="007F70DE"/>
    <w:rsid w:val="007F726C"/>
    <w:rsid w:val="007F73D9"/>
    <w:rsid w:val="007F75C1"/>
    <w:rsid w:val="007F75DB"/>
    <w:rsid w:val="007F7644"/>
    <w:rsid w:val="007F781A"/>
    <w:rsid w:val="007F7B48"/>
    <w:rsid w:val="007F7C2E"/>
    <w:rsid w:val="0080060E"/>
    <w:rsid w:val="00800A30"/>
    <w:rsid w:val="00801476"/>
    <w:rsid w:val="00802508"/>
    <w:rsid w:val="0080251F"/>
    <w:rsid w:val="008034AA"/>
    <w:rsid w:val="008037F6"/>
    <w:rsid w:val="00803A7E"/>
    <w:rsid w:val="00803CBB"/>
    <w:rsid w:val="00803DA5"/>
    <w:rsid w:val="00803E7D"/>
    <w:rsid w:val="008040FC"/>
    <w:rsid w:val="008045DB"/>
    <w:rsid w:val="008045F3"/>
    <w:rsid w:val="00804630"/>
    <w:rsid w:val="00804B53"/>
    <w:rsid w:val="00804BC5"/>
    <w:rsid w:val="00804D5B"/>
    <w:rsid w:val="00805802"/>
    <w:rsid w:val="008059EE"/>
    <w:rsid w:val="00805FB0"/>
    <w:rsid w:val="0080619F"/>
    <w:rsid w:val="008066EC"/>
    <w:rsid w:val="008066FB"/>
    <w:rsid w:val="00806C64"/>
    <w:rsid w:val="00806CC6"/>
    <w:rsid w:val="0080700E"/>
    <w:rsid w:val="00807025"/>
    <w:rsid w:val="008074C1"/>
    <w:rsid w:val="00807E7B"/>
    <w:rsid w:val="008108CB"/>
    <w:rsid w:val="0081111E"/>
    <w:rsid w:val="0081123D"/>
    <w:rsid w:val="0081156F"/>
    <w:rsid w:val="00811E9A"/>
    <w:rsid w:val="00812570"/>
    <w:rsid w:val="0081287D"/>
    <w:rsid w:val="00812C0A"/>
    <w:rsid w:val="00812C15"/>
    <w:rsid w:val="00812C2F"/>
    <w:rsid w:val="00812D39"/>
    <w:rsid w:val="00812DD2"/>
    <w:rsid w:val="008130B1"/>
    <w:rsid w:val="0081328B"/>
    <w:rsid w:val="0081332B"/>
    <w:rsid w:val="008133E9"/>
    <w:rsid w:val="00813575"/>
    <w:rsid w:val="0081497D"/>
    <w:rsid w:val="00814C5B"/>
    <w:rsid w:val="00814E17"/>
    <w:rsid w:val="00814F3A"/>
    <w:rsid w:val="008157B6"/>
    <w:rsid w:val="00815F2F"/>
    <w:rsid w:val="008166DD"/>
    <w:rsid w:val="00816AAD"/>
    <w:rsid w:val="00817015"/>
    <w:rsid w:val="00817085"/>
    <w:rsid w:val="008172B8"/>
    <w:rsid w:val="0081789E"/>
    <w:rsid w:val="0081794A"/>
    <w:rsid w:val="00817A04"/>
    <w:rsid w:val="00817E9E"/>
    <w:rsid w:val="00820134"/>
    <w:rsid w:val="008204EF"/>
    <w:rsid w:val="008205A2"/>
    <w:rsid w:val="008205CC"/>
    <w:rsid w:val="00820781"/>
    <w:rsid w:val="008207D4"/>
    <w:rsid w:val="00821301"/>
    <w:rsid w:val="00821309"/>
    <w:rsid w:val="00821F8F"/>
    <w:rsid w:val="00822644"/>
    <w:rsid w:val="008227A4"/>
    <w:rsid w:val="00822AC7"/>
    <w:rsid w:val="00822C23"/>
    <w:rsid w:val="00822C57"/>
    <w:rsid w:val="00823299"/>
    <w:rsid w:val="008232D7"/>
    <w:rsid w:val="00823712"/>
    <w:rsid w:val="00823795"/>
    <w:rsid w:val="00823A9D"/>
    <w:rsid w:val="00823CA2"/>
    <w:rsid w:val="0082438C"/>
    <w:rsid w:val="00824714"/>
    <w:rsid w:val="00824939"/>
    <w:rsid w:val="0082494A"/>
    <w:rsid w:val="00824C50"/>
    <w:rsid w:val="00824D9D"/>
    <w:rsid w:val="0082537F"/>
    <w:rsid w:val="008258B3"/>
    <w:rsid w:val="00825F02"/>
    <w:rsid w:val="008260BD"/>
    <w:rsid w:val="008260E2"/>
    <w:rsid w:val="0082638A"/>
    <w:rsid w:val="008264EB"/>
    <w:rsid w:val="00826956"/>
    <w:rsid w:val="0082788A"/>
    <w:rsid w:val="00827F65"/>
    <w:rsid w:val="00830160"/>
    <w:rsid w:val="008304F8"/>
    <w:rsid w:val="00830811"/>
    <w:rsid w:val="008309AF"/>
    <w:rsid w:val="00830B69"/>
    <w:rsid w:val="00830C05"/>
    <w:rsid w:val="0083112F"/>
    <w:rsid w:val="00831390"/>
    <w:rsid w:val="00831AA9"/>
    <w:rsid w:val="00831DBB"/>
    <w:rsid w:val="00832045"/>
    <w:rsid w:val="008322D0"/>
    <w:rsid w:val="00832763"/>
    <w:rsid w:val="00833220"/>
    <w:rsid w:val="00833306"/>
    <w:rsid w:val="00833C60"/>
    <w:rsid w:val="00834153"/>
    <w:rsid w:val="00834221"/>
    <w:rsid w:val="00834274"/>
    <w:rsid w:val="008342B2"/>
    <w:rsid w:val="00834766"/>
    <w:rsid w:val="00835456"/>
    <w:rsid w:val="00835514"/>
    <w:rsid w:val="008358E3"/>
    <w:rsid w:val="00835919"/>
    <w:rsid w:val="008359FC"/>
    <w:rsid w:val="00835D4A"/>
    <w:rsid w:val="00835D9F"/>
    <w:rsid w:val="00836928"/>
    <w:rsid w:val="00836BAE"/>
    <w:rsid w:val="00837097"/>
    <w:rsid w:val="00837815"/>
    <w:rsid w:val="00837D41"/>
    <w:rsid w:val="008400B5"/>
    <w:rsid w:val="008405BA"/>
    <w:rsid w:val="0084061A"/>
    <w:rsid w:val="00840B1E"/>
    <w:rsid w:val="00840C6F"/>
    <w:rsid w:val="00840E7F"/>
    <w:rsid w:val="00841005"/>
    <w:rsid w:val="008410EF"/>
    <w:rsid w:val="00841C8F"/>
    <w:rsid w:val="00841D33"/>
    <w:rsid w:val="008420AC"/>
    <w:rsid w:val="00842862"/>
    <w:rsid w:val="00842A4F"/>
    <w:rsid w:val="00842EAE"/>
    <w:rsid w:val="008435C9"/>
    <w:rsid w:val="008435F7"/>
    <w:rsid w:val="0084368A"/>
    <w:rsid w:val="00843784"/>
    <w:rsid w:val="00843A5D"/>
    <w:rsid w:val="008446C0"/>
    <w:rsid w:val="00845098"/>
    <w:rsid w:val="008452AC"/>
    <w:rsid w:val="008459AA"/>
    <w:rsid w:val="00846434"/>
    <w:rsid w:val="008464CE"/>
    <w:rsid w:val="00846B7B"/>
    <w:rsid w:val="00846EBF"/>
    <w:rsid w:val="008470C4"/>
    <w:rsid w:val="00847488"/>
    <w:rsid w:val="00847538"/>
    <w:rsid w:val="00847675"/>
    <w:rsid w:val="0084793A"/>
    <w:rsid w:val="00850166"/>
    <w:rsid w:val="00850E21"/>
    <w:rsid w:val="00850EC4"/>
    <w:rsid w:val="00850FE5"/>
    <w:rsid w:val="00851353"/>
    <w:rsid w:val="00851628"/>
    <w:rsid w:val="008516C0"/>
    <w:rsid w:val="00851832"/>
    <w:rsid w:val="008521D9"/>
    <w:rsid w:val="0085231C"/>
    <w:rsid w:val="00852382"/>
    <w:rsid w:val="0085248A"/>
    <w:rsid w:val="00852A26"/>
    <w:rsid w:val="0085357E"/>
    <w:rsid w:val="00853A75"/>
    <w:rsid w:val="00853D82"/>
    <w:rsid w:val="0085405B"/>
    <w:rsid w:val="008546C0"/>
    <w:rsid w:val="00854872"/>
    <w:rsid w:val="00854A50"/>
    <w:rsid w:val="00854C53"/>
    <w:rsid w:val="008551B1"/>
    <w:rsid w:val="008552C6"/>
    <w:rsid w:val="00855510"/>
    <w:rsid w:val="0085559A"/>
    <w:rsid w:val="008555F0"/>
    <w:rsid w:val="0085576F"/>
    <w:rsid w:val="008558CA"/>
    <w:rsid w:val="0085593C"/>
    <w:rsid w:val="00855B5C"/>
    <w:rsid w:val="00855EAE"/>
    <w:rsid w:val="00856588"/>
    <w:rsid w:val="008568E7"/>
    <w:rsid w:val="00856918"/>
    <w:rsid w:val="00856FC4"/>
    <w:rsid w:val="00856FC5"/>
    <w:rsid w:val="008570CF"/>
    <w:rsid w:val="008572E4"/>
    <w:rsid w:val="008577EB"/>
    <w:rsid w:val="00857893"/>
    <w:rsid w:val="00857A32"/>
    <w:rsid w:val="00857BDF"/>
    <w:rsid w:val="0086028B"/>
    <w:rsid w:val="0086043B"/>
    <w:rsid w:val="00860556"/>
    <w:rsid w:val="008606E8"/>
    <w:rsid w:val="00861063"/>
    <w:rsid w:val="00861085"/>
    <w:rsid w:val="0086144E"/>
    <w:rsid w:val="0086173B"/>
    <w:rsid w:val="00861893"/>
    <w:rsid w:val="00861DAE"/>
    <w:rsid w:val="00861F25"/>
    <w:rsid w:val="00862251"/>
    <w:rsid w:val="00862276"/>
    <w:rsid w:val="008626FE"/>
    <w:rsid w:val="00862DAC"/>
    <w:rsid w:val="00862EC7"/>
    <w:rsid w:val="00863106"/>
    <w:rsid w:val="008631EE"/>
    <w:rsid w:val="008636B7"/>
    <w:rsid w:val="00863EB5"/>
    <w:rsid w:val="00864011"/>
    <w:rsid w:val="00864030"/>
    <w:rsid w:val="0086460D"/>
    <w:rsid w:val="008646FE"/>
    <w:rsid w:val="0086477F"/>
    <w:rsid w:val="0086487F"/>
    <w:rsid w:val="00864924"/>
    <w:rsid w:val="00864CCF"/>
    <w:rsid w:val="00864EF5"/>
    <w:rsid w:val="0086522D"/>
    <w:rsid w:val="008653C3"/>
    <w:rsid w:val="008653F8"/>
    <w:rsid w:val="00865620"/>
    <w:rsid w:val="008657CB"/>
    <w:rsid w:val="008664B4"/>
    <w:rsid w:val="00866688"/>
    <w:rsid w:val="00866994"/>
    <w:rsid w:val="008670E5"/>
    <w:rsid w:val="0086743C"/>
    <w:rsid w:val="00867CC4"/>
    <w:rsid w:val="00867EBA"/>
    <w:rsid w:val="00870A5E"/>
    <w:rsid w:val="00871095"/>
    <w:rsid w:val="00871207"/>
    <w:rsid w:val="0087144B"/>
    <w:rsid w:val="00871A61"/>
    <w:rsid w:val="00871C76"/>
    <w:rsid w:val="00871CA2"/>
    <w:rsid w:val="00871D7F"/>
    <w:rsid w:val="0087215E"/>
    <w:rsid w:val="00872175"/>
    <w:rsid w:val="008726A0"/>
    <w:rsid w:val="0087301E"/>
    <w:rsid w:val="0087371C"/>
    <w:rsid w:val="00873793"/>
    <w:rsid w:val="00873E30"/>
    <w:rsid w:val="00874222"/>
    <w:rsid w:val="00874436"/>
    <w:rsid w:val="008745D9"/>
    <w:rsid w:val="0087562B"/>
    <w:rsid w:val="00875B90"/>
    <w:rsid w:val="00875D98"/>
    <w:rsid w:val="0087668E"/>
    <w:rsid w:val="008766B7"/>
    <w:rsid w:val="008766D0"/>
    <w:rsid w:val="00876727"/>
    <w:rsid w:val="00876B7C"/>
    <w:rsid w:val="00876D06"/>
    <w:rsid w:val="00876D31"/>
    <w:rsid w:val="008770DF"/>
    <w:rsid w:val="00877160"/>
    <w:rsid w:val="008775F2"/>
    <w:rsid w:val="00877A5C"/>
    <w:rsid w:val="00877A90"/>
    <w:rsid w:val="00877AC9"/>
    <w:rsid w:val="00877C64"/>
    <w:rsid w:val="00880178"/>
    <w:rsid w:val="00880466"/>
    <w:rsid w:val="008805E1"/>
    <w:rsid w:val="0088093C"/>
    <w:rsid w:val="008810D4"/>
    <w:rsid w:val="00881532"/>
    <w:rsid w:val="00881788"/>
    <w:rsid w:val="00881847"/>
    <w:rsid w:val="00881B7D"/>
    <w:rsid w:val="00881DBA"/>
    <w:rsid w:val="00881F36"/>
    <w:rsid w:val="00882515"/>
    <w:rsid w:val="00882BB0"/>
    <w:rsid w:val="00882BDD"/>
    <w:rsid w:val="00882EE8"/>
    <w:rsid w:val="008830B4"/>
    <w:rsid w:val="008834DD"/>
    <w:rsid w:val="00883770"/>
    <w:rsid w:val="00883C16"/>
    <w:rsid w:val="00883D26"/>
    <w:rsid w:val="00883DE8"/>
    <w:rsid w:val="0088466C"/>
    <w:rsid w:val="00884AF6"/>
    <w:rsid w:val="00884CCE"/>
    <w:rsid w:val="00884CF0"/>
    <w:rsid w:val="00884FC7"/>
    <w:rsid w:val="00885022"/>
    <w:rsid w:val="00885208"/>
    <w:rsid w:val="00885291"/>
    <w:rsid w:val="0088536C"/>
    <w:rsid w:val="00885661"/>
    <w:rsid w:val="00885927"/>
    <w:rsid w:val="00885AEE"/>
    <w:rsid w:val="00885DB4"/>
    <w:rsid w:val="00885E8E"/>
    <w:rsid w:val="008862D8"/>
    <w:rsid w:val="008864D2"/>
    <w:rsid w:val="00886EBE"/>
    <w:rsid w:val="00886F5C"/>
    <w:rsid w:val="00886FD1"/>
    <w:rsid w:val="008876DA"/>
    <w:rsid w:val="00887801"/>
    <w:rsid w:val="00887DB8"/>
    <w:rsid w:val="00887E80"/>
    <w:rsid w:val="00890048"/>
    <w:rsid w:val="0089033D"/>
    <w:rsid w:val="0089050A"/>
    <w:rsid w:val="00890724"/>
    <w:rsid w:val="00890920"/>
    <w:rsid w:val="00890B83"/>
    <w:rsid w:val="00890C8B"/>
    <w:rsid w:val="008912C3"/>
    <w:rsid w:val="0089140A"/>
    <w:rsid w:val="008915C5"/>
    <w:rsid w:val="00891863"/>
    <w:rsid w:val="00891CA5"/>
    <w:rsid w:val="00891E08"/>
    <w:rsid w:val="00892556"/>
    <w:rsid w:val="00892950"/>
    <w:rsid w:val="00892FAD"/>
    <w:rsid w:val="0089315C"/>
    <w:rsid w:val="00893169"/>
    <w:rsid w:val="00893242"/>
    <w:rsid w:val="0089331C"/>
    <w:rsid w:val="008935C9"/>
    <w:rsid w:val="008938EA"/>
    <w:rsid w:val="00893A34"/>
    <w:rsid w:val="00893D9A"/>
    <w:rsid w:val="0089412A"/>
    <w:rsid w:val="0089462D"/>
    <w:rsid w:val="00894AB0"/>
    <w:rsid w:val="00894C15"/>
    <w:rsid w:val="00894CB3"/>
    <w:rsid w:val="00894EDF"/>
    <w:rsid w:val="008952EE"/>
    <w:rsid w:val="008958D6"/>
    <w:rsid w:val="00895965"/>
    <w:rsid w:val="00895B87"/>
    <w:rsid w:val="00895F1B"/>
    <w:rsid w:val="00896BCD"/>
    <w:rsid w:val="00896E8E"/>
    <w:rsid w:val="00897111"/>
    <w:rsid w:val="008972C2"/>
    <w:rsid w:val="008974BE"/>
    <w:rsid w:val="008977CD"/>
    <w:rsid w:val="0089791F"/>
    <w:rsid w:val="00897D3B"/>
    <w:rsid w:val="00897EBD"/>
    <w:rsid w:val="00897F3D"/>
    <w:rsid w:val="00897F53"/>
    <w:rsid w:val="008A00F0"/>
    <w:rsid w:val="008A05B8"/>
    <w:rsid w:val="008A06C4"/>
    <w:rsid w:val="008A06D6"/>
    <w:rsid w:val="008A0AF3"/>
    <w:rsid w:val="008A0BC2"/>
    <w:rsid w:val="008A0E18"/>
    <w:rsid w:val="008A0E33"/>
    <w:rsid w:val="008A13AB"/>
    <w:rsid w:val="008A13E2"/>
    <w:rsid w:val="008A1730"/>
    <w:rsid w:val="008A1AAC"/>
    <w:rsid w:val="008A1DDC"/>
    <w:rsid w:val="008A23EB"/>
    <w:rsid w:val="008A2C6F"/>
    <w:rsid w:val="008A34CC"/>
    <w:rsid w:val="008A34DC"/>
    <w:rsid w:val="008A3698"/>
    <w:rsid w:val="008A375C"/>
    <w:rsid w:val="008A3E2A"/>
    <w:rsid w:val="008A3E3C"/>
    <w:rsid w:val="008A405A"/>
    <w:rsid w:val="008A4091"/>
    <w:rsid w:val="008A44F4"/>
    <w:rsid w:val="008A44FF"/>
    <w:rsid w:val="008A49F1"/>
    <w:rsid w:val="008A4B64"/>
    <w:rsid w:val="008A4BD5"/>
    <w:rsid w:val="008A4BDB"/>
    <w:rsid w:val="008A52D0"/>
    <w:rsid w:val="008A544A"/>
    <w:rsid w:val="008A585D"/>
    <w:rsid w:val="008A5B18"/>
    <w:rsid w:val="008A635B"/>
    <w:rsid w:val="008A64FC"/>
    <w:rsid w:val="008A6DCF"/>
    <w:rsid w:val="008A6F0F"/>
    <w:rsid w:val="008A6FE6"/>
    <w:rsid w:val="008A715B"/>
    <w:rsid w:val="008A719C"/>
    <w:rsid w:val="008A74D5"/>
    <w:rsid w:val="008A75D4"/>
    <w:rsid w:val="008A7707"/>
    <w:rsid w:val="008A7861"/>
    <w:rsid w:val="008A7A9C"/>
    <w:rsid w:val="008A7BF5"/>
    <w:rsid w:val="008A7D3D"/>
    <w:rsid w:val="008A7D65"/>
    <w:rsid w:val="008A7F46"/>
    <w:rsid w:val="008B0075"/>
    <w:rsid w:val="008B01F6"/>
    <w:rsid w:val="008B02B4"/>
    <w:rsid w:val="008B02BF"/>
    <w:rsid w:val="008B0463"/>
    <w:rsid w:val="008B07A4"/>
    <w:rsid w:val="008B1083"/>
    <w:rsid w:val="008B153E"/>
    <w:rsid w:val="008B1627"/>
    <w:rsid w:val="008B1A29"/>
    <w:rsid w:val="008B1FB3"/>
    <w:rsid w:val="008B25EE"/>
    <w:rsid w:val="008B29D9"/>
    <w:rsid w:val="008B2B43"/>
    <w:rsid w:val="008B35B7"/>
    <w:rsid w:val="008B35E0"/>
    <w:rsid w:val="008B3753"/>
    <w:rsid w:val="008B379E"/>
    <w:rsid w:val="008B43C9"/>
    <w:rsid w:val="008B4541"/>
    <w:rsid w:val="008B46ED"/>
    <w:rsid w:val="008B4C7C"/>
    <w:rsid w:val="008B4F22"/>
    <w:rsid w:val="008B536D"/>
    <w:rsid w:val="008B54A8"/>
    <w:rsid w:val="008B5A18"/>
    <w:rsid w:val="008B5DF5"/>
    <w:rsid w:val="008B6081"/>
    <w:rsid w:val="008B66D4"/>
    <w:rsid w:val="008B6778"/>
    <w:rsid w:val="008B688D"/>
    <w:rsid w:val="008B68DF"/>
    <w:rsid w:val="008B6DC0"/>
    <w:rsid w:val="008B6E11"/>
    <w:rsid w:val="008B6E35"/>
    <w:rsid w:val="008B7078"/>
    <w:rsid w:val="008B761F"/>
    <w:rsid w:val="008B77B8"/>
    <w:rsid w:val="008B78A5"/>
    <w:rsid w:val="008B7D15"/>
    <w:rsid w:val="008B7D64"/>
    <w:rsid w:val="008B7DF7"/>
    <w:rsid w:val="008B7E15"/>
    <w:rsid w:val="008B7ECE"/>
    <w:rsid w:val="008B7ED2"/>
    <w:rsid w:val="008B7F44"/>
    <w:rsid w:val="008C03EE"/>
    <w:rsid w:val="008C0BA0"/>
    <w:rsid w:val="008C0BCB"/>
    <w:rsid w:val="008C0D51"/>
    <w:rsid w:val="008C0F09"/>
    <w:rsid w:val="008C0F2C"/>
    <w:rsid w:val="008C19D9"/>
    <w:rsid w:val="008C1B45"/>
    <w:rsid w:val="008C1BCA"/>
    <w:rsid w:val="008C1C68"/>
    <w:rsid w:val="008C1E8E"/>
    <w:rsid w:val="008C1EDF"/>
    <w:rsid w:val="008C2008"/>
    <w:rsid w:val="008C2046"/>
    <w:rsid w:val="008C2413"/>
    <w:rsid w:val="008C24EF"/>
    <w:rsid w:val="008C27D0"/>
    <w:rsid w:val="008C294F"/>
    <w:rsid w:val="008C298B"/>
    <w:rsid w:val="008C2DE0"/>
    <w:rsid w:val="008C3240"/>
    <w:rsid w:val="008C3462"/>
    <w:rsid w:val="008C35A5"/>
    <w:rsid w:val="008C3C6A"/>
    <w:rsid w:val="008C3D67"/>
    <w:rsid w:val="008C3F6C"/>
    <w:rsid w:val="008C44C2"/>
    <w:rsid w:val="008C44F0"/>
    <w:rsid w:val="008C455F"/>
    <w:rsid w:val="008C49F9"/>
    <w:rsid w:val="008C4D6C"/>
    <w:rsid w:val="008C5AC7"/>
    <w:rsid w:val="008C5AED"/>
    <w:rsid w:val="008C6042"/>
    <w:rsid w:val="008C6C9A"/>
    <w:rsid w:val="008C7145"/>
    <w:rsid w:val="008C78CE"/>
    <w:rsid w:val="008C7A6C"/>
    <w:rsid w:val="008D0497"/>
    <w:rsid w:val="008D0840"/>
    <w:rsid w:val="008D08BE"/>
    <w:rsid w:val="008D0B7C"/>
    <w:rsid w:val="008D1293"/>
    <w:rsid w:val="008D1603"/>
    <w:rsid w:val="008D1A29"/>
    <w:rsid w:val="008D1C6A"/>
    <w:rsid w:val="008D35CA"/>
    <w:rsid w:val="008D3C48"/>
    <w:rsid w:val="008D3EB6"/>
    <w:rsid w:val="008D4706"/>
    <w:rsid w:val="008D4D7B"/>
    <w:rsid w:val="008D50DA"/>
    <w:rsid w:val="008D5138"/>
    <w:rsid w:val="008D5C8B"/>
    <w:rsid w:val="008D5E8C"/>
    <w:rsid w:val="008D6292"/>
    <w:rsid w:val="008D62E8"/>
    <w:rsid w:val="008D63DC"/>
    <w:rsid w:val="008D6D51"/>
    <w:rsid w:val="008D6EB1"/>
    <w:rsid w:val="008D7291"/>
    <w:rsid w:val="008D7374"/>
    <w:rsid w:val="008D7709"/>
    <w:rsid w:val="008D7F80"/>
    <w:rsid w:val="008E001E"/>
    <w:rsid w:val="008E005B"/>
    <w:rsid w:val="008E03EF"/>
    <w:rsid w:val="008E0641"/>
    <w:rsid w:val="008E07B0"/>
    <w:rsid w:val="008E089B"/>
    <w:rsid w:val="008E09B0"/>
    <w:rsid w:val="008E0DBE"/>
    <w:rsid w:val="008E0F5B"/>
    <w:rsid w:val="008E11EB"/>
    <w:rsid w:val="008E135B"/>
    <w:rsid w:val="008E182B"/>
    <w:rsid w:val="008E1A1F"/>
    <w:rsid w:val="008E1C2E"/>
    <w:rsid w:val="008E23DE"/>
    <w:rsid w:val="008E2AFF"/>
    <w:rsid w:val="008E2BA5"/>
    <w:rsid w:val="008E2E94"/>
    <w:rsid w:val="008E2EB8"/>
    <w:rsid w:val="008E3373"/>
    <w:rsid w:val="008E34E5"/>
    <w:rsid w:val="008E3960"/>
    <w:rsid w:val="008E3992"/>
    <w:rsid w:val="008E3BFC"/>
    <w:rsid w:val="008E3F26"/>
    <w:rsid w:val="008E3F75"/>
    <w:rsid w:val="008E3FA8"/>
    <w:rsid w:val="008E4413"/>
    <w:rsid w:val="008E445F"/>
    <w:rsid w:val="008E45AF"/>
    <w:rsid w:val="008E5BB3"/>
    <w:rsid w:val="008E5C1A"/>
    <w:rsid w:val="008E5CD4"/>
    <w:rsid w:val="008E5F3E"/>
    <w:rsid w:val="008E6265"/>
    <w:rsid w:val="008E6267"/>
    <w:rsid w:val="008E6350"/>
    <w:rsid w:val="008E735E"/>
    <w:rsid w:val="008E7AD6"/>
    <w:rsid w:val="008E7B76"/>
    <w:rsid w:val="008E7F61"/>
    <w:rsid w:val="008F0725"/>
    <w:rsid w:val="008F0798"/>
    <w:rsid w:val="008F0A08"/>
    <w:rsid w:val="008F0ADD"/>
    <w:rsid w:val="008F0C06"/>
    <w:rsid w:val="008F1BE3"/>
    <w:rsid w:val="008F1CD5"/>
    <w:rsid w:val="008F20B2"/>
    <w:rsid w:val="008F2607"/>
    <w:rsid w:val="008F280F"/>
    <w:rsid w:val="008F28D4"/>
    <w:rsid w:val="008F2B47"/>
    <w:rsid w:val="008F2EA0"/>
    <w:rsid w:val="008F30CB"/>
    <w:rsid w:val="008F3242"/>
    <w:rsid w:val="008F388E"/>
    <w:rsid w:val="008F3899"/>
    <w:rsid w:val="008F38FF"/>
    <w:rsid w:val="008F39AA"/>
    <w:rsid w:val="008F3BB5"/>
    <w:rsid w:val="008F3EBA"/>
    <w:rsid w:val="008F4212"/>
    <w:rsid w:val="008F4ADC"/>
    <w:rsid w:val="008F50B7"/>
    <w:rsid w:val="008F518A"/>
    <w:rsid w:val="008F5442"/>
    <w:rsid w:val="008F549A"/>
    <w:rsid w:val="008F54ED"/>
    <w:rsid w:val="008F56A6"/>
    <w:rsid w:val="008F5A5B"/>
    <w:rsid w:val="008F5ABE"/>
    <w:rsid w:val="008F5B62"/>
    <w:rsid w:val="008F6371"/>
    <w:rsid w:val="008F6552"/>
    <w:rsid w:val="008F6710"/>
    <w:rsid w:val="008F6778"/>
    <w:rsid w:val="008F6C85"/>
    <w:rsid w:val="008F6FD0"/>
    <w:rsid w:val="008F731F"/>
    <w:rsid w:val="008F7722"/>
    <w:rsid w:val="008F7766"/>
    <w:rsid w:val="008F79DD"/>
    <w:rsid w:val="008F7C32"/>
    <w:rsid w:val="008F7F39"/>
    <w:rsid w:val="009006FA"/>
    <w:rsid w:val="009009D6"/>
    <w:rsid w:val="00900E3E"/>
    <w:rsid w:val="00900F10"/>
    <w:rsid w:val="00901090"/>
    <w:rsid w:val="00901615"/>
    <w:rsid w:val="0090169A"/>
    <w:rsid w:val="00901C5C"/>
    <w:rsid w:val="0090213A"/>
    <w:rsid w:val="00902205"/>
    <w:rsid w:val="00902578"/>
    <w:rsid w:val="00902918"/>
    <w:rsid w:val="00902997"/>
    <w:rsid w:val="009032AC"/>
    <w:rsid w:val="00903412"/>
    <w:rsid w:val="009035E7"/>
    <w:rsid w:val="0090385B"/>
    <w:rsid w:val="009038F8"/>
    <w:rsid w:val="00903B24"/>
    <w:rsid w:val="00903C9A"/>
    <w:rsid w:val="00903E28"/>
    <w:rsid w:val="00903EFD"/>
    <w:rsid w:val="00904A2E"/>
    <w:rsid w:val="00904E02"/>
    <w:rsid w:val="00905100"/>
    <w:rsid w:val="009051BC"/>
    <w:rsid w:val="00905320"/>
    <w:rsid w:val="00905497"/>
    <w:rsid w:val="00905506"/>
    <w:rsid w:val="00905988"/>
    <w:rsid w:val="00905ACE"/>
    <w:rsid w:val="00905C5E"/>
    <w:rsid w:val="00905CC0"/>
    <w:rsid w:val="00905EE9"/>
    <w:rsid w:val="00906257"/>
    <w:rsid w:val="0090625F"/>
    <w:rsid w:val="00906411"/>
    <w:rsid w:val="009064AC"/>
    <w:rsid w:val="00906567"/>
    <w:rsid w:val="00906A56"/>
    <w:rsid w:val="00907139"/>
    <w:rsid w:val="009071AD"/>
    <w:rsid w:val="00907726"/>
    <w:rsid w:val="0090773A"/>
    <w:rsid w:val="009077BE"/>
    <w:rsid w:val="00907AB5"/>
    <w:rsid w:val="00910150"/>
    <w:rsid w:val="0091053E"/>
    <w:rsid w:val="009105CD"/>
    <w:rsid w:val="00910AB8"/>
    <w:rsid w:val="00910E7D"/>
    <w:rsid w:val="00910F14"/>
    <w:rsid w:val="00911649"/>
    <w:rsid w:val="00911820"/>
    <w:rsid w:val="00911BB6"/>
    <w:rsid w:val="009124D4"/>
    <w:rsid w:val="00912D90"/>
    <w:rsid w:val="00912EB3"/>
    <w:rsid w:val="00912F3D"/>
    <w:rsid w:val="00913059"/>
    <w:rsid w:val="00913160"/>
    <w:rsid w:val="00913294"/>
    <w:rsid w:val="009133D1"/>
    <w:rsid w:val="009134EC"/>
    <w:rsid w:val="00913704"/>
    <w:rsid w:val="009137F0"/>
    <w:rsid w:val="00913B3A"/>
    <w:rsid w:val="00913E0E"/>
    <w:rsid w:val="00913EA8"/>
    <w:rsid w:val="009146D8"/>
    <w:rsid w:val="009147C5"/>
    <w:rsid w:val="00914FBE"/>
    <w:rsid w:val="00915033"/>
    <w:rsid w:val="0091523F"/>
    <w:rsid w:val="009155BF"/>
    <w:rsid w:val="009155EC"/>
    <w:rsid w:val="0091588A"/>
    <w:rsid w:val="009161FF"/>
    <w:rsid w:val="009163DB"/>
    <w:rsid w:val="009164DA"/>
    <w:rsid w:val="009167AB"/>
    <w:rsid w:val="009168CA"/>
    <w:rsid w:val="00916BD4"/>
    <w:rsid w:val="00916D6A"/>
    <w:rsid w:val="00916F9F"/>
    <w:rsid w:val="00916FCF"/>
    <w:rsid w:val="0091712E"/>
    <w:rsid w:val="0091727C"/>
    <w:rsid w:val="009175F7"/>
    <w:rsid w:val="009200D8"/>
    <w:rsid w:val="0092016F"/>
    <w:rsid w:val="00920330"/>
    <w:rsid w:val="009205CE"/>
    <w:rsid w:val="009210AC"/>
    <w:rsid w:val="00921343"/>
    <w:rsid w:val="00922481"/>
    <w:rsid w:val="00922886"/>
    <w:rsid w:val="0092294A"/>
    <w:rsid w:val="00922953"/>
    <w:rsid w:val="00922AA1"/>
    <w:rsid w:val="00922B24"/>
    <w:rsid w:val="00922F80"/>
    <w:rsid w:val="00923113"/>
    <w:rsid w:val="00923346"/>
    <w:rsid w:val="009236C7"/>
    <w:rsid w:val="00923829"/>
    <w:rsid w:val="00923830"/>
    <w:rsid w:val="009238AF"/>
    <w:rsid w:val="00923912"/>
    <w:rsid w:val="00923A88"/>
    <w:rsid w:val="00923B93"/>
    <w:rsid w:val="00924096"/>
    <w:rsid w:val="00924FFC"/>
    <w:rsid w:val="00925266"/>
    <w:rsid w:val="00925406"/>
    <w:rsid w:val="009255F9"/>
    <w:rsid w:val="00925650"/>
    <w:rsid w:val="00925674"/>
    <w:rsid w:val="009257E1"/>
    <w:rsid w:val="00925DBB"/>
    <w:rsid w:val="009269B5"/>
    <w:rsid w:val="00926A23"/>
    <w:rsid w:val="00926F48"/>
    <w:rsid w:val="00927C34"/>
    <w:rsid w:val="00930194"/>
    <w:rsid w:val="00930B7E"/>
    <w:rsid w:val="00931038"/>
    <w:rsid w:val="009314A2"/>
    <w:rsid w:val="0093198A"/>
    <w:rsid w:val="00931BC4"/>
    <w:rsid w:val="00932026"/>
    <w:rsid w:val="00932160"/>
    <w:rsid w:val="00932180"/>
    <w:rsid w:val="009324A7"/>
    <w:rsid w:val="00932934"/>
    <w:rsid w:val="00932B93"/>
    <w:rsid w:val="00933553"/>
    <w:rsid w:val="009335F1"/>
    <w:rsid w:val="00934174"/>
    <w:rsid w:val="00934C64"/>
    <w:rsid w:val="00934DB0"/>
    <w:rsid w:val="00934F1A"/>
    <w:rsid w:val="00936307"/>
    <w:rsid w:val="0093644A"/>
    <w:rsid w:val="00936752"/>
    <w:rsid w:val="00936769"/>
    <w:rsid w:val="00936D65"/>
    <w:rsid w:val="00937252"/>
    <w:rsid w:val="00937441"/>
    <w:rsid w:val="00937490"/>
    <w:rsid w:val="0093778C"/>
    <w:rsid w:val="00937B33"/>
    <w:rsid w:val="00937CD1"/>
    <w:rsid w:val="0094098B"/>
    <w:rsid w:val="00940A89"/>
    <w:rsid w:val="00940ABC"/>
    <w:rsid w:val="00940D6E"/>
    <w:rsid w:val="00940EF6"/>
    <w:rsid w:val="00941130"/>
    <w:rsid w:val="0094122F"/>
    <w:rsid w:val="009413D0"/>
    <w:rsid w:val="00941426"/>
    <w:rsid w:val="00941463"/>
    <w:rsid w:val="00941657"/>
    <w:rsid w:val="009417F6"/>
    <w:rsid w:val="00941BD9"/>
    <w:rsid w:val="009420A0"/>
    <w:rsid w:val="009426AA"/>
    <w:rsid w:val="00942A79"/>
    <w:rsid w:val="00942EB8"/>
    <w:rsid w:val="00943762"/>
    <w:rsid w:val="00943C8C"/>
    <w:rsid w:val="00943E9E"/>
    <w:rsid w:val="009447FE"/>
    <w:rsid w:val="00944A96"/>
    <w:rsid w:val="00944AB0"/>
    <w:rsid w:val="009457AB"/>
    <w:rsid w:val="00945914"/>
    <w:rsid w:val="00946266"/>
    <w:rsid w:val="00946E7F"/>
    <w:rsid w:val="00946F2A"/>
    <w:rsid w:val="0094764D"/>
    <w:rsid w:val="009479F0"/>
    <w:rsid w:val="00947ADB"/>
    <w:rsid w:val="00947D92"/>
    <w:rsid w:val="009506CB"/>
    <w:rsid w:val="00950E6D"/>
    <w:rsid w:val="009513B7"/>
    <w:rsid w:val="009516A4"/>
    <w:rsid w:val="009518AF"/>
    <w:rsid w:val="00951B96"/>
    <w:rsid w:val="009520DA"/>
    <w:rsid w:val="00952263"/>
    <w:rsid w:val="0095255E"/>
    <w:rsid w:val="00952C54"/>
    <w:rsid w:val="00952FAB"/>
    <w:rsid w:val="00952FC8"/>
    <w:rsid w:val="00953116"/>
    <w:rsid w:val="00953305"/>
    <w:rsid w:val="009535E8"/>
    <w:rsid w:val="00953642"/>
    <w:rsid w:val="0095387D"/>
    <w:rsid w:val="00953896"/>
    <w:rsid w:val="00953BEB"/>
    <w:rsid w:val="00953D1E"/>
    <w:rsid w:val="00953E54"/>
    <w:rsid w:val="0095439D"/>
    <w:rsid w:val="0095487A"/>
    <w:rsid w:val="00954893"/>
    <w:rsid w:val="00955F8B"/>
    <w:rsid w:val="00956247"/>
    <w:rsid w:val="009567C4"/>
    <w:rsid w:val="00957037"/>
    <w:rsid w:val="009570D8"/>
    <w:rsid w:val="009574FF"/>
    <w:rsid w:val="009577E4"/>
    <w:rsid w:val="00957F67"/>
    <w:rsid w:val="00957F7A"/>
    <w:rsid w:val="0096034E"/>
    <w:rsid w:val="00960863"/>
    <w:rsid w:val="00960B35"/>
    <w:rsid w:val="00960BFE"/>
    <w:rsid w:val="00960E01"/>
    <w:rsid w:val="009614F2"/>
    <w:rsid w:val="0096151C"/>
    <w:rsid w:val="00961676"/>
    <w:rsid w:val="00961902"/>
    <w:rsid w:val="00961971"/>
    <w:rsid w:val="00961BE5"/>
    <w:rsid w:val="00961FAE"/>
    <w:rsid w:val="0096207C"/>
    <w:rsid w:val="009620AE"/>
    <w:rsid w:val="00962257"/>
    <w:rsid w:val="0096276A"/>
    <w:rsid w:val="00962D55"/>
    <w:rsid w:val="0096360D"/>
    <w:rsid w:val="00963910"/>
    <w:rsid w:val="00963F67"/>
    <w:rsid w:val="0096427B"/>
    <w:rsid w:val="00964F41"/>
    <w:rsid w:val="00964FFD"/>
    <w:rsid w:val="0096579B"/>
    <w:rsid w:val="00965823"/>
    <w:rsid w:val="00965AE3"/>
    <w:rsid w:val="009662CD"/>
    <w:rsid w:val="00966350"/>
    <w:rsid w:val="00966720"/>
    <w:rsid w:val="00966933"/>
    <w:rsid w:val="00966A7A"/>
    <w:rsid w:val="00966A7F"/>
    <w:rsid w:val="00966CEA"/>
    <w:rsid w:val="00966D11"/>
    <w:rsid w:val="00966E90"/>
    <w:rsid w:val="0096700A"/>
    <w:rsid w:val="009671EF"/>
    <w:rsid w:val="00967781"/>
    <w:rsid w:val="00967B0F"/>
    <w:rsid w:val="00967D1B"/>
    <w:rsid w:val="00970039"/>
    <w:rsid w:val="00970201"/>
    <w:rsid w:val="0097029A"/>
    <w:rsid w:val="00970582"/>
    <w:rsid w:val="00970789"/>
    <w:rsid w:val="00971042"/>
    <w:rsid w:val="00971102"/>
    <w:rsid w:val="00971210"/>
    <w:rsid w:val="00971319"/>
    <w:rsid w:val="0097149E"/>
    <w:rsid w:val="00971680"/>
    <w:rsid w:val="00971845"/>
    <w:rsid w:val="0097248F"/>
    <w:rsid w:val="009724E3"/>
    <w:rsid w:val="0097261F"/>
    <w:rsid w:val="009727EC"/>
    <w:rsid w:val="009729A8"/>
    <w:rsid w:val="00972C7A"/>
    <w:rsid w:val="0097307F"/>
    <w:rsid w:val="009734E5"/>
    <w:rsid w:val="00973683"/>
    <w:rsid w:val="009738F9"/>
    <w:rsid w:val="00973BAC"/>
    <w:rsid w:val="00974038"/>
    <w:rsid w:val="00974127"/>
    <w:rsid w:val="00974498"/>
    <w:rsid w:val="009744F4"/>
    <w:rsid w:val="00974578"/>
    <w:rsid w:val="00974CC0"/>
    <w:rsid w:val="00975629"/>
    <w:rsid w:val="00975723"/>
    <w:rsid w:val="009763C9"/>
    <w:rsid w:val="009764CB"/>
    <w:rsid w:val="009765D7"/>
    <w:rsid w:val="00976D2D"/>
    <w:rsid w:val="00976FA2"/>
    <w:rsid w:val="00977136"/>
    <w:rsid w:val="009771CE"/>
    <w:rsid w:val="009775A3"/>
    <w:rsid w:val="00977834"/>
    <w:rsid w:val="009778EA"/>
    <w:rsid w:val="00977D13"/>
    <w:rsid w:val="00977EF3"/>
    <w:rsid w:val="0098021F"/>
    <w:rsid w:val="00980551"/>
    <w:rsid w:val="009806D3"/>
    <w:rsid w:val="0098076A"/>
    <w:rsid w:val="00981051"/>
    <w:rsid w:val="009813E1"/>
    <w:rsid w:val="0098163B"/>
    <w:rsid w:val="00981AD4"/>
    <w:rsid w:val="00982319"/>
    <w:rsid w:val="0098231E"/>
    <w:rsid w:val="00982B82"/>
    <w:rsid w:val="0098301E"/>
    <w:rsid w:val="0098330A"/>
    <w:rsid w:val="009833CA"/>
    <w:rsid w:val="009834B1"/>
    <w:rsid w:val="009834BE"/>
    <w:rsid w:val="00983575"/>
    <w:rsid w:val="00983653"/>
    <w:rsid w:val="009837BD"/>
    <w:rsid w:val="009837DB"/>
    <w:rsid w:val="00983D72"/>
    <w:rsid w:val="00983ED8"/>
    <w:rsid w:val="00984488"/>
    <w:rsid w:val="00984BFF"/>
    <w:rsid w:val="00984EAC"/>
    <w:rsid w:val="00984F36"/>
    <w:rsid w:val="00985B35"/>
    <w:rsid w:val="00985BE6"/>
    <w:rsid w:val="00985F43"/>
    <w:rsid w:val="0098604C"/>
    <w:rsid w:val="00986533"/>
    <w:rsid w:val="009868EE"/>
    <w:rsid w:val="00986973"/>
    <w:rsid w:val="009869E5"/>
    <w:rsid w:val="00986C5C"/>
    <w:rsid w:val="00987088"/>
    <w:rsid w:val="0098724E"/>
    <w:rsid w:val="0098780D"/>
    <w:rsid w:val="00987AC8"/>
    <w:rsid w:val="00990439"/>
    <w:rsid w:val="009904A3"/>
    <w:rsid w:val="00990854"/>
    <w:rsid w:val="00990C93"/>
    <w:rsid w:val="009910BA"/>
    <w:rsid w:val="009914F4"/>
    <w:rsid w:val="00991750"/>
    <w:rsid w:val="00991A47"/>
    <w:rsid w:val="009922D4"/>
    <w:rsid w:val="009927A3"/>
    <w:rsid w:val="00992B1B"/>
    <w:rsid w:val="00992E2B"/>
    <w:rsid w:val="00992E80"/>
    <w:rsid w:val="00992EDF"/>
    <w:rsid w:val="009932DE"/>
    <w:rsid w:val="009934E6"/>
    <w:rsid w:val="00993C3A"/>
    <w:rsid w:val="0099411A"/>
    <w:rsid w:val="00994213"/>
    <w:rsid w:val="009944B3"/>
    <w:rsid w:val="00994589"/>
    <w:rsid w:val="00994DCB"/>
    <w:rsid w:val="00995BA2"/>
    <w:rsid w:val="00995D3F"/>
    <w:rsid w:val="00995E1F"/>
    <w:rsid w:val="00996833"/>
    <w:rsid w:val="009969B3"/>
    <w:rsid w:val="0099759D"/>
    <w:rsid w:val="00997887"/>
    <w:rsid w:val="0099798B"/>
    <w:rsid w:val="00997E71"/>
    <w:rsid w:val="009A0204"/>
    <w:rsid w:val="009A06C9"/>
    <w:rsid w:val="009A06E2"/>
    <w:rsid w:val="009A07C4"/>
    <w:rsid w:val="009A08AF"/>
    <w:rsid w:val="009A0966"/>
    <w:rsid w:val="009A0DC4"/>
    <w:rsid w:val="009A1898"/>
    <w:rsid w:val="009A1A29"/>
    <w:rsid w:val="009A1BED"/>
    <w:rsid w:val="009A2054"/>
    <w:rsid w:val="009A20C2"/>
    <w:rsid w:val="009A211B"/>
    <w:rsid w:val="009A222C"/>
    <w:rsid w:val="009A23CD"/>
    <w:rsid w:val="009A2569"/>
    <w:rsid w:val="009A2F01"/>
    <w:rsid w:val="009A3684"/>
    <w:rsid w:val="009A4172"/>
    <w:rsid w:val="009A4476"/>
    <w:rsid w:val="009A44BC"/>
    <w:rsid w:val="009A4B7E"/>
    <w:rsid w:val="009A4DAF"/>
    <w:rsid w:val="009A5101"/>
    <w:rsid w:val="009A5A94"/>
    <w:rsid w:val="009A5E50"/>
    <w:rsid w:val="009A622D"/>
    <w:rsid w:val="009A62CA"/>
    <w:rsid w:val="009A6CA2"/>
    <w:rsid w:val="009A6EFE"/>
    <w:rsid w:val="009A721A"/>
    <w:rsid w:val="009A75C9"/>
    <w:rsid w:val="009A787F"/>
    <w:rsid w:val="009A7BA2"/>
    <w:rsid w:val="009A7C49"/>
    <w:rsid w:val="009B04B4"/>
    <w:rsid w:val="009B05C9"/>
    <w:rsid w:val="009B07BE"/>
    <w:rsid w:val="009B08ED"/>
    <w:rsid w:val="009B0EBB"/>
    <w:rsid w:val="009B11C4"/>
    <w:rsid w:val="009B153E"/>
    <w:rsid w:val="009B156A"/>
    <w:rsid w:val="009B187F"/>
    <w:rsid w:val="009B1CF7"/>
    <w:rsid w:val="009B1E1A"/>
    <w:rsid w:val="009B1F3F"/>
    <w:rsid w:val="009B2481"/>
    <w:rsid w:val="009B28D5"/>
    <w:rsid w:val="009B2BF2"/>
    <w:rsid w:val="009B2C53"/>
    <w:rsid w:val="009B2EC5"/>
    <w:rsid w:val="009B3221"/>
    <w:rsid w:val="009B32CC"/>
    <w:rsid w:val="009B3455"/>
    <w:rsid w:val="009B34F1"/>
    <w:rsid w:val="009B3678"/>
    <w:rsid w:val="009B3C70"/>
    <w:rsid w:val="009B4240"/>
    <w:rsid w:val="009B4B45"/>
    <w:rsid w:val="009B4B96"/>
    <w:rsid w:val="009B4F9D"/>
    <w:rsid w:val="009B5010"/>
    <w:rsid w:val="009B52AE"/>
    <w:rsid w:val="009B52EC"/>
    <w:rsid w:val="009B53D7"/>
    <w:rsid w:val="009B545B"/>
    <w:rsid w:val="009B5490"/>
    <w:rsid w:val="009B54FC"/>
    <w:rsid w:val="009B5671"/>
    <w:rsid w:val="009B5A1C"/>
    <w:rsid w:val="009B5C97"/>
    <w:rsid w:val="009B5EC2"/>
    <w:rsid w:val="009B5F6D"/>
    <w:rsid w:val="009B5FE0"/>
    <w:rsid w:val="009B615E"/>
    <w:rsid w:val="009B61F0"/>
    <w:rsid w:val="009B63F5"/>
    <w:rsid w:val="009B73FD"/>
    <w:rsid w:val="009B7443"/>
    <w:rsid w:val="009B7570"/>
    <w:rsid w:val="009B75CF"/>
    <w:rsid w:val="009B7938"/>
    <w:rsid w:val="009B7A09"/>
    <w:rsid w:val="009B7D52"/>
    <w:rsid w:val="009B7D86"/>
    <w:rsid w:val="009B7FA7"/>
    <w:rsid w:val="009B7FB1"/>
    <w:rsid w:val="009C00F6"/>
    <w:rsid w:val="009C02D2"/>
    <w:rsid w:val="009C0509"/>
    <w:rsid w:val="009C10DF"/>
    <w:rsid w:val="009C162C"/>
    <w:rsid w:val="009C1E32"/>
    <w:rsid w:val="009C1E54"/>
    <w:rsid w:val="009C2362"/>
    <w:rsid w:val="009C2398"/>
    <w:rsid w:val="009C2477"/>
    <w:rsid w:val="009C2492"/>
    <w:rsid w:val="009C25AE"/>
    <w:rsid w:val="009C2719"/>
    <w:rsid w:val="009C2857"/>
    <w:rsid w:val="009C2A4A"/>
    <w:rsid w:val="009C2A63"/>
    <w:rsid w:val="009C3086"/>
    <w:rsid w:val="009C320E"/>
    <w:rsid w:val="009C38EF"/>
    <w:rsid w:val="009C4001"/>
    <w:rsid w:val="009C4030"/>
    <w:rsid w:val="009C431F"/>
    <w:rsid w:val="009C44B0"/>
    <w:rsid w:val="009C49C2"/>
    <w:rsid w:val="009C5628"/>
    <w:rsid w:val="009C576F"/>
    <w:rsid w:val="009C5D3D"/>
    <w:rsid w:val="009C5D4A"/>
    <w:rsid w:val="009C5D84"/>
    <w:rsid w:val="009C5E85"/>
    <w:rsid w:val="009C62F9"/>
    <w:rsid w:val="009C65F6"/>
    <w:rsid w:val="009C67D8"/>
    <w:rsid w:val="009C78B5"/>
    <w:rsid w:val="009C7990"/>
    <w:rsid w:val="009D072A"/>
    <w:rsid w:val="009D0EED"/>
    <w:rsid w:val="009D10FE"/>
    <w:rsid w:val="009D11A6"/>
    <w:rsid w:val="009D1216"/>
    <w:rsid w:val="009D183C"/>
    <w:rsid w:val="009D18C0"/>
    <w:rsid w:val="009D1C85"/>
    <w:rsid w:val="009D1EC3"/>
    <w:rsid w:val="009D207B"/>
    <w:rsid w:val="009D2619"/>
    <w:rsid w:val="009D26D2"/>
    <w:rsid w:val="009D26F8"/>
    <w:rsid w:val="009D3156"/>
    <w:rsid w:val="009D34C8"/>
    <w:rsid w:val="009D3588"/>
    <w:rsid w:val="009D3A4F"/>
    <w:rsid w:val="009D3A98"/>
    <w:rsid w:val="009D3D1E"/>
    <w:rsid w:val="009D40D0"/>
    <w:rsid w:val="009D40F4"/>
    <w:rsid w:val="009D4148"/>
    <w:rsid w:val="009D4807"/>
    <w:rsid w:val="009D483D"/>
    <w:rsid w:val="009D4966"/>
    <w:rsid w:val="009D4B37"/>
    <w:rsid w:val="009D5248"/>
    <w:rsid w:val="009D5537"/>
    <w:rsid w:val="009D55FE"/>
    <w:rsid w:val="009D585C"/>
    <w:rsid w:val="009D58C6"/>
    <w:rsid w:val="009D594E"/>
    <w:rsid w:val="009D5A21"/>
    <w:rsid w:val="009D5E23"/>
    <w:rsid w:val="009D6077"/>
    <w:rsid w:val="009D6470"/>
    <w:rsid w:val="009D716D"/>
    <w:rsid w:val="009D72FA"/>
    <w:rsid w:val="009D740E"/>
    <w:rsid w:val="009D743C"/>
    <w:rsid w:val="009D74AB"/>
    <w:rsid w:val="009D7CE9"/>
    <w:rsid w:val="009E02DA"/>
    <w:rsid w:val="009E049F"/>
    <w:rsid w:val="009E0978"/>
    <w:rsid w:val="009E09EC"/>
    <w:rsid w:val="009E0CD6"/>
    <w:rsid w:val="009E104E"/>
    <w:rsid w:val="009E1071"/>
    <w:rsid w:val="009E13D5"/>
    <w:rsid w:val="009E1450"/>
    <w:rsid w:val="009E14B4"/>
    <w:rsid w:val="009E1838"/>
    <w:rsid w:val="009E183A"/>
    <w:rsid w:val="009E196E"/>
    <w:rsid w:val="009E2932"/>
    <w:rsid w:val="009E2B10"/>
    <w:rsid w:val="009E2C8A"/>
    <w:rsid w:val="009E3872"/>
    <w:rsid w:val="009E41CB"/>
    <w:rsid w:val="009E44AC"/>
    <w:rsid w:val="009E4B27"/>
    <w:rsid w:val="009E55D9"/>
    <w:rsid w:val="009E55F6"/>
    <w:rsid w:val="009E561F"/>
    <w:rsid w:val="009E586E"/>
    <w:rsid w:val="009E59E8"/>
    <w:rsid w:val="009E62E2"/>
    <w:rsid w:val="009E6393"/>
    <w:rsid w:val="009E682B"/>
    <w:rsid w:val="009E6AF3"/>
    <w:rsid w:val="009E749B"/>
    <w:rsid w:val="009E76CF"/>
    <w:rsid w:val="009E7880"/>
    <w:rsid w:val="009E78A9"/>
    <w:rsid w:val="009E78FE"/>
    <w:rsid w:val="009E7D8A"/>
    <w:rsid w:val="009F0534"/>
    <w:rsid w:val="009F095A"/>
    <w:rsid w:val="009F0A08"/>
    <w:rsid w:val="009F1387"/>
    <w:rsid w:val="009F14B7"/>
    <w:rsid w:val="009F1655"/>
    <w:rsid w:val="009F2552"/>
    <w:rsid w:val="009F2578"/>
    <w:rsid w:val="009F29CF"/>
    <w:rsid w:val="009F2F43"/>
    <w:rsid w:val="009F35D7"/>
    <w:rsid w:val="009F3622"/>
    <w:rsid w:val="009F36CD"/>
    <w:rsid w:val="009F3C66"/>
    <w:rsid w:val="009F3DDE"/>
    <w:rsid w:val="009F3E64"/>
    <w:rsid w:val="009F40E4"/>
    <w:rsid w:val="009F4508"/>
    <w:rsid w:val="009F4570"/>
    <w:rsid w:val="009F47A9"/>
    <w:rsid w:val="009F4B18"/>
    <w:rsid w:val="009F50FB"/>
    <w:rsid w:val="009F559A"/>
    <w:rsid w:val="009F5611"/>
    <w:rsid w:val="009F5883"/>
    <w:rsid w:val="009F5C65"/>
    <w:rsid w:val="009F5C9B"/>
    <w:rsid w:val="009F6A98"/>
    <w:rsid w:val="009F6AD3"/>
    <w:rsid w:val="009F6C46"/>
    <w:rsid w:val="009F6FE8"/>
    <w:rsid w:val="009F7466"/>
    <w:rsid w:val="009F7F00"/>
    <w:rsid w:val="00A00387"/>
    <w:rsid w:val="00A00DA8"/>
    <w:rsid w:val="00A00EC7"/>
    <w:rsid w:val="00A00EED"/>
    <w:rsid w:val="00A00F85"/>
    <w:rsid w:val="00A011D6"/>
    <w:rsid w:val="00A014AF"/>
    <w:rsid w:val="00A01F32"/>
    <w:rsid w:val="00A02134"/>
    <w:rsid w:val="00A02737"/>
    <w:rsid w:val="00A0282E"/>
    <w:rsid w:val="00A028ED"/>
    <w:rsid w:val="00A029F4"/>
    <w:rsid w:val="00A03039"/>
    <w:rsid w:val="00A03081"/>
    <w:rsid w:val="00A036E6"/>
    <w:rsid w:val="00A03DFC"/>
    <w:rsid w:val="00A041A1"/>
    <w:rsid w:val="00A0453F"/>
    <w:rsid w:val="00A045D8"/>
    <w:rsid w:val="00A052AA"/>
    <w:rsid w:val="00A054C8"/>
    <w:rsid w:val="00A05C35"/>
    <w:rsid w:val="00A05C88"/>
    <w:rsid w:val="00A060E2"/>
    <w:rsid w:val="00A0698E"/>
    <w:rsid w:val="00A06A2F"/>
    <w:rsid w:val="00A06ABB"/>
    <w:rsid w:val="00A06E76"/>
    <w:rsid w:val="00A0716B"/>
    <w:rsid w:val="00A07547"/>
    <w:rsid w:val="00A07684"/>
    <w:rsid w:val="00A07AFD"/>
    <w:rsid w:val="00A07BDB"/>
    <w:rsid w:val="00A07E45"/>
    <w:rsid w:val="00A10405"/>
    <w:rsid w:val="00A1092C"/>
    <w:rsid w:val="00A10A0E"/>
    <w:rsid w:val="00A10A35"/>
    <w:rsid w:val="00A10DB6"/>
    <w:rsid w:val="00A1122A"/>
    <w:rsid w:val="00A11775"/>
    <w:rsid w:val="00A118D9"/>
    <w:rsid w:val="00A119F7"/>
    <w:rsid w:val="00A11A63"/>
    <w:rsid w:val="00A11A6D"/>
    <w:rsid w:val="00A12003"/>
    <w:rsid w:val="00A12008"/>
    <w:rsid w:val="00A123B4"/>
    <w:rsid w:val="00A1248F"/>
    <w:rsid w:val="00A124A8"/>
    <w:rsid w:val="00A12967"/>
    <w:rsid w:val="00A12B82"/>
    <w:rsid w:val="00A12E59"/>
    <w:rsid w:val="00A12F4A"/>
    <w:rsid w:val="00A12FF6"/>
    <w:rsid w:val="00A13193"/>
    <w:rsid w:val="00A131B1"/>
    <w:rsid w:val="00A13577"/>
    <w:rsid w:val="00A139D1"/>
    <w:rsid w:val="00A13A3C"/>
    <w:rsid w:val="00A13E71"/>
    <w:rsid w:val="00A142BC"/>
    <w:rsid w:val="00A14D31"/>
    <w:rsid w:val="00A14DD3"/>
    <w:rsid w:val="00A1504E"/>
    <w:rsid w:val="00A15267"/>
    <w:rsid w:val="00A15C12"/>
    <w:rsid w:val="00A15C61"/>
    <w:rsid w:val="00A15EEE"/>
    <w:rsid w:val="00A15F0A"/>
    <w:rsid w:val="00A164F1"/>
    <w:rsid w:val="00A16657"/>
    <w:rsid w:val="00A16D59"/>
    <w:rsid w:val="00A16EEF"/>
    <w:rsid w:val="00A16F34"/>
    <w:rsid w:val="00A17352"/>
    <w:rsid w:val="00A17A1C"/>
    <w:rsid w:val="00A17A47"/>
    <w:rsid w:val="00A20338"/>
    <w:rsid w:val="00A20735"/>
    <w:rsid w:val="00A208AF"/>
    <w:rsid w:val="00A220E4"/>
    <w:rsid w:val="00A221D0"/>
    <w:rsid w:val="00A22251"/>
    <w:rsid w:val="00A224D6"/>
    <w:rsid w:val="00A2280C"/>
    <w:rsid w:val="00A22892"/>
    <w:rsid w:val="00A22961"/>
    <w:rsid w:val="00A23571"/>
    <w:rsid w:val="00A23741"/>
    <w:rsid w:val="00A23801"/>
    <w:rsid w:val="00A238C4"/>
    <w:rsid w:val="00A23A8F"/>
    <w:rsid w:val="00A23AFB"/>
    <w:rsid w:val="00A23DAF"/>
    <w:rsid w:val="00A23E3B"/>
    <w:rsid w:val="00A23ECA"/>
    <w:rsid w:val="00A2436B"/>
    <w:rsid w:val="00A243F8"/>
    <w:rsid w:val="00A2459A"/>
    <w:rsid w:val="00A24BDF"/>
    <w:rsid w:val="00A251E2"/>
    <w:rsid w:val="00A25374"/>
    <w:rsid w:val="00A2563A"/>
    <w:rsid w:val="00A2563D"/>
    <w:rsid w:val="00A258E2"/>
    <w:rsid w:val="00A25AB1"/>
    <w:rsid w:val="00A2602A"/>
    <w:rsid w:val="00A261C7"/>
    <w:rsid w:val="00A264A4"/>
    <w:rsid w:val="00A273FD"/>
    <w:rsid w:val="00A27CE8"/>
    <w:rsid w:val="00A27EE2"/>
    <w:rsid w:val="00A309B2"/>
    <w:rsid w:val="00A30D95"/>
    <w:rsid w:val="00A3113B"/>
    <w:rsid w:val="00A31682"/>
    <w:rsid w:val="00A31A36"/>
    <w:rsid w:val="00A31C20"/>
    <w:rsid w:val="00A31DC8"/>
    <w:rsid w:val="00A32161"/>
    <w:rsid w:val="00A322A4"/>
    <w:rsid w:val="00A32571"/>
    <w:rsid w:val="00A3257B"/>
    <w:rsid w:val="00A339AD"/>
    <w:rsid w:val="00A33B22"/>
    <w:rsid w:val="00A33BDF"/>
    <w:rsid w:val="00A33C45"/>
    <w:rsid w:val="00A33C4B"/>
    <w:rsid w:val="00A3408F"/>
    <w:rsid w:val="00A35105"/>
    <w:rsid w:val="00A3515A"/>
    <w:rsid w:val="00A3532E"/>
    <w:rsid w:val="00A359D7"/>
    <w:rsid w:val="00A35B74"/>
    <w:rsid w:val="00A3613D"/>
    <w:rsid w:val="00A361F6"/>
    <w:rsid w:val="00A3648B"/>
    <w:rsid w:val="00A36AA2"/>
    <w:rsid w:val="00A36E34"/>
    <w:rsid w:val="00A36FE6"/>
    <w:rsid w:val="00A373EB"/>
    <w:rsid w:val="00A375AE"/>
    <w:rsid w:val="00A376F0"/>
    <w:rsid w:val="00A401E2"/>
    <w:rsid w:val="00A40548"/>
    <w:rsid w:val="00A4073E"/>
    <w:rsid w:val="00A407A9"/>
    <w:rsid w:val="00A40942"/>
    <w:rsid w:val="00A4101D"/>
    <w:rsid w:val="00A4161B"/>
    <w:rsid w:val="00A4179A"/>
    <w:rsid w:val="00A41A93"/>
    <w:rsid w:val="00A42147"/>
    <w:rsid w:val="00A421A7"/>
    <w:rsid w:val="00A423C8"/>
    <w:rsid w:val="00A424A5"/>
    <w:rsid w:val="00A4292D"/>
    <w:rsid w:val="00A42BFB"/>
    <w:rsid w:val="00A430C2"/>
    <w:rsid w:val="00A431A9"/>
    <w:rsid w:val="00A434BE"/>
    <w:rsid w:val="00A436A7"/>
    <w:rsid w:val="00A439ED"/>
    <w:rsid w:val="00A43B50"/>
    <w:rsid w:val="00A44920"/>
    <w:rsid w:val="00A44957"/>
    <w:rsid w:val="00A44A70"/>
    <w:rsid w:val="00A44DD3"/>
    <w:rsid w:val="00A45503"/>
    <w:rsid w:val="00A456BB"/>
    <w:rsid w:val="00A458A5"/>
    <w:rsid w:val="00A458F0"/>
    <w:rsid w:val="00A459D6"/>
    <w:rsid w:val="00A45CDA"/>
    <w:rsid w:val="00A45D1D"/>
    <w:rsid w:val="00A45F9D"/>
    <w:rsid w:val="00A461F6"/>
    <w:rsid w:val="00A46223"/>
    <w:rsid w:val="00A465CB"/>
    <w:rsid w:val="00A46733"/>
    <w:rsid w:val="00A4680D"/>
    <w:rsid w:val="00A46A69"/>
    <w:rsid w:val="00A46E91"/>
    <w:rsid w:val="00A46F21"/>
    <w:rsid w:val="00A473A6"/>
    <w:rsid w:val="00A474A3"/>
    <w:rsid w:val="00A477B2"/>
    <w:rsid w:val="00A477E1"/>
    <w:rsid w:val="00A47A3C"/>
    <w:rsid w:val="00A50587"/>
    <w:rsid w:val="00A50B6D"/>
    <w:rsid w:val="00A50C70"/>
    <w:rsid w:val="00A50D60"/>
    <w:rsid w:val="00A50E42"/>
    <w:rsid w:val="00A510AF"/>
    <w:rsid w:val="00A51333"/>
    <w:rsid w:val="00A5157B"/>
    <w:rsid w:val="00A5186F"/>
    <w:rsid w:val="00A519BB"/>
    <w:rsid w:val="00A51B7A"/>
    <w:rsid w:val="00A52246"/>
    <w:rsid w:val="00A525C0"/>
    <w:rsid w:val="00A52778"/>
    <w:rsid w:val="00A533DD"/>
    <w:rsid w:val="00A5343A"/>
    <w:rsid w:val="00A535EF"/>
    <w:rsid w:val="00A539C0"/>
    <w:rsid w:val="00A53DD9"/>
    <w:rsid w:val="00A54073"/>
    <w:rsid w:val="00A54141"/>
    <w:rsid w:val="00A54260"/>
    <w:rsid w:val="00A54322"/>
    <w:rsid w:val="00A54423"/>
    <w:rsid w:val="00A546FB"/>
    <w:rsid w:val="00A54B31"/>
    <w:rsid w:val="00A54B48"/>
    <w:rsid w:val="00A54BB2"/>
    <w:rsid w:val="00A54D9E"/>
    <w:rsid w:val="00A54DCA"/>
    <w:rsid w:val="00A54FAA"/>
    <w:rsid w:val="00A553DD"/>
    <w:rsid w:val="00A55586"/>
    <w:rsid w:val="00A55818"/>
    <w:rsid w:val="00A55861"/>
    <w:rsid w:val="00A55880"/>
    <w:rsid w:val="00A562C7"/>
    <w:rsid w:val="00A56BA1"/>
    <w:rsid w:val="00A571E5"/>
    <w:rsid w:val="00A5731B"/>
    <w:rsid w:val="00A57935"/>
    <w:rsid w:val="00A57B65"/>
    <w:rsid w:val="00A60598"/>
    <w:rsid w:val="00A6080D"/>
    <w:rsid w:val="00A608C8"/>
    <w:rsid w:val="00A60995"/>
    <w:rsid w:val="00A60B30"/>
    <w:rsid w:val="00A60C06"/>
    <w:rsid w:val="00A60D0C"/>
    <w:rsid w:val="00A61061"/>
    <w:rsid w:val="00A6120E"/>
    <w:rsid w:val="00A613B3"/>
    <w:rsid w:val="00A615A2"/>
    <w:rsid w:val="00A61634"/>
    <w:rsid w:val="00A617E8"/>
    <w:rsid w:val="00A6186B"/>
    <w:rsid w:val="00A61B59"/>
    <w:rsid w:val="00A61D69"/>
    <w:rsid w:val="00A626DC"/>
    <w:rsid w:val="00A62C01"/>
    <w:rsid w:val="00A63214"/>
    <w:rsid w:val="00A63929"/>
    <w:rsid w:val="00A63A91"/>
    <w:rsid w:val="00A63C7F"/>
    <w:rsid w:val="00A63CC5"/>
    <w:rsid w:val="00A63D65"/>
    <w:rsid w:val="00A64318"/>
    <w:rsid w:val="00A64336"/>
    <w:rsid w:val="00A64543"/>
    <w:rsid w:val="00A6462E"/>
    <w:rsid w:val="00A6470C"/>
    <w:rsid w:val="00A64974"/>
    <w:rsid w:val="00A64CD5"/>
    <w:rsid w:val="00A64F3B"/>
    <w:rsid w:val="00A6503D"/>
    <w:rsid w:val="00A65041"/>
    <w:rsid w:val="00A65444"/>
    <w:rsid w:val="00A659FB"/>
    <w:rsid w:val="00A65A53"/>
    <w:rsid w:val="00A65E61"/>
    <w:rsid w:val="00A66453"/>
    <w:rsid w:val="00A66484"/>
    <w:rsid w:val="00A66553"/>
    <w:rsid w:val="00A665B0"/>
    <w:rsid w:val="00A666C1"/>
    <w:rsid w:val="00A6671B"/>
    <w:rsid w:val="00A6692E"/>
    <w:rsid w:val="00A66B73"/>
    <w:rsid w:val="00A66F52"/>
    <w:rsid w:val="00A66F54"/>
    <w:rsid w:val="00A67453"/>
    <w:rsid w:val="00A67745"/>
    <w:rsid w:val="00A705CE"/>
    <w:rsid w:val="00A70995"/>
    <w:rsid w:val="00A70EC2"/>
    <w:rsid w:val="00A713F3"/>
    <w:rsid w:val="00A717C7"/>
    <w:rsid w:val="00A719A4"/>
    <w:rsid w:val="00A721D5"/>
    <w:rsid w:val="00A7236E"/>
    <w:rsid w:val="00A72F58"/>
    <w:rsid w:val="00A7304F"/>
    <w:rsid w:val="00A73794"/>
    <w:rsid w:val="00A739C8"/>
    <w:rsid w:val="00A73F8C"/>
    <w:rsid w:val="00A749F3"/>
    <w:rsid w:val="00A74C08"/>
    <w:rsid w:val="00A74C6B"/>
    <w:rsid w:val="00A74CA8"/>
    <w:rsid w:val="00A759F9"/>
    <w:rsid w:val="00A764EE"/>
    <w:rsid w:val="00A7651E"/>
    <w:rsid w:val="00A7663E"/>
    <w:rsid w:val="00A76743"/>
    <w:rsid w:val="00A76747"/>
    <w:rsid w:val="00A76A8C"/>
    <w:rsid w:val="00A76C81"/>
    <w:rsid w:val="00A76E6A"/>
    <w:rsid w:val="00A76ECE"/>
    <w:rsid w:val="00A76F33"/>
    <w:rsid w:val="00A776BC"/>
    <w:rsid w:val="00A77A65"/>
    <w:rsid w:val="00A77B0E"/>
    <w:rsid w:val="00A80314"/>
    <w:rsid w:val="00A80493"/>
    <w:rsid w:val="00A808AB"/>
    <w:rsid w:val="00A809D1"/>
    <w:rsid w:val="00A809E5"/>
    <w:rsid w:val="00A80A78"/>
    <w:rsid w:val="00A80D97"/>
    <w:rsid w:val="00A80E30"/>
    <w:rsid w:val="00A8103F"/>
    <w:rsid w:val="00A81878"/>
    <w:rsid w:val="00A81F14"/>
    <w:rsid w:val="00A82BC4"/>
    <w:rsid w:val="00A82D6F"/>
    <w:rsid w:val="00A831EE"/>
    <w:rsid w:val="00A83318"/>
    <w:rsid w:val="00A8370E"/>
    <w:rsid w:val="00A83C08"/>
    <w:rsid w:val="00A83E1C"/>
    <w:rsid w:val="00A84213"/>
    <w:rsid w:val="00A84890"/>
    <w:rsid w:val="00A8492E"/>
    <w:rsid w:val="00A84B03"/>
    <w:rsid w:val="00A84E01"/>
    <w:rsid w:val="00A8511C"/>
    <w:rsid w:val="00A8564F"/>
    <w:rsid w:val="00A8574C"/>
    <w:rsid w:val="00A85B7F"/>
    <w:rsid w:val="00A85EFF"/>
    <w:rsid w:val="00A86633"/>
    <w:rsid w:val="00A86B37"/>
    <w:rsid w:val="00A86D18"/>
    <w:rsid w:val="00A86DB2"/>
    <w:rsid w:val="00A871A3"/>
    <w:rsid w:val="00A874C4"/>
    <w:rsid w:val="00A87A21"/>
    <w:rsid w:val="00A9021B"/>
    <w:rsid w:val="00A9069C"/>
    <w:rsid w:val="00A906F9"/>
    <w:rsid w:val="00A908EE"/>
    <w:rsid w:val="00A90E3E"/>
    <w:rsid w:val="00A90F71"/>
    <w:rsid w:val="00A91510"/>
    <w:rsid w:val="00A91C62"/>
    <w:rsid w:val="00A91D1E"/>
    <w:rsid w:val="00A921C1"/>
    <w:rsid w:val="00A92229"/>
    <w:rsid w:val="00A92647"/>
    <w:rsid w:val="00A926FA"/>
    <w:rsid w:val="00A9291A"/>
    <w:rsid w:val="00A92E1C"/>
    <w:rsid w:val="00A932C0"/>
    <w:rsid w:val="00A93435"/>
    <w:rsid w:val="00A9396E"/>
    <w:rsid w:val="00A93E8C"/>
    <w:rsid w:val="00A94AA8"/>
    <w:rsid w:val="00A94ABB"/>
    <w:rsid w:val="00A94BF6"/>
    <w:rsid w:val="00A94CA2"/>
    <w:rsid w:val="00A94D08"/>
    <w:rsid w:val="00A94D30"/>
    <w:rsid w:val="00A95137"/>
    <w:rsid w:val="00A9543E"/>
    <w:rsid w:val="00A95950"/>
    <w:rsid w:val="00A95A5A"/>
    <w:rsid w:val="00A95BB9"/>
    <w:rsid w:val="00A95CFB"/>
    <w:rsid w:val="00A962D1"/>
    <w:rsid w:val="00A968C7"/>
    <w:rsid w:val="00A968D6"/>
    <w:rsid w:val="00A96ADD"/>
    <w:rsid w:val="00A96BC1"/>
    <w:rsid w:val="00A9711F"/>
    <w:rsid w:val="00A971EF"/>
    <w:rsid w:val="00A9745D"/>
    <w:rsid w:val="00A97632"/>
    <w:rsid w:val="00A97670"/>
    <w:rsid w:val="00A976D3"/>
    <w:rsid w:val="00A9795D"/>
    <w:rsid w:val="00AA11CC"/>
    <w:rsid w:val="00AA1532"/>
    <w:rsid w:val="00AA154B"/>
    <w:rsid w:val="00AA17B5"/>
    <w:rsid w:val="00AA209F"/>
    <w:rsid w:val="00AA21C3"/>
    <w:rsid w:val="00AA22FA"/>
    <w:rsid w:val="00AA2310"/>
    <w:rsid w:val="00AA254F"/>
    <w:rsid w:val="00AA278C"/>
    <w:rsid w:val="00AA27D5"/>
    <w:rsid w:val="00AA2CA4"/>
    <w:rsid w:val="00AA3133"/>
    <w:rsid w:val="00AA329D"/>
    <w:rsid w:val="00AA33B9"/>
    <w:rsid w:val="00AA3511"/>
    <w:rsid w:val="00AA35F2"/>
    <w:rsid w:val="00AA37DB"/>
    <w:rsid w:val="00AA37FF"/>
    <w:rsid w:val="00AA385B"/>
    <w:rsid w:val="00AA4173"/>
    <w:rsid w:val="00AA448A"/>
    <w:rsid w:val="00AA44FD"/>
    <w:rsid w:val="00AA464B"/>
    <w:rsid w:val="00AA47FF"/>
    <w:rsid w:val="00AA488B"/>
    <w:rsid w:val="00AA4A43"/>
    <w:rsid w:val="00AA4DAF"/>
    <w:rsid w:val="00AA510D"/>
    <w:rsid w:val="00AA513F"/>
    <w:rsid w:val="00AA533E"/>
    <w:rsid w:val="00AA5461"/>
    <w:rsid w:val="00AA57AC"/>
    <w:rsid w:val="00AA5C83"/>
    <w:rsid w:val="00AA5DB3"/>
    <w:rsid w:val="00AA60D6"/>
    <w:rsid w:val="00AA629C"/>
    <w:rsid w:val="00AA6B12"/>
    <w:rsid w:val="00AA6F40"/>
    <w:rsid w:val="00AA729E"/>
    <w:rsid w:val="00AA784F"/>
    <w:rsid w:val="00AA7B2D"/>
    <w:rsid w:val="00AA7E24"/>
    <w:rsid w:val="00AA7F29"/>
    <w:rsid w:val="00AB0048"/>
    <w:rsid w:val="00AB04C1"/>
    <w:rsid w:val="00AB0CF1"/>
    <w:rsid w:val="00AB0D64"/>
    <w:rsid w:val="00AB10FF"/>
    <w:rsid w:val="00AB28F3"/>
    <w:rsid w:val="00AB2DC8"/>
    <w:rsid w:val="00AB2EEB"/>
    <w:rsid w:val="00AB3003"/>
    <w:rsid w:val="00AB36C6"/>
    <w:rsid w:val="00AB3C5F"/>
    <w:rsid w:val="00AB3C92"/>
    <w:rsid w:val="00AB3FC6"/>
    <w:rsid w:val="00AB425A"/>
    <w:rsid w:val="00AB459E"/>
    <w:rsid w:val="00AB49A9"/>
    <w:rsid w:val="00AB4A94"/>
    <w:rsid w:val="00AB4F71"/>
    <w:rsid w:val="00AB51F2"/>
    <w:rsid w:val="00AB54F5"/>
    <w:rsid w:val="00AB5A22"/>
    <w:rsid w:val="00AB5C0B"/>
    <w:rsid w:val="00AB5DE9"/>
    <w:rsid w:val="00AB600A"/>
    <w:rsid w:val="00AB626B"/>
    <w:rsid w:val="00AB6790"/>
    <w:rsid w:val="00AB6963"/>
    <w:rsid w:val="00AB6E84"/>
    <w:rsid w:val="00AB755D"/>
    <w:rsid w:val="00AB7F9D"/>
    <w:rsid w:val="00AB7FF9"/>
    <w:rsid w:val="00AC01F0"/>
    <w:rsid w:val="00AC02A4"/>
    <w:rsid w:val="00AC0A12"/>
    <w:rsid w:val="00AC0ECB"/>
    <w:rsid w:val="00AC10E8"/>
    <w:rsid w:val="00AC1913"/>
    <w:rsid w:val="00AC1A75"/>
    <w:rsid w:val="00AC1B9A"/>
    <w:rsid w:val="00AC1F60"/>
    <w:rsid w:val="00AC2DAE"/>
    <w:rsid w:val="00AC3202"/>
    <w:rsid w:val="00AC34EA"/>
    <w:rsid w:val="00AC3917"/>
    <w:rsid w:val="00AC3C6B"/>
    <w:rsid w:val="00AC42B0"/>
    <w:rsid w:val="00AC4318"/>
    <w:rsid w:val="00AC46DE"/>
    <w:rsid w:val="00AC49DB"/>
    <w:rsid w:val="00AC4BA2"/>
    <w:rsid w:val="00AC4CC8"/>
    <w:rsid w:val="00AC59BD"/>
    <w:rsid w:val="00AC5C5C"/>
    <w:rsid w:val="00AC5FDC"/>
    <w:rsid w:val="00AC6428"/>
    <w:rsid w:val="00AC6474"/>
    <w:rsid w:val="00AC6575"/>
    <w:rsid w:val="00AC6C24"/>
    <w:rsid w:val="00AC6D2B"/>
    <w:rsid w:val="00AC70AF"/>
    <w:rsid w:val="00AC78FF"/>
    <w:rsid w:val="00AC7B1F"/>
    <w:rsid w:val="00AC7B3F"/>
    <w:rsid w:val="00AC7C1C"/>
    <w:rsid w:val="00AC7CE1"/>
    <w:rsid w:val="00AC7E50"/>
    <w:rsid w:val="00AC7FC8"/>
    <w:rsid w:val="00AC7FCC"/>
    <w:rsid w:val="00AD08E4"/>
    <w:rsid w:val="00AD0A4E"/>
    <w:rsid w:val="00AD0D41"/>
    <w:rsid w:val="00AD0D61"/>
    <w:rsid w:val="00AD11E1"/>
    <w:rsid w:val="00AD1323"/>
    <w:rsid w:val="00AD135B"/>
    <w:rsid w:val="00AD231E"/>
    <w:rsid w:val="00AD23FF"/>
    <w:rsid w:val="00AD2741"/>
    <w:rsid w:val="00AD28B8"/>
    <w:rsid w:val="00AD2F3B"/>
    <w:rsid w:val="00AD34B6"/>
    <w:rsid w:val="00AD3756"/>
    <w:rsid w:val="00AD43F3"/>
    <w:rsid w:val="00AD4919"/>
    <w:rsid w:val="00AD4F19"/>
    <w:rsid w:val="00AD51E4"/>
    <w:rsid w:val="00AD5464"/>
    <w:rsid w:val="00AD59D0"/>
    <w:rsid w:val="00AD5A19"/>
    <w:rsid w:val="00AD5AD7"/>
    <w:rsid w:val="00AD5EA5"/>
    <w:rsid w:val="00AD6103"/>
    <w:rsid w:val="00AD64B6"/>
    <w:rsid w:val="00AD64D3"/>
    <w:rsid w:val="00AD6B9B"/>
    <w:rsid w:val="00AD6C1A"/>
    <w:rsid w:val="00AD6D4B"/>
    <w:rsid w:val="00AD6D7C"/>
    <w:rsid w:val="00AD6E83"/>
    <w:rsid w:val="00AD6FDD"/>
    <w:rsid w:val="00AD7C14"/>
    <w:rsid w:val="00AE04A1"/>
    <w:rsid w:val="00AE066B"/>
    <w:rsid w:val="00AE07D5"/>
    <w:rsid w:val="00AE0B4C"/>
    <w:rsid w:val="00AE0D45"/>
    <w:rsid w:val="00AE1026"/>
    <w:rsid w:val="00AE1028"/>
    <w:rsid w:val="00AE112B"/>
    <w:rsid w:val="00AE1A40"/>
    <w:rsid w:val="00AE1B3A"/>
    <w:rsid w:val="00AE208F"/>
    <w:rsid w:val="00AE2193"/>
    <w:rsid w:val="00AE21E2"/>
    <w:rsid w:val="00AE2319"/>
    <w:rsid w:val="00AE2340"/>
    <w:rsid w:val="00AE2637"/>
    <w:rsid w:val="00AE2918"/>
    <w:rsid w:val="00AE2DDA"/>
    <w:rsid w:val="00AE2DEF"/>
    <w:rsid w:val="00AE2E3E"/>
    <w:rsid w:val="00AE2F8A"/>
    <w:rsid w:val="00AE3203"/>
    <w:rsid w:val="00AE34AD"/>
    <w:rsid w:val="00AE385C"/>
    <w:rsid w:val="00AE3A31"/>
    <w:rsid w:val="00AE3A53"/>
    <w:rsid w:val="00AE3C5A"/>
    <w:rsid w:val="00AE3D05"/>
    <w:rsid w:val="00AE3E09"/>
    <w:rsid w:val="00AE3E7C"/>
    <w:rsid w:val="00AE40F9"/>
    <w:rsid w:val="00AE4CCF"/>
    <w:rsid w:val="00AE4D98"/>
    <w:rsid w:val="00AE5197"/>
    <w:rsid w:val="00AE5BA9"/>
    <w:rsid w:val="00AE5CB3"/>
    <w:rsid w:val="00AE60CF"/>
    <w:rsid w:val="00AE6144"/>
    <w:rsid w:val="00AE62EB"/>
    <w:rsid w:val="00AE63B0"/>
    <w:rsid w:val="00AE6930"/>
    <w:rsid w:val="00AE69AC"/>
    <w:rsid w:val="00AE6B23"/>
    <w:rsid w:val="00AE7041"/>
    <w:rsid w:val="00AE70E3"/>
    <w:rsid w:val="00AE7424"/>
    <w:rsid w:val="00AE7554"/>
    <w:rsid w:val="00AE7710"/>
    <w:rsid w:val="00AE77D5"/>
    <w:rsid w:val="00AE7FC5"/>
    <w:rsid w:val="00AF076E"/>
    <w:rsid w:val="00AF0C05"/>
    <w:rsid w:val="00AF0E5C"/>
    <w:rsid w:val="00AF11CA"/>
    <w:rsid w:val="00AF127F"/>
    <w:rsid w:val="00AF1799"/>
    <w:rsid w:val="00AF17BB"/>
    <w:rsid w:val="00AF17BC"/>
    <w:rsid w:val="00AF1AD0"/>
    <w:rsid w:val="00AF1B87"/>
    <w:rsid w:val="00AF1CB0"/>
    <w:rsid w:val="00AF23ED"/>
    <w:rsid w:val="00AF23F4"/>
    <w:rsid w:val="00AF2830"/>
    <w:rsid w:val="00AF306D"/>
    <w:rsid w:val="00AF3164"/>
    <w:rsid w:val="00AF362D"/>
    <w:rsid w:val="00AF38C6"/>
    <w:rsid w:val="00AF3B5D"/>
    <w:rsid w:val="00AF3BAB"/>
    <w:rsid w:val="00AF4007"/>
    <w:rsid w:val="00AF4746"/>
    <w:rsid w:val="00AF4855"/>
    <w:rsid w:val="00AF4A98"/>
    <w:rsid w:val="00AF5054"/>
    <w:rsid w:val="00AF5790"/>
    <w:rsid w:val="00AF5A7C"/>
    <w:rsid w:val="00AF5D5F"/>
    <w:rsid w:val="00AF6A41"/>
    <w:rsid w:val="00AF6CF6"/>
    <w:rsid w:val="00AF6F9B"/>
    <w:rsid w:val="00AF72A8"/>
    <w:rsid w:val="00AF764E"/>
    <w:rsid w:val="00AF7769"/>
    <w:rsid w:val="00AF78EC"/>
    <w:rsid w:val="00AF7C91"/>
    <w:rsid w:val="00AF7ED3"/>
    <w:rsid w:val="00B00145"/>
    <w:rsid w:val="00B001E1"/>
    <w:rsid w:val="00B00256"/>
    <w:rsid w:val="00B003F1"/>
    <w:rsid w:val="00B00412"/>
    <w:rsid w:val="00B00469"/>
    <w:rsid w:val="00B0053A"/>
    <w:rsid w:val="00B00598"/>
    <w:rsid w:val="00B008F5"/>
    <w:rsid w:val="00B00A6A"/>
    <w:rsid w:val="00B00B0E"/>
    <w:rsid w:val="00B00B71"/>
    <w:rsid w:val="00B00DAC"/>
    <w:rsid w:val="00B010CF"/>
    <w:rsid w:val="00B01112"/>
    <w:rsid w:val="00B011C5"/>
    <w:rsid w:val="00B01385"/>
    <w:rsid w:val="00B01949"/>
    <w:rsid w:val="00B021A3"/>
    <w:rsid w:val="00B0239D"/>
    <w:rsid w:val="00B0275C"/>
    <w:rsid w:val="00B02A29"/>
    <w:rsid w:val="00B02B1E"/>
    <w:rsid w:val="00B03730"/>
    <w:rsid w:val="00B03886"/>
    <w:rsid w:val="00B03A87"/>
    <w:rsid w:val="00B045B8"/>
    <w:rsid w:val="00B04905"/>
    <w:rsid w:val="00B04A5D"/>
    <w:rsid w:val="00B04BDC"/>
    <w:rsid w:val="00B04DBB"/>
    <w:rsid w:val="00B056C0"/>
    <w:rsid w:val="00B05877"/>
    <w:rsid w:val="00B05CDF"/>
    <w:rsid w:val="00B05E6E"/>
    <w:rsid w:val="00B05FC9"/>
    <w:rsid w:val="00B06133"/>
    <w:rsid w:val="00B06138"/>
    <w:rsid w:val="00B062D5"/>
    <w:rsid w:val="00B063DE"/>
    <w:rsid w:val="00B06965"/>
    <w:rsid w:val="00B06970"/>
    <w:rsid w:val="00B06B06"/>
    <w:rsid w:val="00B06E87"/>
    <w:rsid w:val="00B06F3E"/>
    <w:rsid w:val="00B06F73"/>
    <w:rsid w:val="00B07326"/>
    <w:rsid w:val="00B07947"/>
    <w:rsid w:val="00B07987"/>
    <w:rsid w:val="00B079FF"/>
    <w:rsid w:val="00B07F0B"/>
    <w:rsid w:val="00B10847"/>
    <w:rsid w:val="00B108AE"/>
    <w:rsid w:val="00B109AF"/>
    <w:rsid w:val="00B11C53"/>
    <w:rsid w:val="00B11DEA"/>
    <w:rsid w:val="00B11DEF"/>
    <w:rsid w:val="00B11E70"/>
    <w:rsid w:val="00B11EBB"/>
    <w:rsid w:val="00B12310"/>
    <w:rsid w:val="00B1270E"/>
    <w:rsid w:val="00B12978"/>
    <w:rsid w:val="00B12CED"/>
    <w:rsid w:val="00B12EC5"/>
    <w:rsid w:val="00B14246"/>
    <w:rsid w:val="00B14326"/>
    <w:rsid w:val="00B14528"/>
    <w:rsid w:val="00B145B0"/>
    <w:rsid w:val="00B147CC"/>
    <w:rsid w:val="00B148DB"/>
    <w:rsid w:val="00B14CEC"/>
    <w:rsid w:val="00B14D9D"/>
    <w:rsid w:val="00B1520C"/>
    <w:rsid w:val="00B1535F"/>
    <w:rsid w:val="00B1551B"/>
    <w:rsid w:val="00B15628"/>
    <w:rsid w:val="00B158C8"/>
    <w:rsid w:val="00B15962"/>
    <w:rsid w:val="00B15A00"/>
    <w:rsid w:val="00B15C98"/>
    <w:rsid w:val="00B15F35"/>
    <w:rsid w:val="00B15F3A"/>
    <w:rsid w:val="00B15F3E"/>
    <w:rsid w:val="00B16069"/>
    <w:rsid w:val="00B16CF2"/>
    <w:rsid w:val="00B16FA4"/>
    <w:rsid w:val="00B1790B"/>
    <w:rsid w:val="00B2059A"/>
    <w:rsid w:val="00B20664"/>
    <w:rsid w:val="00B20A72"/>
    <w:rsid w:val="00B20C96"/>
    <w:rsid w:val="00B213E7"/>
    <w:rsid w:val="00B214E2"/>
    <w:rsid w:val="00B21502"/>
    <w:rsid w:val="00B2187A"/>
    <w:rsid w:val="00B219CC"/>
    <w:rsid w:val="00B21EE7"/>
    <w:rsid w:val="00B22CEC"/>
    <w:rsid w:val="00B23133"/>
    <w:rsid w:val="00B233BE"/>
    <w:rsid w:val="00B236EA"/>
    <w:rsid w:val="00B23740"/>
    <w:rsid w:val="00B23A93"/>
    <w:rsid w:val="00B23BE3"/>
    <w:rsid w:val="00B23D76"/>
    <w:rsid w:val="00B23F69"/>
    <w:rsid w:val="00B2464B"/>
    <w:rsid w:val="00B24748"/>
    <w:rsid w:val="00B247A2"/>
    <w:rsid w:val="00B24BCA"/>
    <w:rsid w:val="00B25078"/>
    <w:rsid w:val="00B255C8"/>
    <w:rsid w:val="00B25708"/>
    <w:rsid w:val="00B25B58"/>
    <w:rsid w:val="00B25DDE"/>
    <w:rsid w:val="00B26719"/>
    <w:rsid w:val="00B2675D"/>
    <w:rsid w:val="00B26E68"/>
    <w:rsid w:val="00B270E2"/>
    <w:rsid w:val="00B2737F"/>
    <w:rsid w:val="00B276AB"/>
    <w:rsid w:val="00B27A0D"/>
    <w:rsid w:val="00B27AC3"/>
    <w:rsid w:val="00B27DF0"/>
    <w:rsid w:val="00B27DF1"/>
    <w:rsid w:val="00B30B43"/>
    <w:rsid w:val="00B315C7"/>
    <w:rsid w:val="00B317ED"/>
    <w:rsid w:val="00B3187E"/>
    <w:rsid w:val="00B31AF5"/>
    <w:rsid w:val="00B31FD6"/>
    <w:rsid w:val="00B32323"/>
    <w:rsid w:val="00B32B5F"/>
    <w:rsid w:val="00B32DAB"/>
    <w:rsid w:val="00B32DDD"/>
    <w:rsid w:val="00B33615"/>
    <w:rsid w:val="00B33711"/>
    <w:rsid w:val="00B33D69"/>
    <w:rsid w:val="00B33E5C"/>
    <w:rsid w:val="00B33F4D"/>
    <w:rsid w:val="00B34008"/>
    <w:rsid w:val="00B348B6"/>
    <w:rsid w:val="00B34C66"/>
    <w:rsid w:val="00B35201"/>
    <w:rsid w:val="00B3545F"/>
    <w:rsid w:val="00B35A1C"/>
    <w:rsid w:val="00B35A36"/>
    <w:rsid w:val="00B35C48"/>
    <w:rsid w:val="00B361B3"/>
    <w:rsid w:val="00B365F6"/>
    <w:rsid w:val="00B36A10"/>
    <w:rsid w:val="00B36D83"/>
    <w:rsid w:val="00B371F9"/>
    <w:rsid w:val="00B378D5"/>
    <w:rsid w:val="00B37DF8"/>
    <w:rsid w:val="00B37E1B"/>
    <w:rsid w:val="00B37F62"/>
    <w:rsid w:val="00B401EA"/>
    <w:rsid w:val="00B40735"/>
    <w:rsid w:val="00B41592"/>
    <w:rsid w:val="00B4171E"/>
    <w:rsid w:val="00B41781"/>
    <w:rsid w:val="00B41B08"/>
    <w:rsid w:val="00B41D29"/>
    <w:rsid w:val="00B423ED"/>
    <w:rsid w:val="00B42409"/>
    <w:rsid w:val="00B42629"/>
    <w:rsid w:val="00B427B7"/>
    <w:rsid w:val="00B42851"/>
    <w:rsid w:val="00B42976"/>
    <w:rsid w:val="00B42A61"/>
    <w:rsid w:val="00B42DDE"/>
    <w:rsid w:val="00B43352"/>
    <w:rsid w:val="00B43D51"/>
    <w:rsid w:val="00B43F7D"/>
    <w:rsid w:val="00B44441"/>
    <w:rsid w:val="00B44B2F"/>
    <w:rsid w:val="00B44FFB"/>
    <w:rsid w:val="00B450F7"/>
    <w:rsid w:val="00B45329"/>
    <w:rsid w:val="00B45551"/>
    <w:rsid w:val="00B4577D"/>
    <w:rsid w:val="00B4585C"/>
    <w:rsid w:val="00B45DFF"/>
    <w:rsid w:val="00B46053"/>
    <w:rsid w:val="00B469A0"/>
    <w:rsid w:val="00B46BCD"/>
    <w:rsid w:val="00B46DC3"/>
    <w:rsid w:val="00B47BFB"/>
    <w:rsid w:val="00B47C7E"/>
    <w:rsid w:val="00B504B8"/>
    <w:rsid w:val="00B50A56"/>
    <w:rsid w:val="00B50B59"/>
    <w:rsid w:val="00B50BED"/>
    <w:rsid w:val="00B51979"/>
    <w:rsid w:val="00B51AA6"/>
    <w:rsid w:val="00B51BE0"/>
    <w:rsid w:val="00B51F71"/>
    <w:rsid w:val="00B5270F"/>
    <w:rsid w:val="00B52866"/>
    <w:rsid w:val="00B52AC5"/>
    <w:rsid w:val="00B52DFE"/>
    <w:rsid w:val="00B52ED2"/>
    <w:rsid w:val="00B52FD3"/>
    <w:rsid w:val="00B532A0"/>
    <w:rsid w:val="00B536F7"/>
    <w:rsid w:val="00B53A33"/>
    <w:rsid w:val="00B53A7B"/>
    <w:rsid w:val="00B54042"/>
    <w:rsid w:val="00B54163"/>
    <w:rsid w:val="00B547A4"/>
    <w:rsid w:val="00B55000"/>
    <w:rsid w:val="00B55212"/>
    <w:rsid w:val="00B55C14"/>
    <w:rsid w:val="00B55CCC"/>
    <w:rsid w:val="00B55D36"/>
    <w:rsid w:val="00B55FB7"/>
    <w:rsid w:val="00B56411"/>
    <w:rsid w:val="00B564AC"/>
    <w:rsid w:val="00B56612"/>
    <w:rsid w:val="00B5668A"/>
    <w:rsid w:val="00B56AC7"/>
    <w:rsid w:val="00B57617"/>
    <w:rsid w:val="00B5767E"/>
    <w:rsid w:val="00B576F8"/>
    <w:rsid w:val="00B57723"/>
    <w:rsid w:val="00B5790E"/>
    <w:rsid w:val="00B57D33"/>
    <w:rsid w:val="00B57FBD"/>
    <w:rsid w:val="00B6036B"/>
    <w:rsid w:val="00B60632"/>
    <w:rsid w:val="00B60658"/>
    <w:rsid w:val="00B6077E"/>
    <w:rsid w:val="00B609FF"/>
    <w:rsid w:val="00B60F4C"/>
    <w:rsid w:val="00B618B6"/>
    <w:rsid w:val="00B629E5"/>
    <w:rsid w:val="00B62A7E"/>
    <w:rsid w:val="00B62FF8"/>
    <w:rsid w:val="00B63371"/>
    <w:rsid w:val="00B636FC"/>
    <w:rsid w:val="00B637A1"/>
    <w:rsid w:val="00B63B4B"/>
    <w:rsid w:val="00B63B54"/>
    <w:rsid w:val="00B63FC5"/>
    <w:rsid w:val="00B642B9"/>
    <w:rsid w:val="00B64415"/>
    <w:rsid w:val="00B64518"/>
    <w:rsid w:val="00B6474A"/>
    <w:rsid w:val="00B64CF2"/>
    <w:rsid w:val="00B64ED3"/>
    <w:rsid w:val="00B651B7"/>
    <w:rsid w:val="00B652DB"/>
    <w:rsid w:val="00B6569C"/>
    <w:rsid w:val="00B65872"/>
    <w:rsid w:val="00B65AAE"/>
    <w:rsid w:val="00B65C81"/>
    <w:rsid w:val="00B66245"/>
    <w:rsid w:val="00B6680C"/>
    <w:rsid w:val="00B66D0C"/>
    <w:rsid w:val="00B66EB2"/>
    <w:rsid w:val="00B67333"/>
    <w:rsid w:val="00B67B0E"/>
    <w:rsid w:val="00B67B47"/>
    <w:rsid w:val="00B67C79"/>
    <w:rsid w:val="00B67ECA"/>
    <w:rsid w:val="00B70160"/>
    <w:rsid w:val="00B70641"/>
    <w:rsid w:val="00B70E0E"/>
    <w:rsid w:val="00B71B7F"/>
    <w:rsid w:val="00B71F6E"/>
    <w:rsid w:val="00B721AA"/>
    <w:rsid w:val="00B721BD"/>
    <w:rsid w:val="00B72324"/>
    <w:rsid w:val="00B73CC3"/>
    <w:rsid w:val="00B7439B"/>
    <w:rsid w:val="00B7489E"/>
    <w:rsid w:val="00B74CD2"/>
    <w:rsid w:val="00B754BB"/>
    <w:rsid w:val="00B75632"/>
    <w:rsid w:val="00B75853"/>
    <w:rsid w:val="00B75A30"/>
    <w:rsid w:val="00B75BD4"/>
    <w:rsid w:val="00B75D4E"/>
    <w:rsid w:val="00B766C6"/>
    <w:rsid w:val="00B76F43"/>
    <w:rsid w:val="00B77015"/>
    <w:rsid w:val="00B7733F"/>
    <w:rsid w:val="00B774E9"/>
    <w:rsid w:val="00B775FF"/>
    <w:rsid w:val="00B77693"/>
    <w:rsid w:val="00B7772C"/>
    <w:rsid w:val="00B77743"/>
    <w:rsid w:val="00B7780A"/>
    <w:rsid w:val="00B77EA7"/>
    <w:rsid w:val="00B800D5"/>
    <w:rsid w:val="00B802CE"/>
    <w:rsid w:val="00B804FC"/>
    <w:rsid w:val="00B806E3"/>
    <w:rsid w:val="00B812A8"/>
    <w:rsid w:val="00B81A4D"/>
    <w:rsid w:val="00B81C2F"/>
    <w:rsid w:val="00B81E59"/>
    <w:rsid w:val="00B8219B"/>
    <w:rsid w:val="00B824FE"/>
    <w:rsid w:val="00B82754"/>
    <w:rsid w:val="00B83518"/>
    <w:rsid w:val="00B8389D"/>
    <w:rsid w:val="00B838EB"/>
    <w:rsid w:val="00B83E4D"/>
    <w:rsid w:val="00B83F35"/>
    <w:rsid w:val="00B83F38"/>
    <w:rsid w:val="00B83F7A"/>
    <w:rsid w:val="00B83FF0"/>
    <w:rsid w:val="00B84517"/>
    <w:rsid w:val="00B8482D"/>
    <w:rsid w:val="00B84A66"/>
    <w:rsid w:val="00B84C4F"/>
    <w:rsid w:val="00B84DBA"/>
    <w:rsid w:val="00B84E2A"/>
    <w:rsid w:val="00B85435"/>
    <w:rsid w:val="00B85B41"/>
    <w:rsid w:val="00B85D72"/>
    <w:rsid w:val="00B85EC4"/>
    <w:rsid w:val="00B85FC7"/>
    <w:rsid w:val="00B86394"/>
    <w:rsid w:val="00B8640F"/>
    <w:rsid w:val="00B86CF8"/>
    <w:rsid w:val="00B86E92"/>
    <w:rsid w:val="00B86FB9"/>
    <w:rsid w:val="00B871A5"/>
    <w:rsid w:val="00B90041"/>
    <w:rsid w:val="00B9097D"/>
    <w:rsid w:val="00B90986"/>
    <w:rsid w:val="00B90AA8"/>
    <w:rsid w:val="00B90BAA"/>
    <w:rsid w:val="00B913F6"/>
    <w:rsid w:val="00B914CC"/>
    <w:rsid w:val="00B9160A"/>
    <w:rsid w:val="00B9169A"/>
    <w:rsid w:val="00B92132"/>
    <w:rsid w:val="00B92542"/>
    <w:rsid w:val="00B92CA3"/>
    <w:rsid w:val="00B92EB8"/>
    <w:rsid w:val="00B93419"/>
    <w:rsid w:val="00B93BAF"/>
    <w:rsid w:val="00B9414A"/>
    <w:rsid w:val="00B94179"/>
    <w:rsid w:val="00B9445F"/>
    <w:rsid w:val="00B9558A"/>
    <w:rsid w:val="00B9570C"/>
    <w:rsid w:val="00B95915"/>
    <w:rsid w:val="00B95F30"/>
    <w:rsid w:val="00B95F6C"/>
    <w:rsid w:val="00B962EC"/>
    <w:rsid w:val="00B96558"/>
    <w:rsid w:val="00B9666F"/>
    <w:rsid w:val="00B96715"/>
    <w:rsid w:val="00B96B7B"/>
    <w:rsid w:val="00B96C6E"/>
    <w:rsid w:val="00B97469"/>
    <w:rsid w:val="00B975F5"/>
    <w:rsid w:val="00B9770B"/>
    <w:rsid w:val="00B97B76"/>
    <w:rsid w:val="00B97ECB"/>
    <w:rsid w:val="00BA06B5"/>
    <w:rsid w:val="00BA075B"/>
    <w:rsid w:val="00BA0A38"/>
    <w:rsid w:val="00BA0B9A"/>
    <w:rsid w:val="00BA0CF7"/>
    <w:rsid w:val="00BA1480"/>
    <w:rsid w:val="00BA1621"/>
    <w:rsid w:val="00BA189B"/>
    <w:rsid w:val="00BA1A46"/>
    <w:rsid w:val="00BA1CCC"/>
    <w:rsid w:val="00BA2168"/>
    <w:rsid w:val="00BA23FB"/>
    <w:rsid w:val="00BA24F4"/>
    <w:rsid w:val="00BA2755"/>
    <w:rsid w:val="00BA29AE"/>
    <w:rsid w:val="00BA2F72"/>
    <w:rsid w:val="00BA361F"/>
    <w:rsid w:val="00BA3782"/>
    <w:rsid w:val="00BA391E"/>
    <w:rsid w:val="00BA3F0C"/>
    <w:rsid w:val="00BA4A55"/>
    <w:rsid w:val="00BA4D9B"/>
    <w:rsid w:val="00BA4E11"/>
    <w:rsid w:val="00BA4E6A"/>
    <w:rsid w:val="00BA5449"/>
    <w:rsid w:val="00BA561E"/>
    <w:rsid w:val="00BA5727"/>
    <w:rsid w:val="00BA595A"/>
    <w:rsid w:val="00BA5BCC"/>
    <w:rsid w:val="00BA5C2A"/>
    <w:rsid w:val="00BA5E14"/>
    <w:rsid w:val="00BA6B22"/>
    <w:rsid w:val="00BA7415"/>
    <w:rsid w:val="00BA7649"/>
    <w:rsid w:val="00BA7E18"/>
    <w:rsid w:val="00BB01CC"/>
    <w:rsid w:val="00BB0829"/>
    <w:rsid w:val="00BB0CD7"/>
    <w:rsid w:val="00BB0EA5"/>
    <w:rsid w:val="00BB10A8"/>
    <w:rsid w:val="00BB13C7"/>
    <w:rsid w:val="00BB1C20"/>
    <w:rsid w:val="00BB1CB4"/>
    <w:rsid w:val="00BB1CFA"/>
    <w:rsid w:val="00BB1FF9"/>
    <w:rsid w:val="00BB221B"/>
    <w:rsid w:val="00BB2271"/>
    <w:rsid w:val="00BB22D8"/>
    <w:rsid w:val="00BB2438"/>
    <w:rsid w:val="00BB2620"/>
    <w:rsid w:val="00BB2B29"/>
    <w:rsid w:val="00BB2EBA"/>
    <w:rsid w:val="00BB2FA5"/>
    <w:rsid w:val="00BB359F"/>
    <w:rsid w:val="00BB35EA"/>
    <w:rsid w:val="00BB3755"/>
    <w:rsid w:val="00BB3770"/>
    <w:rsid w:val="00BB3AE7"/>
    <w:rsid w:val="00BB3C7D"/>
    <w:rsid w:val="00BB3DBD"/>
    <w:rsid w:val="00BB3F3F"/>
    <w:rsid w:val="00BB4967"/>
    <w:rsid w:val="00BB4EFA"/>
    <w:rsid w:val="00BB514E"/>
    <w:rsid w:val="00BB519B"/>
    <w:rsid w:val="00BB5315"/>
    <w:rsid w:val="00BB53DB"/>
    <w:rsid w:val="00BB5B0C"/>
    <w:rsid w:val="00BB5E60"/>
    <w:rsid w:val="00BB5ECA"/>
    <w:rsid w:val="00BB69EC"/>
    <w:rsid w:val="00BB6C9E"/>
    <w:rsid w:val="00BB6E50"/>
    <w:rsid w:val="00BB6ED7"/>
    <w:rsid w:val="00BB6FDC"/>
    <w:rsid w:val="00BB7286"/>
    <w:rsid w:val="00BB7913"/>
    <w:rsid w:val="00BB7ACB"/>
    <w:rsid w:val="00BC1241"/>
    <w:rsid w:val="00BC1336"/>
    <w:rsid w:val="00BC1374"/>
    <w:rsid w:val="00BC14DA"/>
    <w:rsid w:val="00BC1747"/>
    <w:rsid w:val="00BC196C"/>
    <w:rsid w:val="00BC1CFB"/>
    <w:rsid w:val="00BC2570"/>
    <w:rsid w:val="00BC2920"/>
    <w:rsid w:val="00BC339C"/>
    <w:rsid w:val="00BC391B"/>
    <w:rsid w:val="00BC3F51"/>
    <w:rsid w:val="00BC454C"/>
    <w:rsid w:val="00BC4641"/>
    <w:rsid w:val="00BC46C0"/>
    <w:rsid w:val="00BC48C5"/>
    <w:rsid w:val="00BC4BC9"/>
    <w:rsid w:val="00BC4FD0"/>
    <w:rsid w:val="00BC53AC"/>
    <w:rsid w:val="00BC572C"/>
    <w:rsid w:val="00BC5AE0"/>
    <w:rsid w:val="00BC616A"/>
    <w:rsid w:val="00BC6531"/>
    <w:rsid w:val="00BC669B"/>
    <w:rsid w:val="00BC7152"/>
    <w:rsid w:val="00BC715C"/>
    <w:rsid w:val="00BC7648"/>
    <w:rsid w:val="00BC7F4F"/>
    <w:rsid w:val="00BD0190"/>
    <w:rsid w:val="00BD09D5"/>
    <w:rsid w:val="00BD139D"/>
    <w:rsid w:val="00BD1440"/>
    <w:rsid w:val="00BD148F"/>
    <w:rsid w:val="00BD16DD"/>
    <w:rsid w:val="00BD172F"/>
    <w:rsid w:val="00BD189B"/>
    <w:rsid w:val="00BD1A3D"/>
    <w:rsid w:val="00BD25D6"/>
    <w:rsid w:val="00BD2658"/>
    <w:rsid w:val="00BD26EB"/>
    <w:rsid w:val="00BD30C8"/>
    <w:rsid w:val="00BD35AF"/>
    <w:rsid w:val="00BD35B2"/>
    <w:rsid w:val="00BD3695"/>
    <w:rsid w:val="00BD3C3A"/>
    <w:rsid w:val="00BD3C93"/>
    <w:rsid w:val="00BD3F1F"/>
    <w:rsid w:val="00BD41EF"/>
    <w:rsid w:val="00BD42FC"/>
    <w:rsid w:val="00BD4FEC"/>
    <w:rsid w:val="00BD5456"/>
    <w:rsid w:val="00BD5B35"/>
    <w:rsid w:val="00BD5C58"/>
    <w:rsid w:val="00BD5C7A"/>
    <w:rsid w:val="00BD5C8D"/>
    <w:rsid w:val="00BD5C9F"/>
    <w:rsid w:val="00BD5D71"/>
    <w:rsid w:val="00BD5F72"/>
    <w:rsid w:val="00BD6486"/>
    <w:rsid w:val="00BD6890"/>
    <w:rsid w:val="00BD6F5B"/>
    <w:rsid w:val="00BD7AB1"/>
    <w:rsid w:val="00BD7AF2"/>
    <w:rsid w:val="00BD7D2F"/>
    <w:rsid w:val="00BD7EE7"/>
    <w:rsid w:val="00BD7FBD"/>
    <w:rsid w:val="00BE118A"/>
    <w:rsid w:val="00BE1434"/>
    <w:rsid w:val="00BE151A"/>
    <w:rsid w:val="00BE1658"/>
    <w:rsid w:val="00BE1828"/>
    <w:rsid w:val="00BE1D16"/>
    <w:rsid w:val="00BE1D72"/>
    <w:rsid w:val="00BE2373"/>
    <w:rsid w:val="00BE2DD6"/>
    <w:rsid w:val="00BE3064"/>
    <w:rsid w:val="00BE352C"/>
    <w:rsid w:val="00BE3771"/>
    <w:rsid w:val="00BE46BD"/>
    <w:rsid w:val="00BE48ED"/>
    <w:rsid w:val="00BE4C88"/>
    <w:rsid w:val="00BE50B1"/>
    <w:rsid w:val="00BE5340"/>
    <w:rsid w:val="00BE5B2F"/>
    <w:rsid w:val="00BE5FCE"/>
    <w:rsid w:val="00BE5FCF"/>
    <w:rsid w:val="00BE62DE"/>
    <w:rsid w:val="00BE63C6"/>
    <w:rsid w:val="00BE63C7"/>
    <w:rsid w:val="00BE6CC3"/>
    <w:rsid w:val="00BE6DAC"/>
    <w:rsid w:val="00BE6F03"/>
    <w:rsid w:val="00BE6F84"/>
    <w:rsid w:val="00BE742A"/>
    <w:rsid w:val="00BE7880"/>
    <w:rsid w:val="00BE7D0B"/>
    <w:rsid w:val="00BF012E"/>
    <w:rsid w:val="00BF0E4D"/>
    <w:rsid w:val="00BF0F88"/>
    <w:rsid w:val="00BF101D"/>
    <w:rsid w:val="00BF19B0"/>
    <w:rsid w:val="00BF1DDB"/>
    <w:rsid w:val="00BF206F"/>
    <w:rsid w:val="00BF20F0"/>
    <w:rsid w:val="00BF2964"/>
    <w:rsid w:val="00BF2C12"/>
    <w:rsid w:val="00BF2C75"/>
    <w:rsid w:val="00BF2CAF"/>
    <w:rsid w:val="00BF34BE"/>
    <w:rsid w:val="00BF3CB8"/>
    <w:rsid w:val="00BF3D48"/>
    <w:rsid w:val="00BF3F60"/>
    <w:rsid w:val="00BF3FEC"/>
    <w:rsid w:val="00BF41FF"/>
    <w:rsid w:val="00BF4267"/>
    <w:rsid w:val="00BF4C3B"/>
    <w:rsid w:val="00BF4DF1"/>
    <w:rsid w:val="00BF5478"/>
    <w:rsid w:val="00BF54A3"/>
    <w:rsid w:val="00BF5810"/>
    <w:rsid w:val="00BF58D5"/>
    <w:rsid w:val="00BF5A71"/>
    <w:rsid w:val="00BF5B0F"/>
    <w:rsid w:val="00BF60D2"/>
    <w:rsid w:val="00BF61B9"/>
    <w:rsid w:val="00BF659B"/>
    <w:rsid w:val="00BF682D"/>
    <w:rsid w:val="00BF7113"/>
    <w:rsid w:val="00BF7427"/>
    <w:rsid w:val="00BF746B"/>
    <w:rsid w:val="00BF7922"/>
    <w:rsid w:val="00BF7EAD"/>
    <w:rsid w:val="00C0022A"/>
    <w:rsid w:val="00C005CF"/>
    <w:rsid w:val="00C005ED"/>
    <w:rsid w:val="00C0099A"/>
    <w:rsid w:val="00C0099E"/>
    <w:rsid w:val="00C01006"/>
    <w:rsid w:val="00C01489"/>
    <w:rsid w:val="00C01B17"/>
    <w:rsid w:val="00C024E6"/>
    <w:rsid w:val="00C026B8"/>
    <w:rsid w:val="00C02DC8"/>
    <w:rsid w:val="00C02FFA"/>
    <w:rsid w:val="00C0314A"/>
    <w:rsid w:val="00C035DF"/>
    <w:rsid w:val="00C0367F"/>
    <w:rsid w:val="00C03E7E"/>
    <w:rsid w:val="00C04306"/>
    <w:rsid w:val="00C04D55"/>
    <w:rsid w:val="00C04DE3"/>
    <w:rsid w:val="00C05054"/>
    <w:rsid w:val="00C0506F"/>
    <w:rsid w:val="00C0524A"/>
    <w:rsid w:val="00C052A6"/>
    <w:rsid w:val="00C05302"/>
    <w:rsid w:val="00C0550A"/>
    <w:rsid w:val="00C05DC3"/>
    <w:rsid w:val="00C05F8F"/>
    <w:rsid w:val="00C05FB5"/>
    <w:rsid w:val="00C069D4"/>
    <w:rsid w:val="00C072AB"/>
    <w:rsid w:val="00C075C2"/>
    <w:rsid w:val="00C0768F"/>
    <w:rsid w:val="00C076CA"/>
    <w:rsid w:val="00C07B75"/>
    <w:rsid w:val="00C10093"/>
    <w:rsid w:val="00C100FB"/>
    <w:rsid w:val="00C1095C"/>
    <w:rsid w:val="00C10C98"/>
    <w:rsid w:val="00C10E23"/>
    <w:rsid w:val="00C110A8"/>
    <w:rsid w:val="00C11F5A"/>
    <w:rsid w:val="00C123ED"/>
    <w:rsid w:val="00C127DA"/>
    <w:rsid w:val="00C12862"/>
    <w:rsid w:val="00C12CE5"/>
    <w:rsid w:val="00C1311F"/>
    <w:rsid w:val="00C13B43"/>
    <w:rsid w:val="00C13D6A"/>
    <w:rsid w:val="00C14049"/>
    <w:rsid w:val="00C1458F"/>
    <w:rsid w:val="00C14752"/>
    <w:rsid w:val="00C14AE6"/>
    <w:rsid w:val="00C14AE7"/>
    <w:rsid w:val="00C14D13"/>
    <w:rsid w:val="00C14DF4"/>
    <w:rsid w:val="00C14FED"/>
    <w:rsid w:val="00C157FC"/>
    <w:rsid w:val="00C15F9D"/>
    <w:rsid w:val="00C1610A"/>
    <w:rsid w:val="00C16370"/>
    <w:rsid w:val="00C172DC"/>
    <w:rsid w:val="00C17824"/>
    <w:rsid w:val="00C17978"/>
    <w:rsid w:val="00C179E2"/>
    <w:rsid w:val="00C17B3E"/>
    <w:rsid w:val="00C17B92"/>
    <w:rsid w:val="00C17F86"/>
    <w:rsid w:val="00C2027D"/>
    <w:rsid w:val="00C203A8"/>
    <w:rsid w:val="00C20606"/>
    <w:rsid w:val="00C20676"/>
    <w:rsid w:val="00C207EA"/>
    <w:rsid w:val="00C209A6"/>
    <w:rsid w:val="00C20DF8"/>
    <w:rsid w:val="00C212D6"/>
    <w:rsid w:val="00C21422"/>
    <w:rsid w:val="00C21485"/>
    <w:rsid w:val="00C2179D"/>
    <w:rsid w:val="00C21F0B"/>
    <w:rsid w:val="00C221B9"/>
    <w:rsid w:val="00C221EC"/>
    <w:rsid w:val="00C2224D"/>
    <w:rsid w:val="00C222A1"/>
    <w:rsid w:val="00C225D2"/>
    <w:rsid w:val="00C22709"/>
    <w:rsid w:val="00C22EB7"/>
    <w:rsid w:val="00C22F0F"/>
    <w:rsid w:val="00C230FE"/>
    <w:rsid w:val="00C233FF"/>
    <w:rsid w:val="00C235F2"/>
    <w:rsid w:val="00C23C1D"/>
    <w:rsid w:val="00C24060"/>
    <w:rsid w:val="00C24897"/>
    <w:rsid w:val="00C249BA"/>
    <w:rsid w:val="00C25432"/>
    <w:rsid w:val="00C2544F"/>
    <w:rsid w:val="00C254A3"/>
    <w:rsid w:val="00C25556"/>
    <w:rsid w:val="00C260E5"/>
    <w:rsid w:val="00C26254"/>
    <w:rsid w:val="00C263AE"/>
    <w:rsid w:val="00C26DD0"/>
    <w:rsid w:val="00C26E5D"/>
    <w:rsid w:val="00C272AE"/>
    <w:rsid w:val="00C277A5"/>
    <w:rsid w:val="00C279BB"/>
    <w:rsid w:val="00C27E6B"/>
    <w:rsid w:val="00C30340"/>
    <w:rsid w:val="00C309A6"/>
    <w:rsid w:val="00C30D83"/>
    <w:rsid w:val="00C31232"/>
    <w:rsid w:val="00C313DD"/>
    <w:rsid w:val="00C3157F"/>
    <w:rsid w:val="00C31763"/>
    <w:rsid w:val="00C31996"/>
    <w:rsid w:val="00C319F8"/>
    <w:rsid w:val="00C31AF4"/>
    <w:rsid w:val="00C323ED"/>
    <w:rsid w:val="00C32668"/>
    <w:rsid w:val="00C32780"/>
    <w:rsid w:val="00C32B83"/>
    <w:rsid w:val="00C32C5F"/>
    <w:rsid w:val="00C3352B"/>
    <w:rsid w:val="00C33981"/>
    <w:rsid w:val="00C339F7"/>
    <w:rsid w:val="00C33A00"/>
    <w:rsid w:val="00C33AB5"/>
    <w:rsid w:val="00C33C0B"/>
    <w:rsid w:val="00C34093"/>
    <w:rsid w:val="00C341D2"/>
    <w:rsid w:val="00C341E5"/>
    <w:rsid w:val="00C344C9"/>
    <w:rsid w:val="00C3493B"/>
    <w:rsid w:val="00C34A0C"/>
    <w:rsid w:val="00C34B61"/>
    <w:rsid w:val="00C351B1"/>
    <w:rsid w:val="00C352D4"/>
    <w:rsid w:val="00C35606"/>
    <w:rsid w:val="00C35BB3"/>
    <w:rsid w:val="00C35D19"/>
    <w:rsid w:val="00C35F23"/>
    <w:rsid w:val="00C365BC"/>
    <w:rsid w:val="00C36771"/>
    <w:rsid w:val="00C37227"/>
    <w:rsid w:val="00C374DB"/>
    <w:rsid w:val="00C376B2"/>
    <w:rsid w:val="00C37928"/>
    <w:rsid w:val="00C37CC0"/>
    <w:rsid w:val="00C37DE8"/>
    <w:rsid w:val="00C37DF5"/>
    <w:rsid w:val="00C40520"/>
    <w:rsid w:val="00C40A4A"/>
    <w:rsid w:val="00C40BE7"/>
    <w:rsid w:val="00C40EF9"/>
    <w:rsid w:val="00C41161"/>
    <w:rsid w:val="00C411DE"/>
    <w:rsid w:val="00C41365"/>
    <w:rsid w:val="00C41659"/>
    <w:rsid w:val="00C4248C"/>
    <w:rsid w:val="00C426B1"/>
    <w:rsid w:val="00C43008"/>
    <w:rsid w:val="00C4302C"/>
    <w:rsid w:val="00C4348A"/>
    <w:rsid w:val="00C436F4"/>
    <w:rsid w:val="00C43CD8"/>
    <w:rsid w:val="00C43D1E"/>
    <w:rsid w:val="00C43DEC"/>
    <w:rsid w:val="00C440BC"/>
    <w:rsid w:val="00C44417"/>
    <w:rsid w:val="00C4490E"/>
    <w:rsid w:val="00C44A41"/>
    <w:rsid w:val="00C44E9F"/>
    <w:rsid w:val="00C45005"/>
    <w:rsid w:val="00C4554C"/>
    <w:rsid w:val="00C459B8"/>
    <w:rsid w:val="00C45C25"/>
    <w:rsid w:val="00C45E0F"/>
    <w:rsid w:val="00C45F48"/>
    <w:rsid w:val="00C45F5E"/>
    <w:rsid w:val="00C463F6"/>
    <w:rsid w:val="00C46C2A"/>
    <w:rsid w:val="00C47078"/>
    <w:rsid w:val="00C47132"/>
    <w:rsid w:val="00C47353"/>
    <w:rsid w:val="00C474A8"/>
    <w:rsid w:val="00C47C5F"/>
    <w:rsid w:val="00C47D6C"/>
    <w:rsid w:val="00C501AF"/>
    <w:rsid w:val="00C50AC0"/>
    <w:rsid w:val="00C50B0E"/>
    <w:rsid w:val="00C50FA9"/>
    <w:rsid w:val="00C51065"/>
    <w:rsid w:val="00C51407"/>
    <w:rsid w:val="00C516B5"/>
    <w:rsid w:val="00C51E67"/>
    <w:rsid w:val="00C5215F"/>
    <w:rsid w:val="00C52368"/>
    <w:rsid w:val="00C52526"/>
    <w:rsid w:val="00C52786"/>
    <w:rsid w:val="00C52816"/>
    <w:rsid w:val="00C52C3B"/>
    <w:rsid w:val="00C53060"/>
    <w:rsid w:val="00C53783"/>
    <w:rsid w:val="00C53A92"/>
    <w:rsid w:val="00C53E01"/>
    <w:rsid w:val="00C53F26"/>
    <w:rsid w:val="00C54520"/>
    <w:rsid w:val="00C548D0"/>
    <w:rsid w:val="00C54A35"/>
    <w:rsid w:val="00C55214"/>
    <w:rsid w:val="00C553C5"/>
    <w:rsid w:val="00C55935"/>
    <w:rsid w:val="00C5598A"/>
    <w:rsid w:val="00C55B59"/>
    <w:rsid w:val="00C55B70"/>
    <w:rsid w:val="00C55BBF"/>
    <w:rsid w:val="00C569E2"/>
    <w:rsid w:val="00C56B46"/>
    <w:rsid w:val="00C56B54"/>
    <w:rsid w:val="00C56D51"/>
    <w:rsid w:val="00C56D96"/>
    <w:rsid w:val="00C56DF9"/>
    <w:rsid w:val="00C56EA8"/>
    <w:rsid w:val="00C56EAB"/>
    <w:rsid w:val="00C56F4D"/>
    <w:rsid w:val="00C5777F"/>
    <w:rsid w:val="00C57A17"/>
    <w:rsid w:val="00C57F84"/>
    <w:rsid w:val="00C600AB"/>
    <w:rsid w:val="00C60857"/>
    <w:rsid w:val="00C60906"/>
    <w:rsid w:val="00C60A3A"/>
    <w:rsid w:val="00C60CE9"/>
    <w:rsid w:val="00C60D93"/>
    <w:rsid w:val="00C60DF4"/>
    <w:rsid w:val="00C60FBE"/>
    <w:rsid w:val="00C60FCA"/>
    <w:rsid w:val="00C61149"/>
    <w:rsid w:val="00C6168D"/>
    <w:rsid w:val="00C61AEB"/>
    <w:rsid w:val="00C61E62"/>
    <w:rsid w:val="00C6221E"/>
    <w:rsid w:val="00C62269"/>
    <w:rsid w:val="00C62378"/>
    <w:rsid w:val="00C628C3"/>
    <w:rsid w:val="00C62981"/>
    <w:rsid w:val="00C62BC5"/>
    <w:rsid w:val="00C62E46"/>
    <w:rsid w:val="00C635A8"/>
    <w:rsid w:val="00C63824"/>
    <w:rsid w:val="00C63B11"/>
    <w:rsid w:val="00C63BD1"/>
    <w:rsid w:val="00C63F4E"/>
    <w:rsid w:val="00C64174"/>
    <w:rsid w:val="00C641D0"/>
    <w:rsid w:val="00C641E4"/>
    <w:rsid w:val="00C64440"/>
    <w:rsid w:val="00C64CF7"/>
    <w:rsid w:val="00C64FAF"/>
    <w:rsid w:val="00C6550A"/>
    <w:rsid w:val="00C65670"/>
    <w:rsid w:val="00C65861"/>
    <w:rsid w:val="00C659C3"/>
    <w:rsid w:val="00C65B0C"/>
    <w:rsid w:val="00C66104"/>
    <w:rsid w:val="00C6641A"/>
    <w:rsid w:val="00C6642D"/>
    <w:rsid w:val="00C667DF"/>
    <w:rsid w:val="00C6692D"/>
    <w:rsid w:val="00C6719B"/>
    <w:rsid w:val="00C678B0"/>
    <w:rsid w:val="00C679E5"/>
    <w:rsid w:val="00C67C84"/>
    <w:rsid w:val="00C70845"/>
    <w:rsid w:val="00C70B9E"/>
    <w:rsid w:val="00C70E55"/>
    <w:rsid w:val="00C70F2D"/>
    <w:rsid w:val="00C71194"/>
    <w:rsid w:val="00C71414"/>
    <w:rsid w:val="00C7141F"/>
    <w:rsid w:val="00C7146A"/>
    <w:rsid w:val="00C7153B"/>
    <w:rsid w:val="00C7191E"/>
    <w:rsid w:val="00C719DA"/>
    <w:rsid w:val="00C71A83"/>
    <w:rsid w:val="00C71AA9"/>
    <w:rsid w:val="00C71B13"/>
    <w:rsid w:val="00C71C59"/>
    <w:rsid w:val="00C71DCD"/>
    <w:rsid w:val="00C71FF8"/>
    <w:rsid w:val="00C727A8"/>
    <w:rsid w:val="00C72869"/>
    <w:rsid w:val="00C72CD1"/>
    <w:rsid w:val="00C72F36"/>
    <w:rsid w:val="00C730F7"/>
    <w:rsid w:val="00C73227"/>
    <w:rsid w:val="00C7339A"/>
    <w:rsid w:val="00C733C8"/>
    <w:rsid w:val="00C7390D"/>
    <w:rsid w:val="00C73B8B"/>
    <w:rsid w:val="00C742AC"/>
    <w:rsid w:val="00C74CDD"/>
    <w:rsid w:val="00C752E6"/>
    <w:rsid w:val="00C75CBA"/>
    <w:rsid w:val="00C75FBD"/>
    <w:rsid w:val="00C76139"/>
    <w:rsid w:val="00C7643A"/>
    <w:rsid w:val="00C764C8"/>
    <w:rsid w:val="00C7683D"/>
    <w:rsid w:val="00C76A58"/>
    <w:rsid w:val="00C76F34"/>
    <w:rsid w:val="00C770E0"/>
    <w:rsid w:val="00C7715C"/>
    <w:rsid w:val="00C775AB"/>
    <w:rsid w:val="00C776A8"/>
    <w:rsid w:val="00C77E7A"/>
    <w:rsid w:val="00C8046E"/>
    <w:rsid w:val="00C80539"/>
    <w:rsid w:val="00C8059C"/>
    <w:rsid w:val="00C80CC3"/>
    <w:rsid w:val="00C80CC5"/>
    <w:rsid w:val="00C81049"/>
    <w:rsid w:val="00C8110C"/>
    <w:rsid w:val="00C81211"/>
    <w:rsid w:val="00C812B0"/>
    <w:rsid w:val="00C81B99"/>
    <w:rsid w:val="00C81C82"/>
    <w:rsid w:val="00C81D1F"/>
    <w:rsid w:val="00C82065"/>
    <w:rsid w:val="00C820B5"/>
    <w:rsid w:val="00C82112"/>
    <w:rsid w:val="00C822BD"/>
    <w:rsid w:val="00C8275D"/>
    <w:rsid w:val="00C827A6"/>
    <w:rsid w:val="00C82BD7"/>
    <w:rsid w:val="00C82E3C"/>
    <w:rsid w:val="00C83279"/>
    <w:rsid w:val="00C835C3"/>
    <w:rsid w:val="00C8365D"/>
    <w:rsid w:val="00C839FF"/>
    <w:rsid w:val="00C83A7C"/>
    <w:rsid w:val="00C83BA5"/>
    <w:rsid w:val="00C83FB4"/>
    <w:rsid w:val="00C8435D"/>
    <w:rsid w:val="00C84632"/>
    <w:rsid w:val="00C848B4"/>
    <w:rsid w:val="00C84CB4"/>
    <w:rsid w:val="00C84D9F"/>
    <w:rsid w:val="00C84E7B"/>
    <w:rsid w:val="00C8509C"/>
    <w:rsid w:val="00C85332"/>
    <w:rsid w:val="00C8560D"/>
    <w:rsid w:val="00C8572C"/>
    <w:rsid w:val="00C85934"/>
    <w:rsid w:val="00C85C62"/>
    <w:rsid w:val="00C85F2F"/>
    <w:rsid w:val="00C87415"/>
    <w:rsid w:val="00C87434"/>
    <w:rsid w:val="00C87458"/>
    <w:rsid w:val="00C87AA4"/>
    <w:rsid w:val="00C87AA8"/>
    <w:rsid w:val="00C87D33"/>
    <w:rsid w:val="00C87E83"/>
    <w:rsid w:val="00C87F79"/>
    <w:rsid w:val="00C90552"/>
    <w:rsid w:val="00C90776"/>
    <w:rsid w:val="00C907EA"/>
    <w:rsid w:val="00C90D39"/>
    <w:rsid w:val="00C910A8"/>
    <w:rsid w:val="00C9132F"/>
    <w:rsid w:val="00C9194B"/>
    <w:rsid w:val="00C91AB0"/>
    <w:rsid w:val="00C92003"/>
    <w:rsid w:val="00C921A0"/>
    <w:rsid w:val="00C92234"/>
    <w:rsid w:val="00C925B7"/>
    <w:rsid w:val="00C92886"/>
    <w:rsid w:val="00C92B63"/>
    <w:rsid w:val="00C93095"/>
    <w:rsid w:val="00C9321A"/>
    <w:rsid w:val="00C934AC"/>
    <w:rsid w:val="00C936AF"/>
    <w:rsid w:val="00C93A12"/>
    <w:rsid w:val="00C93C29"/>
    <w:rsid w:val="00C94175"/>
    <w:rsid w:val="00C9454F"/>
    <w:rsid w:val="00C950F8"/>
    <w:rsid w:val="00C95253"/>
    <w:rsid w:val="00C9527D"/>
    <w:rsid w:val="00C958D4"/>
    <w:rsid w:val="00C95CBF"/>
    <w:rsid w:val="00C96228"/>
    <w:rsid w:val="00C963F1"/>
    <w:rsid w:val="00C96B34"/>
    <w:rsid w:val="00C96B5F"/>
    <w:rsid w:val="00C96BCE"/>
    <w:rsid w:val="00C96D9A"/>
    <w:rsid w:val="00C971DB"/>
    <w:rsid w:val="00C97230"/>
    <w:rsid w:val="00C972EF"/>
    <w:rsid w:val="00C9738B"/>
    <w:rsid w:val="00C97407"/>
    <w:rsid w:val="00C976DA"/>
    <w:rsid w:val="00CA0069"/>
    <w:rsid w:val="00CA0275"/>
    <w:rsid w:val="00CA027C"/>
    <w:rsid w:val="00CA0C11"/>
    <w:rsid w:val="00CA0C38"/>
    <w:rsid w:val="00CA0FC9"/>
    <w:rsid w:val="00CA1122"/>
    <w:rsid w:val="00CA16CD"/>
    <w:rsid w:val="00CA16FE"/>
    <w:rsid w:val="00CA170D"/>
    <w:rsid w:val="00CA17FD"/>
    <w:rsid w:val="00CA200B"/>
    <w:rsid w:val="00CA20FF"/>
    <w:rsid w:val="00CA2155"/>
    <w:rsid w:val="00CA2633"/>
    <w:rsid w:val="00CA2A25"/>
    <w:rsid w:val="00CA2AC0"/>
    <w:rsid w:val="00CA2B7A"/>
    <w:rsid w:val="00CA2C86"/>
    <w:rsid w:val="00CA2C99"/>
    <w:rsid w:val="00CA2D15"/>
    <w:rsid w:val="00CA30DC"/>
    <w:rsid w:val="00CA3169"/>
    <w:rsid w:val="00CA3500"/>
    <w:rsid w:val="00CA3537"/>
    <w:rsid w:val="00CA387A"/>
    <w:rsid w:val="00CA3893"/>
    <w:rsid w:val="00CA38E2"/>
    <w:rsid w:val="00CA46A4"/>
    <w:rsid w:val="00CA47CB"/>
    <w:rsid w:val="00CA4A9A"/>
    <w:rsid w:val="00CA4C2B"/>
    <w:rsid w:val="00CA4C5C"/>
    <w:rsid w:val="00CA52CF"/>
    <w:rsid w:val="00CA54AD"/>
    <w:rsid w:val="00CA5962"/>
    <w:rsid w:val="00CA5B11"/>
    <w:rsid w:val="00CA5B2A"/>
    <w:rsid w:val="00CA6257"/>
    <w:rsid w:val="00CA6263"/>
    <w:rsid w:val="00CA6426"/>
    <w:rsid w:val="00CA6865"/>
    <w:rsid w:val="00CA68FB"/>
    <w:rsid w:val="00CA6BB7"/>
    <w:rsid w:val="00CA70FA"/>
    <w:rsid w:val="00CA74B7"/>
    <w:rsid w:val="00CA7653"/>
    <w:rsid w:val="00CA780C"/>
    <w:rsid w:val="00CB0621"/>
    <w:rsid w:val="00CB0761"/>
    <w:rsid w:val="00CB078E"/>
    <w:rsid w:val="00CB086C"/>
    <w:rsid w:val="00CB087E"/>
    <w:rsid w:val="00CB13F2"/>
    <w:rsid w:val="00CB19E3"/>
    <w:rsid w:val="00CB1AB6"/>
    <w:rsid w:val="00CB205C"/>
    <w:rsid w:val="00CB218C"/>
    <w:rsid w:val="00CB257F"/>
    <w:rsid w:val="00CB271F"/>
    <w:rsid w:val="00CB2933"/>
    <w:rsid w:val="00CB2F92"/>
    <w:rsid w:val="00CB2FA9"/>
    <w:rsid w:val="00CB332F"/>
    <w:rsid w:val="00CB3348"/>
    <w:rsid w:val="00CB3B18"/>
    <w:rsid w:val="00CB3EB0"/>
    <w:rsid w:val="00CB4338"/>
    <w:rsid w:val="00CB4367"/>
    <w:rsid w:val="00CB450B"/>
    <w:rsid w:val="00CB462C"/>
    <w:rsid w:val="00CB4AC8"/>
    <w:rsid w:val="00CB4F1A"/>
    <w:rsid w:val="00CB4F36"/>
    <w:rsid w:val="00CB5328"/>
    <w:rsid w:val="00CB543A"/>
    <w:rsid w:val="00CB551C"/>
    <w:rsid w:val="00CB564E"/>
    <w:rsid w:val="00CB599C"/>
    <w:rsid w:val="00CB5B1A"/>
    <w:rsid w:val="00CB5DF1"/>
    <w:rsid w:val="00CB604A"/>
    <w:rsid w:val="00CB60F8"/>
    <w:rsid w:val="00CB6960"/>
    <w:rsid w:val="00CB6DF9"/>
    <w:rsid w:val="00CB709A"/>
    <w:rsid w:val="00CB7689"/>
    <w:rsid w:val="00CB7832"/>
    <w:rsid w:val="00CB7AAA"/>
    <w:rsid w:val="00CC01D7"/>
    <w:rsid w:val="00CC0D08"/>
    <w:rsid w:val="00CC1043"/>
    <w:rsid w:val="00CC10CF"/>
    <w:rsid w:val="00CC115B"/>
    <w:rsid w:val="00CC11CD"/>
    <w:rsid w:val="00CC1211"/>
    <w:rsid w:val="00CC1293"/>
    <w:rsid w:val="00CC12BC"/>
    <w:rsid w:val="00CC1304"/>
    <w:rsid w:val="00CC1310"/>
    <w:rsid w:val="00CC13A2"/>
    <w:rsid w:val="00CC1C86"/>
    <w:rsid w:val="00CC1D2E"/>
    <w:rsid w:val="00CC260D"/>
    <w:rsid w:val="00CC2A09"/>
    <w:rsid w:val="00CC2F28"/>
    <w:rsid w:val="00CC3213"/>
    <w:rsid w:val="00CC33E0"/>
    <w:rsid w:val="00CC3504"/>
    <w:rsid w:val="00CC36A6"/>
    <w:rsid w:val="00CC3935"/>
    <w:rsid w:val="00CC3A63"/>
    <w:rsid w:val="00CC3ADA"/>
    <w:rsid w:val="00CC3B74"/>
    <w:rsid w:val="00CC401C"/>
    <w:rsid w:val="00CC4730"/>
    <w:rsid w:val="00CC4AAA"/>
    <w:rsid w:val="00CC4C64"/>
    <w:rsid w:val="00CC4E66"/>
    <w:rsid w:val="00CC50CC"/>
    <w:rsid w:val="00CC52F5"/>
    <w:rsid w:val="00CC573A"/>
    <w:rsid w:val="00CC5791"/>
    <w:rsid w:val="00CC5E74"/>
    <w:rsid w:val="00CC628A"/>
    <w:rsid w:val="00CC644D"/>
    <w:rsid w:val="00CC64E0"/>
    <w:rsid w:val="00CC6A8E"/>
    <w:rsid w:val="00CC6AEF"/>
    <w:rsid w:val="00CC6BC9"/>
    <w:rsid w:val="00CC6D93"/>
    <w:rsid w:val="00CC73BE"/>
    <w:rsid w:val="00CC7818"/>
    <w:rsid w:val="00CC7C53"/>
    <w:rsid w:val="00CC7DDC"/>
    <w:rsid w:val="00CD012E"/>
    <w:rsid w:val="00CD049D"/>
    <w:rsid w:val="00CD0604"/>
    <w:rsid w:val="00CD1177"/>
    <w:rsid w:val="00CD1B21"/>
    <w:rsid w:val="00CD1CFE"/>
    <w:rsid w:val="00CD255A"/>
    <w:rsid w:val="00CD27DB"/>
    <w:rsid w:val="00CD292D"/>
    <w:rsid w:val="00CD293B"/>
    <w:rsid w:val="00CD2948"/>
    <w:rsid w:val="00CD2964"/>
    <w:rsid w:val="00CD2BB5"/>
    <w:rsid w:val="00CD2ED6"/>
    <w:rsid w:val="00CD3247"/>
    <w:rsid w:val="00CD3BB7"/>
    <w:rsid w:val="00CD3EC9"/>
    <w:rsid w:val="00CD40A2"/>
    <w:rsid w:val="00CD412F"/>
    <w:rsid w:val="00CD4146"/>
    <w:rsid w:val="00CD4926"/>
    <w:rsid w:val="00CD4994"/>
    <w:rsid w:val="00CD4DE2"/>
    <w:rsid w:val="00CD5F84"/>
    <w:rsid w:val="00CD6203"/>
    <w:rsid w:val="00CD620E"/>
    <w:rsid w:val="00CD63AF"/>
    <w:rsid w:val="00CD64A9"/>
    <w:rsid w:val="00CD65BA"/>
    <w:rsid w:val="00CD65FD"/>
    <w:rsid w:val="00CD6819"/>
    <w:rsid w:val="00CD6A17"/>
    <w:rsid w:val="00CD6F63"/>
    <w:rsid w:val="00CD717A"/>
    <w:rsid w:val="00CD7356"/>
    <w:rsid w:val="00CD73EF"/>
    <w:rsid w:val="00CD75F2"/>
    <w:rsid w:val="00CD75FB"/>
    <w:rsid w:val="00CD7A89"/>
    <w:rsid w:val="00CE07D1"/>
    <w:rsid w:val="00CE0E68"/>
    <w:rsid w:val="00CE1022"/>
    <w:rsid w:val="00CE1453"/>
    <w:rsid w:val="00CE152A"/>
    <w:rsid w:val="00CE1B22"/>
    <w:rsid w:val="00CE1B76"/>
    <w:rsid w:val="00CE1D1C"/>
    <w:rsid w:val="00CE1E1F"/>
    <w:rsid w:val="00CE2222"/>
    <w:rsid w:val="00CE22F2"/>
    <w:rsid w:val="00CE26C1"/>
    <w:rsid w:val="00CE284B"/>
    <w:rsid w:val="00CE2C06"/>
    <w:rsid w:val="00CE347E"/>
    <w:rsid w:val="00CE3F1D"/>
    <w:rsid w:val="00CE434A"/>
    <w:rsid w:val="00CE43AA"/>
    <w:rsid w:val="00CE4491"/>
    <w:rsid w:val="00CE4554"/>
    <w:rsid w:val="00CE45C2"/>
    <w:rsid w:val="00CE4B31"/>
    <w:rsid w:val="00CE4BA1"/>
    <w:rsid w:val="00CE4D00"/>
    <w:rsid w:val="00CE4E0D"/>
    <w:rsid w:val="00CE4E66"/>
    <w:rsid w:val="00CE55D5"/>
    <w:rsid w:val="00CE5614"/>
    <w:rsid w:val="00CE59AE"/>
    <w:rsid w:val="00CE5DBC"/>
    <w:rsid w:val="00CE5F63"/>
    <w:rsid w:val="00CE62A9"/>
    <w:rsid w:val="00CE6373"/>
    <w:rsid w:val="00CE6606"/>
    <w:rsid w:val="00CE684C"/>
    <w:rsid w:val="00CE6920"/>
    <w:rsid w:val="00CE6943"/>
    <w:rsid w:val="00CE6B16"/>
    <w:rsid w:val="00CE7018"/>
    <w:rsid w:val="00CE72C4"/>
    <w:rsid w:val="00CE75AC"/>
    <w:rsid w:val="00CE7A79"/>
    <w:rsid w:val="00CE7AA4"/>
    <w:rsid w:val="00CF0145"/>
    <w:rsid w:val="00CF0516"/>
    <w:rsid w:val="00CF064A"/>
    <w:rsid w:val="00CF0A05"/>
    <w:rsid w:val="00CF0E3A"/>
    <w:rsid w:val="00CF1029"/>
    <w:rsid w:val="00CF1302"/>
    <w:rsid w:val="00CF1342"/>
    <w:rsid w:val="00CF1E64"/>
    <w:rsid w:val="00CF2779"/>
    <w:rsid w:val="00CF27FC"/>
    <w:rsid w:val="00CF3361"/>
    <w:rsid w:val="00CF3543"/>
    <w:rsid w:val="00CF36F3"/>
    <w:rsid w:val="00CF38BC"/>
    <w:rsid w:val="00CF3A42"/>
    <w:rsid w:val="00CF3B13"/>
    <w:rsid w:val="00CF3CDF"/>
    <w:rsid w:val="00CF429A"/>
    <w:rsid w:val="00CF4450"/>
    <w:rsid w:val="00CF4495"/>
    <w:rsid w:val="00CF4741"/>
    <w:rsid w:val="00CF4DD0"/>
    <w:rsid w:val="00CF4FE0"/>
    <w:rsid w:val="00CF522D"/>
    <w:rsid w:val="00CF5622"/>
    <w:rsid w:val="00CF5766"/>
    <w:rsid w:val="00CF5921"/>
    <w:rsid w:val="00CF5AD5"/>
    <w:rsid w:val="00CF65A1"/>
    <w:rsid w:val="00CF65E9"/>
    <w:rsid w:val="00CF663E"/>
    <w:rsid w:val="00CF713C"/>
    <w:rsid w:val="00CF7235"/>
    <w:rsid w:val="00CF724C"/>
    <w:rsid w:val="00CF7668"/>
    <w:rsid w:val="00CF7950"/>
    <w:rsid w:val="00CF7CBD"/>
    <w:rsid w:val="00D000CB"/>
    <w:rsid w:val="00D005FA"/>
    <w:rsid w:val="00D00F98"/>
    <w:rsid w:val="00D010E4"/>
    <w:rsid w:val="00D0112E"/>
    <w:rsid w:val="00D01141"/>
    <w:rsid w:val="00D014E4"/>
    <w:rsid w:val="00D01544"/>
    <w:rsid w:val="00D01B22"/>
    <w:rsid w:val="00D01B58"/>
    <w:rsid w:val="00D01F0D"/>
    <w:rsid w:val="00D02CD9"/>
    <w:rsid w:val="00D02E0F"/>
    <w:rsid w:val="00D035DF"/>
    <w:rsid w:val="00D0377A"/>
    <w:rsid w:val="00D03E5F"/>
    <w:rsid w:val="00D03F6A"/>
    <w:rsid w:val="00D04243"/>
    <w:rsid w:val="00D045EB"/>
    <w:rsid w:val="00D047B3"/>
    <w:rsid w:val="00D04952"/>
    <w:rsid w:val="00D049FB"/>
    <w:rsid w:val="00D05157"/>
    <w:rsid w:val="00D05246"/>
    <w:rsid w:val="00D05439"/>
    <w:rsid w:val="00D059C5"/>
    <w:rsid w:val="00D05B6D"/>
    <w:rsid w:val="00D05C23"/>
    <w:rsid w:val="00D05CE6"/>
    <w:rsid w:val="00D063C5"/>
    <w:rsid w:val="00D063EB"/>
    <w:rsid w:val="00D06CC8"/>
    <w:rsid w:val="00D06CCE"/>
    <w:rsid w:val="00D07315"/>
    <w:rsid w:val="00D0787A"/>
    <w:rsid w:val="00D07A3B"/>
    <w:rsid w:val="00D07CF7"/>
    <w:rsid w:val="00D07D5F"/>
    <w:rsid w:val="00D1020B"/>
    <w:rsid w:val="00D10459"/>
    <w:rsid w:val="00D1056D"/>
    <w:rsid w:val="00D10B34"/>
    <w:rsid w:val="00D11214"/>
    <w:rsid w:val="00D115BA"/>
    <w:rsid w:val="00D11ABF"/>
    <w:rsid w:val="00D11D80"/>
    <w:rsid w:val="00D12404"/>
    <w:rsid w:val="00D12771"/>
    <w:rsid w:val="00D12BA8"/>
    <w:rsid w:val="00D12D87"/>
    <w:rsid w:val="00D13395"/>
    <w:rsid w:val="00D13400"/>
    <w:rsid w:val="00D134D3"/>
    <w:rsid w:val="00D13CB8"/>
    <w:rsid w:val="00D14062"/>
    <w:rsid w:val="00D14876"/>
    <w:rsid w:val="00D14986"/>
    <w:rsid w:val="00D157E8"/>
    <w:rsid w:val="00D15B21"/>
    <w:rsid w:val="00D160BB"/>
    <w:rsid w:val="00D16149"/>
    <w:rsid w:val="00D16328"/>
    <w:rsid w:val="00D16347"/>
    <w:rsid w:val="00D168B6"/>
    <w:rsid w:val="00D169E5"/>
    <w:rsid w:val="00D16B84"/>
    <w:rsid w:val="00D16C6B"/>
    <w:rsid w:val="00D16F5F"/>
    <w:rsid w:val="00D16F8B"/>
    <w:rsid w:val="00D173A4"/>
    <w:rsid w:val="00D17550"/>
    <w:rsid w:val="00D17921"/>
    <w:rsid w:val="00D17946"/>
    <w:rsid w:val="00D17A1E"/>
    <w:rsid w:val="00D17F3F"/>
    <w:rsid w:val="00D201B4"/>
    <w:rsid w:val="00D2036F"/>
    <w:rsid w:val="00D20840"/>
    <w:rsid w:val="00D20C5E"/>
    <w:rsid w:val="00D20D77"/>
    <w:rsid w:val="00D21154"/>
    <w:rsid w:val="00D21344"/>
    <w:rsid w:val="00D216C4"/>
    <w:rsid w:val="00D21E79"/>
    <w:rsid w:val="00D2271B"/>
    <w:rsid w:val="00D22998"/>
    <w:rsid w:val="00D22EE6"/>
    <w:rsid w:val="00D22F71"/>
    <w:rsid w:val="00D232B1"/>
    <w:rsid w:val="00D23596"/>
    <w:rsid w:val="00D237B1"/>
    <w:rsid w:val="00D2440E"/>
    <w:rsid w:val="00D24AE7"/>
    <w:rsid w:val="00D24D00"/>
    <w:rsid w:val="00D24F1A"/>
    <w:rsid w:val="00D24FB3"/>
    <w:rsid w:val="00D2577E"/>
    <w:rsid w:val="00D258A6"/>
    <w:rsid w:val="00D2599A"/>
    <w:rsid w:val="00D25FFA"/>
    <w:rsid w:val="00D26366"/>
    <w:rsid w:val="00D2637A"/>
    <w:rsid w:val="00D266B5"/>
    <w:rsid w:val="00D269B6"/>
    <w:rsid w:val="00D26C6F"/>
    <w:rsid w:val="00D26D4C"/>
    <w:rsid w:val="00D26F50"/>
    <w:rsid w:val="00D27166"/>
    <w:rsid w:val="00D274D9"/>
    <w:rsid w:val="00D275E0"/>
    <w:rsid w:val="00D27978"/>
    <w:rsid w:val="00D27CC2"/>
    <w:rsid w:val="00D27D35"/>
    <w:rsid w:val="00D30B7D"/>
    <w:rsid w:val="00D31932"/>
    <w:rsid w:val="00D31AAB"/>
    <w:rsid w:val="00D31B6B"/>
    <w:rsid w:val="00D31ED1"/>
    <w:rsid w:val="00D327B2"/>
    <w:rsid w:val="00D328AD"/>
    <w:rsid w:val="00D328FA"/>
    <w:rsid w:val="00D32D83"/>
    <w:rsid w:val="00D32F8A"/>
    <w:rsid w:val="00D33F0A"/>
    <w:rsid w:val="00D34F76"/>
    <w:rsid w:val="00D3527C"/>
    <w:rsid w:val="00D355A5"/>
    <w:rsid w:val="00D355D7"/>
    <w:rsid w:val="00D35606"/>
    <w:rsid w:val="00D35A64"/>
    <w:rsid w:val="00D36823"/>
    <w:rsid w:val="00D36DA5"/>
    <w:rsid w:val="00D36EA6"/>
    <w:rsid w:val="00D37221"/>
    <w:rsid w:val="00D373FD"/>
    <w:rsid w:val="00D3793F"/>
    <w:rsid w:val="00D401AE"/>
    <w:rsid w:val="00D401DC"/>
    <w:rsid w:val="00D404D8"/>
    <w:rsid w:val="00D40625"/>
    <w:rsid w:val="00D40B6B"/>
    <w:rsid w:val="00D40BB4"/>
    <w:rsid w:val="00D40EB9"/>
    <w:rsid w:val="00D40F17"/>
    <w:rsid w:val="00D41003"/>
    <w:rsid w:val="00D4100D"/>
    <w:rsid w:val="00D4179B"/>
    <w:rsid w:val="00D41856"/>
    <w:rsid w:val="00D423E7"/>
    <w:rsid w:val="00D42FB0"/>
    <w:rsid w:val="00D43403"/>
    <w:rsid w:val="00D4365D"/>
    <w:rsid w:val="00D4387F"/>
    <w:rsid w:val="00D43ECE"/>
    <w:rsid w:val="00D4436B"/>
    <w:rsid w:val="00D44517"/>
    <w:rsid w:val="00D447C6"/>
    <w:rsid w:val="00D453F3"/>
    <w:rsid w:val="00D45A2E"/>
    <w:rsid w:val="00D462FB"/>
    <w:rsid w:val="00D46652"/>
    <w:rsid w:val="00D467C6"/>
    <w:rsid w:val="00D4682B"/>
    <w:rsid w:val="00D468E8"/>
    <w:rsid w:val="00D474F9"/>
    <w:rsid w:val="00D475A6"/>
    <w:rsid w:val="00D4773F"/>
    <w:rsid w:val="00D47A26"/>
    <w:rsid w:val="00D47C4A"/>
    <w:rsid w:val="00D47E23"/>
    <w:rsid w:val="00D505B9"/>
    <w:rsid w:val="00D50931"/>
    <w:rsid w:val="00D50A53"/>
    <w:rsid w:val="00D50DA1"/>
    <w:rsid w:val="00D5167B"/>
    <w:rsid w:val="00D518D5"/>
    <w:rsid w:val="00D518F6"/>
    <w:rsid w:val="00D51AE7"/>
    <w:rsid w:val="00D51BF3"/>
    <w:rsid w:val="00D51D3E"/>
    <w:rsid w:val="00D51E7F"/>
    <w:rsid w:val="00D51FA3"/>
    <w:rsid w:val="00D52248"/>
    <w:rsid w:val="00D530FE"/>
    <w:rsid w:val="00D5313C"/>
    <w:rsid w:val="00D5393E"/>
    <w:rsid w:val="00D53AF2"/>
    <w:rsid w:val="00D54263"/>
    <w:rsid w:val="00D54593"/>
    <w:rsid w:val="00D547E8"/>
    <w:rsid w:val="00D55108"/>
    <w:rsid w:val="00D551C2"/>
    <w:rsid w:val="00D5537D"/>
    <w:rsid w:val="00D557D2"/>
    <w:rsid w:val="00D559D6"/>
    <w:rsid w:val="00D55D73"/>
    <w:rsid w:val="00D55DF9"/>
    <w:rsid w:val="00D564AA"/>
    <w:rsid w:val="00D5694F"/>
    <w:rsid w:val="00D56A62"/>
    <w:rsid w:val="00D56BBF"/>
    <w:rsid w:val="00D5751F"/>
    <w:rsid w:val="00D575A9"/>
    <w:rsid w:val="00D57793"/>
    <w:rsid w:val="00D5799B"/>
    <w:rsid w:val="00D57DBC"/>
    <w:rsid w:val="00D6052F"/>
    <w:rsid w:val="00D6058C"/>
    <w:rsid w:val="00D609C7"/>
    <w:rsid w:val="00D61068"/>
    <w:rsid w:val="00D61717"/>
    <w:rsid w:val="00D62034"/>
    <w:rsid w:val="00D622EB"/>
    <w:rsid w:val="00D62BCA"/>
    <w:rsid w:val="00D62BD7"/>
    <w:rsid w:val="00D62C57"/>
    <w:rsid w:val="00D62CC5"/>
    <w:rsid w:val="00D63477"/>
    <w:rsid w:val="00D63537"/>
    <w:rsid w:val="00D63549"/>
    <w:rsid w:val="00D63760"/>
    <w:rsid w:val="00D63EA0"/>
    <w:rsid w:val="00D64073"/>
    <w:rsid w:val="00D641B6"/>
    <w:rsid w:val="00D641EC"/>
    <w:rsid w:val="00D64219"/>
    <w:rsid w:val="00D643F6"/>
    <w:rsid w:val="00D650AD"/>
    <w:rsid w:val="00D6526B"/>
    <w:rsid w:val="00D65693"/>
    <w:rsid w:val="00D65AD5"/>
    <w:rsid w:val="00D65B79"/>
    <w:rsid w:val="00D65C76"/>
    <w:rsid w:val="00D65CC9"/>
    <w:rsid w:val="00D65EFF"/>
    <w:rsid w:val="00D66050"/>
    <w:rsid w:val="00D661EB"/>
    <w:rsid w:val="00D663A2"/>
    <w:rsid w:val="00D66821"/>
    <w:rsid w:val="00D66FEC"/>
    <w:rsid w:val="00D67260"/>
    <w:rsid w:val="00D6740E"/>
    <w:rsid w:val="00D6754F"/>
    <w:rsid w:val="00D67576"/>
    <w:rsid w:val="00D6783D"/>
    <w:rsid w:val="00D678CD"/>
    <w:rsid w:val="00D67AE3"/>
    <w:rsid w:val="00D67DC6"/>
    <w:rsid w:val="00D705EC"/>
    <w:rsid w:val="00D706C3"/>
    <w:rsid w:val="00D70F17"/>
    <w:rsid w:val="00D71486"/>
    <w:rsid w:val="00D71C76"/>
    <w:rsid w:val="00D71E2C"/>
    <w:rsid w:val="00D71EE3"/>
    <w:rsid w:val="00D72088"/>
    <w:rsid w:val="00D73144"/>
    <w:rsid w:val="00D73235"/>
    <w:rsid w:val="00D7333E"/>
    <w:rsid w:val="00D73C4A"/>
    <w:rsid w:val="00D73F02"/>
    <w:rsid w:val="00D73FC2"/>
    <w:rsid w:val="00D7410F"/>
    <w:rsid w:val="00D74397"/>
    <w:rsid w:val="00D74415"/>
    <w:rsid w:val="00D74580"/>
    <w:rsid w:val="00D74A17"/>
    <w:rsid w:val="00D74B54"/>
    <w:rsid w:val="00D752D4"/>
    <w:rsid w:val="00D75363"/>
    <w:rsid w:val="00D7544E"/>
    <w:rsid w:val="00D75F80"/>
    <w:rsid w:val="00D7627F"/>
    <w:rsid w:val="00D76326"/>
    <w:rsid w:val="00D765A7"/>
    <w:rsid w:val="00D76629"/>
    <w:rsid w:val="00D770BE"/>
    <w:rsid w:val="00D7711C"/>
    <w:rsid w:val="00D77149"/>
    <w:rsid w:val="00D77862"/>
    <w:rsid w:val="00D77C4B"/>
    <w:rsid w:val="00D800A9"/>
    <w:rsid w:val="00D80492"/>
    <w:rsid w:val="00D8056C"/>
    <w:rsid w:val="00D80739"/>
    <w:rsid w:val="00D80E78"/>
    <w:rsid w:val="00D80ED4"/>
    <w:rsid w:val="00D80F12"/>
    <w:rsid w:val="00D8120A"/>
    <w:rsid w:val="00D81B43"/>
    <w:rsid w:val="00D81C5D"/>
    <w:rsid w:val="00D81DC6"/>
    <w:rsid w:val="00D820FF"/>
    <w:rsid w:val="00D82202"/>
    <w:rsid w:val="00D8261A"/>
    <w:rsid w:val="00D82C16"/>
    <w:rsid w:val="00D82D2D"/>
    <w:rsid w:val="00D82F42"/>
    <w:rsid w:val="00D83082"/>
    <w:rsid w:val="00D83272"/>
    <w:rsid w:val="00D832C6"/>
    <w:rsid w:val="00D83327"/>
    <w:rsid w:val="00D8332E"/>
    <w:rsid w:val="00D8336A"/>
    <w:rsid w:val="00D8387A"/>
    <w:rsid w:val="00D83D36"/>
    <w:rsid w:val="00D83D83"/>
    <w:rsid w:val="00D84272"/>
    <w:rsid w:val="00D84485"/>
    <w:rsid w:val="00D84D22"/>
    <w:rsid w:val="00D851D7"/>
    <w:rsid w:val="00D856FC"/>
    <w:rsid w:val="00D85783"/>
    <w:rsid w:val="00D85BC0"/>
    <w:rsid w:val="00D861C5"/>
    <w:rsid w:val="00D8622A"/>
    <w:rsid w:val="00D8638E"/>
    <w:rsid w:val="00D865F8"/>
    <w:rsid w:val="00D86941"/>
    <w:rsid w:val="00D8706D"/>
    <w:rsid w:val="00D87071"/>
    <w:rsid w:val="00D871F1"/>
    <w:rsid w:val="00D872D6"/>
    <w:rsid w:val="00D874EC"/>
    <w:rsid w:val="00D87782"/>
    <w:rsid w:val="00D8782B"/>
    <w:rsid w:val="00D87AAD"/>
    <w:rsid w:val="00D87B34"/>
    <w:rsid w:val="00D87B61"/>
    <w:rsid w:val="00D87CA3"/>
    <w:rsid w:val="00D87D73"/>
    <w:rsid w:val="00D90794"/>
    <w:rsid w:val="00D909FE"/>
    <w:rsid w:val="00D90F3D"/>
    <w:rsid w:val="00D90F7B"/>
    <w:rsid w:val="00D917C6"/>
    <w:rsid w:val="00D922AF"/>
    <w:rsid w:val="00D9233A"/>
    <w:rsid w:val="00D925A9"/>
    <w:rsid w:val="00D92AAE"/>
    <w:rsid w:val="00D92B97"/>
    <w:rsid w:val="00D92E8E"/>
    <w:rsid w:val="00D9327B"/>
    <w:rsid w:val="00D93498"/>
    <w:rsid w:val="00D937FC"/>
    <w:rsid w:val="00D9390C"/>
    <w:rsid w:val="00D93A69"/>
    <w:rsid w:val="00D93D31"/>
    <w:rsid w:val="00D93ED1"/>
    <w:rsid w:val="00D946AF"/>
    <w:rsid w:val="00D9489F"/>
    <w:rsid w:val="00D94A03"/>
    <w:rsid w:val="00D94DBB"/>
    <w:rsid w:val="00D94FE7"/>
    <w:rsid w:val="00D95278"/>
    <w:rsid w:val="00D9570C"/>
    <w:rsid w:val="00D95B8C"/>
    <w:rsid w:val="00D95C0D"/>
    <w:rsid w:val="00D95F3B"/>
    <w:rsid w:val="00D9608F"/>
    <w:rsid w:val="00D9686C"/>
    <w:rsid w:val="00D96949"/>
    <w:rsid w:val="00D96D7F"/>
    <w:rsid w:val="00D97389"/>
    <w:rsid w:val="00D976B2"/>
    <w:rsid w:val="00D97C56"/>
    <w:rsid w:val="00D97F1C"/>
    <w:rsid w:val="00DA0337"/>
    <w:rsid w:val="00DA043C"/>
    <w:rsid w:val="00DA07F9"/>
    <w:rsid w:val="00DA0CFA"/>
    <w:rsid w:val="00DA1381"/>
    <w:rsid w:val="00DA1473"/>
    <w:rsid w:val="00DA1579"/>
    <w:rsid w:val="00DA1590"/>
    <w:rsid w:val="00DA192A"/>
    <w:rsid w:val="00DA1A89"/>
    <w:rsid w:val="00DA1D29"/>
    <w:rsid w:val="00DA2146"/>
    <w:rsid w:val="00DA2302"/>
    <w:rsid w:val="00DA23A9"/>
    <w:rsid w:val="00DA2496"/>
    <w:rsid w:val="00DA29C6"/>
    <w:rsid w:val="00DA29D6"/>
    <w:rsid w:val="00DA2A64"/>
    <w:rsid w:val="00DA2F47"/>
    <w:rsid w:val="00DA33E0"/>
    <w:rsid w:val="00DA393D"/>
    <w:rsid w:val="00DA3D15"/>
    <w:rsid w:val="00DA3EDB"/>
    <w:rsid w:val="00DA4927"/>
    <w:rsid w:val="00DA4A23"/>
    <w:rsid w:val="00DA4B28"/>
    <w:rsid w:val="00DA4BAC"/>
    <w:rsid w:val="00DA4E59"/>
    <w:rsid w:val="00DA517E"/>
    <w:rsid w:val="00DA5BBC"/>
    <w:rsid w:val="00DA5C11"/>
    <w:rsid w:val="00DA5CDE"/>
    <w:rsid w:val="00DA5DDD"/>
    <w:rsid w:val="00DA5E04"/>
    <w:rsid w:val="00DA5F2D"/>
    <w:rsid w:val="00DA5F4D"/>
    <w:rsid w:val="00DA6737"/>
    <w:rsid w:val="00DA68F6"/>
    <w:rsid w:val="00DA6A8D"/>
    <w:rsid w:val="00DA70E7"/>
    <w:rsid w:val="00DA72AA"/>
    <w:rsid w:val="00DA7380"/>
    <w:rsid w:val="00DA7B48"/>
    <w:rsid w:val="00DA7BF2"/>
    <w:rsid w:val="00DA7C22"/>
    <w:rsid w:val="00DB090A"/>
    <w:rsid w:val="00DB19F0"/>
    <w:rsid w:val="00DB1B34"/>
    <w:rsid w:val="00DB2318"/>
    <w:rsid w:val="00DB2DF5"/>
    <w:rsid w:val="00DB3145"/>
    <w:rsid w:val="00DB324D"/>
    <w:rsid w:val="00DB35C4"/>
    <w:rsid w:val="00DB3CC7"/>
    <w:rsid w:val="00DB403F"/>
    <w:rsid w:val="00DB423C"/>
    <w:rsid w:val="00DB4977"/>
    <w:rsid w:val="00DB4B10"/>
    <w:rsid w:val="00DB4B6E"/>
    <w:rsid w:val="00DB4F7C"/>
    <w:rsid w:val="00DB5E33"/>
    <w:rsid w:val="00DB6042"/>
    <w:rsid w:val="00DB6523"/>
    <w:rsid w:val="00DB67C3"/>
    <w:rsid w:val="00DB6A89"/>
    <w:rsid w:val="00DB75FF"/>
    <w:rsid w:val="00DB762D"/>
    <w:rsid w:val="00DB7681"/>
    <w:rsid w:val="00DB7C30"/>
    <w:rsid w:val="00DC000F"/>
    <w:rsid w:val="00DC00BE"/>
    <w:rsid w:val="00DC0296"/>
    <w:rsid w:val="00DC0852"/>
    <w:rsid w:val="00DC09DC"/>
    <w:rsid w:val="00DC0CCE"/>
    <w:rsid w:val="00DC0FA6"/>
    <w:rsid w:val="00DC1276"/>
    <w:rsid w:val="00DC130C"/>
    <w:rsid w:val="00DC1C16"/>
    <w:rsid w:val="00DC1CFA"/>
    <w:rsid w:val="00DC2150"/>
    <w:rsid w:val="00DC2292"/>
    <w:rsid w:val="00DC2360"/>
    <w:rsid w:val="00DC23A8"/>
    <w:rsid w:val="00DC2F7A"/>
    <w:rsid w:val="00DC3353"/>
    <w:rsid w:val="00DC3978"/>
    <w:rsid w:val="00DC39B7"/>
    <w:rsid w:val="00DC39FB"/>
    <w:rsid w:val="00DC3C2E"/>
    <w:rsid w:val="00DC4362"/>
    <w:rsid w:val="00DC459C"/>
    <w:rsid w:val="00DC4831"/>
    <w:rsid w:val="00DC4966"/>
    <w:rsid w:val="00DC4992"/>
    <w:rsid w:val="00DC4BB8"/>
    <w:rsid w:val="00DC508E"/>
    <w:rsid w:val="00DC51F7"/>
    <w:rsid w:val="00DC5487"/>
    <w:rsid w:val="00DC5DC9"/>
    <w:rsid w:val="00DC657F"/>
    <w:rsid w:val="00DC677E"/>
    <w:rsid w:val="00DC684A"/>
    <w:rsid w:val="00DC6AEB"/>
    <w:rsid w:val="00DC6B2C"/>
    <w:rsid w:val="00DC6E54"/>
    <w:rsid w:val="00DC7125"/>
    <w:rsid w:val="00DC714C"/>
    <w:rsid w:val="00DC7468"/>
    <w:rsid w:val="00DC79ED"/>
    <w:rsid w:val="00DC7CC1"/>
    <w:rsid w:val="00DC7CCD"/>
    <w:rsid w:val="00DC7E92"/>
    <w:rsid w:val="00DC7F60"/>
    <w:rsid w:val="00DC7F96"/>
    <w:rsid w:val="00DD002C"/>
    <w:rsid w:val="00DD0342"/>
    <w:rsid w:val="00DD0801"/>
    <w:rsid w:val="00DD0BF9"/>
    <w:rsid w:val="00DD0D55"/>
    <w:rsid w:val="00DD1059"/>
    <w:rsid w:val="00DD112A"/>
    <w:rsid w:val="00DD119F"/>
    <w:rsid w:val="00DD14AC"/>
    <w:rsid w:val="00DD1C38"/>
    <w:rsid w:val="00DD1E39"/>
    <w:rsid w:val="00DD2231"/>
    <w:rsid w:val="00DD2260"/>
    <w:rsid w:val="00DD2368"/>
    <w:rsid w:val="00DD2407"/>
    <w:rsid w:val="00DD27A1"/>
    <w:rsid w:val="00DD28B5"/>
    <w:rsid w:val="00DD2F7B"/>
    <w:rsid w:val="00DD39EF"/>
    <w:rsid w:val="00DD3B3C"/>
    <w:rsid w:val="00DD3CC9"/>
    <w:rsid w:val="00DD4934"/>
    <w:rsid w:val="00DD4A2C"/>
    <w:rsid w:val="00DD4C42"/>
    <w:rsid w:val="00DD5293"/>
    <w:rsid w:val="00DD58AE"/>
    <w:rsid w:val="00DD6116"/>
    <w:rsid w:val="00DD6A4B"/>
    <w:rsid w:val="00DD6A85"/>
    <w:rsid w:val="00DD6E24"/>
    <w:rsid w:val="00DD719F"/>
    <w:rsid w:val="00DD7993"/>
    <w:rsid w:val="00DE04FA"/>
    <w:rsid w:val="00DE0C23"/>
    <w:rsid w:val="00DE112B"/>
    <w:rsid w:val="00DE1224"/>
    <w:rsid w:val="00DE14A2"/>
    <w:rsid w:val="00DE1B1D"/>
    <w:rsid w:val="00DE1F16"/>
    <w:rsid w:val="00DE22D2"/>
    <w:rsid w:val="00DE23C8"/>
    <w:rsid w:val="00DE25AF"/>
    <w:rsid w:val="00DE29BA"/>
    <w:rsid w:val="00DE2B4E"/>
    <w:rsid w:val="00DE2E79"/>
    <w:rsid w:val="00DE3179"/>
    <w:rsid w:val="00DE31BD"/>
    <w:rsid w:val="00DE34B7"/>
    <w:rsid w:val="00DE38F1"/>
    <w:rsid w:val="00DE38F3"/>
    <w:rsid w:val="00DE3939"/>
    <w:rsid w:val="00DE3F6E"/>
    <w:rsid w:val="00DE4070"/>
    <w:rsid w:val="00DE418C"/>
    <w:rsid w:val="00DE449F"/>
    <w:rsid w:val="00DE4A8C"/>
    <w:rsid w:val="00DE4AF6"/>
    <w:rsid w:val="00DE4D7A"/>
    <w:rsid w:val="00DE5060"/>
    <w:rsid w:val="00DE526A"/>
    <w:rsid w:val="00DE52B0"/>
    <w:rsid w:val="00DE5867"/>
    <w:rsid w:val="00DE588D"/>
    <w:rsid w:val="00DE5D3C"/>
    <w:rsid w:val="00DE5F82"/>
    <w:rsid w:val="00DE6AEE"/>
    <w:rsid w:val="00DE6D84"/>
    <w:rsid w:val="00DE7001"/>
    <w:rsid w:val="00DE73EA"/>
    <w:rsid w:val="00DE74B8"/>
    <w:rsid w:val="00DE7525"/>
    <w:rsid w:val="00DE752B"/>
    <w:rsid w:val="00DE79C2"/>
    <w:rsid w:val="00DE7BE0"/>
    <w:rsid w:val="00DE7E16"/>
    <w:rsid w:val="00DF0600"/>
    <w:rsid w:val="00DF061D"/>
    <w:rsid w:val="00DF09CD"/>
    <w:rsid w:val="00DF0A09"/>
    <w:rsid w:val="00DF0C2E"/>
    <w:rsid w:val="00DF1623"/>
    <w:rsid w:val="00DF16CC"/>
    <w:rsid w:val="00DF16F9"/>
    <w:rsid w:val="00DF1DB6"/>
    <w:rsid w:val="00DF2408"/>
    <w:rsid w:val="00DF29AB"/>
    <w:rsid w:val="00DF2D3E"/>
    <w:rsid w:val="00DF2D9E"/>
    <w:rsid w:val="00DF2E1C"/>
    <w:rsid w:val="00DF3470"/>
    <w:rsid w:val="00DF366C"/>
    <w:rsid w:val="00DF36FD"/>
    <w:rsid w:val="00DF3A8E"/>
    <w:rsid w:val="00DF3AC6"/>
    <w:rsid w:val="00DF3BB9"/>
    <w:rsid w:val="00DF3C16"/>
    <w:rsid w:val="00DF3F89"/>
    <w:rsid w:val="00DF4216"/>
    <w:rsid w:val="00DF46C4"/>
    <w:rsid w:val="00DF4E88"/>
    <w:rsid w:val="00DF5455"/>
    <w:rsid w:val="00DF56D4"/>
    <w:rsid w:val="00DF5A63"/>
    <w:rsid w:val="00DF5E22"/>
    <w:rsid w:val="00DF5EF3"/>
    <w:rsid w:val="00DF64E8"/>
    <w:rsid w:val="00DF676B"/>
    <w:rsid w:val="00DF67F3"/>
    <w:rsid w:val="00DF6A92"/>
    <w:rsid w:val="00DF7266"/>
    <w:rsid w:val="00E00206"/>
    <w:rsid w:val="00E0067F"/>
    <w:rsid w:val="00E007AD"/>
    <w:rsid w:val="00E009E4"/>
    <w:rsid w:val="00E00D12"/>
    <w:rsid w:val="00E00FE7"/>
    <w:rsid w:val="00E01377"/>
    <w:rsid w:val="00E015A6"/>
    <w:rsid w:val="00E018C5"/>
    <w:rsid w:val="00E02391"/>
    <w:rsid w:val="00E025F8"/>
    <w:rsid w:val="00E027FF"/>
    <w:rsid w:val="00E02BF6"/>
    <w:rsid w:val="00E038C5"/>
    <w:rsid w:val="00E03B09"/>
    <w:rsid w:val="00E03E3B"/>
    <w:rsid w:val="00E04589"/>
    <w:rsid w:val="00E045A2"/>
    <w:rsid w:val="00E045F0"/>
    <w:rsid w:val="00E047DF"/>
    <w:rsid w:val="00E049BA"/>
    <w:rsid w:val="00E04A0E"/>
    <w:rsid w:val="00E04C14"/>
    <w:rsid w:val="00E04D05"/>
    <w:rsid w:val="00E0500A"/>
    <w:rsid w:val="00E05480"/>
    <w:rsid w:val="00E0568F"/>
    <w:rsid w:val="00E05EB9"/>
    <w:rsid w:val="00E05EEF"/>
    <w:rsid w:val="00E06128"/>
    <w:rsid w:val="00E06131"/>
    <w:rsid w:val="00E0652E"/>
    <w:rsid w:val="00E06573"/>
    <w:rsid w:val="00E065FF"/>
    <w:rsid w:val="00E069A3"/>
    <w:rsid w:val="00E069FE"/>
    <w:rsid w:val="00E06B38"/>
    <w:rsid w:val="00E07340"/>
    <w:rsid w:val="00E0747D"/>
    <w:rsid w:val="00E074FF"/>
    <w:rsid w:val="00E078BB"/>
    <w:rsid w:val="00E07A16"/>
    <w:rsid w:val="00E102DF"/>
    <w:rsid w:val="00E103C4"/>
    <w:rsid w:val="00E10756"/>
    <w:rsid w:val="00E10DD1"/>
    <w:rsid w:val="00E10F28"/>
    <w:rsid w:val="00E128D8"/>
    <w:rsid w:val="00E12C42"/>
    <w:rsid w:val="00E130F6"/>
    <w:rsid w:val="00E132CA"/>
    <w:rsid w:val="00E132D9"/>
    <w:rsid w:val="00E1356B"/>
    <w:rsid w:val="00E1443D"/>
    <w:rsid w:val="00E145BF"/>
    <w:rsid w:val="00E155A9"/>
    <w:rsid w:val="00E158A0"/>
    <w:rsid w:val="00E15B86"/>
    <w:rsid w:val="00E15E54"/>
    <w:rsid w:val="00E15F02"/>
    <w:rsid w:val="00E161B0"/>
    <w:rsid w:val="00E164EE"/>
    <w:rsid w:val="00E165B5"/>
    <w:rsid w:val="00E16600"/>
    <w:rsid w:val="00E1688A"/>
    <w:rsid w:val="00E16B9E"/>
    <w:rsid w:val="00E170B3"/>
    <w:rsid w:val="00E171FC"/>
    <w:rsid w:val="00E1728C"/>
    <w:rsid w:val="00E1799E"/>
    <w:rsid w:val="00E17A0A"/>
    <w:rsid w:val="00E17D3E"/>
    <w:rsid w:val="00E17D58"/>
    <w:rsid w:val="00E17ED6"/>
    <w:rsid w:val="00E20E7A"/>
    <w:rsid w:val="00E20EB2"/>
    <w:rsid w:val="00E20EEF"/>
    <w:rsid w:val="00E2102F"/>
    <w:rsid w:val="00E219DF"/>
    <w:rsid w:val="00E21F9A"/>
    <w:rsid w:val="00E22689"/>
    <w:rsid w:val="00E227DA"/>
    <w:rsid w:val="00E2299A"/>
    <w:rsid w:val="00E22B2D"/>
    <w:rsid w:val="00E232AF"/>
    <w:rsid w:val="00E232B1"/>
    <w:rsid w:val="00E232BB"/>
    <w:rsid w:val="00E2333B"/>
    <w:rsid w:val="00E23979"/>
    <w:rsid w:val="00E24145"/>
    <w:rsid w:val="00E24353"/>
    <w:rsid w:val="00E2483A"/>
    <w:rsid w:val="00E248AC"/>
    <w:rsid w:val="00E25107"/>
    <w:rsid w:val="00E251ED"/>
    <w:rsid w:val="00E253A9"/>
    <w:rsid w:val="00E25B33"/>
    <w:rsid w:val="00E26053"/>
    <w:rsid w:val="00E26569"/>
    <w:rsid w:val="00E26758"/>
    <w:rsid w:val="00E268A5"/>
    <w:rsid w:val="00E2748D"/>
    <w:rsid w:val="00E278EE"/>
    <w:rsid w:val="00E27BA1"/>
    <w:rsid w:val="00E27BF0"/>
    <w:rsid w:val="00E27E69"/>
    <w:rsid w:val="00E27F81"/>
    <w:rsid w:val="00E300E3"/>
    <w:rsid w:val="00E30307"/>
    <w:rsid w:val="00E30B10"/>
    <w:rsid w:val="00E30D4D"/>
    <w:rsid w:val="00E30D9B"/>
    <w:rsid w:val="00E31085"/>
    <w:rsid w:val="00E3109A"/>
    <w:rsid w:val="00E3128A"/>
    <w:rsid w:val="00E31636"/>
    <w:rsid w:val="00E31772"/>
    <w:rsid w:val="00E318C8"/>
    <w:rsid w:val="00E31CA1"/>
    <w:rsid w:val="00E31DE9"/>
    <w:rsid w:val="00E31FAC"/>
    <w:rsid w:val="00E324C1"/>
    <w:rsid w:val="00E32700"/>
    <w:rsid w:val="00E32846"/>
    <w:rsid w:val="00E3287D"/>
    <w:rsid w:val="00E328DF"/>
    <w:rsid w:val="00E32AD7"/>
    <w:rsid w:val="00E332F8"/>
    <w:rsid w:val="00E33635"/>
    <w:rsid w:val="00E33D3B"/>
    <w:rsid w:val="00E33E4B"/>
    <w:rsid w:val="00E3452F"/>
    <w:rsid w:val="00E3506D"/>
    <w:rsid w:val="00E35129"/>
    <w:rsid w:val="00E3560E"/>
    <w:rsid w:val="00E357A5"/>
    <w:rsid w:val="00E35A86"/>
    <w:rsid w:val="00E36181"/>
    <w:rsid w:val="00E368AD"/>
    <w:rsid w:val="00E37140"/>
    <w:rsid w:val="00E37193"/>
    <w:rsid w:val="00E37CBC"/>
    <w:rsid w:val="00E37CC1"/>
    <w:rsid w:val="00E37F19"/>
    <w:rsid w:val="00E402E5"/>
    <w:rsid w:val="00E4064E"/>
    <w:rsid w:val="00E409C1"/>
    <w:rsid w:val="00E40F5E"/>
    <w:rsid w:val="00E415E8"/>
    <w:rsid w:val="00E416FC"/>
    <w:rsid w:val="00E42200"/>
    <w:rsid w:val="00E42214"/>
    <w:rsid w:val="00E422FF"/>
    <w:rsid w:val="00E426B3"/>
    <w:rsid w:val="00E42848"/>
    <w:rsid w:val="00E429CE"/>
    <w:rsid w:val="00E42CF8"/>
    <w:rsid w:val="00E42E23"/>
    <w:rsid w:val="00E432AF"/>
    <w:rsid w:val="00E4363B"/>
    <w:rsid w:val="00E43B5F"/>
    <w:rsid w:val="00E43B94"/>
    <w:rsid w:val="00E44103"/>
    <w:rsid w:val="00E44494"/>
    <w:rsid w:val="00E44920"/>
    <w:rsid w:val="00E45154"/>
    <w:rsid w:val="00E451AE"/>
    <w:rsid w:val="00E45774"/>
    <w:rsid w:val="00E45900"/>
    <w:rsid w:val="00E45B37"/>
    <w:rsid w:val="00E45E54"/>
    <w:rsid w:val="00E45ED0"/>
    <w:rsid w:val="00E4669C"/>
    <w:rsid w:val="00E46AE4"/>
    <w:rsid w:val="00E46FDA"/>
    <w:rsid w:val="00E47078"/>
    <w:rsid w:val="00E471E6"/>
    <w:rsid w:val="00E4744E"/>
    <w:rsid w:val="00E477C0"/>
    <w:rsid w:val="00E47A1E"/>
    <w:rsid w:val="00E47BAE"/>
    <w:rsid w:val="00E47C64"/>
    <w:rsid w:val="00E47E67"/>
    <w:rsid w:val="00E5009F"/>
    <w:rsid w:val="00E501C1"/>
    <w:rsid w:val="00E50262"/>
    <w:rsid w:val="00E5068A"/>
    <w:rsid w:val="00E50712"/>
    <w:rsid w:val="00E51DA7"/>
    <w:rsid w:val="00E51DD7"/>
    <w:rsid w:val="00E51F1C"/>
    <w:rsid w:val="00E52198"/>
    <w:rsid w:val="00E52247"/>
    <w:rsid w:val="00E52391"/>
    <w:rsid w:val="00E525AB"/>
    <w:rsid w:val="00E525D4"/>
    <w:rsid w:val="00E52868"/>
    <w:rsid w:val="00E52888"/>
    <w:rsid w:val="00E52FA6"/>
    <w:rsid w:val="00E53065"/>
    <w:rsid w:val="00E53564"/>
    <w:rsid w:val="00E537B6"/>
    <w:rsid w:val="00E53AB0"/>
    <w:rsid w:val="00E53FB5"/>
    <w:rsid w:val="00E54281"/>
    <w:rsid w:val="00E544F8"/>
    <w:rsid w:val="00E54D34"/>
    <w:rsid w:val="00E550B8"/>
    <w:rsid w:val="00E553A5"/>
    <w:rsid w:val="00E55462"/>
    <w:rsid w:val="00E5557E"/>
    <w:rsid w:val="00E55613"/>
    <w:rsid w:val="00E55638"/>
    <w:rsid w:val="00E55B11"/>
    <w:rsid w:val="00E55F15"/>
    <w:rsid w:val="00E56076"/>
    <w:rsid w:val="00E5655B"/>
    <w:rsid w:val="00E56C6C"/>
    <w:rsid w:val="00E570AC"/>
    <w:rsid w:val="00E57444"/>
    <w:rsid w:val="00E5765F"/>
    <w:rsid w:val="00E57747"/>
    <w:rsid w:val="00E579D8"/>
    <w:rsid w:val="00E57E79"/>
    <w:rsid w:val="00E57EEC"/>
    <w:rsid w:val="00E600B0"/>
    <w:rsid w:val="00E601E9"/>
    <w:rsid w:val="00E601F3"/>
    <w:rsid w:val="00E604DD"/>
    <w:rsid w:val="00E60605"/>
    <w:rsid w:val="00E606C4"/>
    <w:rsid w:val="00E6090F"/>
    <w:rsid w:val="00E60AF7"/>
    <w:rsid w:val="00E60FB9"/>
    <w:rsid w:val="00E61165"/>
    <w:rsid w:val="00E611F9"/>
    <w:rsid w:val="00E615DE"/>
    <w:rsid w:val="00E6172B"/>
    <w:rsid w:val="00E6197E"/>
    <w:rsid w:val="00E61C36"/>
    <w:rsid w:val="00E61CC5"/>
    <w:rsid w:val="00E61D87"/>
    <w:rsid w:val="00E61DCF"/>
    <w:rsid w:val="00E61DE6"/>
    <w:rsid w:val="00E61F7E"/>
    <w:rsid w:val="00E62784"/>
    <w:rsid w:val="00E62D84"/>
    <w:rsid w:val="00E6327A"/>
    <w:rsid w:val="00E63355"/>
    <w:rsid w:val="00E63C7B"/>
    <w:rsid w:val="00E63CF7"/>
    <w:rsid w:val="00E64099"/>
    <w:rsid w:val="00E64120"/>
    <w:rsid w:val="00E64D5A"/>
    <w:rsid w:val="00E64ED5"/>
    <w:rsid w:val="00E64F89"/>
    <w:rsid w:val="00E65389"/>
    <w:rsid w:val="00E65627"/>
    <w:rsid w:val="00E65736"/>
    <w:rsid w:val="00E65C68"/>
    <w:rsid w:val="00E65C6B"/>
    <w:rsid w:val="00E65E04"/>
    <w:rsid w:val="00E65F02"/>
    <w:rsid w:val="00E663B7"/>
    <w:rsid w:val="00E66BEB"/>
    <w:rsid w:val="00E66F48"/>
    <w:rsid w:val="00E6770B"/>
    <w:rsid w:val="00E7006B"/>
    <w:rsid w:val="00E700D9"/>
    <w:rsid w:val="00E7020F"/>
    <w:rsid w:val="00E705B9"/>
    <w:rsid w:val="00E70625"/>
    <w:rsid w:val="00E70C63"/>
    <w:rsid w:val="00E712C7"/>
    <w:rsid w:val="00E71A93"/>
    <w:rsid w:val="00E72592"/>
    <w:rsid w:val="00E72680"/>
    <w:rsid w:val="00E72B34"/>
    <w:rsid w:val="00E72EF0"/>
    <w:rsid w:val="00E736CD"/>
    <w:rsid w:val="00E737D8"/>
    <w:rsid w:val="00E7391A"/>
    <w:rsid w:val="00E73A88"/>
    <w:rsid w:val="00E73F7B"/>
    <w:rsid w:val="00E745B7"/>
    <w:rsid w:val="00E7471C"/>
    <w:rsid w:val="00E74930"/>
    <w:rsid w:val="00E750A3"/>
    <w:rsid w:val="00E750EC"/>
    <w:rsid w:val="00E752CD"/>
    <w:rsid w:val="00E75344"/>
    <w:rsid w:val="00E75A44"/>
    <w:rsid w:val="00E76018"/>
    <w:rsid w:val="00E76112"/>
    <w:rsid w:val="00E768C2"/>
    <w:rsid w:val="00E769D1"/>
    <w:rsid w:val="00E76A74"/>
    <w:rsid w:val="00E76D9B"/>
    <w:rsid w:val="00E7700C"/>
    <w:rsid w:val="00E77470"/>
    <w:rsid w:val="00E7783E"/>
    <w:rsid w:val="00E80042"/>
    <w:rsid w:val="00E80090"/>
    <w:rsid w:val="00E800B2"/>
    <w:rsid w:val="00E800F9"/>
    <w:rsid w:val="00E805F3"/>
    <w:rsid w:val="00E80C90"/>
    <w:rsid w:val="00E81E33"/>
    <w:rsid w:val="00E81EC4"/>
    <w:rsid w:val="00E824BF"/>
    <w:rsid w:val="00E82938"/>
    <w:rsid w:val="00E830BB"/>
    <w:rsid w:val="00E836D1"/>
    <w:rsid w:val="00E8380D"/>
    <w:rsid w:val="00E844D0"/>
    <w:rsid w:val="00E848C1"/>
    <w:rsid w:val="00E84937"/>
    <w:rsid w:val="00E84BA6"/>
    <w:rsid w:val="00E84DA3"/>
    <w:rsid w:val="00E84E89"/>
    <w:rsid w:val="00E85307"/>
    <w:rsid w:val="00E85DA9"/>
    <w:rsid w:val="00E85EF5"/>
    <w:rsid w:val="00E85F04"/>
    <w:rsid w:val="00E8627A"/>
    <w:rsid w:val="00E862A7"/>
    <w:rsid w:val="00E862C0"/>
    <w:rsid w:val="00E8635B"/>
    <w:rsid w:val="00E86C0D"/>
    <w:rsid w:val="00E87125"/>
    <w:rsid w:val="00E871B1"/>
    <w:rsid w:val="00E871F1"/>
    <w:rsid w:val="00E874A1"/>
    <w:rsid w:val="00E874B3"/>
    <w:rsid w:val="00E876DE"/>
    <w:rsid w:val="00E877F8"/>
    <w:rsid w:val="00E8795E"/>
    <w:rsid w:val="00E87967"/>
    <w:rsid w:val="00E87AD4"/>
    <w:rsid w:val="00E87CDD"/>
    <w:rsid w:val="00E90059"/>
    <w:rsid w:val="00E90BEB"/>
    <w:rsid w:val="00E90EAF"/>
    <w:rsid w:val="00E90F34"/>
    <w:rsid w:val="00E9147D"/>
    <w:rsid w:val="00E91832"/>
    <w:rsid w:val="00E918DD"/>
    <w:rsid w:val="00E9199A"/>
    <w:rsid w:val="00E91DF2"/>
    <w:rsid w:val="00E92441"/>
    <w:rsid w:val="00E9258F"/>
    <w:rsid w:val="00E9398C"/>
    <w:rsid w:val="00E93BA0"/>
    <w:rsid w:val="00E93BC1"/>
    <w:rsid w:val="00E9408D"/>
    <w:rsid w:val="00E9426D"/>
    <w:rsid w:val="00E942BE"/>
    <w:rsid w:val="00E9479E"/>
    <w:rsid w:val="00E94A47"/>
    <w:rsid w:val="00E94B11"/>
    <w:rsid w:val="00E95707"/>
    <w:rsid w:val="00E95AC3"/>
    <w:rsid w:val="00E95CAB"/>
    <w:rsid w:val="00E95CD4"/>
    <w:rsid w:val="00E95E25"/>
    <w:rsid w:val="00E95F30"/>
    <w:rsid w:val="00E968B8"/>
    <w:rsid w:val="00E96B47"/>
    <w:rsid w:val="00E97101"/>
    <w:rsid w:val="00E9791F"/>
    <w:rsid w:val="00E979FD"/>
    <w:rsid w:val="00E97B6F"/>
    <w:rsid w:val="00E97DDD"/>
    <w:rsid w:val="00EA013A"/>
    <w:rsid w:val="00EA01FF"/>
    <w:rsid w:val="00EA05E0"/>
    <w:rsid w:val="00EA0868"/>
    <w:rsid w:val="00EA0A9F"/>
    <w:rsid w:val="00EA0F33"/>
    <w:rsid w:val="00EA1022"/>
    <w:rsid w:val="00EA104A"/>
    <w:rsid w:val="00EA13D2"/>
    <w:rsid w:val="00EA14BE"/>
    <w:rsid w:val="00EA1694"/>
    <w:rsid w:val="00EA1761"/>
    <w:rsid w:val="00EA18F1"/>
    <w:rsid w:val="00EA1AA2"/>
    <w:rsid w:val="00EA1B94"/>
    <w:rsid w:val="00EA1C10"/>
    <w:rsid w:val="00EA23F7"/>
    <w:rsid w:val="00EA25B4"/>
    <w:rsid w:val="00EA2623"/>
    <w:rsid w:val="00EA2630"/>
    <w:rsid w:val="00EA2BE7"/>
    <w:rsid w:val="00EA2D62"/>
    <w:rsid w:val="00EA2D6F"/>
    <w:rsid w:val="00EA2E20"/>
    <w:rsid w:val="00EA2F7D"/>
    <w:rsid w:val="00EA35BC"/>
    <w:rsid w:val="00EA3B1C"/>
    <w:rsid w:val="00EA3D4E"/>
    <w:rsid w:val="00EA427E"/>
    <w:rsid w:val="00EA42F9"/>
    <w:rsid w:val="00EA43B9"/>
    <w:rsid w:val="00EA4431"/>
    <w:rsid w:val="00EA47AF"/>
    <w:rsid w:val="00EA4843"/>
    <w:rsid w:val="00EA48D5"/>
    <w:rsid w:val="00EA4C34"/>
    <w:rsid w:val="00EA4F56"/>
    <w:rsid w:val="00EA527A"/>
    <w:rsid w:val="00EA55DA"/>
    <w:rsid w:val="00EA5B66"/>
    <w:rsid w:val="00EA5FC2"/>
    <w:rsid w:val="00EA672C"/>
    <w:rsid w:val="00EA6C49"/>
    <w:rsid w:val="00EA6E29"/>
    <w:rsid w:val="00EA6FAF"/>
    <w:rsid w:val="00EA7309"/>
    <w:rsid w:val="00EA77B4"/>
    <w:rsid w:val="00EA7863"/>
    <w:rsid w:val="00EA7928"/>
    <w:rsid w:val="00EA7C92"/>
    <w:rsid w:val="00EA7CA9"/>
    <w:rsid w:val="00EB0009"/>
    <w:rsid w:val="00EB01FC"/>
    <w:rsid w:val="00EB0A94"/>
    <w:rsid w:val="00EB0B1F"/>
    <w:rsid w:val="00EB0C55"/>
    <w:rsid w:val="00EB14FF"/>
    <w:rsid w:val="00EB1897"/>
    <w:rsid w:val="00EB1AC0"/>
    <w:rsid w:val="00EB1AE3"/>
    <w:rsid w:val="00EB1CA9"/>
    <w:rsid w:val="00EB2648"/>
    <w:rsid w:val="00EB2703"/>
    <w:rsid w:val="00EB34DC"/>
    <w:rsid w:val="00EB3AD2"/>
    <w:rsid w:val="00EB3BBB"/>
    <w:rsid w:val="00EB3D20"/>
    <w:rsid w:val="00EB3EFA"/>
    <w:rsid w:val="00EB3F14"/>
    <w:rsid w:val="00EB455D"/>
    <w:rsid w:val="00EB52C8"/>
    <w:rsid w:val="00EB5466"/>
    <w:rsid w:val="00EB566D"/>
    <w:rsid w:val="00EB5869"/>
    <w:rsid w:val="00EB5FB8"/>
    <w:rsid w:val="00EB62CC"/>
    <w:rsid w:val="00EB6655"/>
    <w:rsid w:val="00EB71CD"/>
    <w:rsid w:val="00EB71F8"/>
    <w:rsid w:val="00EC0124"/>
    <w:rsid w:val="00EC07B8"/>
    <w:rsid w:val="00EC0BDD"/>
    <w:rsid w:val="00EC0D96"/>
    <w:rsid w:val="00EC201A"/>
    <w:rsid w:val="00EC2575"/>
    <w:rsid w:val="00EC276B"/>
    <w:rsid w:val="00EC2805"/>
    <w:rsid w:val="00EC2927"/>
    <w:rsid w:val="00EC2B54"/>
    <w:rsid w:val="00EC2D91"/>
    <w:rsid w:val="00EC2F3C"/>
    <w:rsid w:val="00EC3385"/>
    <w:rsid w:val="00EC3508"/>
    <w:rsid w:val="00EC38DD"/>
    <w:rsid w:val="00EC3C52"/>
    <w:rsid w:val="00EC421A"/>
    <w:rsid w:val="00EC445F"/>
    <w:rsid w:val="00EC44FB"/>
    <w:rsid w:val="00EC47FE"/>
    <w:rsid w:val="00EC490A"/>
    <w:rsid w:val="00EC4A53"/>
    <w:rsid w:val="00EC5495"/>
    <w:rsid w:val="00EC574B"/>
    <w:rsid w:val="00EC5882"/>
    <w:rsid w:val="00EC5A48"/>
    <w:rsid w:val="00EC5AAE"/>
    <w:rsid w:val="00EC5CC2"/>
    <w:rsid w:val="00EC5D6D"/>
    <w:rsid w:val="00EC679E"/>
    <w:rsid w:val="00EC6CEE"/>
    <w:rsid w:val="00EC727F"/>
    <w:rsid w:val="00EC72E6"/>
    <w:rsid w:val="00EC78C3"/>
    <w:rsid w:val="00EC7D10"/>
    <w:rsid w:val="00EC7E67"/>
    <w:rsid w:val="00EC7EB9"/>
    <w:rsid w:val="00ED04AD"/>
    <w:rsid w:val="00ED0B2F"/>
    <w:rsid w:val="00ED0B96"/>
    <w:rsid w:val="00ED0D10"/>
    <w:rsid w:val="00ED1314"/>
    <w:rsid w:val="00ED1A17"/>
    <w:rsid w:val="00ED1A48"/>
    <w:rsid w:val="00ED1AC3"/>
    <w:rsid w:val="00ED22D8"/>
    <w:rsid w:val="00ED23CA"/>
    <w:rsid w:val="00ED2557"/>
    <w:rsid w:val="00ED2651"/>
    <w:rsid w:val="00ED2B14"/>
    <w:rsid w:val="00ED323D"/>
    <w:rsid w:val="00ED36B1"/>
    <w:rsid w:val="00ED370A"/>
    <w:rsid w:val="00ED3BF6"/>
    <w:rsid w:val="00ED3F55"/>
    <w:rsid w:val="00ED4113"/>
    <w:rsid w:val="00ED4476"/>
    <w:rsid w:val="00ED4B15"/>
    <w:rsid w:val="00ED4E0B"/>
    <w:rsid w:val="00ED4E4E"/>
    <w:rsid w:val="00ED54F0"/>
    <w:rsid w:val="00ED550D"/>
    <w:rsid w:val="00ED574E"/>
    <w:rsid w:val="00ED61B9"/>
    <w:rsid w:val="00ED6303"/>
    <w:rsid w:val="00ED645E"/>
    <w:rsid w:val="00ED65D5"/>
    <w:rsid w:val="00ED663D"/>
    <w:rsid w:val="00ED66F6"/>
    <w:rsid w:val="00ED67E9"/>
    <w:rsid w:val="00ED69D0"/>
    <w:rsid w:val="00ED6B14"/>
    <w:rsid w:val="00ED7217"/>
    <w:rsid w:val="00ED756E"/>
    <w:rsid w:val="00ED787B"/>
    <w:rsid w:val="00ED7D2E"/>
    <w:rsid w:val="00ED7FE5"/>
    <w:rsid w:val="00ED7FEE"/>
    <w:rsid w:val="00EE0C69"/>
    <w:rsid w:val="00EE0DA6"/>
    <w:rsid w:val="00EE0FA7"/>
    <w:rsid w:val="00EE15D7"/>
    <w:rsid w:val="00EE1D4E"/>
    <w:rsid w:val="00EE2823"/>
    <w:rsid w:val="00EE2830"/>
    <w:rsid w:val="00EE2C35"/>
    <w:rsid w:val="00EE2F90"/>
    <w:rsid w:val="00EE304C"/>
    <w:rsid w:val="00EE3070"/>
    <w:rsid w:val="00EE322B"/>
    <w:rsid w:val="00EE3563"/>
    <w:rsid w:val="00EE35A7"/>
    <w:rsid w:val="00EE39A3"/>
    <w:rsid w:val="00EE3CA8"/>
    <w:rsid w:val="00EE3CDA"/>
    <w:rsid w:val="00EE3FE0"/>
    <w:rsid w:val="00EE53A1"/>
    <w:rsid w:val="00EE5768"/>
    <w:rsid w:val="00EE6475"/>
    <w:rsid w:val="00EE6F77"/>
    <w:rsid w:val="00EE6FA6"/>
    <w:rsid w:val="00EE704A"/>
    <w:rsid w:val="00EE7125"/>
    <w:rsid w:val="00EE7385"/>
    <w:rsid w:val="00EE75CB"/>
    <w:rsid w:val="00EE75EB"/>
    <w:rsid w:val="00EE7960"/>
    <w:rsid w:val="00EE7B16"/>
    <w:rsid w:val="00EF0274"/>
    <w:rsid w:val="00EF0CCD"/>
    <w:rsid w:val="00EF1063"/>
    <w:rsid w:val="00EF1385"/>
    <w:rsid w:val="00EF164F"/>
    <w:rsid w:val="00EF16AE"/>
    <w:rsid w:val="00EF196E"/>
    <w:rsid w:val="00EF1A16"/>
    <w:rsid w:val="00EF22F0"/>
    <w:rsid w:val="00EF2424"/>
    <w:rsid w:val="00EF29FF"/>
    <w:rsid w:val="00EF3390"/>
    <w:rsid w:val="00EF3655"/>
    <w:rsid w:val="00EF37C6"/>
    <w:rsid w:val="00EF3AA8"/>
    <w:rsid w:val="00EF3ADB"/>
    <w:rsid w:val="00EF493A"/>
    <w:rsid w:val="00EF4A69"/>
    <w:rsid w:val="00EF4B02"/>
    <w:rsid w:val="00EF4D83"/>
    <w:rsid w:val="00EF4F1E"/>
    <w:rsid w:val="00EF52C8"/>
    <w:rsid w:val="00EF56F5"/>
    <w:rsid w:val="00EF57B6"/>
    <w:rsid w:val="00EF59A1"/>
    <w:rsid w:val="00EF5A59"/>
    <w:rsid w:val="00EF5A5C"/>
    <w:rsid w:val="00EF5E79"/>
    <w:rsid w:val="00EF616C"/>
    <w:rsid w:val="00EF635E"/>
    <w:rsid w:val="00EF6A00"/>
    <w:rsid w:val="00EF6EDB"/>
    <w:rsid w:val="00EF734E"/>
    <w:rsid w:val="00EF7504"/>
    <w:rsid w:val="00EF7738"/>
    <w:rsid w:val="00EF78A5"/>
    <w:rsid w:val="00EF7FE0"/>
    <w:rsid w:val="00F00159"/>
    <w:rsid w:val="00F002A1"/>
    <w:rsid w:val="00F008DA"/>
    <w:rsid w:val="00F00B5B"/>
    <w:rsid w:val="00F00BD6"/>
    <w:rsid w:val="00F00DFD"/>
    <w:rsid w:val="00F00F22"/>
    <w:rsid w:val="00F01167"/>
    <w:rsid w:val="00F01895"/>
    <w:rsid w:val="00F02298"/>
    <w:rsid w:val="00F02357"/>
    <w:rsid w:val="00F02610"/>
    <w:rsid w:val="00F027CF"/>
    <w:rsid w:val="00F02C2C"/>
    <w:rsid w:val="00F03092"/>
    <w:rsid w:val="00F034F3"/>
    <w:rsid w:val="00F03530"/>
    <w:rsid w:val="00F037C5"/>
    <w:rsid w:val="00F03D38"/>
    <w:rsid w:val="00F040A5"/>
    <w:rsid w:val="00F04924"/>
    <w:rsid w:val="00F05270"/>
    <w:rsid w:val="00F0529C"/>
    <w:rsid w:val="00F058B7"/>
    <w:rsid w:val="00F05AA6"/>
    <w:rsid w:val="00F05FAA"/>
    <w:rsid w:val="00F060CB"/>
    <w:rsid w:val="00F06599"/>
    <w:rsid w:val="00F06CE3"/>
    <w:rsid w:val="00F06DB4"/>
    <w:rsid w:val="00F06F32"/>
    <w:rsid w:val="00F07133"/>
    <w:rsid w:val="00F071B9"/>
    <w:rsid w:val="00F0788D"/>
    <w:rsid w:val="00F07E00"/>
    <w:rsid w:val="00F1021D"/>
    <w:rsid w:val="00F108A2"/>
    <w:rsid w:val="00F10983"/>
    <w:rsid w:val="00F110B3"/>
    <w:rsid w:val="00F11121"/>
    <w:rsid w:val="00F1126A"/>
    <w:rsid w:val="00F11398"/>
    <w:rsid w:val="00F11BEC"/>
    <w:rsid w:val="00F11FE4"/>
    <w:rsid w:val="00F126D9"/>
    <w:rsid w:val="00F12760"/>
    <w:rsid w:val="00F12EA2"/>
    <w:rsid w:val="00F13362"/>
    <w:rsid w:val="00F13602"/>
    <w:rsid w:val="00F13935"/>
    <w:rsid w:val="00F13A71"/>
    <w:rsid w:val="00F13B76"/>
    <w:rsid w:val="00F13E28"/>
    <w:rsid w:val="00F13F89"/>
    <w:rsid w:val="00F145D2"/>
    <w:rsid w:val="00F1477A"/>
    <w:rsid w:val="00F14897"/>
    <w:rsid w:val="00F14F04"/>
    <w:rsid w:val="00F14F9F"/>
    <w:rsid w:val="00F15150"/>
    <w:rsid w:val="00F154C2"/>
    <w:rsid w:val="00F15905"/>
    <w:rsid w:val="00F15E81"/>
    <w:rsid w:val="00F16147"/>
    <w:rsid w:val="00F165D1"/>
    <w:rsid w:val="00F1672E"/>
    <w:rsid w:val="00F16865"/>
    <w:rsid w:val="00F16A7E"/>
    <w:rsid w:val="00F16ECB"/>
    <w:rsid w:val="00F1718C"/>
    <w:rsid w:val="00F175FB"/>
    <w:rsid w:val="00F1773A"/>
    <w:rsid w:val="00F17F69"/>
    <w:rsid w:val="00F209DE"/>
    <w:rsid w:val="00F20E92"/>
    <w:rsid w:val="00F20F15"/>
    <w:rsid w:val="00F218E6"/>
    <w:rsid w:val="00F21B60"/>
    <w:rsid w:val="00F22529"/>
    <w:rsid w:val="00F22595"/>
    <w:rsid w:val="00F2263A"/>
    <w:rsid w:val="00F227B3"/>
    <w:rsid w:val="00F22B98"/>
    <w:rsid w:val="00F22D14"/>
    <w:rsid w:val="00F232E9"/>
    <w:rsid w:val="00F237DC"/>
    <w:rsid w:val="00F23A06"/>
    <w:rsid w:val="00F23C3D"/>
    <w:rsid w:val="00F23ECB"/>
    <w:rsid w:val="00F249F7"/>
    <w:rsid w:val="00F24EDE"/>
    <w:rsid w:val="00F24F0D"/>
    <w:rsid w:val="00F2524B"/>
    <w:rsid w:val="00F25ADB"/>
    <w:rsid w:val="00F25E40"/>
    <w:rsid w:val="00F26056"/>
    <w:rsid w:val="00F2636D"/>
    <w:rsid w:val="00F2657C"/>
    <w:rsid w:val="00F26807"/>
    <w:rsid w:val="00F26B9E"/>
    <w:rsid w:val="00F26C10"/>
    <w:rsid w:val="00F26F67"/>
    <w:rsid w:val="00F279D5"/>
    <w:rsid w:val="00F30405"/>
    <w:rsid w:val="00F304A5"/>
    <w:rsid w:val="00F30888"/>
    <w:rsid w:val="00F30ABD"/>
    <w:rsid w:val="00F30D6A"/>
    <w:rsid w:val="00F30EB8"/>
    <w:rsid w:val="00F3126C"/>
    <w:rsid w:val="00F31493"/>
    <w:rsid w:val="00F31CFA"/>
    <w:rsid w:val="00F31FF4"/>
    <w:rsid w:val="00F322C3"/>
    <w:rsid w:val="00F324E1"/>
    <w:rsid w:val="00F32875"/>
    <w:rsid w:val="00F32BD9"/>
    <w:rsid w:val="00F32D45"/>
    <w:rsid w:val="00F32D7B"/>
    <w:rsid w:val="00F334B7"/>
    <w:rsid w:val="00F3356D"/>
    <w:rsid w:val="00F336D0"/>
    <w:rsid w:val="00F33FCE"/>
    <w:rsid w:val="00F341F6"/>
    <w:rsid w:val="00F34483"/>
    <w:rsid w:val="00F34696"/>
    <w:rsid w:val="00F346FF"/>
    <w:rsid w:val="00F347A4"/>
    <w:rsid w:val="00F3485F"/>
    <w:rsid w:val="00F3543F"/>
    <w:rsid w:val="00F35627"/>
    <w:rsid w:val="00F359B3"/>
    <w:rsid w:val="00F35DC2"/>
    <w:rsid w:val="00F365EA"/>
    <w:rsid w:val="00F36E8C"/>
    <w:rsid w:val="00F36F17"/>
    <w:rsid w:val="00F37139"/>
    <w:rsid w:val="00F37832"/>
    <w:rsid w:val="00F37B90"/>
    <w:rsid w:val="00F401D5"/>
    <w:rsid w:val="00F4070E"/>
    <w:rsid w:val="00F40966"/>
    <w:rsid w:val="00F40B9B"/>
    <w:rsid w:val="00F40CD8"/>
    <w:rsid w:val="00F417F4"/>
    <w:rsid w:val="00F419D3"/>
    <w:rsid w:val="00F41AB2"/>
    <w:rsid w:val="00F41ADB"/>
    <w:rsid w:val="00F41B49"/>
    <w:rsid w:val="00F41EC9"/>
    <w:rsid w:val="00F424FF"/>
    <w:rsid w:val="00F427BE"/>
    <w:rsid w:val="00F427DF"/>
    <w:rsid w:val="00F42A00"/>
    <w:rsid w:val="00F42A86"/>
    <w:rsid w:val="00F42E3E"/>
    <w:rsid w:val="00F42F6A"/>
    <w:rsid w:val="00F42F9F"/>
    <w:rsid w:val="00F42FEE"/>
    <w:rsid w:val="00F430E0"/>
    <w:rsid w:val="00F4365E"/>
    <w:rsid w:val="00F438FE"/>
    <w:rsid w:val="00F43999"/>
    <w:rsid w:val="00F43CD4"/>
    <w:rsid w:val="00F43DE6"/>
    <w:rsid w:val="00F43E18"/>
    <w:rsid w:val="00F440C9"/>
    <w:rsid w:val="00F4432A"/>
    <w:rsid w:val="00F4473E"/>
    <w:rsid w:val="00F44AE1"/>
    <w:rsid w:val="00F44CE8"/>
    <w:rsid w:val="00F45065"/>
    <w:rsid w:val="00F451BB"/>
    <w:rsid w:val="00F45372"/>
    <w:rsid w:val="00F457D1"/>
    <w:rsid w:val="00F4595E"/>
    <w:rsid w:val="00F466B0"/>
    <w:rsid w:val="00F46E41"/>
    <w:rsid w:val="00F4771F"/>
    <w:rsid w:val="00F47E64"/>
    <w:rsid w:val="00F47F8E"/>
    <w:rsid w:val="00F50424"/>
    <w:rsid w:val="00F505B8"/>
    <w:rsid w:val="00F5086A"/>
    <w:rsid w:val="00F50B9E"/>
    <w:rsid w:val="00F50CDB"/>
    <w:rsid w:val="00F50ED9"/>
    <w:rsid w:val="00F51121"/>
    <w:rsid w:val="00F51405"/>
    <w:rsid w:val="00F5168E"/>
    <w:rsid w:val="00F51D00"/>
    <w:rsid w:val="00F51D45"/>
    <w:rsid w:val="00F51F0F"/>
    <w:rsid w:val="00F521A4"/>
    <w:rsid w:val="00F52F09"/>
    <w:rsid w:val="00F52FB1"/>
    <w:rsid w:val="00F533F0"/>
    <w:rsid w:val="00F5342F"/>
    <w:rsid w:val="00F5345D"/>
    <w:rsid w:val="00F536BE"/>
    <w:rsid w:val="00F53BC5"/>
    <w:rsid w:val="00F53CEE"/>
    <w:rsid w:val="00F5447B"/>
    <w:rsid w:val="00F54549"/>
    <w:rsid w:val="00F54DCC"/>
    <w:rsid w:val="00F54ED8"/>
    <w:rsid w:val="00F54F18"/>
    <w:rsid w:val="00F5535B"/>
    <w:rsid w:val="00F553E6"/>
    <w:rsid w:val="00F5580F"/>
    <w:rsid w:val="00F55B72"/>
    <w:rsid w:val="00F55DB7"/>
    <w:rsid w:val="00F55E38"/>
    <w:rsid w:val="00F55E8B"/>
    <w:rsid w:val="00F5626C"/>
    <w:rsid w:val="00F5628B"/>
    <w:rsid w:val="00F56A78"/>
    <w:rsid w:val="00F56D5F"/>
    <w:rsid w:val="00F57DF1"/>
    <w:rsid w:val="00F57E9E"/>
    <w:rsid w:val="00F6025D"/>
    <w:rsid w:val="00F60540"/>
    <w:rsid w:val="00F6065B"/>
    <w:rsid w:val="00F6068B"/>
    <w:rsid w:val="00F60812"/>
    <w:rsid w:val="00F6092B"/>
    <w:rsid w:val="00F609A4"/>
    <w:rsid w:val="00F60FDF"/>
    <w:rsid w:val="00F61588"/>
    <w:rsid w:val="00F61591"/>
    <w:rsid w:val="00F61657"/>
    <w:rsid w:val="00F619E2"/>
    <w:rsid w:val="00F62342"/>
    <w:rsid w:val="00F623CB"/>
    <w:rsid w:val="00F6243A"/>
    <w:rsid w:val="00F6268B"/>
    <w:rsid w:val="00F62691"/>
    <w:rsid w:val="00F62AB8"/>
    <w:rsid w:val="00F62F19"/>
    <w:rsid w:val="00F62FC6"/>
    <w:rsid w:val="00F630C5"/>
    <w:rsid w:val="00F63502"/>
    <w:rsid w:val="00F63723"/>
    <w:rsid w:val="00F6386A"/>
    <w:rsid w:val="00F638BF"/>
    <w:rsid w:val="00F63951"/>
    <w:rsid w:val="00F639DA"/>
    <w:rsid w:val="00F63E97"/>
    <w:rsid w:val="00F63F36"/>
    <w:rsid w:val="00F64150"/>
    <w:rsid w:val="00F6453E"/>
    <w:rsid w:val="00F648DD"/>
    <w:rsid w:val="00F64EAB"/>
    <w:rsid w:val="00F65502"/>
    <w:rsid w:val="00F65753"/>
    <w:rsid w:val="00F65B0A"/>
    <w:rsid w:val="00F65E3F"/>
    <w:rsid w:val="00F65FF2"/>
    <w:rsid w:val="00F66547"/>
    <w:rsid w:val="00F6700D"/>
    <w:rsid w:val="00F6705D"/>
    <w:rsid w:val="00F6710C"/>
    <w:rsid w:val="00F67299"/>
    <w:rsid w:val="00F67355"/>
    <w:rsid w:val="00F6736B"/>
    <w:rsid w:val="00F678A7"/>
    <w:rsid w:val="00F678B6"/>
    <w:rsid w:val="00F67B9B"/>
    <w:rsid w:val="00F67F82"/>
    <w:rsid w:val="00F7058B"/>
    <w:rsid w:val="00F70C6D"/>
    <w:rsid w:val="00F71124"/>
    <w:rsid w:val="00F7116E"/>
    <w:rsid w:val="00F71262"/>
    <w:rsid w:val="00F71753"/>
    <w:rsid w:val="00F71E4B"/>
    <w:rsid w:val="00F720A3"/>
    <w:rsid w:val="00F72871"/>
    <w:rsid w:val="00F72872"/>
    <w:rsid w:val="00F7297F"/>
    <w:rsid w:val="00F72CD9"/>
    <w:rsid w:val="00F7303D"/>
    <w:rsid w:val="00F732F9"/>
    <w:rsid w:val="00F735F4"/>
    <w:rsid w:val="00F73773"/>
    <w:rsid w:val="00F73D97"/>
    <w:rsid w:val="00F74469"/>
    <w:rsid w:val="00F74DBD"/>
    <w:rsid w:val="00F75078"/>
    <w:rsid w:val="00F751E0"/>
    <w:rsid w:val="00F753F8"/>
    <w:rsid w:val="00F75546"/>
    <w:rsid w:val="00F756B0"/>
    <w:rsid w:val="00F7598D"/>
    <w:rsid w:val="00F760EF"/>
    <w:rsid w:val="00F7619D"/>
    <w:rsid w:val="00F76364"/>
    <w:rsid w:val="00F76E5A"/>
    <w:rsid w:val="00F76EBF"/>
    <w:rsid w:val="00F76F3C"/>
    <w:rsid w:val="00F76F7A"/>
    <w:rsid w:val="00F76FB3"/>
    <w:rsid w:val="00F77066"/>
    <w:rsid w:val="00F7717A"/>
    <w:rsid w:val="00F7755E"/>
    <w:rsid w:val="00F77630"/>
    <w:rsid w:val="00F77697"/>
    <w:rsid w:val="00F77DB4"/>
    <w:rsid w:val="00F77F47"/>
    <w:rsid w:val="00F80690"/>
    <w:rsid w:val="00F80767"/>
    <w:rsid w:val="00F80841"/>
    <w:rsid w:val="00F80C41"/>
    <w:rsid w:val="00F813E4"/>
    <w:rsid w:val="00F8182A"/>
    <w:rsid w:val="00F81971"/>
    <w:rsid w:val="00F81AFD"/>
    <w:rsid w:val="00F81DC1"/>
    <w:rsid w:val="00F8237E"/>
    <w:rsid w:val="00F82ACF"/>
    <w:rsid w:val="00F83322"/>
    <w:rsid w:val="00F83821"/>
    <w:rsid w:val="00F83854"/>
    <w:rsid w:val="00F838F8"/>
    <w:rsid w:val="00F83A74"/>
    <w:rsid w:val="00F83A89"/>
    <w:rsid w:val="00F83C58"/>
    <w:rsid w:val="00F83D74"/>
    <w:rsid w:val="00F83D8B"/>
    <w:rsid w:val="00F84697"/>
    <w:rsid w:val="00F84D08"/>
    <w:rsid w:val="00F84EDE"/>
    <w:rsid w:val="00F85057"/>
    <w:rsid w:val="00F85A9E"/>
    <w:rsid w:val="00F85B29"/>
    <w:rsid w:val="00F85D0E"/>
    <w:rsid w:val="00F86052"/>
    <w:rsid w:val="00F86057"/>
    <w:rsid w:val="00F860C6"/>
    <w:rsid w:val="00F86103"/>
    <w:rsid w:val="00F8646D"/>
    <w:rsid w:val="00F86C58"/>
    <w:rsid w:val="00F87E7A"/>
    <w:rsid w:val="00F90156"/>
    <w:rsid w:val="00F90583"/>
    <w:rsid w:val="00F90BAA"/>
    <w:rsid w:val="00F90EA1"/>
    <w:rsid w:val="00F90F4D"/>
    <w:rsid w:val="00F913ED"/>
    <w:rsid w:val="00F91893"/>
    <w:rsid w:val="00F91DF3"/>
    <w:rsid w:val="00F91E13"/>
    <w:rsid w:val="00F9208F"/>
    <w:rsid w:val="00F9213E"/>
    <w:rsid w:val="00F92346"/>
    <w:rsid w:val="00F92B14"/>
    <w:rsid w:val="00F92E88"/>
    <w:rsid w:val="00F93667"/>
    <w:rsid w:val="00F93782"/>
    <w:rsid w:val="00F93D47"/>
    <w:rsid w:val="00F93FDF"/>
    <w:rsid w:val="00F94293"/>
    <w:rsid w:val="00F94AE2"/>
    <w:rsid w:val="00F94D8F"/>
    <w:rsid w:val="00F95633"/>
    <w:rsid w:val="00F95672"/>
    <w:rsid w:val="00F95749"/>
    <w:rsid w:val="00F95F44"/>
    <w:rsid w:val="00F964DE"/>
    <w:rsid w:val="00F966CA"/>
    <w:rsid w:val="00F971B5"/>
    <w:rsid w:val="00F97551"/>
    <w:rsid w:val="00F9779A"/>
    <w:rsid w:val="00F9797C"/>
    <w:rsid w:val="00F97E8C"/>
    <w:rsid w:val="00FA0146"/>
    <w:rsid w:val="00FA01CD"/>
    <w:rsid w:val="00FA0286"/>
    <w:rsid w:val="00FA0B99"/>
    <w:rsid w:val="00FA0C9B"/>
    <w:rsid w:val="00FA10B6"/>
    <w:rsid w:val="00FA114C"/>
    <w:rsid w:val="00FA18E2"/>
    <w:rsid w:val="00FA1975"/>
    <w:rsid w:val="00FA1CB9"/>
    <w:rsid w:val="00FA1E20"/>
    <w:rsid w:val="00FA1F48"/>
    <w:rsid w:val="00FA221E"/>
    <w:rsid w:val="00FA22D5"/>
    <w:rsid w:val="00FA250B"/>
    <w:rsid w:val="00FA2B97"/>
    <w:rsid w:val="00FA2BBA"/>
    <w:rsid w:val="00FA2D3A"/>
    <w:rsid w:val="00FA3786"/>
    <w:rsid w:val="00FA3959"/>
    <w:rsid w:val="00FA39E9"/>
    <w:rsid w:val="00FA3DB2"/>
    <w:rsid w:val="00FA3E39"/>
    <w:rsid w:val="00FA4189"/>
    <w:rsid w:val="00FA42FC"/>
    <w:rsid w:val="00FA4670"/>
    <w:rsid w:val="00FA46AE"/>
    <w:rsid w:val="00FA48FD"/>
    <w:rsid w:val="00FA4BD8"/>
    <w:rsid w:val="00FA4D30"/>
    <w:rsid w:val="00FA54D1"/>
    <w:rsid w:val="00FA57C3"/>
    <w:rsid w:val="00FA6357"/>
    <w:rsid w:val="00FA6366"/>
    <w:rsid w:val="00FA67F4"/>
    <w:rsid w:val="00FA683D"/>
    <w:rsid w:val="00FA68E4"/>
    <w:rsid w:val="00FA6C77"/>
    <w:rsid w:val="00FA6E94"/>
    <w:rsid w:val="00FA6EE4"/>
    <w:rsid w:val="00FA712B"/>
    <w:rsid w:val="00FA72AA"/>
    <w:rsid w:val="00FA7B6B"/>
    <w:rsid w:val="00FA7C40"/>
    <w:rsid w:val="00FA7EC2"/>
    <w:rsid w:val="00FA7F89"/>
    <w:rsid w:val="00FB0E53"/>
    <w:rsid w:val="00FB11A7"/>
    <w:rsid w:val="00FB13DE"/>
    <w:rsid w:val="00FB168D"/>
    <w:rsid w:val="00FB21EE"/>
    <w:rsid w:val="00FB24A5"/>
    <w:rsid w:val="00FB2609"/>
    <w:rsid w:val="00FB2D67"/>
    <w:rsid w:val="00FB2D84"/>
    <w:rsid w:val="00FB34AE"/>
    <w:rsid w:val="00FB358A"/>
    <w:rsid w:val="00FB3604"/>
    <w:rsid w:val="00FB362B"/>
    <w:rsid w:val="00FB37C8"/>
    <w:rsid w:val="00FB3842"/>
    <w:rsid w:val="00FB3EE7"/>
    <w:rsid w:val="00FB3F78"/>
    <w:rsid w:val="00FB40AE"/>
    <w:rsid w:val="00FB4475"/>
    <w:rsid w:val="00FB467E"/>
    <w:rsid w:val="00FB4F61"/>
    <w:rsid w:val="00FB50CB"/>
    <w:rsid w:val="00FB5223"/>
    <w:rsid w:val="00FB52F6"/>
    <w:rsid w:val="00FB59AE"/>
    <w:rsid w:val="00FB5B19"/>
    <w:rsid w:val="00FB5DA8"/>
    <w:rsid w:val="00FB637E"/>
    <w:rsid w:val="00FB64A3"/>
    <w:rsid w:val="00FB65B6"/>
    <w:rsid w:val="00FB69AB"/>
    <w:rsid w:val="00FB6E26"/>
    <w:rsid w:val="00FB70FC"/>
    <w:rsid w:val="00FB76E8"/>
    <w:rsid w:val="00FB7976"/>
    <w:rsid w:val="00FB7BAA"/>
    <w:rsid w:val="00FC016D"/>
    <w:rsid w:val="00FC0267"/>
    <w:rsid w:val="00FC0268"/>
    <w:rsid w:val="00FC0467"/>
    <w:rsid w:val="00FC04C9"/>
    <w:rsid w:val="00FC05CC"/>
    <w:rsid w:val="00FC05EE"/>
    <w:rsid w:val="00FC0EF4"/>
    <w:rsid w:val="00FC13A2"/>
    <w:rsid w:val="00FC15D9"/>
    <w:rsid w:val="00FC17F7"/>
    <w:rsid w:val="00FC1E45"/>
    <w:rsid w:val="00FC1FAE"/>
    <w:rsid w:val="00FC21C7"/>
    <w:rsid w:val="00FC2BC6"/>
    <w:rsid w:val="00FC2F6F"/>
    <w:rsid w:val="00FC32AB"/>
    <w:rsid w:val="00FC3428"/>
    <w:rsid w:val="00FC3592"/>
    <w:rsid w:val="00FC39DF"/>
    <w:rsid w:val="00FC3BA5"/>
    <w:rsid w:val="00FC3BE9"/>
    <w:rsid w:val="00FC3D55"/>
    <w:rsid w:val="00FC44A0"/>
    <w:rsid w:val="00FC44E2"/>
    <w:rsid w:val="00FC486F"/>
    <w:rsid w:val="00FC49BA"/>
    <w:rsid w:val="00FC4B99"/>
    <w:rsid w:val="00FC4FED"/>
    <w:rsid w:val="00FC5119"/>
    <w:rsid w:val="00FC51D6"/>
    <w:rsid w:val="00FC53C1"/>
    <w:rsid w:val="00FC54D0"/>
    <w:rsid w:val="00FC55FB"/>
    <w:rsid w:val="00FC567C"/>
    <w:rsid w:val="00FC5BAD"/>
    <w:rsid w:val="00FC5BD5"/>
    <w:rsid w:val="00FC62EB"/>
    <w:rsid w:val="00FC6719"/>
    <w:rsid w:val="00FC6ADB"/>
    <w:rsid w:val="00FC6E29"/>
    <w:rsid w:val="00FC75AC"/>
    <w:rsid w:val="00FC77CF"/>
    <w:rsid w:val="00FC77D1"/>
    <w:rsid w:val="00FC7CC3"/>
    <w:rsid w:val="00FD0575"/>
    <w:rsid w:val="00FD0B17"/>
    <w:rsid w:val="00FD1000"/>
    <w:rsid w:val="00FD1204"/>
    <w:rsid w:val="00FD1329"/>
    <w:rsid w:val="00FD195E"/>
    <w:rsid w:val="00FD2070"/>
    <w:rsid w:val="00FD2457"/>
    <w:rsid w:val="00FD30FB"/>
    <w:rsid w:val="00FD326D"/>
    <w:rsid w:val="00FD3636"/>
    <w:rsid w:val="00FD3BE7"/>
    <w:rsid w:val="00FD41A9"/>
    <w:rsid w:val="00FD48C6"/>
    <w:rsid w:val="00FD48CE"/>
    <w:rsid w:val="00FD48E9"/>
    <w:rsid w:val="00FD4FDD"/>
    <w:rsid w:val="00FD513E"/>
    <w:rsid w:val="00FD5401"/>
    <w:rsid w:val="00FD5587"/>
    <w:rsid w:val="00FD56A3"/>
    <w:rsid w:val="00FD5A65"/>
    <w:rsid w:val="00FD5BC3"/>
    <w:rsid w:val="00FD5BF3"/>
    <w:rsid w:val="00FD5CD9"/>
    <w:rsid w:val="00FD5FB8"/>
    <w:rsid w:val="00FD613C"/>
    <w:rsid w:val="00FD657C"/>
    <w:rsid w:val="00FD691A"/>
    <w:rsid w:val="00FD6FA8"/>
    <w:rsid w:val="00FD6FAE"/>
    <w:rsid w:val="00FD70AD"/>
    <w:rsid w:val="00FD7609"/>
    <w:rsid w:val="00FD7658"/>
    <w:rsid w:val="00FD7B4D"/>
    <w:rsid w:val="00FE0180"/>
    <w:rsid w:val="00FE01C6"/>
    <w:rsid w:val="00FE02ED"/>
    <w:rsid w:val="00FE0350"/>
    <w:rsid w:val="00FE088C"/>
    <w:rsid w:val="00FE08C4"/>
    <w:rsid w:val="00FE0ED0"/>
    <w:rsid w:val="00FE122E"/>
    <w:rsid w:val="00FE1778"/>
    <w:rsid w:val="00FE17C6"/>
    <w:rsid w:val="00FE1840"/>
    <w:rsid w:val="00FE1DF3"/>
    <w:rsid w:val="00FE1F26"/>
    <w:rsid w:val="00FE2221"/>
    <w:rsid w:val="00FE24D6"/>
    <w:rsid w:val="00FE2A0B"/>
    <w:rsid w:val="00FE32FE"/>
    <w:rsid w:val="00FE378F"/>
    <w:rsid w:val="00FE3A56"/>
    <w:rsid w:val="00FE3BE9"/>
    <w:rsid w:val="00FE3C59"/>
    <w:rsid w:val="00FE3F90"/>
    <w:rsid w:val="00FE414F"/>
    <w:rsid w:val="00FE41AE"/>
    <w:rsid w:val="00FE42F9"/>
    <w:rsid w:val="00FE4A91"/>
    <w:rsid w:val="00FE4C34"/>
    <w:rsid w:val="00FE4E99"/>
    <w:rsid w:val="00FE4F64"/>
    <w:rsid w:val="00FE5321"/>
    <w:rsid w:val="00FE5B59"/>
    <w:rsid w:val="00FE5D89"/>
    <w:rsid w:val="00FE5FAD"/>
    <w:rsid w:val="00FE60E9"/>
    <w:rsid w:val="00FE6228"/>
    <w:rsid w:val="00FE6404"/>
    <w:rsid w:val="00FE6651"/>
    <w:rsid w:val="00FE670C"/>
    <w:rsid w:val="00FE6F32"/>
    <w:rsid w:val="00FE7099"/>
    <w:rsid w:val="00FE7163"/>
    <w:rsid w:val="00FE71EF"/>
    <w:rsid w:val="00FE7791"/>
    <w:rsid w:val="00FE77C6"/>
    <w:rsid w:val="00FE786E"/>
    <w:rsid w:val="00FE796F"/>
    <w:rsid w:val="00FF0018"/>
    <w:rsid w:val="00FF03CA"/>
    <w:rsid w:val="00FF03D9"/>
    <w:rsid w:val="00FF0528"/>
    <w:rsid w:val="00FF05C8"/>
    <w:rsid w:val="00FF08A8"/>
    <w:rsid w:val="00FF0A8F"/>
    <w:rsid w:val="00FF0DA1"/>
    <w:rsid w:val="00FF0DE2"/>
    <w:rsid w:val="00FF1D73"/>
    <w:rsid w:val="00FF20C0"/>
    <w:rsid w:val="00FF2271"/>
    <w:rsid w:val="00FF288E"/>
    <w:rsid w:val="00FF2899"/>
    <w:rsid w:val="00FF2C90"/>
    <w:rsid w:val="00FF356A"/>
    <w:rsid w:val="00FF3DDE"/>
    <w:rsid w:val="00FF3E2C"/>
    <w:rsid w:val="00FF3F3E"/>
    <w:rsid w:val="00FF43DA"/>
    <w:rsid w:val="00FF4592"/>
    <w:rsid w:val="00FF475C"/>
    <w:rsid w:val="00FF4A69"/>
    <w:rsid w:val="00FF4B3B"/>
    <w:rsid w:val="00FF4DB8"/>
    <w:rsid w:val="00FF515D"/>
    <w:rsid w:val="00FF5283"/>
    <w:rsid w:val="00FF52DE"/>
    <w:rsid w:val="00FF579A"/>
    <w:rsid w:val="00FF5B1B"/>
    <w:rsid w:val="00FF5CCC"/>
    <w:rsid w:val="00FF5E8C"/>
    <w:rsid w:val="00FF669C"/>
    <w:rsid w:val="00FF679D"/>
    <w:rsid w:val="00FF67C8"/>
    <w:rsid w:val="00FF6892"/>
    <w:rsid w:val="00FF6BF8"/>
    <w:rsid w:val="00FF6FA6"/>
    <w:rsid w:val="00FF73D8"/>
    <w:rsid w:val="00FF7856"/>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755A44F"/>
  <w15:docId w15:val="{1FF849E5-19BF-47B7-BCDA-23FBCB403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uiPriority="5" w:qFormat="1"/>
    <w:lsdException w:name="heading 3" w:locked="0" w:uiPriority="9" w:qFormat="1"/>
    <w:lsdException w:name="heading 4" w:uiPriority="6"/>
    <w:lsdException w:name="heading 5" w:qFormat="1"/>
    <w:lsdException w:name="heading 6"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nhideWhenUsed="1"/>
    <w:lsdException w:name="header" w:semiHidden="1" w:unhideWhenUsed="1"/>
    <w:lsdException w:name="footer" w:locked="0" w:semiHidden="1" w:uiPriority="14" w:unhideWhenUsed="1"/>
    <w:lsdException w:name="index heading" w:semiHidden="1" w:unhideWhenUsed="1"/>
    <w:lsdException w:name="caption" w:semiHidden="1" w:uiPriority="8" w:unhideWhenUsed="1" w:qFormat="1"/>
    <w:lsdException w:name="table of figures" w:locked="0" w:semiHidden="1" w:unhideWhenUsed="1"/>
    <w:lsdException w:name="envelope address" w:semiHidden="1" w:uiPriority="0" w:unhideWhenUsed="1"/>
    <w:lsdException w:name="envelope return" w:semiHidden="1" w:uiPriority="0" w:unhideWhenUsed="1"/>
    <w:lsdException w:name="footnote reference" w:locked="0"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iPriority="0" w:unhideWhenUsed="1"/>
    <w:lsdException w:name="No List" w:locked="0"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14" w:qFormat="1"/>
    <w:lsdException w:name="Subtle Reference" w:uiPriority="31" w:qFormat="1"/>
    <w:lsdException w:name="Intense Reference" w:uiPriority="32"/>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BC53AC"/>
    <w:pPr>
      <w:spacing w:before="180" w:after="60" w:line="312" w:lineRule="auto"/>
    </w:pPr>
    <w:rPr>
      <w:rFonts w:asciiTheme="minorHAnsi" w:hAnsiTheme="minorHAnsi"/>
      <w:sz w:val="22"/>
      <w:szCs w:val="24"/>
    </w:rPr>
  </w:style>
  <w:style w:type="paragraph" w:styleId="Heading1">
    <w:name w:val="heading 1"/>
    <w:basedOn w:val="Normal"/>
    <w:next w:val="Normal"/>
    <w:link w:val="Heading1Char"/>
    <w:uiPriority w:val="9"/>
    <w:qFormat/>
    <w:rsid w:val="0065723A"/>
    <w:pPr>
      <w:keepNext/>
      <w:pageBreakBefore/>
      <w:numPr>
        <w:numId w:val="15"/>
      </w:numPr>
      <w:pBdr>
        <w:bottom w:val="single" w:sz="16" w:space="11" w:color="BFBFBF"/>
      </w:pBdr>
      <w:autoSpaceDE w:val="0"/>
      <w:autoSpaceDN w:val="0"/>
      <w:adjustRightInd w:val="0"/>
      <w:spacing w:before="720" w:after="720"/>
      <w:textAlignment w:val="center"/>
      <w:outlineLvl w:val="0"/>
    </w:pPr>
    <w:rPr>
      <w:rFonts w:cstheme="minorHAnsi"/>
      <w:b/>
      <w:bCs/>
      <w:color w:val="01653F"/>
      <w:sz w:val="40"/>
      <w:szCs w:val="40"/>
      <w:lang w:val="en-US" w:eastAsia="en-US"/>
    </w:rPr>
  </w:style>
  <w:style w:type="paragraph" w:styleId="Heading2">
    <w:name w:val="heading 2"/>
    <w:basedOn w:val="Normal"/>
    <w:next w:val="Normal"/>
    <w:link w:val="Heading2Char"/>
    <w:uiPriority w:val="5"/>
    <w:qFormat/>
    <w:rsid w:val="00DF09CD"/>
    <w:pPr>
      <w:keepNext/>
      <w:numPr>
        <w:ilvl w:val="1"/>
        <w:numId w:val="15"/>
      </w:numPr>
      <w:spacing w:before="120" w:after="120"/>
      <w:outlineLvl w:val="1"/>
    </w:pPr>
    <w:rPr>
      <w:rFonts w:eastAsiaTheme="minorHAnsi" w:cs="Arial"/>
      <w:b/>
      <w:bCs/>
      <w:iCs/>
      <w:color w:val="01653F"/>
      <w:sz w:val="26"/>
      <w:szCs w:val="26"/>
      <w:lang w:val="en-US" w:eastAsia="en-US"/>
    </w:rPr>
  </w:style>
  <w:style w:type="paragraph" w:styleId="Heading3">
    <w:name w:val="heading 3"/>
    <w:aliases w:val="Header 3"/>
    <w:basedOn w:val="Normal"/>
    <w:next w:val="Normal"/>
    <w:link w:val="Heading3Char"/>
    <w:uiPriority w:val="9"/>
    <w:qFormat/>
    <w:rsid w:val="00B5790E"/>
    <w:pPr>
      <w:keepNext/>
      <w:numPr>
        <w:ilvl w:val="2"/>
        <w:numId w:val="15"/>
      </w:numPr>
      <w:spacing w:before="120" w:after="120"/>
      <w:outlineLvl w:val="2"/>
    </w:pPr>
    <w:rPr>
      <w:rFonts w:eastAsiaTheme="minorHAnsi" w:cs="Arial"/>
      <w:b/>
      <w:bCs/>
      <w:sz w:val="24"/>
      <w:szCs w:val="26"/>
      <w:lang w:val="en-US" w:eastAsia="en-US"/>
    </w:rPr>
  </w:style>
  <w:style w:type="paragraph" w:styleId="Heading4">
    <w:name w:val="heading 4"/>
    <w:basedOn w:val="Heading3"/>
    <w:next w:val="Normal"/>
    <w:link w:val="Heading4Char"/>
    <w:uiPriority w:val="6"/>
    <w:locked/>
    <w:rsid w:val="004632FD"/>
    <w:pPr>
      <w:numPr>
        <w:ilvl w:val="3"/>
      </w:numPr>
      <w:outlineLvl w:val="3"/>
    </w:pPr>
    <w:rPr>
      <w:b w:val="0"/>
      <w:sz w:val="22"/>
    </w:rPr>
  </w:style>
  <w:style w:type="paragraph" w:styleId="Heading5">
    <w:name w:val="heading 5"/>
    <w:basedOn w:val="Normal"/>
    <w:next w:val="Normal"/>
    <w:link w:val="Heading5Char"/>
    <w:uiPriority w:val="99"/>
    <w:qFormat/>
    <w:locked/>
    <w:rsid w:val="00E2102F"/>
    <w:pPr>
      <w:numPr>
        <w:ilvl w:val="4"/>
        <w:numId w:val="15"/>
      </w:numPr>
      <w:spacing w:before="240"/>
      <w:outlineLvl w:val="4"/>
    </w:pPr>
    <w:rPr>
      <w:rFonts w:eastAsiaTheme="minorHAnsi" w:cs="Arial"/>
      <w:b/>
      <w:bCs/>
      <w:iCs/>
      <w:sz w:val="26"/>
      <w:szCs w:val="26"/>
      <w:lang w:val="en-US" w:eastAsia="en-US"/>
    </w:rPr>
  </w:style>
  <w:style w:type="paragraph" w:styleId="Heading6">
    <w:name w:val="heading 6"/>
    <w:basedOn w:val="Normal"/>
    <w:next w:val="Normal"/>
    <w:link w:val="Heading6Char"/>
    <w:uiPriority w:val="99"/>
    <w:qFormat/>
    <w:locked/>
    <w:rsid w:val="00E2102F"/>
    <w:pPr>
      <w:numPr>
        <w:ilvl w:val="5"/>
        <w:numId w:val="15"/>
      </w:num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9"/>
    <w:unhideWhenUsed/>
    <w:locked/>
    <w:rsid w:val="00E2102F"/>
    <w:pPr>
      <w:keepNext/>
      <w:keepLines/>
      <w:numPr>
        <w:ilvl w:val="6"/>
        <w:numId w:val="15"/>
      </w:numPr>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9"/>
    <w:unhideWhenUsed/>
    <w:locked/>
    <w:rsid w:val="00E2102F"/>
    <w:pPr>
      <w:keepNext/>
      <w:keepLines/>
      <w:numPr>
        <w:ilvl w:val="7"/>
        <w:numId w:val="15"/>
      </w:numPr>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9"/>
    <w:unhideWhenUsed/>
    <w:locked/>
    <w:rsid w:val="00E2102F"/>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8"/>
      </w:numPr>
      <w:spacing w:before="40" w:after="40"/>
    </w:pPr>
    <w:rPr>
      <w:sz w:val="18"/>
      <w:szCs w:val="18"/>
    </w:rPr>
  </w:style>
  <w:style w:type="paragraph" w:customStyle="1" w:styleId="Bullet-orange">
    <w:name w:val="Bullet - orange"/>
    <w:basedOn w:val="Bullet-green"/>
    <w:link w:val="Bullet-orangeChar"/>
    <w:uiPriority w:val="14"/>
    <w:qFormat/>
    <w:rsid w:val="007A2F4A"/>
    <w:pPr>
      <w:numPr>
        <w:numId w:val="6"/>
      </w:numPr>
      <w:ind w:left="431" w:hanging="431"/>
    </w:pPr>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14"/>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rsid w:val="00D95B8C"/>
    <w:rPr>
      <w:rFonts w:asciiTheme="minorHAnsi" w:eastAsiaTheme="minorHAnsi" w:hAnsiTheme="minorHAnsi" w:cs="Arial"/>
    </w:rPr>
  </w:style>
  <w:style w:type="character" w:styleId="FootnoteReference">
    <w:name w:val="footnote reference"/>
    <w:qFormat/>
    <w:rsid w:val="00AF127F"/>
    <w:rPr>
      <w:vertAlign w:val="superscript"/>
    </w:rPr>
  </w:style>
  <w:style w:type="paragraph" w:styleId="TOCHeading">
    <w:name w:val="TOC Heading"/>
    <w:basedOn w:val="Heading1"/>
    <w:next w:val="Normal"/>
    <w:uiPriority w:val="39"/>
    <w:unhideWhenUsed/>
    <w:qFormat/>
    <w:rsid w:val="009A7BA2"/>
    <w:pPr>
      <w:keepNext w:val="0"/>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B57D33"/>
    <w:pPr>
      <w:tabs>
        <w:tab w:val="left" w:pos="440"/>
        <w:tab w:val="left" w:pos="567"/>
        <w:tab w:val="right" w:leader="dot" w:pos="8302"/>
      </w:tabs>
      <w:spacing w:before="120" w:after="0"/>
      <w:ind w:left="851" w:hanging="851"/>
    </w:pPr>
    <w:rPr>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uiPriority w:val="14"/>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14"/>
    <w:rsid w:val="00684AA4"/>
    <w:rPr>
      <w:rFonts w:asciiTheme="minorHAnsi" w:eastAsiaTheme="minorHAnsi" w:hAnsiTheme="minorHAnsi" w:cs="Arial"/>
      <w:b/>
      <w:color w:val="01653F"/>
      <w:sz w:val="17"/>
      <w:szCs w:val="17"/>
    </w:rPr>
  </w:style>
  <w:style w:type="paragraph" w:styleId="Caption">
    <w:name w:val="caption"/>
    <w:basedOn w:val="Normal"/>
    <w:next w:val="Normal"/>
    <w:uiPriority w:val="8"/>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E06573"/>
    <w:pPr>
      <w:spacing w:before="0" w:after="0"/>
      <w:ind w:left="442" w:right="284" w:hanging="442"/>
    </w:pPr>
    <w:rPr>
      <w:sz w:val="20"/>
      <w:szCs w:val="20"/>
    </w:rPr>
  </w:style>
  <w:style w:type="paragraph" w:styleId="TOC3">
    <w:name w:val="toc 3"/>
    <w:basedOn w:val="TOC2"/>
    <w:next w:val="Normal"/>
    <w:autoRedefine/>
    <w:uiPriority w:val="39"/>
    <w:qFormat/>
    <w:rsid w:val="009932DE"/>
    <w:pPr>
      <w:ind w:left="1474" w:right="113"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unhideWhenUsed/>
    <w:locked/>
    <w:rsid w:val="000337EF"/>
    <w:rPr>
      <w:sz w:val="16"/>
      <w:szCs w:val="16"/>
    </w:rPr>
  </w:style>
  <w:style w:type="paragraph" w:styleId="CommentSubject">
    <w:name w:val="annotation subject"/>
    <w:basedOn w:val="Normal"/>
    <w:next w:val="Normal"/>
    <w:link w:val="CommentSubjectChar"/>
    <w:unhideWhenUsed/>
    <w:locked/>
    <w:rsid w:val="00E61DE6"/>
    <w:rPr>
      <w:b/>
      <w:bCs/>
      <w:sz w:val="20"/>
      <w:szCs w:val="20"/>
    </w:rPr>
  </w:style>
  <w:style w:type="character" w:customStyle="1" w:styleId="CommentSubjectChar">
    <w:name w:val="Comment Subject Char"/>
    <w:basedOn w:val="DefaultParagraphFont"/>
    <w:link w:val="CommentSubject"/>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E76A74"/>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uiPriority w:val="14"/>
    <w:qFormat/>
    <w:rsid w:val="00C7715C"/>
    <w:p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uiPriority w:val="14"/>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rsid w:val="0060697D"/>
    <w:rPr>
      <w:sz w:val="24"/>
      <w:szCs w:val="24"/>
    </w:rPr>
  </w:style>
  <w:style w:type="paragraph" w:customStyle="1" w:styleId="DNU3">
    <w:name w:val="DNU3"/>
    <w:basedOn w:val="Heading3Numbered"/>
    <w:uiPriority w:val="99"/>
    <w:locked/>
    <w:rsid w:val="00692C6A"/>
    <w:pPr>
      <w:spacing w:before="240"/>
      <w:ind w:left="0" w:firstLine="0"/>
      <w:outlineLvl w:val="3"/>
    </w:pPr>
    <w:rPr>
      <w:color w:val="016500"/>
    </w:rPr>
  </w:style>
  <w:style w:type="paragraph" w:customStyle="1" w:styleId="Bullet2">
    <w:name w:val="Bullet 2"/>
    <w:basedOn w:val="Normal"/>
    <w:link w:val="Bullet2Char"/>
    <w:qFormat/>
    <w:rsid w:val="003C7719"/>
    <w:pPr>
      <w:numPr>
        <w:numId w:val="11"/>
      </w:numPr>
      <w:spacing w:before="120"/>
      <w:ind w:right="142"/>
    </w:pPr>
    <w:rPr>
      <w:szCs w:val="20"/>
      <w:lang w:val="en-US" w:eastAsia="en-US"/>
    </w:rPr>
  </w:style>
  <w:style w:type="paragraph" w:styleId="ListContinue">
    <w:name w:val="List Continue"/>
    <w:basedOn w:val="Normal"/>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
    <w:basedOn w:val="DefaultParagraphFont"/>
    <w:link w:val="Heading3"/>
    <w:uiPriority w:val="9"/>
    <w:rsid w:val="00BC53AC"/>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0"/>
        <w:numId w:val="0"/>
      </w:numPr>
      <w:ind w:left="720" w:hanging="720"/>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2"/>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3"/>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14"/>
    <w:rsid w:val="00ED22D8"/>
    <w:pPr>
      <w:spacing w:before="120" w:line="240" w:lineRule="auto"/>
      <w:ind w:left="227" w:hanging="227"/>
    </w:pPr>
    <w:rPr>
      <w:rFonts w:ascii="Calibri" w:hAnsi="Calibri"/>
      <w:noProof/>
    </w:rPr>
  </w:style>
  <w:style w:type="character" w:customStyle="1" w:styleId="EndNoteBibliographyChar">
    <w:name w:val="EndNote Bibliography Char"/>
    <w:basedOn w:val="DefaultParagraphFont"/>
    <w:link w:val="EndNoteBibliography"/>
    <w:uiPriority w:val="14"/>
    <w:rsid w:val="00ED22D8"/>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4"/>
      </w:numPr>
    </w:pPr>
  </w:style>
  <w:style w:type="character" w:customStyle="1" w:styleId="Heading1Char">
    <w:name w:val="Heading 1 Char"/>
    <w:basedOn w:val="DefaultParagraphFont"/>
    <w:link w:val="Heading1"/>
    <w:uiPriority w:val="9"/>
    <w:rsid w:val="00BC53AC"/>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581273"/>
    <w:pPr>
      <w:numPr>
        <w:numId w:val="5"/>
      </w:numPr>
      <w:spacing w:after="120"/>
      <w:contextualSpacing w:val="0"/>
    </w:pPr>
  </w:style>
  <w:style w:type="character" w:customStyle="1" w:styleId="Bullet-greenChar">
    <w:name w:val="Bullet - green Char"/>
    <w:basedOn w:val="DefaultParagraphFont"/>
    <w:link w:val="Bullet-green"/>
    <w:uiPriority w:val="14"/>
    <w:rsid w:val="00581273"/>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7"/>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iPriority w:val="99"/>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9"/>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0"/>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green">
    <w:name w:val="Box bullet green"/>
    <w:basedOn w:val="Normal"/>
    <w:qFormat/>
    <w:rsid w:val="00D67260"/>
    <w:pPr>
      <w:numPr>
        <w:numId w:val="12"/>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uiPriority w:val="99"/>
    <w:unhideWhenUsed/>
    <w:locked/>
    <w:rsid w:val="00B96C6E"/>
    <w:pPr>
      <w:spacing w:before="0" w:after="0" w:line="240" w:lineRule="auto"/>
    </w:pPr>
    <w:rPr>
      <w:rFonts w:ascii="Calibri" w:hAnsi="Calibri"/>
      <w:sz w:val="20"/>
      <w:szCs w:val="20"/>
    </w:rPr>
  </w:style>
  <w:style w:type="character" w:customStyle="1" w:styleId="EndnoteTextChar">
    <w:name w:val="Endnote Text Char"/>
    <w:basedOn w:val="DefaultParagraphFont"/>
    <w:link w:val="EndnoteText"/>
    <w:uiPriority w:val="99"/>
    <w:rsid w:val="00B96C6E"/>
    <w:rPr>
      <w:rFonts w:ascii="Calibri" w:hAnsi="Calibri"/>
    </w:rPr>
  </w:style>
  <w:style w:type="character" w:styleId="EndnoteReference">
    <w:name w:val="endnote reference"/>
    <w:basedOn w:val="DefaultParagraphFont"/>
    <w:uiPriority w:val="99"/>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paragraph" w:styleId="NormalWeb">
    <w:name w:val="Normal (Web)"/>
    <w:basedOn w:val="Normal"/>
    <w:uiPriority w:val="99"/>
    <w:unhideWhenUsed/>
    <w:locked/>
    <w:rsid w:val="00E426B3"/>
    <w:rPr>
      <w:rFonts w:ascii="Times New Roman" w:hAnsi="Times New Roman"/>
      <w:sz w:val="24"/>
    </w:rPr>
  </w:style>
  <w:style w:type="character" w:styleId="Strong">
    <w:name w:val="Strong"/>
    <w:basedOn w:val="DefaultParagraphFont"/>
    <w:uiPriority w:val="22"/>
    <w:locked/>
    <w:rsid w:val="003A27C7"/>
    <w:rPr>
      <w:b/>
      <w:bCs/>
    </w:rPr>
  </w:style>
  <w:style w:type="character" w:styleId="Emphasis">
    <w:name w:val="Emphasis"/>
    <w:basedOn w:val="DefaultParagraphFont"/>
    <w:uiPriority w:val="20"/>
    <w:qFormat/>
    <w:locked/>
    <w:rsid w:val="00567D0B"/>
    <w:rPr>
      <w:i/>
      <w:iCs/>
    </w:rPr>
  </w:style>
  <w:style w:type="character" w:customStyle="1" w:styleId="UnresolvedMention1">
    <w:name w:val="Unresolved Mention1"/>
    <w:basedOn w:val="DefaultParagraphFont"/>
    <w:uiPriority w:val="99"/>
    <w:semiHidden/>
    <w:unhideWhenUsed/>
    <w:rsid w:val="006D03BD"/>
    <w:rPr>
      <w:color w:val="808080"/>
      <w:shd w:val="clear" w:color="auto" w:fill="E6E6E6"/>
    </w:rPr>
  </w:style>
  <w:style w:type="paragraph" w:styleId="PlainText">
    <w:name w:val="Plain Text"/>
    <w:basedOn w:val="Normal"/>
    <w:link w:val="PlainTextChar"/>
    <w:uiPriority w:val="99"/>
    <w:unhideWhenUsed/>
    <w:locked/>
    <w:rsid w:val="000A14CF"/>
    <w:pPr>
      <w:spacing w:before="0"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0A14CF"/>
    <w:rPr>
      <w:rFonts w:ascii="Consolas" w:hAnsi="Consolas"/>
      <w:sz w:val="21"/>
      <w:szCs w:val="21"/>
    </w:rPr>
  </w:style>
  <w:style w:type="character" w:customStyle="1" w:styleId="UnresolvedMention2">
    <w:name w:val="Unresolved Mention2"/>
    <w:basedOn w:val="DefaultParagraphFont"/>
    <w:locked/>
    <w:rsid w:val="002328D0"/>
    <w:rPr>
      <w:color w:val="808080"/>
      <w:shd w:val="clear" w:color="auto" w:fill="E6E6E6"/>
    </w:rPr>
  </w:style>
  <w:style w:type="character" w:styleId="FollowedHyperlink">
    <w:name w:val="FollowedHyperlink"/>
    <w:basedOn w:val="DefaultParagraphFont"/>
    <w:unhideWhenUsed/>
    <w:locked/>
    <w:rsid w:val="00DA1381"/>
    <w:rPr>
      <w:color w:val="800080" w:themeColor="followedHyperlink"/>
      <w:u w:val="single"/>
    </w:rPr>
  </w:style>
  <w:style w:type="character" w:customStyle="1" w:styleId="UnresolvedMention3">
    <w:name w:val="Unresolved Mention3"/>
    <w:basedOn w:val="DefaultParagraphFont"/>
    <w:uiPriority w:val="99"/>
    <w:semiHidden/>
    <w:unhideWhenUsed/>
    <w:rsid w:val="00106A87"/>
    <w:rPr>
      <w:color w:val="808080"/>
      <w:shd w:val="clear" w:color="auto" w:fill="E6E6E6"/>
    </w:rPr>
  </w:style>
  <w:style w:type="paragraph" w:customStyle="1" w:styleId="BoldTextStyle3">
    <w:name w:val="Bold Text Style3"/>
    <w:basedOn w:val="Normal"/>
    <w:qFormat/>
    <w:rsid w:val="00DF09CD"/>
    <w:pPr>
      <w:keepNext/>
    </w:pPr>
    <w:rPr>
      <w:b/>
    </w:rPr>
  </w:style>
  <w:style w:type="paragraph" w:customStyle="1" w:styleId="BulletStyle3">
    <w:name w:val="Bullet Style 3"/>
    <w:basedOn w:val="ListParagraph"/>
    <w:qFormat/>
    <w:rsid w:val="00DF09CD"/>
    <w:pPr>
      <w:numPr>
        <w:numId w:val="13"/>
      </w:numPr>
      <w:contextualSpacing w:val="0"/>
    </w:pPr>
    <w:rPr>
      <w:rFonts w:cs="Arial"/>
    </w:rPr>
  </w:style>
  <w:style w:type="paragraph" w:customStyle="1" w:styleId="01squarebullet">
    <w:name w:val="01 square bullet"/>
    <w:basedOn w:val="Normal"/>
    <w:uiPriority w:val="4"/>
    <w:qFormat/>
    <w:rsid w:val="00AF6F9B"/>
    <w:pPr>
      <w:numPr>
        <w:numId w:val="14"/>
      </w:numPr>
      <w:spacing w:before="120" w:line="240" w:lineRule="auto"/>
      <w:ind w:right="142"/>
    </w:pPr>
    <w:rPr>
      <w:szCs w:val="20"/>
      <w:lang w:val="en-US" w:eastAsia="en-US"/>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A921C1"/>
    <w:rPr>
      <w:rFonts w:asciiTheme="minorHAnsi" w:hAnsiTheme="minorHAnsi"/>
      <w:sz w:val="22"/>
      <w:szCs w:val="24"/>
    </w:rPr>
  </w:style>
  <w:style w:type="paragraph" w:customStyle="1" w:styleId="Boldhdg">
    <w:name w:val="Bold hdg"/>
    <w:basedOn w:val="Normal"/>
    <w:link w:val="BoldhdgChar"/>
    <w:uiPriority w:val="99"/>
    <w:qFormat/>
    <w:rsid w:val="00A921C1"/>
    <w:pPr>
      <w:keepNext/>
      <w:spacing w:before="320" w:line="240" w:lineRule="auto"/>
    </w:pPr>
    <w:rPr>
      <w:rFonts w:eastAsiaTheme="minorHAnsi" w:cs="Arial"/>
      <w:b/>
      <w:szCs w:val="22"/>
      <w:lang w:val="en-US" w:eastAsia="en-US"/>
    </w:rPr>
  </w:style>
  <w:style w:type="character" w:customStyle="1" w:styleId="BoldhdgChar">
    <w:name w:val="Bold hdg Char"/>
    <w:basedOn w:val="DefaultParagraphFont"/>
    <w:link w:val="Boldhdg"/>
    <w:uiPriority w:val="99"/>
    <w:rsid w:val="00A921C1"/>
    <w:rPr>
      <w:rFonts w:asciiTheme="minorHAnsi" w:eastAsiaTheme="minorHAnsi" w:hAnsiTheme="minorHAnsi" w:cs="Arial"/>
      <w:b/>
      <w:sz w:val="22"/>
      <w:szCs w:val="22"/>
      <w:lang w:val="en-US" w:eastAsia="en-US"/>
    </w:rPr>
  </w:style>
  <w:style w:type="paragraph" w:customStyle="1" w:styleId="60exhnormal">
    <w:name w:val="60 exh normal"/>
    <w:basedOn w:val="Normal"/>
    <w:rsid w:val="00D661EB"/>
    <w:pPr>
      <w:spacing w:before="200" w:after="0" w:line="240" w:lineRule="auto"/>
    </w:pPr>
    <w:rPr>
      <w:rFonts w:ascii="Arial" w:hAnsi="Arial"/>
      <w:caps/>
      <w:szCs w:val="20"/>
      <w:lang w:val="en-US" w:eastAsia="en-US"/>
    </w:rPr>
  </w:style>
  <w:style w:type="paragraph" w:customStyle="1" w:styleId="70exhtblnormal">
    <w:name w:val="70 exh tbl normal"/>
    <w:basedOn w:val="Normal"/>
    <w:rsid w:val="00D661EB"/>
    <w:pPr>
      <w:spacing w:before="60" w:line="240" w:lineRule="auto"/>
      <w:ind w:left="144" w:right="289"/>
    </w:pPr>
    <w:rPr>
      <w:rFonts w:ascii="Arial" w:hAnsi="Arial"/>
      <w:sz w:val="24"/>
      <w:szCs w:val="20"/>
      <w:lang w:val="en-US" w:eastAsia="en-US"/>
    </w:rPr>
  </w:style>
  <w:style w:type="character" w:customStyle="1" w:styleId="Heading4Char">
    <w:name w:val="Heading 4 Char"/>
    <w:basedOn w:val="DefaultParagraphFont"/>
    <w:link w:val="Heading4"/>
    <w:uiPriority w:val="6"/>
    <w:rsid w:val="00FB4475"/>
    <w:rPr>
      <w:rFonts w:asciiTheme="minorHAnsi" w:eastAsiaTheme="minorHAnsi" w:hAnsiTheme="minorHAnsi" w:cs="Arial"/>
      <w:bCs/>
      <w:sz w:val="22"/>
      <w:szCs w:val="26"/>
      <w:lang w:val="en-US" w:eastAsia="en-US"/>
    </w:rPr>
  </w:style>
  <w:style w:type="paragraph" w:customStyle="1" w:styleId="02Tabletext">
    <w:name w:val="02. Table text"/>
    <w:next w:val="Normal"/>
    <w:link w:val="02TabletextChar"/>
    <w:uiPriority w:val="11"/>
    <w:qFormat/>
    <w:rsid w:val="000B2CCD"/>
    <w:pPr>
      <w:spacing w:before="20" w:after="20"/>
    </w:pPr>
    <w:rPr>
      <w:rFonts w:ascii="Arial" w:eastAsiaTheme="minorHAnsi" w:hAnsi="Arial" w:cs="Arial"/>
      <w:sz w:val="18"/>
      <w:szCs w:val="18"/>
      <w:lang w:val="en-GB" w:eastAsia="en-US"/>
    </w:rPr>
  </w:style>
  <w:style w:type="character" w:customStyle="1" w:styleId="02TabletextChar">
    <w:name w:val="02. Table text Char"/>
    <w:basedOn w:val="DefaultParagraphFont"/>
    <w:link w:val="02Tabletext"/>
    <w:uiPriority w:val="11"/>
    <w:rsid w:val="000B2CCD"/>
    <w:rPr>
      <w:rFonts w:ascii="Arial" w:eastAsiaTheme="minorHAnsi" w:hAnsi="Arial" w:cs="Arial"/>
      <w:sz w:val="18"/>
      <w:szCs w:val="18"/>
      <w:lang w:val="en-GB" w:eastAsia="en-US"/>
    </w:rPr>
  </w:style>
  <w:style w:type="character" w:customStyle="1" w:styleId="s34">
    <w:name w:val="s34"/>
    <w:basedOn w:val="DefaultParagraphFont"/>
    <w:rsid w:val="00C8572C"/>
  </w:style>
  <w:style w:type="paragraph" w:styleId="TOC4">
    <w:name w:val="toc 4"/>
    <w:basedOn w:val="Normal"/>
    <w:next w:val="Normal"/>
    <w:autoRedefine/>
    <w:uiPriority w:val="39"/>
    <w:unhideWhenUsed/>
    <w:locked/>
    <w:rsid w:val="00A84B03"/>
    <w:pPr>
      <w:spacing w:before="0" w:after="100" w:line="259" w:lineRule="auto"/>
      <w:ind w:left="660"/>
    </w:pPr>
    <w:rPr>
      <w:rFonts w:eastAsiaTheme="minorEastAsia" w:cstheme="minorBidi"/>
      <w:szCs w:val="22"/>
    </w:rPr>
  </w:style>
  <w:style w:type="paragraph" w:styleId="TOC5">
    <w:name w:val="toc 5"/>
    <w:basedOn w:val="Normal"/>
    <w:next w:val="Normal"/>
    <w:autoRedefine/>
    <w:uiPriority w:val="39"/>
    <w:unhideWhenUsed/>
    <w:locked/>
    <w:rsid w:val="00A84B03"/>
    <w:pPr>
      <w:spacing w:before="0" w:after="100" w:line="259" w:lineRule="auto"/>
      <w:ind w:left="880"/>
    </w:pPr>
    <w:rPr>
      <w:rFonts w:eastAsiaTheme="minorEastAsia" w:cstheme="minorBidi"/>
      <w:szCs w:val="22"/>
    </w:rPr>
  </w:style>
  <w:style w:type="paragraph" w:styleId="TOC6">
    <w:name w:val="toc 6"/>
    <w:basedOn w:val="Normal"/>
    <w:next w:val="Normal"/>
    <w:autoRedefine/>
    <w:uiPriority w:val="39"/>
    <w:unhideWhenUsed/>
    <w:locked/>
    <w:rsid w:val="00A84B03"/>
    <w:pPr>
      <w:spacing w:before="0" w:after="100" w:line="259" w:lineRule="auto"/>
      <w:ind w:left="1100"/>
    </w:pPr>
    <w:rPr>
      <w:rFonts w:eastAsiaTheme="minorEastAsia" w:cstheme="minorBidi"/>
      <w:szCs w:val="22"/>
    </w:rPr>
  </w:style>
  <w:style w:type="paragraph" w:styleId="TOC7">
    <w:name w:val="toc 7"/>
    <w:basedOn w:val="Normal"/>
    <w:next w:val="Normal"/>
    <w:autoRedefine/>
    <w:uiPriority w:val="39"/>
    <w:unhideWhenUsed/>
    <w:locked/>
    <w:rsid w:val="00A84B03"/>
    <w:pPr>
      <w:spacing w:before="0" w:after="100" w:line="259" w:lineRule="auto"/>
      <w:ind w:left="1320"/>
    </w:pPr>
    <w:rPr>
      <w:rFonts w:eastAsiaTheme="minorEastAsia" w:cstheme="minorBidi"/>
      <w:szCs w:val="22"/>
    </w:rPr>
  </w:style>
  <w:style w:type="paragraph" w:styleId="TOC8">
    <w:name w:val="toc 8"/>
    <w:basedOn w:val="Normal"/>
    <w:next w:val="Normal"/>
    <w:autoRedefine/>
    <w:uiPriority w:val="39"/>
    <w:unhideWhenUsed/>
    <w:locked/>
    <w:rsid w:val="00A84B03"/>
    <w:pPr>
      <w:spacing w:before="0" w:after="100" w:line="259" w:lineRule="auto"/>
      <w:ind w:left="1540"/>
    </w:pPr>
    <w:rPr>
      <w:rFonts w:eastAsiaTheme="minorEastAsia" w:cstheme="minorBidi"/>
      <w:szCs w:val="22"/>
    </w:rPr>
  </w:style>
  <w:style w:type="paragraph" w:styleId="TOC9">
    <w:name w:val="toc 9"/>
    <w:basedOn w:val="Normal"/>
    <w:next w:val="Normal"/>
    <w:autoRedefine/>
    <w:uiPriority w:val="39"/>
    <w:unhideWhenUsed/>
    <w:locked/>
    <w:rsid w:val="00A84B03"/>
    <w:pPr>
      <w:spacing w:before="0" w:after="100" w:line="259" w:lineRule="auto"/>
      <w:ind w:left="1760"/>
    </w:pPr>
    <w:rPr>
      <w:rFonts w:eastAsiaTheme="minorEastAsia" w:cstheme="minorBidi"/>
      <w:szCs w:val="22"/>
    </w:rPr>
  </w:style>
  <w:style w:type="character" w:customStyle="1" w:styleId="UnresolvedMention4">
    <w:name w:val="Unresolved Mention4"/>
    <w:basedOn w:val="DefaultParagraphFont"/>
    <w:uiPriority w:val="99"/>
    <w:semiHidden/>
    <w:unhideWhenUsed/>
    <w:rsid w:val="00A84B03"/>
    <w:rPr>
      <w:color w:val="808080"/>
      <w:shd w:val="clear" w:color="auto" w:fill="E6E6E6"/>
    </w:rPr>
  </w:style>
  <w:style w:type="character" w:customStyle="1" w:styleId="UnresolvedMention5">
    <w:name w:val="Unresolved Mention5"/>
    <w:basedOn w:val="DefaultParagraphFont"/>
    <w:uiPriority w:val="99"/>
    <w:semiHidden/>
    <w:unhideWhenUsed/>
    <w:rsid w:val="00EB34DC"/>
    <w:rPr>
      <w:color w:val="808080"/>
      <w:shd w:val="clear" w:color="auto" w:fill="E6E6E6"/>
    </w:rPr>
  </w:style>
  <w:style w:type="character" w:customStyle="1" w:styleId="st1">
    <w:name w:val="st1"/>
    <w:basedOn w:val="DefaultParagraphFont"/>
    <w:rsid w:val="00764C09"/>
  </w:style>
  <w:style w:type="character" w:customStyle="1" w:styleId="UnresolvedMention6">
    <w:name w:val="Unresolved Mention6"/>
    <w:basedOn w:val="DefaultParagraphFont"/>
    <w:uiPriority w:val="99"/>
    <w:semiHidden/>
    <w:unhideWhenUsed/>
    <w:rsid w:val="00495219"/>
    <w:rPr>
      <w:color w:val="605E5C"/>
      <w:shd w:val="clear" w:color="auto" w:fill="E1DFDD"/>
    </w:rPr>
  </w:style>
  <w:style w:type="character" w:customStyle="1" w:styleId="Heading2Char">
    <w:name w:val="Heading 2 Char"/>
    <w:basedOn w:val="DefaultParagraphFont"/>
    <w:link w:val="Heading2"/>
    <w:uiPriority w:val="5"/>
    <w:rsid w:val="00974578"/>
    <w:rPr>
      <w:rFonts w:asciiTheme="minorHAnsi" w:eastAsiaTheme="minorHAnsi" w:hAnsiTheme="minorHAnsi" w:cs="Arial"/>
      <w:b/>
      <w:bCs/>
      <w:iCs/>
      <w:color w:val="01653F"/>
      <w:sz w:val="26"/>
      <w:szCs w:val="26"/>
      <w:lang w:val="en-US" w:eastAsia="en-US"/>
    </w:rPr>
  </w:style>
  <w:style w:type="paragraph" w:styleId="BlockText">
    <w:name w:val="Block Text"/>
    <w:basedOn w:val="Normal"/>
    <w:uiPriority w:val="99"/>
    <w:unhideWhenUsed/>
    <w:locked/>
    <w:rsid w:val="000831A1"/>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line="240" w:lineRule="auto"/>
      <w:ind w:left="1152" w:right="1152"/>
    </w:pPr>
    <w:rPr>
      <w:rFonts w:eastAsiaTheme="minorEastAsia" w:cstheme="minorBidi"/>
      <w:i/>
      <w:iCs/>
      <w:color w:val="4F81BD" w:themeColor="accent1"/>
      <w:sz w:val="24"/>
      <w:szCs w:val="20"/>
      <w:lang w:val="en-US" w:eastAsia="en-US"/>
    </w:rPr>
  </w:style>
  <w:style w:type="paragraph" w:styleId="BodyText">
    <w:name w:val="Body Text"/>
    <w:basedOn w:val="Normal"/>
    <w:link w:val="BodyTextChar"/>
    <w:uiPriority w:val="99"/>
    <w:unhideWhenUsed/>
    <w:locked/>
    <w:rsid w:val="000831A1"/>
    <w:pPr>
      <w:spacing w:after="120" w:line="240" w:lineRule="auto"/>
    </w:pPr>
    <w:rPr>
      <w:rFonts w:ascii="Georgia" w:hAnsi="Georgia"/>
      <w:sz w:val="24"/>
      <w:szCs w:val="20"/>
      <w:lang w:val="en-US" w:eastAsia="en-US"/>
    </w:rPr>
  </w:style>
  <w:style w:type="character" w:customStyle="1" w:styleId="BodyTextChar">
    <w:name w:val="Body Text Char"/>
    <w:basedOn w:val="DefaultParagraphFont"/>
    <w:link w:val="BodyText"/>
    <w:uiPriority w:val="99"/>
    <w:rsid w:val="000831A1"/>
    <w:rPr>
      <w:rFonts w:ascii="Georgia" w:hAnsi="Georgia"/>
      <w:sz w:val="24"/>
      <w:lang w:val="en-US" w:eastAsia="en-US"/>
    </w:rPr>
  </w:style>
  <w:style w:type="paragraph" w:styleId="BodyText2">
    <w:name w:val="Body Text 2"/>
    <w:basedOn w:val="Normal"/>
    <w:link w:val="BodyText2Char"/>
    <w:uiPriority w:val="99"/>
    <w:unhideWhenUsed/>
    <w:locked/>
    <w:rsid w:val="000831A1"/>
    <w:pPr>
      <w:spacing w:after="120" w:line="480" w:lineRule="auto"/>
    </w:pPr>
    <w:rPr>
      <w:rFonts w:ascii="Georgia" w:hAnsi="Georgia"/>
      <w:sz w:val="24"/>
      <w:szCs w:val="20"/>
      <w:lang w:val="en-US" w:eastAsia="en-US"/>
    </w:rPr>
  </w:style>
  <w:style w:type="character" w:customStyle="1" w:styleId="BodyText2Char">
    <w:name w:val="Body Text 2 Char"/>
    <w:basedOn w:val="DefaultParagraphFont"/>
    <w:link w:val="BodyText2"/>
    <w:uiPriority w:val="99"/>
    <w:rsid w:val="000831A1"/>
    <w:rPr>
      <w:rFonts w:ascii="Georgia" w:hAnsi="Georgia"/>
      <w:sz w:val="24"/>
      <w:lang w:val="en-US" w:eastAsia="en-US"/>
    </w:rPr>
  </w:style>
  <w:style w:type="paragraph" w:styleId="BodyText3">
    <w:name w:val="Body Text 3"/>
    <w:basedOn w:val="Normal"/>
    <w:link w:val="BodyText3Char"/>
    <w:uiPriority w:val="99"/>
    <w:unhideWhenUsed/>
    <w:locked/>
    <w:rsid w:val="000831A1"/>
    <w:pPr>
      <w:spacing w:after="120" w:line="240" w:lineRule="auto"/>
    </w:pPr>
    <w:rPr>
      <w:rFonts w:ascii="Georgia" w:hAnsi="Georgia"/>
      <w:sz w:val="16"/>
      <w:szCs w:val="16"/>
      <w:lang w:val="en-US" w:eastAsia="en-US"/>
    </w:rPr>
  </w:style>
  <w:style w:type="character" w:customStyle="1" w:styleId="BodyText3Char">
    <w:name w:val="Body Text 3 Char"/>
    <w:basedOn w:val="DefaultParagraphFont"/>
    <w:link w:val="BodyText3"/>
    <w:uiPriority w:val="99"/>
    <w:rsid w:val="000831A1"/>
    <w:rPr>
      <w:rFonts w:ascii="Georgia" w:hAnsi="Georgia"/>
      <w:sz w:val="16"/>
      <w:szCs w:val="16"/>
      <w:lang w:val="en-US" w:eastAsia="en-US"/>
    </w:rPr>
  </w:style>
  <w:style w:type="paragraph" w:styleId="BodyTextFirstIndent">
    <w:name w:val="Body Text First Indent"/>
    <w:basedOn w:val="BodyText"/>
    <w:link w:val="BodyTextFirstIndentChar"/>
    <w:uiPriority w:val="99"/>
    <w:unhideWhenUsed/>
    <w:locked/>
    <w:rsid w:val="000831A1"/>
    <w:pPr>
      <w:spacing w:after="180"/>
      <w:ind w:firstLine="360"/>
    </w:pPr>
  </w:style>
  <w:style w:type="character" w:customStyle="1" w:styleId="BodyTextFirstIndentChar">
    <w:name w:val="Body Text First Indent Char"/>
    <w:basedOn w:val="BodyTextChar"/>
    <w:link w:val="BodyTextFirstIndent"/>
    <w:uiPriority w:val="99"/>
    <w:rsid w:val="000831A1"/>
    <w:rPr>
      <w:rFonts w:ascii="Georgia" w:hAnsi="Georgia"/>
      <w:sz w:val="24"/>
      <w:lang w:val="en-US" w:eastAsia="en-US"/>
    </w:rPr>
  </w:style>
  <w:style w:type="paragraph" w:styleId="BodyTextIndent">
    <w:name w:val="Body Text Indent"/>
    <w:basedOn w:val="Normal"/>
    <w:link w:val="BodyTextIndentChar"/>
    <w:uiPriority w:val="99"/>
    <w:unhideWhenUsed/>
    <w:locked/>
    <w:rsid w:val="000831A1"/>
    <w:pPr>
      <w:spacing w:after="120" w:line="240" w:lineRule="auto"/>
      <w:ind w:left="360"/>
    </w:pPr>
    <w:rPr>
      <w:rFonts w:ascii="Georgia" w:hAnsi="Georgia"/>
      <w:sz w:val="24"/>
      <w:szCs w:val="20"/>
      <w:lang w:val="en-US" w:eastAsia="en-US"/>
    </w:rPr>
  </w:style>
  <w:style w:type="character" w:customStyle="1" w:styleId="BodyTextIndentChar">
    <w:name w:val="Body Text Indent Char"/>
    <w:basedOn w:val="DefaultParagraphFont"/>
    <w:link w:val="BodyTextIndent"/>
    <w:uiPriority w:val="99"/>
    <w:rsid w:val="000831A1"/>
    <w:rPr>
      <w:rFonts w:ascii="Georgia" w:hAnsi="Georgia"/>
      <w:sz w:val="24"/>
      <w:lang w:val="en-US" w:eastAsia="en-US"/>
    </w:rPr>
  </w:style>
  <w:style w:type="paragraph" w:styleId="BodyTextFirstIndent2">
    <w:name w:val="Body Text First Indent 2"/>
    <w:basedOn w:val="BodyTextIndent"/>
    <w:link w:val="BodyTextFirstIndent2Char"/>
    <w:uiPriority w:val="99"/>
    <w:unhideWhenUsed/>
    <w:locked/>
    <w:rsid w:val="000831A1"/>
    <w:pPr>
      <w:spacing w:after="180"/>
      <w:ind w:firstLine="360"/>
    </w:pPr>
  </w:style>
  <w:style w:type="character" w:customStyle="1" w:styleId="BodyTextFirstIndent2Char">
    <w:name w:val="Body Text First Indent 2 Char"/>
    <w:basedOn w:val="BodyTextIndentChar"/>
    <w:link w:val="BodyTextFirstIndent2"/>
    <w:uiPriority w:val="99"/>
    <w:rsid w:val="000831A1"/>
    <w:rPr>
      <w:rFonts w:ascii="Georgia" w:hAnsi="Georgia"/>
      <w:sz w:val="24"/>
      <w:lang w:val="en-US" w:eastAsia="en-US"/>
    </w:rPr>
  </w:style>
  <w:style w:type="paragraph" w:styleId="BodyTextIndent2">
    <w:name w:val="Body Text Indent 2"/>
    <w:basedOn w:val="Normal"/>
    <w:link w:val="BodyTextIndent2Char"/>
    <w:uiPriority w:val="99"/>
    <w:unhideWhenUsed/>
    <w:locked/>
    <w:rsid w:val="000831A1"/>
    <w:pPr>
      <w:spacing w:after="120" w:line="480" w:lineRule="auto"/>
      <w:ind w:left="360"/>
    </w:pPr>
    <w:rPr>
      <w:rFonts w:ascii="Georgia" w:hAnsi="Georgia"/>
      <w:sz w:val="24"/>
      <w:szCs w:val="20"/>
      <w:lang w:val="en-US" w:eastAsia="en-US"/>
    </w:rPr>
  </w:style>
  <w:style w:type="character" w:customStyle="1" w:styleId="BodyTextIndent2Char">
    <w:name w:val="Body Text Indent 2 Char"/>
    <w:basedOn w:val="DefaultParagraphFont"/>
    <w:link w:val="BodyTextIndent2"/>
    <w:uiPriority w:val="99"/>
    <w:rsid w:val="000831A1"/>
    <w:rPr>
      <w:rFonts w:ascii="Georgia" w:hAnsi="Georgia"/>
      <w:sz w:val="24"/>
      <w:lang w:val="en-US" w:eastAsia="en-US"/>
    </w:rPr>
  </w:style>
  <w:style w:type="paragraph" w:styleId="BodyTextIndent3">
    <w:name w:val="Body Text Indent 3"/>
    <w:basedOn w:val="Normal"/>
    <w:link w:val="BodyTextIndent3Char"/>
    <w:uiPriority w:val="99"/>
    <w:unhideWhenUsed/>
    <w:locked/>
    <w:rsid w:val="000831A1"/>
    <w:pPr>
      <w:spacing w:after="120" w:line="240" w:lineRule="auto"/>
      <w:ind w:left="360"/>
    </w:pPr>
    <w:rPr>
      <w:rFonts w:ascii="Georgia" w:hAnsi="Georgia"/>
      <w:sz w:val="16"/>
      <w:szCs w:val="16"/>
      <w:lang w:val="en-US" w:eastAsia="en-US"/>
    </w:rPr>
  </w:style>
  <w:style w:type="character" w:customStyle="1" w:styleId="BodyTextIndent3Char">
    <w:name w:val="Body Text Indent 3 Char"/>
    <w:basedOn w:val="DefaultParagraphFont"/>
    <w:link w:val="BodyTextIndent3"/>
    <w:uiPriority w:val="99"/>
    <w:rsid w:val="000831A1"/>
    <w:rPr>
      <w:rFonts w:ascii="Georgia" w:hAnsi="Georgia"/>
      <w:sz w:val="16"/>
      <w:szCs w:val="16"/>
      <w:lang w:val="en-US" w:eastAsia="en-US"/>
    </w:rPr>
  </w:style>
  <w:style w:type="character" w:styleId="BookTitle">
    <w:name w:val="Book Title"/>
    <w:basedOn w:val="DefaultParagraphFont"/>
    <w:uiPriority w:val="33"/>
    <w:unhideWhenUsed/>
    <w:locked/>
    <w:rsid w:val="000831A1"/>
    <w:rPr>
      <w:b/>
      <w:bCs/>
      <w:smallCaps/>
      <w:spacing w:val="5"/>
    </w:rPr>
  </w:style>
  <w:style w:type="paragraph" w:styleId="Closing">
    <w:name w:val="Closing"/>
    <w:basedOn w:val="Normal"/>
    <w:link w:val="ClosingChar"/>
    <w:uiPriority w:val="99"/>
    <w:unhideWhenUsed/>
    <w:locked/>
    <w:rsid w:val="000831A1"/>
    <w:pPr>
      <w:spacing w:after="0" w:line="240" w:lineRule="auto"/>
      <w:ind w:left="4320"/>
    </w:pPr>
    <w:rPr>
      <w:rFonts w:ascii="Georgia" w:hAnsi="Georgia"/>
      <w:sz w:val="24"/>
      <w:szCs w:val="20"/>
      <w:lang w:val="en-US" w:eastAsia="en-US"/>
    </w:rPr>
  </w:style>
  <w:style w:type="character" w:customStyle="1" w:styleId="ClosingChar">
    <w:name w:val="Closing Char"/>
    <w:basedOn w:val="DefaultParagraphFont"/>
    <w:link w:val="Closing"/>
    <w:uiPriority w:val="99"/>
    <w:rsid w:val="000831A1"/>
    <w:rPr>
      <w:rFonts w:ascii="Georgia" w:hAnsi="Georgia"/>
      <w:sz w:val="24"/>
      <w:lang w:val="en-US" w:eastAsia="en-US"/>
    </w:rPr>
  </w:style>
  <w:style w:type="paragraph" w:styleId="Date">
    <w:name w:val="Date"/>
    <w:basedOn w:val="Normal"/>
    <w:next w:val="Normal"/>
    <w:link w:val="DateChar"/>
    <w:uiPriority w:val="99"/>
    <w:unhideWhenUsed/>
    <w:locked/>
    <w:rsid w:val="000831A1"/>
    <w:pPr>
      <w:spacing w:line="240" w:lineRule="auto"/>
    </w:pPr>
    <w:rPr>
      <w:rFonts w:ascii="Georgia" w:hAnsi="Georgia"/>
      <w:sz w:val="24"/>
      <w:szCs w:val="20"/>
      <w:lang w:val="en-US" w:eastAsia="en-US"/>
    </w:rPr>
  </w:style>
  <w:style w:type="character" w:customStyle="1" w:styleId="DateChar">
    <w:name w:val="Date Char"/>
    <w:basedOn w:val="DefaultParagraphFont"/>
    <w:link w:val="Date"/>
    <w:uiPriority w:val="99"/>
    <w:rsid w:val="000831A1"/>
    <w:rPr>
      <w:rFonts w:ascii="Georgia" w:hAnsi="Georgia"/>
      <w:sz w:val="24"/>
      <w:lang w:val="en-US" w:eastAsia="en-US"/>
    </w:rPr>
  </w:style>
  <w:style w:type="paragraph" w:styleId="E-mailSignature">
    <w:name w:val="E-mail Signature"/>
    <w:basedOn w:val="Normal"/>
    <w:link w:val="E-mailSignatureChar"/>
    <w:uiPriority w:val="99"/>
    <w:unhideWhenUsed/>
    <w:locked/>
    <w:rsid w:val="000831A1"/>
    <w:pPr>
      <w:spacing w:after="0" w:line="240" w:lineRule="auto"/>
    </w:pPr>
    <w:rPr>
      <w:rFonts w:ascii="Georgia" w:hAnsi="Georgia"/>
      <w:sz w:val="24"/>
      <w:szCs w:val="20"/>
      <w:lang w:val="en-US" w:eastAsia="en-US"/>
    </w:rPr>
  </w:style>
  <w:style w:type="character" w:customStyle="1" w:styleId="E-mailSignatureChar">
    <w:name w:val="E-mail Signature Char"/>
    <w:basedOn w:val="DefaultParagraphFont"/>
    <w:link w:val="E-mailSignature"/>
    <w:uiPriority w:val="99"/>
    <w:rsid w:val="000831A1"/>
    <w:rPr>
      <w:rFonts w:ascii="Georgia" w:hAnsi="Georgia"/>
      <w:sz w:val="24"/>
      <w:lang w:val="en-US" w:eastAsia="en-US"/>
    </w:rPr>
  </w:style>
  <w:style w:type="paragraph" w:styleId="EnvelopeAddress">
    <w:name w:val="envelope address"/>
    <w:basedOn w:val="Normal"/>
    <w:unhideWhenUsed/>
    <w:locked/>
    <w:rsid w:val="000831A1"/>
    <w:pPr>
      <w:framePr w:w="7920" w:h="1980" w:hRule="exact" w:hSpace="180" w:wrap="auto" w:hAnchor="page" w:xAlign="center" w:yAlign="bottom"/>
      <w:spacing w:after="0" w:line="240" w:lineRule="auto"/>
      <w:ind w:left="2880"/>
    </w:pPr>
    <w:rPr>
      <w:rFonts w:ascii="Georgia" w:hAnsi="Georgia"/>
      <w:sz w:val="24"/>
      <w:szCs w:val="20"/>
      <w:lang w:val="en-US" w:eastAsia="en-US"/>
    </w:rPr>
  </w:style>
  <w:style w:type="paragraph" w:styleId="EnvelopeReturn">
    <w:name w:val="envelope return"/>
    <w:basedOn w:val="Normal"/>
    <w:unhideWhenUsed/>
    <w:locked/>
    <w:rsid w:val="000831A1"/>
    <w:pPr>
      <w:spacing w:after="0" w:line="240" w:lineRule="auto"/>
    </w:pPr>
    <w:rPr>
      <w:rFonts w:ascii="Georgia" w:hAnsi="Georgia"/>
      <w:sz w:val="20"/>
      <w:szCs w:val="20"/>
      <w:lang w:val="en-US" w:eastAsia="en-US"/>
    </w:rPr>
  </w:style>
  <w:style w:type="character" w:customStyle="1" w:styleId="Hashtag1">
    <w:name w:val="Hashtag1"/>
    <w:basedOn w:val="DefaultParagraphFont"/>
    <w:uiPriority w:val="99"/>
    <w:semiHidden/>
    <w:unhideWhenUsed/>
    <w:rsid w:val="000831A1"/>
    <w:rPr>
      <w:color w:val="2B579A"/>
      <w:shd w:val="clear" w:color="auto" w:fill="E6E6E6"/>
    </w:rPr>
  </w:style>
  <w:style w:type="character" w:customStyle="1" w:styleId="Heading5Char">
    <w:name w:val="Heading 5 Char"/>
    <w:basedOn w:val="DefaultParagraphFont"/>
    <w:link w:val="Heading5"/>
    <w:uiPriority w:val="99"/>
    <w:rsid w:val="000831A1"/>
    <w:rPr>
      <w:rFonts w:asciiTheme="minorHAnsi" w:eastAsiaTheme="minorHAnsi" w:hAnsiTheme="minorHAnsi" w:cs="Arial"/>
      <w:b/>
      <w:bCs/>
      <w:iCs/>
      <w:sz w:val="26"/>
      <w:szCs w:val="26"/>
      <w:lang w:val="en-US" w:eastAsia="en-US"/>
    </w:rPr>
  </w:style>
  <w:style w:type="character" w:customStyle="1" w:styleId="Heading6Char">
    <w:name w:val="Heading 6 Char"/>
    <w:basedOn w:val="DefaultParagraphFont"/>
    <w:link w:val="Heading6"/>
    <w:uiPriority w:val="99"/>
    <w:rsid w:val="000831A1"/>
    <w:rPr>
      <w:rFonts w:asciiTheme="minorHAnsi" w:eastAsiaTheme="minorHAnsi" w:hAnsiTheme="minorHAnsi" w:cs="Arial"/>
      <w:b/>
      <w:bCs/>
      <w:i/>
      <w:sz w:val="22"/>
      <w:szCs w:val="22"/>
      <w:lang w:val="en-US" w:eastAsia="en-US"/>
    </w:rPr>
  </w:style>
  <w:style w:type="character" w:styleId="HTMLAcronym">
    <w:name w:val="HTML Acronym"/>
    <w:basedOn w:val="DefaultParagraphFont"/>
    <w:uiPriority w:val="99"/>
    <w:unhideWhenUsed/>
    <w:locked/>
    <w:rsid w:val="000831A1"/>
  </w:style>
  <w:style w:type="paragraph" w:styleId="HTMLAddress">
    <w:name w:val="HTML Address"/>
    <w:basedOn w:val="Normal"/>
    <w:link w:val="HTMLAddressChar"/>
    <w:uiPriority w:val="99"/>
    <w:unhideWhenUsed/>
    <w:locked/>
    <w:rsid w:val="000831A1"/>
    <w:pPr>
      <w:spacing w:after="0" w:line="240" w:lineRule="auto"/>
    </w:pPr>
    <w:rPr>
      <w:rFonts w:ascii="Georgia" w:hAnsi="Georgia"/>
      <w:i/>
      <w:iCs/>
      <w:sz w:val="24"/>
      <w:szCs w:val="20"/>
      <w:lang w:val="en-US" w:eastAsia="en-US"/>
    </w:rPr>
  </w:style>
  <w:style w:type="character" w:customStyle="1" w:styleId="HTMLAddressChar">
    <w:name w:val="HTML Address Char"/>
    <w:basedOn w:val="DefaultParagraphFont"/>
    <w:link w:val="HTMLAddress"/>
    <w:uiPriority w:val="99"/>
    <w:rsid w:val="000831A1"/>
    <w:rPr>
      <w:rFonts w:ascii="Georgia" w:hAnsi="Georgia"/>
      <w:i/>
      <w:iCs/>
      <w:sz w:val="24"/>
      <w:lang w:val="en-US" w:eastAsia="en-US"/>
    </w:rPr>
  </w:style>
  <w:style w:type="character" w:styleId="HTMLCite">
    <w:name w:val="HTML Cite"/>
    <w:basedOn w:val="DefaultParagraphFont"/>
    <w:uiPriority w:val="99"/>
    <w:unhideWhenUsed/>
    <w:locked/>
    <w:rsid w:val="000831A1"/>
    <w:rPr>
      <w:i/>
      <w:iCs/>
    </w:rPr>
  </w:style>
  <w:style w:type="character" w:styleId="HTMLCode">
    <w:name w:val="HTML Code"/>
    <w:basedOn w:val="DefaultParagraphFont"/>
    <w:uiPriority w:val="99"/>
    <w:unhideWhenUsed/>
    <w:locked/>
    <w:rsid w:val="000831A1"/>
    <w:rPr>
      <w:rFonts w:ascii="Consolas" w:hAnsi="Consolas"/>
      <w:sz w:val="20"/>
      <w:szCs w:val="20"/>
    </w:rPr>
  </w:style>
  <w:style w:type="character" w:styleId="HTMLDefinition">
    <w:name w:val="HTML Definition"/>
    <w:basedOn w:val="DefaultParagraphFont"/>
    <w:uiPriority w:val="99"/>
    <w:unhideWhenUsed/>
    <w:locked/>
    <w:rsid w:val="000831A1"/>
    <w:rPr>
      <w:i/>
      <w:iCs/>
    </w:rPr>
  </w:style>
  <w:style w:type="character" w:styleId="HTMLKeyboard">
    <w:name w:val="HTML Keyboard"/>
    <w:basedOn w:val="DefaultParagraphFont"/>
    <w:uiPriority w:val="99"/>
    <w:unhideWhenUsed/>
    <w:locked/>
    <w:rsid w:val="000831A1"/>
    <w:rPr>
      <w:rFonts w:ascii="Consolas" w:hAnsi="Consolas"/>
      <w:sz w:val="20"/>
      <w:szCs w:val="20"/>
    </w:rPr>
  </w:style>
  <w:style w:type="paragraph" w:styleId="HTMLPreformatted">
    <w:name w:val="HTML Preformatted"/>
    <w:basedOn w:val="Normal"/>
    <w:link w:val="HTMLPreformattedChar"/>
    <w:uiPriority w:val="99"/>
    <w:unhideWhenUsed/>
    <w:locked/>
    <w:rsid w:val="000831A1"/>
    <w:pPr>
      <w:spacing w:after="0" w:line="240" w:lineRule="auto"/>
    </w:pPr>
    <w:rPr>
      <w:rFonts w:ascii="Consolas" w:hAnsi="Consolas"/>
      <w:sz w:val="20"/>
      <w:szCs w:val="20"/>
      <w:lang w:val="en-US" w:eastAsia="en-US"/>
    </w:rPr>
  </w:style>
  <w:style w:type="character" w:customStyle="1" w:styleId="HTMLPreformattedChar">
    <w:name w:val="HTML Preformatted Char"/>
    <w:basedOn w:val="DefaultParagraphFont"/>
    <w:link w:val="HTMLPreformatted"/>
    <w:uiPriority w:val="99"/>
    <w:rsid w:val="000831A1"/>
    <w:rPr>
      <w:rFonts w:ascii="Consolas" w:hAnsi="Consolas"/>
      <w:lang w:val="en-US" w:eastAsia="en-US"/>
    </w:rPr>
  </w:style>
  <w:style w:type="character" w:styleId="HTMLSample">
    <w:name w:val="HTML Sample"/>
    <w:basedOn w:val="DefaultParagraphFont"/>
    <w:uiPriority w:val="99"/>
    <w:unhideWhenUsed/>
    <w:locked/>
    <w:rsid w:val="000831A1"/>
    <w:rPr>
      <w:rFonts w:ascii="Consolas" w:hAnsi="Consolas"/>
      <w:sz w:val="24"/>
      <w:szCs w:val="24"/>
    </w:rPr>
  </w:style>
  <w:style w:type="character" w:styleId="HTMLTypewriter">
    <w:name w:val="HTML Typewriter"/>
    <w:basedOn w:val="DefaultParagraphFont"/>
    <w:uiPriority w:val="99"/>
    <w:unhideWhenUsed/>
    <w:locked/>
    <w:rsid w:val="000831A1"/>
    <w:rPr>
      <w:rFonts w:ascii="Consolas" w:hAnsi="Consolas"/>
      <w:sz w:val="20"/>
      <w:szCs w:val="20"/>
    </w:rPr>
  </w:style>
  <w:style w:type="character" w:styleId="HTMLVariable">
    <w:name w:val="HTML Variable"/>
    <w:basedOn w:val="DefaultParagraphFont"/>
    <w:uiPriority w:val="99"/>
    <w:unhideWhenUsed/>
    <w:locked/>
    <w:rsid w:val="000831A1"/>
    <w:rPr>
      <w:i/>
      <w:iCs/>
    </w:rPr>
  </w:style>
  <w:style w:type="paragraph" w:styleId="Index1">
    <w:name w:val="index 1"/>
    <w:basedOn w:val="Normal"/>
    <w:next w:val="Normal"/>
    <w:autoRedefine/>
    <w:uiPriority w:val="99"/>
    <w:unhideWhenUsed/>
    <w:locked/>
    <w:rsid w:val="000831A1"/>
    <w:pPr>
      <w:spacing w:after="0" w:line="240" w:lineRule="auto"/>
      <w:ind w:left="260" w:hanging="260"/>
    </w:pPr>
    <w:rPr>
      <w:rFonts w:ascii="Georgia" w:hAnsi="Georgia"/>
      <w:sz w:val="24"/>
      <w:szCs w:val="20"/>
      <w:lang w:val="en-US" w:eastAsia="en-US"/>
    </w:rPr>
  </w:style>
  <w:style w:type="paragraph" w:styleId="Index2">
    <w:name w:val="index 2"/>
    <w:basedOn w:val="Normal"/>
    <w:next w:val="Normal"/>
    <w:autoRedefine/>
    <w:uiPriority w:val="99"/>
    <w:unhideWhenUsed/>
    <w:locked/>
    <w:rsid w:val="000831A1"/>
    <w:pPr>
      <w:spacing w:after="0" w:line="240" w:lineRule="auto"/>
      <w:ind w:left="520" w:hanging="260"/>
    </w:pPr>
    <w:rPr>
      <w:rFonts w:ascii="Georgia" w:hAnsi="Georgia"/>
      <w:sz w:val="24"/>
      <w:szCs w:val="20"/>
      <w:lang w:val="en-US" w:eastAsia="en-US"/>
    </w:rPr>
  </w:style>
  <w:style w:type="paragraph" w:styleId="Index3">
    <w:name w:val="index 3"/>
    <w:basedOn w:val="Normal"/>
    <w:next w:val="Normal"/>
    <w:autoRedefine/>
    <w:uiPriority w:val="99"/>
    <w:unhideWhenUsed/>
    <w:locked/>
    <w:rsid w:val="000831A1"/>
    <w:pPr>
      <w:spacing w:after="0" w:line="240" w:lineRule="auto"/>
      <w:ind w:left="780" w:hanging="260"/>
    </w:pPr>
    <w:rPr>
      <w:rFonts w:ascii="Georgia" w:hAnsi="Georgia"/>
      <w:sz w:val="24"/>
      <w:szCs w:val="20"/>
      <w:lang w:val="en-US" w:eastAsia="en-US"/>
    </w:rPr>
  </w:style>
  <w:style w:type="paragraph" w:styleId="Index4">
    <w:name w:val="index 4"/>
    <w:basedOn w:val="Normal"/>
    <w:next w:val="Normal"/>
    <w:autoRedefine/>
    <w:uiPriority w:val="99"/>
    <w:unhideWhenUsed/>
    <w:locked/>
    <w:rsid w:val="000831A1"/>
    <w:pPr>
      <w:spacing w:after="0" w:line="240" w:lineRule="auto"/>
      <w:ind w:left="1040" w:hanging="260"/>
    </w:pPr>
    <w:rPr>
      <w:rFonts w:ascii="Georgia" w:hAnsi="Georgia"/>
      <w:sz w:val="24"/>
      <w:szCs w:val="20"/>
      <w:lang w:val="en-US" w:eastAsia="en-US"/>
    </w:rPr>
  </w:style>
  <w:style w:type="paragraph" w:styleId="Index5">
    <w:name w:val="index 5"/>
    <w:basedOn w:val="Normal"/>
    <w:next w:val="Normal"/>
    <w:autoRedefine/>
    <w:uiPriority w:val="99"/>
    <w:unhideWhenUsed/>
    <w:locked/>
    <w:rsid w:val="000831A1"/>
    <w:pPr>
      <w:spacing w:after="0" w:line="240" w:lineRule="auto"/>
      <w:ind w:left="1300" w:hanging="260"/>
    </w:pPr>
    <w:rPr>
      <w:rFonts w:ascii="Georgia" w:hAnsi="Georgia"/>
      <w:sz w:val="24"/>
      <w:szCs w:val="20"/>
      <w:lang w:val="en-US" w:eastAsia="en-US"/>
    </w:rPr>
  </w:style>
  <w:style w:type="paragraph" w:styleId="Index6">
    <w:name w:val="index 6"/>
    <w:basedOn w:val="Normal"/>
    <w:next w:val="Normal"/>
    <w:autoRedefine/>
    <w:uiPriority w:val="99"/>
    <w:unhideWhenUsed/>
    <w:locked/>
    <w:rsid w:val="000831A1"/>
    <w:pPr>
      <w:spacing w:after="0" w:line="240" w:lineRule="auto"/>
      <w:ind w:left="1560" w:hanging="260"/>
    </w:pPr>
    <w:rPr>
      <w:rFonts w:ascii="Georgia" w:hAnsi="Georgia"/>
      <w:sz w:val="24"/>
      <w:szCs w:val="20"/>
      <w:lang w:val="en-US" w:eastAsia="en-US"/>
    </w:rPr>
  </w:style>
  <w:style w:type="paragraph" w:styleId="Index7">
    <w:name w:val="index 7"/>
    <w:basedOn w:val="Normal"/>
    <w:next w:val="Normal"/>
    <w:autoRedefine/>
    <w:uiPriority w:val="99"/>
    <w:unhideWhenUsed/>
    <w:locked/>
    <w:rsid w:val="000831A1"/>
    <w:pPr>
      <w:spacing w:after="0" w:line="240" w:lineRule="auto"/>
      <w:ind w:left="1820" w:hanging="260"/>
    </w:pPr>
    <w:rPr>
      <w:rFonts w:ascii="Georgia" w:hAnsi="Georgia"/>
      <w:sz w:val="24"/>
      <w:szCs w:val="20"/>
      <w:lang w:val="en-US" w:eastAsia="en-US"/>
    </w:rPr>
  </w:style>
  <w:style w:type="paragraph" w:styleId="Index8">
    <w:name w:val="index 8"/>
    <w:basedOn w:val="Normal"/>
    <w:next w:val="Normal"/>
    <w:autoRedefine/>
    <w:uiPriority w:val="99"/>
    <w:unhideWhenUsed/>
    <w:locked/>
    <w:rsid w:val="000831A1"/>
    <w:pPr>
      <w:spacing w:after="0" w:line="240" w:lineRule="auto"/>
      <w:ind w:left="2080" w:hanging="260"/>
    </w:pPr>
    <w:rPr>
      <w:rFonts w:ascii="Georgia" w:hAnsi="Georgia"/>
      <w:sz w:val="24"/>
      <w:szCs w:val="20"/>
      <w:lang w:val="en-US" w:eastAsia="en-US"/>
    </w:rPr>
  </w:style>
  <w:style w:type="paragraph" w:styleId="Index9">
    <w:name w:val="index 9"/>
    <w:basedOn w:val="Normal"/>
    <w:next w:val="Normal"/>
    <w:autoRedefine/>
    <w:uiPriority w:val="99"/>
    <w:unhideWhenUsed/>
    <w:locked/>
    <w:rsid w:val="000831A1"/>
    <w:pPr>
      <w:spacing w:after="0" w:line="240" w:lineRule="auto"/>
      <w:ind w:left="2340" w:hanging="260"/>
    </w:pPr>
    <w:rPr>
      <w:rFonts w:ascii="Georgia" w:hAnsi="Georgia"/>
      <w:sz w:val="24"/>
      <w:szCs w:val="20"/>
      <w:lang w:val="en-US" w:eastAsia="en-US"/>
    </w:rPr>
  </w:style>
  <w:style w:type="paragraph" w:styleId="IndexHeading">
    <w:name w:val="index heading"/>
    <w:basedOn w:val="Normal"/>
    <w:next w:val="Index1"/>
    <w:uiPriority w:val="99"/>
    <w:unhideWhenUsed/>
    <w:locked/>
    <w:rsid w:val="000831A1"/>
    <w:pPr>
      <w:spacing w:line="240" w:lineRule="auto"/>
    </w:pPr>
    <w:rPr>
      <w:rFonts w:asciiTheme="majorHAnsi" w:eastAsiaTheme="majorEastAsia" w:hAnsiTheme="majorHAnsi" w:cstheme="majorBidi"/>
      <w:b/>
      <w:bCs/>
      <w:sz w:val="24"/>
      <w:szCs w:val="20"/>
      <w:lang w:val="en-US" w:eastAsia="en-US"/>
    </w:rPr>
  </w:style>
  <w:style w:type="paragraph" w:styleId="IntenseQuote">
    <w:name w:val="Intense Quote"/>
    <w:basedOn w:val="Normal"/>
    <w:next w:val="Normal"/>
    <w:link w:val="IntenseQuoteChar"/>
    <w:uiPriority w:val="30"/>
    <w:unhideWhenUsed/>
    <w:locked/>
    <w:rsid w:val="000831A1"/>
    <w:pPr>
      <w:pBdr>
        <w:bottom w:val="single" w:sz="4" w:space="4" w:color="4F81BD" w:themeColor="accent1"/>
      </w:pBdr>
      <w:spacing w:before="200" w:after="280" w:line="240" w:lineRule="auto"/>
      <w:ind w:left="936" w:right="936"/>
    </w:pPr>
    <w:rPr>
      <w:rFonts w:ascii="Georgia" w:hAnsi="Georgia"/>
      <w:b/>
      <w:bCs/>
      <w:i/>
      <w:iCs/>
      <w:color w:val="4F81BD" w:themeColor="accent1"/>
      <w:sz w:val="24"/>
      <w:szCs w:val="20"/>
      <w:lang w:val="en-US" w:eastAsia="en-US"/>
    </w:rPr>
  </w:style>
  <w:style w:type="character" w:customStyle="1" w:styleId="IntenseQuoteChar">
    <w:name w:val="Intense Quote Char"/>
    <w:basedOn w:val="DefaultParagraphFont"/>
    <w:link w:val="IntenseQuote"/>
    <w:uiPriority w:val="30"/>
    <w:rsid w:val="000831A1"/>
    <w:rPr>
      <w:rFonts w:ascii="Georgia" w:hAnsi="Georgia"/>
      <w:b/>
      <w:bCs/>
      <w:i/>
      <w:iCs/>
      <w:color w:val="4F81BD" w:themeColor="accent1"/>
      <w:sz w:val="24"/>
      <w:lang w:val="en-US" w:eastAsia="en-US"/>
    </w:rPr>
  </w:style>
  <w:style w:type="character" w:styleId="IntenseReference">
    <w:name w:val="Intense Reference"/>
    <w:basedOn w:val="DefaultParagraphFont"/>
    <w:uiPriority w:val="32"/>
    <w:unhideWhenUsed/>
    <w:locked/>
    <w:rsid w:val="000831A1"/>
    <w:rPr>
      <w:b/>
      <w:bCs/>
      <w:smallCaps/>
      <w:color w:val="C0504D" w:themeColor="accent2"/>
      <w:spacing w:val="5"/>
      <w:u w:val="single"/>
    </w:rPr>
  </w:style>
  <w:style w:type="character" w:styleId="LineNumber">
    <w:name w:val="line number"/>
    <w:basedOn w:val="DefaultParagraphFont"/>
    <w:unhideWhenUsed/>
    <w:locked/>
    <w:rsid w:val="000831A1"/>
  </w:style>
  <w:style w:type="paragraph" w:styleId="List">
    <w:name w:val="List"/>
    <w:basedOn w:val="Normal"/>
    <w:uiPriority w:val="99"/>
    <w:unhideWhenUsed/>
    <w:locked/>
    <w:rsid w:val="000831A1"/>
    <w:pPr>
      <w:spacing w:line="240" w:lineRule="auto"/>
      <w:ind w:left="360" w:hanging="360"/>
      <w:contextualSpacing/>
    </w:pPr>
    <w:rPr>
      <w:rFonts w:ascii="Georgia" w:hAnsi="Georgia"/>
      <w:sz w:val="24"/>
      <w:szCs w:val="20"/>
      <w:lang w:val="en-US" w:eastAsia="en-US"/>
    </w:rPr>
  </w:style>
  <w:style w:type="paragraph" w:styleId="List2">
    <w:name w:val="List 2"/>
    <w:basedOn w:val="Normal"/>
    <w:uiPriority w:val="99"/>
    <w:unhideWhenUsed/>
    <w:locked/>
    <w:rsid w:val="000831A1"/>
    <w:pPr>
      <w:spacing w:line="240" w:lineRule="auto"/>
      <w:ind w:left="720" w:hanging="360"/>
      <w:contextualSpacing/>
    </w:pPr>
    <w:rPr>
      <w:rFonts w:ascii="Georgia" w:hAnsi="Georgia"/>
      <w:sz w:val="24"/>
      <w:szCs w:val="20"/>
      <w:lang w:val="en-US" w:eastAsia="en-US"/>
    </w:rPr>
  </w:style>
  <w:style w:type="paragraph" w:styleId="List3">
    <w:name w:val="List 3"/>
    <w:basedOn w:val="Normal"/>
    <w:uiPriority w:val="99"/>
    <w:unhideWhenUsed/>
    <w:locked/>
    <w:rsid w:val="000831A1"/>
    <w:pPr>
      <w:spacing w:line="240" w:lineRule="auto"/>
      <w:ind w:left="1080" w:hanging="360"/>
      <w:contextualSpacing/>
    </w:pPr>
    <w:rPr>
      <w:rFonts w:ascii="Georgia" w:hAnsi="Georgia"/>
      <w:sz w:val="24"/>
      <w:szCs w:val="20"/>
      <w:lang w:val="en-US" w:eastAsia="en-US"/>
    </w:rPr>
  </w:style>
  <w:style w:type="paragraph" w:styleId="List4">
    <w:name w:val="List 4"/>
    <w:basedOn w:val="Normal"/>
    <w:uiPriority w:val="99"/>
    <w:unhideWhenUsed/>
    <w:locked/>
    <w:rsid w:val="000831A1"/>
    <w:pPr>
      <w:spacing w:line="240" w:lineRule="auto"/>
      <w:ind w:left="1440" w:hanging="360"/>
      <w:contextualSpacing/>
    </w:pPr>
    <w:rPr>
      <w:rFonts w:ascii="Georgia" w:hAnsi="Georgia"/>
      <w:sz w:val="24"/>
      <w:szCs w:val="20"/>
      <w:lang w:val="en-US" w:eastAsia="en-US"/>
    </w:rPr>
  </w:style>
  <w:style w:type="paragraph" w:styleId="List5">
    <w:name w:val="List 5"/>
    <w:basedOn w:val="Normal"/>
    <w:uiPriority w:val="99"/>
    <w:unhideWhenUsed/>
    <w:locked/>
    <w:rsid w:val="000831A1"/>
    <w:pPr>
      <w:spacing w:line="240" w:lineRule="auto"/>
      <w:ind w:left="1800" w:hanging="360"/>
      <w:contextualSpacing/>
    </w:pPr>
    <w:rPr>
      <w:rFonts w:ascii="Georgia" w:hAnsi="Georgia"/>
      <w:sz w:val="24"/>
      <w:szCs w:val="20"/>
      <w:lang w:val="en-US" w:eastAsia="en-US"/>
    </w:rPr>
  </w:style>
  <w:style w:type="paragraph" w:styleId="ListBullet">
    <w:name w:val="List Bullet"/>
    <w:basedOn w:val="Normal"/>
    <w:uiPriority w:val="99"/>
    <w:unhideWhenUsed/>
    <w:locked/>
    <w:rsid w:val="000831A1"/>
    <w:pPr>
      <w:tabs>
        <w:tab w:val="num" w:pos="360"/>
      </w:tabs>
      <w:spacing w:line="240" w:lineRule="auto"/>
      <w:ind w:left="360" w:hanging="360"/>
      <w:contextualSpacing/>
    </w:pPr>
    <w:rPr>
      <w:rFonts w:ascii="Georgia" w:hAnsi="Georgia"/>
      <w:sz w:val="24"/>
      <w:szCs w:val="20"/>
      <w:lang w:val="en-US" w:eastAsia="en-US"/>
    </w:rPr>
  </w:style>
  <w:style w:type="paragraph" w:styleId="ListBullet2">
    <w:name w:val="List Bullet 2"/>
    <w:basedOn w:val="Normal"/>
    <w:uiPriority w:val="99"/>
    <w:unhideWhenUsed/>
    <w:locked/>
    <w:rsid w:val="000831A1"/>
    <w:pPr>
      <w:tabs>
        <w:tab w:val="num" w:pos="720"/>
      </w:tabs>
      <w:spacing w:line="240" w:lineRule="auto"/>
      <w:ind w:left="720" w:hanging="360"/>
      <w:contextualSpacing/>
    </w:pPr>
    <w:rPr>
      <w:rFonts w:ascii="Georgia" w:hAnsi="Georgia"/>
      <w:sz w:val="24"/>
      <w:szCs w:val="20"/>
      <w:lang w:val="en-US" w:eastAsia="en-US"/>
    </w:rPr>
  </w:style>
  <w:style w:type="paragraph" w:styleId="ListBullet3">
    <w:name w:val="List Bullet 3"/>
    <w:basedOn w:val="Normal"/>
    <w:uiPriority w:val="99"/>
    <w:unhideWhenUsed/>
    <w:locked/>
    <w:rsid w:val="000831A1"/>
    <w:pPr>
      <w:tabs>
        <w:tab w:val="num" w:pos="1080"/>
      </w:tabs>
      <w:spacing w:line="240" w:lineRule="auto"/>
      <w:ind w:left="1080" w:hanging="360"/>
      <w:contextualSpacing/>
    </w:pPr>
    <w:rPr>
      <w:rFonts w:ascii="Georgia" w:hAnsi="Georgia"/>
      <w:sz w:val="24"/>
      <w:szCs w:val="20"/>
      <w:lang w:val="en-US" w:eastAsia="en-US"/>
    </w:rPr>
  </w:style>
  <w:style w:type="paragraph" w:styleId="ListBullet4">
    <w:name w:val="List Bullet 4"/>
    <w:basedOn w:val="Normal"/>
    <w:uiPriority w:val="99"/>
    <w:unhideWhenUsed/>
    <w:locked/>
    <w:rsid w:val="000831A1"/>
    <w:pPr>
      <w:tabs>
        <w:tab w:val="num" w:pos="1440"/>
      </w:tabs>
      <w:spacing w:line="240" w:lineRule="auto"/>
      <w:ind w:left="1440" w:hanging="360"/>
      <w:contextualSpacing/>
    </w:pPr>
    <w:rPr>
      <w:rFonts w:ascii="Georgia" w:hAnsi="Georgia"/>
      <w:sz w:val="24"/>
      <w:szCs w:val="20"/>
      <w:lang w:val="en-US" w:eastAsia="en-US"/>
    </w:rPr>
  </w:style>
  <w:style w:type="paragraph" w:styleId="ListBullet5">
    <w:name w:val="List Bullet 5"/>
    <w:basedOn w:val="Normal"/>
    <w:uiPriority w:val="99"/>
    <w:unhideWhenUsed/>
    <w:locked/>
    <w:rsid w:val="000831A1"/>
    <w:pPr>
      <w:tabs>
        <w:tab w:val="num" w:pos="1800"/>
      </w:tabs>
      <w:spacing w:line="240" w:lineRule="auto"/>
      <w:ind w:left="1800" w:hanging="360"/>
      <w:contextualSpacing/>
    </w:pPr>
    <w:rPr>
      <w:rFonts w:ascii="Georgia" w:hAnsi="Georgia"/>
      <w:sz w:val="24"/>
      <w:szCs w:val="20"/>
      <w:lang w:val="en-US" w:eastAsia="en-US"/>
    </w:rPr>
  </w:style>
  <w:style w:type="paragraph" w:styleId="ListContinue2">
    <w:name w:val="List Continue 2"/>
    <w:basedOn w:val="Normal"/>
    <w:uiPriority w:val="99"/>
    <w:unhideWhenUsed/>
    <w:locked/>
    <w:rsid w:val="000831A1"/>
    <w:pPr>
      <w:spacing w:after="120" w:line="240" w:lineRule="auto"/>
      <w:ind w:left="720"/>
      <w:contextualSpacing/>
    </w:pPr>
    <w:rPr>
      <w:rFonts w:ascii="Georgia" w:hAnsi="Georgia"/>
      <w:sz w:val="24"/>
      <w:szCs w:val="20"/>
      <w:lang w:val="en-US" w:eastAsia="en-US"/>
    </w:rPr>
  </w:style>
  <w:style w:type="paragraph" w:styleId="ListContinue3">
    <w:name w:val="List Continue 3"/>
    <w:basedOn w:val="Normal"/>
    <w:uiPriority w:val="99"/>
    <w:unhideWhenUsed/>
    <w:locked/>
    <w:rsid w:val="000831A1"/>
    <w:pPr>
      <w:spacing w:after="120" w:line="240" w:lineRule="auto"/>
      <w:ind w:left="1080"/>
      <w:contextualSpacing/>
    </w:pPr>
    <w:rPr>
      <w:rFonts w:ascii="Georgia" w:hAnsi="Georgia"/>
      <w:sz w:val="24"/>
      <w:szCs w:val="20"/>
      <w:lang w:val="en-US" w:eastAsia="en-US"/>
    </w:rPr>
  </w:style>
  <w:style w:type="paragraph" w:styleId="ListContinue4">
    <w:name w:val="List Continue 4"/>
    <w:basedOn w:val="Normal"/>
    <w:uiPriority w:val="99"/>
    <w:unhideWhenUsed/>
    <w:locked/>
    <w:rsid w:val="000831A1"/>
    <w:pPr>
      <w:spacing w:after="120" w:line="240" w:lineRule="auto"/>
      <w:ind w:left="1440"/>
      <w:contextualSpacing/>
    </w:pPr>
    <w:rPr>
      <w:rFonts w:ascii="Georgia" w:hAnsi="Georgia"/>
      <w:sz w:val="24"/>
      <w:szCs w:val="20"/>
      <w:lang w:val="en-US" w:eastAsia="en-US"/>
    </w:rPr>
  </w:style>
  <w:style w:type="paragraph" w:styleId="ListContinue5">
    <w:name w:val="List Continue 5"/>
    <w:basedOn w:val="Normal"/>
    <w:uiPriority w:val="99"/>
    <w:unhideWhenUsed/>
    <w:locked/>
    <w:rsid w:val="000831A1"/>
    <w:pPr>
      <w:spacing w:after="120" w:line="240" w:lineRule="auto"/>
      <w:ind w:left="1800"/>
      <w:contextualSpacing/>
    </w:pPr>
    <w:rPr>
      <w:rFonts w:ascii="Georgia" w:hAnsi="Georgia"/>
      <w:sz w:val="24"/>
      <w:szCs w:val="20"/>
      <w:lang w:val="en-US" w:eastAsia="en-US"/>
    </w:rPr>
  </w:style>
  <w:style w:type="paragraph" w:styleId="ListNumber">
    <w:name w:val="List Number"/>
    <w:basedOn w:val="Normal"/>
    <w:uiPriority w:val="99"/>
    <w:unhideWhenUsed/>
    <w:locked/>
    <w:rsid w:val="000831A1"/>
    <w:pPr>
      <w:tabs>
        <w:tab w:val="num" w:pos="360"/>
      </w:tabs>
      <w:spacing w:line="240" w:lineRule="auto"/>
      <w:ind w:left="360" w:hanging="360"/>
      <w:contextualSpacing/>
    </w:pPr>
    <w:rPr>
      <w:rFonts w:ascii="Georgia" w:hAnsi="Georgia"/>
      <w:sz w:val="24"/>
      <w:szCs w:val="20"/>
      <w:lang w:val="en-US" w:eastAsia="en-US"/>
    </w:rPr>
  </w:style>
  <w:style w:type="paragraph" w:styleId="ListNumber2">
    <w:name w:val="List Number 2"/>
    <w:basedOn w:val="Normal"/>
    <w:uiPriority w:val="99"/>
    <w:unhideWhenUsed/>
    <w:locked/>
    <w:rsid w:val="000831A1"/>
    <w:pPr>
      <w:tabs>
        <w:tab w:val="num" w:pos="720"/>
      </w:tabs>
      <w:spacing w:line="240" w:lineRule="auto"/>
      <w:ind w:left="720" w:hanging="360"/>
      <w:contextualSpacing/>
    </w:pPr>
    <w:rPr>
      <w:rFonts w:ascii="Georgia" w:hAnsi="Georgia"/>
      <w:sz w:val="24"/>
      <w:szCs w:val="20"/>
      <w:lang w:val="en-US" w:eastAsia="en-US"/>
    </w:rPr>
  </w:style>
  <w:style w:type="paragraph" w:styleId="ListNumber3">
    <w:name w:val="List Number 3"/>
    <w:basedOn w:val="Normal"/>
    <w:uiPriority w:val="99"/>
    <w:unhideWhenUsed/>
    <w:locked/>
    <w:rsid w:val="000831A1"/>
    <w:pPr>
      <w:tabs>
        <w:tab w:val="num" w:pos="1080"/>
      </w:tabs>
      <w:spacing w:line="240" w:lineRule="auto"/>
      <w:ind w:left="1080" w:hanging="360"/>
      <w:contextualSpacing/>
    </w:pPr>
    <w:rPr>
      <w:rFonts w:ascii="Georgia" w:hAnsi="Georgia"/>
      <w:sz w:val="24"/>
      <w:szCs w:val="20"/>
      <w:lang w:val="en-US" w:eastAsia="en-US"/>
    </w:rPr>
  </w:style>
  <w:style w:type="paragraph" w:styleId="ListNumber4">
    <w:name w:val="List Number 4"/>
    <w:basedOn w:val="Normal"/>
    <w:uiPriority w:val="99"/>
    <w:unhideWhenUsed/>
    <w:locked/>
    <w:rsid w:val="000831A1"/>
    <w:pPr>
      <w:tabs>
        <w:tab w:val="num" w:pos="1440"/>
      </w:tabs>
      <w:spacing w:line="240" w:lineRule="auto"/>
      <w:ind w:left="1440" w:hanging="360"/>
      <w:contextualSpacing/>
    </w:pPr>
    <w:rPr>
      <w:rFonts w:ascii="Georgia" w:hAnsi="Georgia"/>
      <w:sz w:val="24"/>
      <w:szCs w:val="20"/>
      <w:lang w:val="en-US" w:eastAsia="en-US"/>
    </w:rPr>
  </w:style>
  <w:style w:type="paragraph" w:styleId="ListNumber5">
    <w:name w:val="List Number 5"/>
    <w:basedOn w:val="Normal"/>
    <w:uiPriority w:val="99"/>
    <w:unhideWhenUsed/>
    <w:locked/>
    <w:rsid w:val="000831A1"/>
    <w:pPr>
      <w:tabs>
        <w:tab w:val="num" w:pos="1800"/>
      </w:tabs>
      <w:spacing w:line="240" w:lineRule="auto"/>
      <w:ind w:left="1800" w:hanging="360"/>
      <w:contextualSpacing/>
    </w:pPr>
    <w:rPr>
      <w:rFonts w:ascii="Georgia" w:hAnsi="Georgia"/>
      <w:sz w:val="24"/>
      <w:szCs w:val="20"/>
      <w:lang w:val="en-US" w:eastAsia="en-US"/>
    </w:rPr>
  </w:style>
  <w:style w:type="paragraph" w:styleId="MacroText">
    <w:name w:val="macro"/>
    <w:link w:val="MacroTextChar"/>
    <w:locked/>
    <w:rsid w:val="000831A1"/>
    <w:pPr>
      <w:tabs>
        <w:tab w:val="left" w:pos="288"/>
        <w:tab w:val="left" w:pos="576"/>
        <w:tab w:val="left" w:pos="864"/>
        <w:tab w:val="left" w:pos="1152"/>
        <w:tab w:val="left" w:pos="1440"/>
        <w:tab w:val="left" w:pos="1728"/>
        <w:tab w:val="left" w:pos="2016"/>
        <w:tab w:val="left" w:pos="2304"/>
        <w:tab w:val="left" w:pos="2592"/>
        <w:tab w:val="left" w:pos="2880"/>
      </w:tabs>
      <w:ind w:right="-4176"/>
    </w:pPr>
    <w:rPr>
      <w:rFonts w:ascii="Arial" w:hAnsi="Arial"/>
      <w:lang w:val="en-US" w:eastAsia="en-US"/>
    </w:rPr>
  </w:style>
  <w:style w:type="character" w:customStyle="1" w:styleId="MacroTextChar">
    <w:name w:val="Macro Text Char"/>
    <w:basedOn w:val="DefaultParagraphFont"/>
    <w:link w:val="MacroText"/>
    <w:rsid w:val="000831A1"/>
    <w:rPr>
      <w:rFonts w:ascii="Arial" w:hAnsi="Arial"/>
      <w:lang w:val="en-US" w:eastAsia="en-US"/>
    </w:rPr>
  </w:style>
  <w:style w:type="character" w:customStyle="1" w:styleId="Mention1">
    <w:name w:val="Mention1"/>
    <w:basedOn w:val="DefaultParagraphFont"/>
    <w:uiPriority w:val="99"/>
    <w:semiHidden/>
    <w:unhideWhenUsed/>
    <w:rsid w:val="000831A1"/>
    <w:rPr>
      <w:color w:val="2B579A"/>
      <w:shd w:val="clear" w:color="auto" w:fill="E6E6E6"/>
    </w:rPr>
  </w:style>
  <w:style w:type="paragraph" w:styleId="MessageHeader">
    <w:name w:val="Message Header"/>
    <w:basedOn w:val="Normal"/>
    <w:link w:val="MessageHeaderChar"/>
    <w:unhideWhenUsed/>
    <w:locked/>
    <w:rsid w:val="000831A1"/>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hAnsi="Arial" w:cs="Arial"/>
      <w:sz w:val="24"/>
      <w:lang w:val="en-US" w:eastAsia="en-US"/>
    </w:rPr>
  </w:style>
  <w:style w:type="character" w:customStyle="1" w:styleId="MessageHeaderChar">
    <w:name w:val="Message Header Char"/>
    <w:basedOn w:val="DefaultParagraphFont"/>
    <w:link w:val="MessageHeader"/>
    <w:rsid w:val="000831A1"/>
    <w:rPr>
      <w:rFonts w:ascii="Arial" w:hAnsi="Arial" w:cs="Arial"/>
      <w:sz w:val="24"/>
      <w:szCs w:val="24"/>
      <w:shd w:val="pct20" w:color="auto" w:fill="auto"/>
      <w:lang w:val="en-US" w:eastAsia="en-US"/>
    </w:rPr>
  </w:style>
  <w:style w:type="paragraph" w:styleId="NoSpacing">
    <w:name w:val="No Spacing"/>
    <w:uiPriority w:val="1"/>
    <w:unhideWhenUsed/>
    <w:locked/>
    <w:rsid w:val="000831A1"/>
    <w:rPr>
      <w:sz w:val="26"/>
      <w:lang w:val="en-US" w:eastAsia="en-US"/>
    </w:rPr>
  </w:style>
  <w:style w:type="paragraph" w:styleId="NormalIndent">
    <w:name w:val="Normal Indent"/>
    <w:basedOn w:val="Normal"/>
    <w:uiPriority w:val="99"/>
    <w:unhideWhenUsed/>
    <w:locked/>
    <w:rsid w:val="000831A1"/>
    <w:pPr>
      <w:spacing w:line="240" w:lineRule="auto"/>
      <w:ind w:left="720"/>
    </w:pPr>
    <w:rPr>
      <w:rFonts w:ascii="Georgia" w:hAnsi="Georgia"/>
      <w:sz w:val="24"/>
      <w:szCs w:val="20"/>
      <w:lang w:val="en-US" w:eastAsia="en-US"/>
    </w:rPr>
  </w:style>
  <w:style w:type="paragraph" w:styleId="NoteHeading">
    <w:name w:val="Note Heading"/>
    <w:basedOn w:val="Normal"/>
    <w:next w:val="Normal"/>
    <w:link w:val="NoteHeadingChar"/>
    <w:uiPriority w:val="99"/>
    <w:unhideWhenUsed/>
    <w:locked/>
    <w:rsid w:val="000831A1"/>
    <w:pPr>
      <w:spacing w:after="0" w:line="240" w:lineRule="auto"/>
    </w:pPr>
    <w:rPr>
      <w:rFonts w:ascii="Georgia" w:hAnsi="Georgia"/>
      <w:sz w:val="24"/>
      <w:szCs w:val="20"/>
      <w:lang w:val="en-US" w:eastAsia="en-US"/>
    </w:rPr>
  </w:style>
  <w:style w:type="character" w:customStyle="1" w:styleId="NoteHeadingChar">
    <w:name w:val="Note Heading Char"/>
    <w:basedOn w:val="DefaultParagraphFont"/>
    <w:link w:val="NoteHeading"/>
    <w:uiPriority w:val="99"/>
    <w:rsid w:val="000831A1"/>
    <w:rPr>
      <w:rFonts w:ascii="Georgia" w:hAnsi="Georgia"/>
      <w:sz w:val="24"/>
      <w:lang w:val="en-US" w:eastAsia="en-US"/>
    </w:rPr>
  </w:style>
  <w:style w:type="character" w:styleId="PageNumber">
    <w:name w:val="page number"/>
    <w:basedOn w:val="DefaultParagraphFont"/>
    <w:locked/>
    <w:rsid w:val="000831A1"/>
    <w:rPr>
      <w:rFonts w:ascii="Arial" w:hAnsi="Arial"/>
      <w:sz w:val="16"/>
    </w:rPr>
  </w:style>
  <w:style w:type="character" w:styleId="PlaceholderText">
    <w:name w:val="Placeholder Text"/>
    <w:basedOn w:val="DefaultParagraphFont"/>
    <w:uiPriority w:val="99"/>
    <w:semiHidden/>
    <w:locked/>
    <w:rsid w:val="000831A1"/>
    <w:rPr>
      <w:color w:val="808080"/>
    </w:rPr>
  </w:style>
  <w:style w:type="paragraph" w:styleId="Quote">
    <w:name w:val="Quote"/>
    <w:basedOn w:val="Normal"/>
    <w:next w:val="Normal"/>
    <w:link w:val="QuoteChar"/>
    <w:uiPriority w:val="29"/>
    <w:unhideWhenUsed/>
    <w:locked/>
    <w:rsid w:val="000831A1"/>
    <w:pPr>
      <w:spacing w:line="240" w:lineRule="auto"/>
    </w:pPr>
    <w:rPr>
      <w:rFonts w:ascii="Georgia" w:hAnsi="Georgia"/>
      <w:i/>
      <w:iCs/>
      <w:color w:val="000000" w:themeColor="text1"/>
      <w:sz w:val="24"/>
      <w:szCs w:val="20"/>
      <w:lang w:val="en-US" w:eastAsia="en-US"/>
    </w:rPr>
  </w:style>
  <w:style w:type="character" w:customStyle="1" w:styleId="QuoteChar">
    <w:name w:val="Quote Char"/>
    <w:basedOn w:val="DefaultParagraphFont"/>
    <w:link w:val="Quote"/>
    <w:uiPriority w:val="29"/>
    <w:rsid w:val="000831A1"/>
    <w:rPr>
      <w:rFonts w:ascii="Georgia" w:hAnsi="Georgia"/>
      <w:i/>
      <w:iCs/>
      <w:color w:val="000000" w:themeColor="text1"/>
      <w:sz w:val="24"/>
      <w:lang w:val="en-US" w:eastAsia="en-US"/>
    </w:rPr>
  </w:style>
  <w:style w:type="paragraph" w:styleId="Salutation">
    <w:name w:val="Salutation"/>
    <w:basedOn w:val="Normal"/>
    <w:next w:val="Normal"/>
    <w:link w:val="SalutationChar"/>
    <w:uiPriority w:val="99"/>
    <w:unhideWhenUsed/>
    <w:locked/>
    <w:rsid w:val="000831A1"/>
    <w:pPr>
      <w:spacing w:line="240" w:lineRule="auto"/>
    </w:pPr>
    <w:rPr>
      <w:rFonts w:ascii="Georgia" w:hAnsi="Georgia"/>
      <w:sz w:val="24"/>
      <w:szCs w:val="20"/>
      <w:lang w:val="en-US" w:eastAsia="en-US"/>
    </w:rPr>
  </w:style>
  <w:style w:type="character" w:customStyle="1" w:styleId="SalutationChar">
    <w:name w:val="Salutation Char"/>
    <w:basedOn w:val="DefaultParagraphFont"/>
    <w:link w:val="Salutation"/>
    <w:uiPriority w:val="99"/>
    <w:rsid w:val="000831A1"/>
    <w:rPr>
      <w:rFonts w:ascii="Georgia" w:hAnsi="Georgia"/>
      <w:sz w:val="24"/>
      <w:lang w:val="en-US" w:eastAsia="en-US"/>
    </w:rPr>
  </w:style>
  <w:style w:type="paragraph" w:styleId="Signature">
    <w:name w:val="Signature"/>
    <w:basedOn w:val="Normal"/>
    <w:link w:val="SignatureChar"/>
    <w:uiPriority w:val="99"/>
    <w:unhideWhenUsed/>
    <w:locked/>
    <w:rsid w:val="000831A1"/>
    <w:pPr>
      <w:spacing w:after="0" w:line="240" w:lineRule="auto"/>
      <w:ind w:left="4320"/>
    </w:pPr>
    <w:rPr>
      <w:rFonts w:ascii="Georgia" w:hAnsi="Georgia"/>
      <w:sz w:val="24"/>
      <w:szCs w:val="20"/>
      <w:lang w:val="en-US" w:eastAsia="en-US"/>
    </w:rPr>
  </w:style>
  <w:style w:type="character" w:customStyle="1" w:styleId="SignatureChar">
    <w:name w:val="Signature Char"/>
    <w:basedOn w:val="DefaultParagraphFont"/>
    <w:link w:val="Signature"/>
    <w:uiPriority w:val="99"/>
    <w:rsid w:val="000831A1"/>
    <w:rPr>
      <w:rFonts w:ascii="Georgia" w:hAnsi="Georgia"/>
      <w:sz w:val="24"/>
      <w:lang w:val="en-US" w:eastAsia="en-US"/>
    </w:rPr>
  </w:style>
  <w:style w:type="character" w:customStyle="1" w:styleId="SmartHyperlink1">
    <w:name w:val="Smart Hyperlink1"/>
    <w:basedOn w:val="DefaultParagraphFont"/>
    <w:uiPriority w:val="99"/>
    <w:semiHidden/>
    <w:unhideWhenUsed/>
    <w:rsid w:val="000831A1"/>
    <w:rPr>
      <w:u w:val="dotted"/>
    </w:rPr>
  </w:style>
  <w:style w:type="paragraph" w:styleId="Subtitle">
    <w:name w:val="Subtitle"/>
    <w:basedOn w:val="Normal"/>
    <w:next w:val="Normal"/>
    <w:link w:val="SubtitleChar"/>
    <w:uiPriority w:val="11"/>
    <w:unhideWhenUsed/>
    <w:locked/>
    <w:rsid w:val="000831A1"/>
    <w:pPr>
      <w:numPr>
        <w:ilvl w:val="1"/>
      </w:numPr>
      <w:spacing w:line="240" w:lineRule="auto"/>
    </w:pPr>
    <w:rPr>
      <w:rFonts w:asciiTheme="majorHAnsi" w:eastAsiaTheme="majorEastAsia" w:hAnsiTheme="majorHAnsi" w:cstheme="majorBidi"/>
      <w:i/>
      <w:iCs/>
      <w:color w:val="4F81BD" w:themeColor="accent1"/>
      <w:spacing w:val="15"/>
      <w:sz w:val="24"/>
      <w:lang w:val="en-US" w:eastAsia="en-US"/>
    </w:rPr>
  </w:style>
  <w:style w:type="character" w:customStyle="1" w:styleId="SubtitleChar">
    <w:name w:val="Subtitle Char"/>
    <w:basedOn w:val="DefaultParagraphFont"/>
    <w:link w:val="Subtitle"/>
    <w:uiPriority w:val="11"/>
    <w:rsid w:val="000831A1"/>
    <w:rPr>
      <w:rFonts w:asciiTheme="majorHAnsi" w:eastAsiaTheme="majorEastAsia" w:hAnsiTheme="majorHAnsi" w:cstheme="majorBidi"/>
      <w:i/>
      <w:iCs/>
      <w:color w:val="4F81BD" w:themeColor="accent1"/>
      <w:spacing w:val="15"/>
      <w:sz w:val="24"/>
      <w:szCs w:val="24"/>
      <w:lang w:val="en-US" w:eastAsia="en-US"/>
    </w:rPr>
  </w:style>
  <w:style w:type="character" w:styleId="SubtleEmphasis">
    <w:name w:val="Subtle Emphasis"/>
    <w:basedOn w:val="DefaultParagraphFont"/>
    <w:uiPriority w:val="19"/>
    <w:unhideWhenUsed/>
    <w:locked/>
    <w:rsid w:val="000831A1"/>
    <w:rPr>
      <w:i/>
      <w:iCs/>
      <w:color w:val="808080" w:themeColor="text1" w:themeTint="7F"/>
    </w:rPr>
  </w:style>
  <w:style w:type="character" w:styleId="SubtleReference">
    <w:name w:val="Subtle Reference"/>
    <w:basedOn w:val="DefaultParagraphFont"/>
    <w:uiPriority w:val="31"/>
    <w:unhideWhenUsed/>
    <w:locked/>
    <w:rsid w:val="000831A1"/>
    <w:rPr>
      <w:smallCaps/>
      <w:color w:val="C0504D" w:themeColor="accent2"/>
      <w:u w:val="single"/>
    </w:rPr>
  </w:style>
  <w:style w:type="paragraph" w:styleId="TableofAuthorities">
    <w:name w:val="table of authorities"/>
    <w:basedOn w:val="Normal"/>
    <w:next w:val="Normal"/>
    <w:uiPriority w:val="99"/>
    <w:unhideWhenUsed/>
    <w:locked/>
    <w:rsid w:val="000831A1"/>
    <w:pPr>
      <w:spacing w:after="0" w:line="240" w:lineRule="auto"/>
      <w:ind w:left="260" w:hanging="260"/>
    </w:pPr>
    <w:rPr>
      <w:rFonts w:ascii="Georgia" w:hAnsi="Georgia"/>
      <w:sz w:val="24"/>
      <w:szCs w:val="20"/>
      <w:lang w:val="en-US" w:eastAsia="en-US"/>
    </w:rPr>
  </w:style>
  <w:style w:type="paragraph" w:styleId="Title">
    <w:name w:val="Title"/>
    <w:basedOn w:val="Normal"/>
    <w:next w:val="Normal"/>
    <w:link w:val="TitleChar"/>
    <w:uiPriority w:val="10"/>
    <w:unhideWhenUsed/>
    <w:locked/>
    <w:rsid w:val="000831A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itleChar">
    <w:name w:val="Title Char"/>
    <w:basedOn w:val="DefaultParagraphFont"/>
    <w:link w:val="Title"/>
    <w:uiPriority w:val="10"/>
    <w:rsid w:val="000831A1"/>
    <w:rPr>
      <w:rFonts w:asciiTheme="majorHAnsi" w:eastAsiaTheme="majorEastAsia" w:hAnsiTheme="majorHAnsi" w:cstheme="majorBidi"/>
      <w:color w:val="17365D" w:themeColor="text2" w:themeShade="BF"/>
      <w:spacing w:val="5"/>
      <w:kern w:val="28"/>
      <w:sz w:val="52"/>
      <w:szCs w:val="52"/>
      <w:lang w:val="en-US" w:eastAsia="en-US"/>
    </w:rPr>
  </w:style>
  <w:style w:type="paragraph" w:styleId="TOAHeading">
    <w:name w:val="toa heading"/>
    <w:basedOn w:val="Normal"/>
    <w:next w:val="Normal"/>
    <w:uiPriority w:val="99"/>
    <w:unhideWhenUsed/>
    <w:locked/>
    <w:rsid w:val="000831A1"/>
    <w:pPr>
      <w:spacing w:before="120" w:line="240" w:lineRule="auto"/>
    </w:pPr>
    <w:rPr>
      <w:rFonts w:asciiTheme="majorHAnsi" w:eastAsiaTheme="majorEastAsia" w:hAnsiTheme="majorHAnsi" w:cstheme="majorBidi"/>
      <w:b/>
      <w:bCs/>
      <w:sz w:val="24"/>
      <w:lang w:val="en-US" w:eastAsia="en-US"/>
    </w:rPr>
  </w:style>
  <w:style w:type="character" w:customStyle="1" w:styleId="UnresolvedMention7">
    <w:name w:val="Unresolved Mention7"/>
    <w:basedOn w:val="DefaultParagraphFont"/>
    <w:uiPriority w:val="99"/>
    <w:semiHidden/>
    <w:unhideWhenUsed/>
    <w:rsid w:val="000831A1"/>
    <w:rPr>
      <w:color w:val="808080"/>
      <w:shd w:val="clear" w:color="auto" w:fill="E6E6E6"/>
    </w:rPr>
  </w:style>
  <w:style w:type="paragraph" w:customStyle="1" w:styleId="03opensquarebullet">
    <w:name w:val="03 open square bullet"/>
    <w:basedOn w:val="02dash"/>
    <w:uiPriority w:val="5"/>
    <w:qFormat/>
    <w:rsid w:val="000831A1"/>
    <w:pPr>
      <w:numPr>
        <w:ilvl w:val="0"/>
      </w:numPr>
      <w:tabs>
        <w:tab w:val="num" w:pos="924"/>
      </w:tabs>
      <w:spacing w:line="240" w:lineRule="auto"/>
      <w:ind w:left="927" w:hanging="283"/>
    </w:pPr>
    <w:rPr>
      <w:rFonts w:ascii="Georgia" w:hAnsi="Georgia"/>
      <w:sz w:val="24"/>
    </w:rPr>
  </w:style>
  <w:style w:type="paragraph" w:customStyle="1" w:styleId="04shortdash">
    <w:name w:val="04 short dash"/>
    <w:basedOn w:val="03opensquarebullet"/>
    <w:uiPriority w:val="6"/>
    <w:qFormat/>
    <w:rsid w:val="000831A1"/>
    <w:pPr>
      <w:tabs>
        <w:tab w:val="clear" w:pos="924"/>
        <w:tab w:val="num" w:pos="1213"/>
      </w:tabs>
      <w:ind w:left="1211" w:hanging="284"/>
    </w:pPr>
  </w:style>
  <w:style w:type="paragraph" w:customStyle="1" w:styleId="05number1">
    <w:name w:val="05 number/1"/>
    <w:basedOn w:val="Normal"/>
    <w:uiPriority w:val="7"/>
    <w:qFormat/>
    <w:rsid w:val="000831A1"/>
    <w:pPr>
      <w:numPr>
        <w:numId w:val="106"/>
      </w:numPr>
      <w:spacing w:before="120" w:line="240" w:lineRule="auto"/>
    </w:pPr>
    <w:rPr>
      <w:rFonts w:ascii="Georgia" w:hAnsi="Georgia"/>
      <w:sz w:val="24"/>
      <w:szCs w:val="20"/>
      <w:lang w:val="en-US" w:eastAsia="en-US"/>
    </w:rPr>
  </w:style>
  <w:style w:type="paragraph" w:customStyle="1" w:styleId="06letter2">
    <w:name w:val="06 letter/2"/>
    <w:basedOn w:val="Normal"/>
    <w:uiPriority w:val="8"/>
    <w:qFormat/>
    <w:rsid w:val="000831A1"/>
    <w:pPr>
      <w:numPr>
        <w:ilvl w:val="1"/>
        <w:numId w:val="106"/>
      </w:numPr>
      <w:spacing w:before="120" w:line="240" w:lineRule="auto"/>
      <w:ind w:left="648" w:hanging="288"/>
    </w:pPr>
    <w:rPr>
      <w:rFonts w:ascii="Georgia" w:hAnsi="Georgia"/>
      <w:sz w:val="24"/>
      <w:szCs w:val="20"/>
      <w:lang w:val="en-US" w:eastAsia="en-US"/>
    </w:rPr>
  </w:style>
  <w:style w:type="paragraph" w:customStyle="1" w:styleId="07number3">
    <w:name w:val="07 number/3"/>
    <w:basedOn w:val="Normal"/>
    <w:uiPriority w:val="9"/>
    <w:qFormat/>
    <w:rsid w:val="000831A1"/>
    <w:pPr>
      <w:numPr>
        <w:ilvl w:val="2"/>
        <w:numId w:val="106"/>
      </w:numPr>
      <w:spacing w:before="120" w:line="240" w:lineRule="auto"/>
      <w:ind w:left="922" w:hanging="274"/>
    </w:pPr>
    <w:rPr>
      <w:rFonts w:ascii="Georgia" w:hAnsi="Georgia"/>
      <w:sz w:val="24"/>
      <w:szCs w:val="20"/>
      <w:lang w:val="en-US" w:eastAsia="en-US"/>
    </w:rPr>
  </w:style>
  <w:style w:type="paragraph" w:customStyle="1" w:styleId="08letter4">
    <w:name w:val="08 letter/4"/>
    <w:basedOn w:val="Normal"/>
    <w:uiPriority w:val="10"/>
    <w:qFormat/>
    <w:rsid w:val="000831A1"/>
    <w:pPr>
      <w:numPr>
        <w:ilvl w:val="3"/>
        <w:numId w:val="106"/>
      </w:numPr>
      <w:spacing w:before="120" w:line="240" w:lineRule="auto"/>
      <w:ind w:left="1210" w:hanging="288"/>
    </w:pPr>
    <w:rPr>
      <w:rFonts w:ascii="Georgia" w:hAnsi="Georgia"/>
      <w:sz w:val="24"/>
      <w:szCs w:val="20"/>
      <w:lang w:val="en-US" w:eastAsia="en-US"/>
    </w:rPr>
  </w:style>
  <w:style w:type="paragraph" w:customStyle="1" w:styleId="10tablenormal">
    <w:name w:val="10 table normal"/>
    <w:basedOn w:val="Normal"/>
    <w:rsid w:val="000831A1"/>
    <w:pPr>
      <w:spacing w:before="120" w:line="240" w:lineRule="auto"/>
      <w:ind w:right="142"/>
    </w:pPr>
    <w:rPr>
      <w:rFonts w:ascii="Georgia" w:hAnsi="Georgia"/>
      <w:sz w:val="24"/>
      <w:szCs w:val="20"/>
      <w:lang w:val="en-US" w:eastAsia="en-US"/>
    </w:rPr>
  </w:style>
  <w:style w:type="paragraph" w:customStyle="1" w:styleId="15tableheading">
    <w:name w:val="15 table heading"/>
    <w:basedOn w:val="10tablenormal"/>
    <w:next w:val="10tablenormal"/>
    <w:rsid w:val="000831A1"/>
    <w:rPr>
      <w:b/>
    </w:rPr>
  </w:style>
  <w:style w:type="paragraph" w:customStyle="1" w:styleId="20major">
    <w:name w:val="20 major"/>
    <w:basedOn w:val="Normal"/>
    <w:next w:val="Normal"/>
    <w:uiPriority w:val="1"/>
    <w:qFormat/>
    <w:rsid w:val="000831A1"/>
    <w:pPr>
      <w:keepNext/>
      <w:spacing w:before="540" w:after="120" w:line="240" w:lineRule="auto"/>
      <w:ind w:right="360"/>
      <w:outlineLvl w:val="1"/>
    </w:pPr>
    <w:rPr>
      <w:rFonts w:ascii="Arial" w:hAnsi="Arial"/>
      <w:b/>
      <w:caps/>
      <w:sz w:val="24"/>
      <w:szCs w:val="20"/>
      <w:lang w:val="en-US" w:eastAsia="en-US"/>
    </w:rPr>
  </w:style>
  <w:style w:type="paragraph" w:customStyle="1" w:styleId="21minor">
    <w:name w:val="21 minor"/>
    <w:basedOn w:val="Normal"/>
    <w:next w:val="Normal"/>
    <w:uiPriority w:val="2"/>
    <w:qFormat/>
    <w:rsid w:val="000831A1"/>
    <w:pPr>
      <w:keepNext/>
      <w:spacing w:before="420" w:after="120" w:line="240" w:lineRule="auto"/>
      <w:ind w:right="360"/>
      <w:outlineLvl w:val="2"/>
    </w:pPr>
    <w:rPr>
      <w:rFonts w:ascii="Arial" w:hAnsi="Arial"/>
      <w:b/>
      <w:sz w:val="24"/>
      <w:szCs w:val="20"/>
      <w:lang w:val="en-US" w:eastAsia="en-US"/>
    </w:rPr>
  </w:style>
  <w:style w:type="paragraph" w:customStyle="1" w:styleId="23threesquarebulletsbreak">
    <w:name w:val="23 three square bullets break"/>
    <w:basedOn w:val="Normal"/>
    <w:next w:val="Normal"/>
    <w:rsid w:val="000831A1"/>
    <w:pPr>
      <w:spacing w:before="600" w:after="480" w:line="240" w:lineRule="auto"/>
      <w:jc w:val="center"/>
    </w:pPr>
    <w:rPr>
      <w:rFonts w:ascii="Arial" w:hAnsi="Arial"/>
      <w:sz w:val="24"/>
      <w:szCs w:val="20"/>
      <w:lang w:val="en-US" w:eastAsia="en-US"/>
    </w:rPr>
  </w:style>
  <w:style w:type="paragraph" w:customStyle="1" w:styleId="24enddate">
    <w:name w:val="24 end date"/>
    <w:basedOn w:val="Normal"/>
    <w:next w:val="Normal"/>
    <w:rsid w:val="000831A1"/>
    <w:pPr>
      <w:pBdr>
        <w:top w:val="single" w:sz="4" w:space="6" w:color="auto"/>
      </w:pBdr>
      <w:spacing w:before="300" w:line="240" w:lineRule="auto"/>
    </w:pPr>
    <w:rPr>
      <w:rFonts w:ascii="Arial" w:hAnsi="Arial"/>
      <w:sz w:val="20"/>
      <w:szCs w:val="20"/>
      <w:lang w:val="en-US" w:eastAsia="en-US"/>
    </w:rPr>
  </w:style>
  <w:style w:type="paragraph" w:customStyle="1" w:styleId="30documenttitle">
    <w:name w:val="30 document title"/>
    <w:basedOn w:val="Normal"/>
    <w:next w:val="Normal"/>
    <w:rsid w:val="000831A1"/>
    <w:pPr>
      <w:spacing w:before="600" w:after="360" w:line="240" w:lineRule="auto"/>
      <w:ind w:right="1080"/>
      <w:outlineLvl w:val="0"/>
    </w:pPr>
    <w:rPr>
      <w:rFonts w:ascii="Arial" w:hAnsi="Arial"/>
      <w:sz w:val="44"/>
      <w:szCs w:val="20"/>
      <w:lang w:val="en-US" w:eastAsia="en-US"/>
    </w:rPr>
  </w:style>
  <w:style w:type="paragraph" w:customStyle="1" w:styleId="31subtitle">
    <w:name w:val="31 subtitle"/>
    <w:basedOn w:val="Normal"/>
    <w:next w:val="Normal"/>
    <w:rsid w:val="000831A1"/>
    <w:pPr>
      <w:spacing w:after="360" w:line="240" w:lineRule="auto"/>
      <w:ind w:right="3600"/>
    </w:pPr>
    <w:rPr>
      <w:rFonts w:ascii="Arial" w:hAnsi="Arial"/>
      <w:sz w:val="24"/>
      <w:szCs w:val="20"/>
      <w:lang w:val="en-US" w:eastAsia="en-US"/>
    </w:rPr>
  </w:style>
  <w:style w:type="paragraph" w:customStyle="1" w:styleId="32chaptertitle">
    <w:name w:val="32 chapter title"/>
    <w:basedOn w:val="Normal"/>
    <w:next w:val="Normal"/>
    <w:uiPriority w:val="12"/>
    <w:qFormat/>
    <w:rsid w:val="000831A1"/>
    <w:pPr>
      <w:pageBreakBefore/>
      <w:spacing w:before="0" w:after="300" w:line="240" w:lineRule="auto"/>
      <w:ind w:left="562" w:right="1080" w:hanging="562"/>
      <w:outlineLvl w:val="0"/>
    </w:pPr>
    <w:rPr>
      <w:rFonts w:ascii="Arial" w:hAnsi="Arial"/>
      <w:sz w:val="44"/>
      <w:szCs w:val="20"/>
      <w:lang w:val="en-US" w:eastAsia="en-US"/>
    </w:rPr>
  </w:style>
  <w:style w:type="paragraph" w:customStyle="1" w:styleId="33contentschapter">
    <w:name w:val="33 contents chapter"/>
    <w:basedOn w:val="Normal"/>
    <w:next w:val="Normal"/>
    <w:rsid w:val="000831A1"/>
    <w:pPr>
      <w:spacing w:after="1000" w:line="240" w:lineRule="auto"/>
    </w:pPr>
    <w:rPr>
      <w:rFonts w:ascii="Arial" w:hAnsi="Arial" w:cs="Arial"/>
      <w:sz w:val="44"/>
      <w:szCs w:val="20"/>
      <w:lang w:val="en-US" w:eastAsia="en-US"/>
    </w:rPr>
  </w:style>
  <w:style w:type="paragraph" w:customStyle="1" w:styleId="36opener">
    <w:name w:val="36 opener"/>
    <w:basedOn w:val="Normal"/>
    <w:rsid w:val="000831A1"/>
    <w:pPr>
      <w:tabs>
        <w:tab w:val="right" w:pos="-261"/>
      </w:tabs>
      <w:spacing w:after="0" w:line="240" w:lineRule="auto"/>
      <w:ind w:hanging="2160"/>
    </w:pPr>
    <w:rPr>
      <w:rFonts w:ascii="Arial" w:hAnsi="Arial"/>
      <w:sz w:val="20"/>
      <w:szCs w:val="20"/>
      <w:lang w:val="en-US" w:eastAsia="en-US"/>
    </w:rPr>
  </w:style>
  <w:style w:type="paragraph" w:customStyle="1" w:styleId="39restrictivenote">
    <w:name w:val="39 restrictive note"/>
    <w:basedOn w:val="Normal"/>
    <w:next w:val="Normal"/>
    <w:rsid w:val="000831A1"/>
    <w:pPr>
      <w:spacing w:line="240" w:lineRule="auto"/>
    </w:pPr>
    <w:rPr>
      <w:rFonts w:ascii="Arial" w:hAnsi="Arial"/>
      <w:caps/>
      <w:sz w:val="20"/>
      <w:szCs w:val="20"/>
      <w:lang w:val="en-US" w:eastAsia="en-US"/>
    </w:rPr>
  </w:style>
  <w:style w:type="paragraph" w:customStyle="1" w:styleId="40address">
    <w:name w:val="40 address"/>
    <w:basedOn w:val="Normal"/>
    <w:rsid w:val="000831A1"/>
    <w:pPr>
      <w:spacing w:line="240" w:lineRule="auto"/>
    </w:pPr>
    <w:rPr>
      <w:rFonts w:ascii="Georgia" w:hAnsi="Georgia"/>
      <w:sz w:val="24"/>
      <w:szCs w:val="20"/>
      <w:lang w:val="en-US" w:eastAsia="en-US"/>
    </w:rPr>
  </w:style>
  <w:style w:type="paragraph" w:customStyle="1" w:styleId="41closing">
    <w:name w:val="41 closing"/>
    <w:basedOn w:val="Normal"/>
    <w:rsid w:val="000831A1"/>
    <w:pPr>
      <w:spacing w:before="60" w:line="240" w:lineRule="auto"/>
      <w:ind w:left="3958"/>
    </w:pPr>
    <w:rPr>
      <w:rFonts w:ascii="Georgia" w:hAnsi="Georgia"/>
      <w:sz w:val="24"/>
      <w:szCs w:val="20"/>
      <w:lang w:val="en-US" w:eastAsia="en-US"/>
    </w:rPr>
  </w:style>
  <w:style w:type="paragraph" w:customStyle="1" w:styleId="42cc">
    <w:name w:val="42 cc:"/>
    <w:basedOn w:val="Normal"/>
    <w:rsid w:val="000831A1"/>
    <w:pPr>
      <w:spacing w:line="240" w:lineRule="auto"/>
      <w:ind w:left="544" w:hanging="544"/>
    </w:pPr>
    <w:rPr>
      <w:rFonts w:ascii="Georgia" w:hAnsi="Georgia"/>
      <w:sz w:val="24"/>
      <w:szCs w:val="20"/>
      <w:lang w:val="en-US" w:eastAsia="en-US"/>
    </w:rPr>
  </w:style>
  <w:style w:type="paragraph" w:customStyle="1" w:styleId="DocumentID-BL">
    <w:name w:val="DocumentID-BL"/>
    <w:basedOn w:val="Normal"/>
    <w:next w:val="Header"/>
    <w:rsid w:val="000831A1"/>
    <w:pPr>
      <w:framePr w:hSpace="187" w:vSpace="187" w:wrap="around" w:vAnchor="page" w:hAnchor="page" w:x="721" w:y="15985" w:anchorLock="1"/>
      <w:spacing w:after="0" w:line="240" w:lineRule="auto"/>
    </w:pPr>
    <w:rPr>
      <w:rFonts w:ascii="Georgia" w:hAnsi="Georgia"/>
      <w:sz w:val="16"/>
      <w:szCs w:val="20"/>
      <w:lang w:val="en-US" w:eastAsia="en-US"/>
    </w:rPr>
  </w:style>
  <w:style w:type="paragraph" w:customStyle="1" w:styleId="DocumentID-BLGlobal">
    <w:name w:val="DocumentID-BLGlobal"/>
    <w:basedOn w:val="Normal"/>
    <w:next w:val="Header"/>
    <w:rsid w:val="000831A1"/>
    <w:pPr>
      <w:framePr w:hSpace="187" w:vSpace="187" w:wrap="around" w:vAnchor="page" w:hAnchor="page" w:x="721" w:y="15985" w:anchorLock="1"/>
      <w:spacing w:after="0" w:line="240" w:lineRule="auto"/>
    </w:pPr>
    <w:rPr>
      <w:rFonts w:ascii="Georgia" w:hAnsi="Georgia"/>
      <w:sz w:val="16"/>
      <w:szCs w:val="20"/>
      <w:lang w:val="en-US" w:eastAsia="en-US"/>
    </w:rPr>
  </w:style>
  <w:style w:type="paragraph" w:customStyle="1" w:styleId="DocumentID-BLT">
    <w:name w:val="DocumentID-BLT"/>
    <w:basedOn w:val="DocumentID-BL"/>
    <w:rsid w:val="000831A1"/>
    <w:pPr>
      <w:framePr w:wrap="around"/>
    </w:pPr>
    <w:rPr>
      <w:vanish/>
      <w:color w:val="FF0000"/>
    </w:rPr>
  </w:style>
  <w:style w:type="paragraph" w:customStyle="1" w:styleId="DocumentID-TR">
    <w:name w:val="DocumentID-TR"/>
    <w:basedOn w:val="Normal"/>
    <w:next w:val="Header"/>
    <w:rsid w:val="000831A1"/>
    <w:pPr>
      <w:framePr w:w="5760" w:wrap="around" w:vAnchor="page" w:hAnchor="page" w:x="5401" w:y="721" w:anchorLock="1"/>
      <w:spacing w:after="0" w:line="240" w:lineRule="auto"/>
      <w:jc w:val="right"/>
    </w:pPr>
    <w:rPr>
      <w:rFonts w:ascii="Georgia" w:hAnsi="Georgia"/>
      <w:sz w:val="16"/>
      <w:szCs w:val="20"/>
      <w:lang w:val="en-US" w:eastAsia="en-US"/>
    </w:rPr>
  </w:style>
  <w:style w:type="paragraph" w:customStyle="1" w:styleId="DocumentID-TRGlobal">
    <w:name w:val="DocumentID-TRGlobal"/>
    <w:basedOn w:val="Normal"/>
    <w:next w:val="Header"/>
    <w:rsid w:val="000831A1"/>
    <w:pPr>
      <w:framePr w:w="5760" w:wrap="around" w:vAnchor="page" w:hAnchor="page" w:x="5401" w:y="721" w:anchorLock="1"/>
      <w:spacing w:after="0" w:line="240" w:lineRule="auto"/>
      <w:jc w:val="right"/>
    </w:pPr>
    <w:rPr>
      <w:rFonts w:ascii="Georgia" w:hAnsi="Georgia"/>
      <w:sz w:val="16"/>
      <w:szCs w:val="20"/>
      <w:lang w:val="en-US" w:eastAsia="en-US"/>
    </w:rPr>
  </w:style>
  <w:style w:type="paragraph" w:customStyle="1" w:styleId="DocumentID-TRT">
    <w:name w:val="DocumentID-TRT"/>
    <w:basedOn w:val="DocumentID-TR"/>
    <w:rsid w:val="000831A1"/>
    <w:pPr>
      <w:framePr w:wrap="around"/>
    </w:pPr>
    <w:rPr>
      <w:vanish/>
      <w:color w:val="FF0000"/>
    </w:rPr>
  </w:style>
  <w:style w:type="paragraph" w:customStyle="1" w:styleId="SOPP20major">
    <w:name w:val="SOPP_20 major"/>
    <w:basedOn w:val="Normal"/>
    <w:next w:val="Normal"/>
    <w:rsid w:val="000831A1"/>
    <w:pPr>
      <w:keepNext/>
      <w:spacing w:before="540" w:after="120" w:line="240" w:lineRule="auto"/>
      <w:ind w:right="360"/>
      <w:outlineLvl w:val="2"/>
    </w:pPr>
    <w:rPr>
      <w:rFonts w:ascii="Arial" w:hAnsi="Arial"/>
      <w:b/>
      <w:caps/>
      <w:sz w:val="24"/>
      <w:szCs w:val="20"/>
      <w:lang w:val="cs-CZ" w:eastAsia="en-US"/>
    </w:rPr>
  </w:style>
  <w:style w:type="paragraph" w:customStyle="1" w:styleId="SOPP21minor">
    <w:name w:val="SOPP_21 minor"/>
    <w:basedOn w:val="Normal"/>
    <w:next w:val="Normal"/>
    <w:rsid w:val="000831A1"/>
    <w:pPr>
      <w:keepNext/>
      <w:spacing w:before="420" w:after="120" w:line="240" w:lineRule="auto"/>
      <w:ind w:right="360"/>
      <w:outlineLvl w:val="3"/>
    </w:pPr>
    <w:rPr>
      <w:rFonts w:ascii="Arial" w:hAnsi="Arial"/>
      <w:b/>
      <w:sz w:val="24"/>
      <w:szCs w:val="20"/>
      <w:lang w:val="cs-CZ" w:eastAsia="en-US"/>
    </w:rPr>
  </w:style>
  <w:style w:type="paragraph" w:customStyle="1" w:styleId="SOPP30documenttitle">
    <w:name w:val="SOPP_30 document title"/>
    <w:basedOn w:val="Normal"/>
    <w:next w:val="Normal"/>
    <w:rsid w:val="000831A1"/>
    <w:pPr>
      <w:spacing w:before="780" w:after="360" w:line="240" w:lineRule="auto"/>
      <w:ind w:right="1080"/>
      <w:outlineLvl w:val="0"/>
    </w:pPr>
    <w:rPr>
      <w:rFonts w:ascii="Arial" w:hAnsi="Arial"/>
      <w:sz w:val="44"/>
      <w:szCs w:val="20"/>
      <w:lang w:val="cs-CZ" w:eastAsia="en-US"/>
    </w:rPr>
  </w:style>
  <w:style w:type="paragraph" w:customStyle="1" w:styleId="SOPP42cc">
    <w:name w:val="SOPP_42 cc:"/>
    <w:basedOn w:val="Normal"/>
    <w:rsid w:val="000831A1"/>
    <w:pPr>
      <w:spacing w:before="480" w:line="240" w:lineRule="auto"/>
      <w:ind w:left="544" w:hanging="544"/>
    </w:pPr>
    <w:rPr>
      <w:rFonts w:ascii="Georgia" w:hAnsi="Georgia"/>
      <w:sz w:val="24"/>
      <w:szCs w:val="20"/>
      <w:lang w:val="cs-CZ" w:eastAsia="en-US"/>
    </w:rPr>
  </w:style>
  <w:style w:type="character" w:customStyle="1" w:styleId="StyleArialLatin13pt">
    <w:name w:val="Style Arial (Latin) 13 pt"/>
    <w:basedOn w:val="DefaultParagraphFont"/>
    <w:rsid w:val="000831A1"/>
    <w:rPr>
      <w:rFonts w:ascii="Arial" w:hAnsi="Arial" w:cs="Arial"/>
      <w:color w:val="auto"/>
      <w:sz w:val="26"/>
    </w:rPr>
  </w:style>
  <w:style w:type="character" w:customStyle="1" w:styleId="StyleArial14pt">
    <w:name w:val="Style Arial 14 pt"/>
    <w:basedOn w:val="DefaultParagraphFont"/>
    <w:rsid w:val="000831A1"/>
    <w:rPr>
      <w:rFonts w:ascii="Arial" w:hAnsi="Arial"/>
      <w:color w:val="auto"/>
      <w:sz w:val="28"/>
    </w:rPr>
  </w:style>
  <w:style w:type="paragraph" w:customStyle="1" w:styleId="StyleArial22ptCustomAfter10pt">
    <w:name w:val="Style Arial 22 pt Custom After:  10 pt"/>
    <w:basedOn w:val="Normal"/>
    <w:rsid w:val="000831A1"/>
    <w:pPr>
      <w:spacing w:after="200" w:line="240" w:lineRule="auto"/>
    </w:pPr>
    <w:rPr>
      <w:rFonts w:ascii="Arial" w:hAnsi="Arial"/>
      <w:sz w:val="44"/>
      <w:szCs w:val="20"/>
      <w:lang w:val="en-US" w:eastAsia="en-US"/>
    </w:rPr>
  </w:style>
  <w:style w:type="paragraph" w:customStyle="1" w:styleId="TitlePageClient">
    <w:name w:val="Title Page_Client"/>
    <w:basedOn w:val="Normal"/>
    <w:next w:val="Normal"/>
    <w:rsid w:val="000831A1"/>
    <w:pPr>
      <w:spacing w:line="240" w:lineRule="auto"/>
    </w:pPr>
    <w:rPr>
      <w:rFonts w:ascii="Arial" w:hAnsi="Arial"/>
      <w:sz w:val="28"/>
      <w:szCs w:val="20"/>
      <w:lang w:val="en-US" w:eastAsia="en-US"/>
    </w:rPr>
  </w:style>
  <w:style w:type="paragraph" w:customStyle="1" w:styleId="TitlePageDisclaimer">
    <w:name w:val="Title Page_Disclaimer"/>
    <w:basedOn w:val="Normal"/>
    <w:rsid w:val="000831A1"/>
    <w:pPr>
      <w:spacing w:line="240" w:lineRule="auto"/>
    </w:pPr>
    <w:rPr>
      <w:rFonts w:ascii="Arial" w:hAnsi="Arial"/>
      <w:sz w:val="18"/>
      <w:szCs w:val="20"/>
      <w:lang w:val="en-US" w:eastAsia="en-US"/>
    </w:rPr>
  </w:style>
  <w:style w:type="paragraph" w:customStyle="1" w:styleId="TitlePageDocument">
    <w:name w:val="Title Page_Document"/>
    <w:basedOn w:val="Normal"/>
    <w:rsid w:val="000831A1"/>
    <w:pPr>
      <w:spacing w:line="240" w:lineRule="auto"/>
    </w:pPr>
    <w:rPr>
      <w:rFonts w:ascii="Arial" w:hAnsi="Arial" w:cs="Arial"/>
      <w:sz w:val="24"/>
      <w:szCs w:val="20"/>
      <w:lang w:val="en-US" w:eastAsia="en-US"/>
    </w:rPr>
  </w:style>
  <w:style w:type="paragraph" w:customStyle="1" w:styleId="TitlePageTitle">
    <w:name w:val="Title Page_Title"/>
    <w:basedOn w:val="Normal"/>
    <w:next w:val="Normal"/>
    <w:rsid w:val="000831A1"/>
    <w:pPr>
      <w:spacing w:after="200" w:line="240" w:lineRule="auto"/>
    </w:pPr>
    <w:rPr>
      <w:rFonts w:ascii="Arial" w:hAnsi="Arial"/>
      <w:sz w:val="44"/>
      <w:szCs w:val="20"/>
      <w:lang w:val="en-US" w:eastAsia="en-US"/>
    </w:rPr>
  </w:style>
  <w:style w:type="table" w:customStyle="1" w:styleId="McKTableStyle">
    <w:name w:val="McKTableStyle"/>
    <w:basedOn w:val="TableNormal"/>
    <w:uiPriority w:val="99"/>
    <w:rsid w:val="000831A1"/>
    <w:pPr>
      <w:spacing w:before="120" w:after="60"/>
      <w:ind w:right="289"/>
    </w:pPr>
    <w:rPr>
      <w:rFonts w:eastAsiaTheme="minorHAnsi" w:cstheme="minorBidi"/>
      <w:sz w:val="26"/>
      <w:szCs w:val="22"/>
      <w:lang w:val="en-US" w:eastAsia="en-US"/>
    </w:rPr>
    <w:tblPr/>
    <w:tblStylePr w:type="firstRow">
      <w:pPr>
        <w:wordWrap/>
        <w:spacing w:beforeLines="0" w:before="120" w:beforeAutospacing="0" w:afterLines="0" w:after="60" w:afterAutospacing="0" w:line="240" w:lineRule="auto"/>
        <w:ind w:leftChars="0" w:left="0" w:rightChars="0" w:right="289" w:firstLineChars="0" w:firstLine="0"/>
        <w:contextualSpacing w:val="0"/>
        <w:mirrorIndents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customStyle="1" w:styleId="38letterdate">
    <w:name w:val="38 letter date"/>
    <w:basedOn w:val="Normal"/>
    <w:next w:val="Normal"/>
    <w:uiPriority w:val="49"/>
    <w:rsid w:val="000831A1"/>
    <w:pPr>
      <w:spacing w:before="1680" w:line="240" w:lineRule="auto"/>
      <w:jc w:val="right"/>
    </w:pPr>
    <w:rPr>
      <w:rFonts w:ascii="Georgia" w:hAnsi="Georgia"/>
      <w:sz w:val="24"/>
      <w:szCs w:val="20"/>
      <w:lang w:val="en-US" w:eastAsia="en-US"/>
    </w:rPr>
  </w:style>
  <w:style w:type="paragraph" w:customStyle="1" w:styleId="StyleArialLatin12ptLeft-2cmAfter0pt">
    <w:name w:val="Style Arial (Latin) 12 pt Left:  -2 cm After:  0 pt"/>
    <w:basedOn w:val="Normal"/>
    <w:uiPriority w:val="49"/>
    <w:rsid w:val="000831A1"/>
    <w:pPr>
      <w:spacing w:after="0" w:line="240" w:lineRule="auto"/>
      <w:ind w:left="-1134"/>
    </w:pPr>
    <w:rPr>
      <w:rFonts w:ascii="Arial" w:hAnsi="Arial" w:cs="Arial"/>
      <w:sz w:val="24"/>
      <w:szCs w:val="20"/>
      <w:lang w:val="en-US" w:eastAsia="en-US"/>
    </w:rPr>
  </w:style>
  <w:style w:type="paragraph" w:customStyle="1" w:styleId="StyleArialLatin13ptLeft-2cmHanging099cmRight">
    <w:name w:val="Style Arial (Latin) 13 pt Left:  -2 cm Hanging:  0.99 cm Right:..."/>
    <w:basedOn w:val="Normal"/>
    <w:uiPriority w:val="49"/>
    <w:rsid w:val="000831A1"/>
    <w:pPr>
      <w:spacing w:line="240" w:lineRule="auto"/>
      <w:ind w:left="-573" w:right="1077" w:hanging="561"/>
    </w:pPr>
    <w:rPr>
      <w:rFonts w:ascii="Arial" w:hAnsi="Arial" w:cs="Arial"/>
      <w:sz w:val="24"/>
      <w:szCs w:val="20"/>
      <w:lang w:val="en-US" w:eastAsia="en-US"/>
    </w:rPr>
  </w:style>
  <w:style w:type="paragraph" w:customStyle="1" w:styleId="StyleArial10ptLeft-2cm">
    <w:name w:val="Style Arial 10 pt Left:  -2 cm"/>
    <w:basedOn w:val="Normal"/>
    <w:uiPriority w:val="49"/>
    <w:rsid w:val="000831A1"/>
    <w:pPr>
      <w:spacing w:line="240" w:lineRule="auto"/>
    </w:pPr>
    <w:rPr>
      <w:rFonts w:ascii="Arial" w:hAnsi="Arial"/>
      <w:sz w:val="20"/>
      <w:szCs w:val="20"/>
      <w:lang w:val="en-US" w:eastAsia="en-US"/>
    </w:rPr>
  </w:style>
  <w:style w:type="paragraph" w:customStyle="1" w:styleId="25pullquote">
    <w:name w:val="25 pull quote"/>
    <w:basedOn w:val="Normal"/>
    <w:rsid w:val="000831A1"/>
    <w:pPr>
      <w:spacing w:before="0" w:after="200" w:line="276" w:lineRule="auto"/>
    </w:pPr>
    <w:rPr>
      <w:rFonts w:ascii="Georgia" w:hAnsi="Georgia"/>
      <w:color w:val="808080"/>
      <w:sz w:val="28"/>
      <w:szCs w:val="28"/>
      <w:lang w:eastAsia="en-US"/>
    </w:rPr>
  </w:style>
  <w:style w:type="paragraph" w:customStyle="1" w:styleId="22sub-minor">
    <w:name w:val="22 sub-minor"/>
    <w:basedOn w:val="Normal"/>
    <w:link w:val="22sub-minorChar"/>
    <w:uiPriority w:val="2"/>
    <w:qFormat/>
    <w:rsid w:val="000831A1"/>
    <w:pPr>
      <w:keepNext/>
      <w:spacing w:before="300" w:line="264" w:lineRule="auto"/>
    </w:pPr>
    <w:rPr>
      <w:rFonts w:ascii="Arial" w:hAnsi="Arial" w:cs="Arial"/>
      <w:b/>
      <w:color w:val="000000" w:themeColor="text1"/>
      <w:sz w:val="24"/>
      <w:lang w:val="en-US" w:eastAsia="en-US"/>
    </w:rPr>
  </w:style>
  <w:style w:type="character" w:customStyle="1" w:styleId="22sub-minorChar">
    <w:name w:val="22 sub-minor Char"/>
    <w:basedOn w:val="DefaultParagraphFont"/>
    <w:link w:val="22sub-minor"/>
    <w:uiPriority w:val="2"/>
    <w:rsid w:val="000831A1"/>
    <w:rPr>
      <w:rFonts w:ascii="Arial" w:hAnsi="Arial" w:cs="Arial"/>
      <w:b/>
      <w:color w:val="000000" w:themeColor="text1"/>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6517724">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8338578">
      <w:bodyDiv w:val="1"/>
      <w:marLeft w:val="0"/>
      <w:marRight w:val="0"/>
      <w:marTop w:val="0"/>
      <w:marBottom w:val="0"/>
      <w:divBdr>
        <w:top w:val="none" w:sz="0" w:space="0" w:color="auto"/>
        <w:left w:val="none" w:sz="0" w:space="0" w:color="auto"/>
        <w:bottom w:val="none" w:sz="0" w:space="0" w:color="auto"/>
        <w:right w:val="none" w:sz="0" w:space="0" w:color="auto"/>
      </w:divBdr>
    </w:div>
    <w:div w:id="25298148">
      <w:bodyDiv w:val="1"/>
      <w:marLeft w:val="0"/>
      <w:marRight w:val="0"/>
      <w:marTop w:val="0"/>
      <w:marBottom w:val="0"/>
      <w:divBdr>
        <w:top w:val="none" w:sz="0" w:space="0" w:color="auto"/>
        <w:left w:val="none" w:sz="0" w:space="0" w:color="auto"/>
        <w:bottom w:val="none" w:sz="0" w:space="0" w:color="auto"/>
        <w:right w:val="none" w:sz="0" w:space="0" w:color="auto"/>
      </w:divBdr>
    </w:div>
    <w:div w:id="28453850">
      <w:bodyDiv w:val="1"/>
      <w:marLeft w:val="0"/>
      <w:marRight w:val="0"/>
      <w:marTop w:val="0"/>
      <w:marBottom w:val="0"/>
      <w:divBdr>
        <w:top w:val="none" w:sz="0" w:space="0" w:color="auto"/>
        <w:left w:val="none" w:sz="0" w:space="0" w:color="auto"/>
        <w:bottom w:val="none" w:sz="0" w:space="0" w:color="auto"/>
        <w:right w:val="none" w:sz="0" w:space="0" w:color="auto"/>
      </w:divBdr>
    </w:div>
    <w:div w:id="30037753">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33039184">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67927010">
      <w:bodyDiv w:val="1"/>
      <w:marLeft w:val="0"/>
      <w:marRight w:val="0"/>
      <w:marTop w:val="0"/>
      <w:marBottom w:val="0"/>
      <w:divBdr>
        <w:top w:val="none" w:sz="0" w:space="0" w:color="auto"/>
        <w:left w:val="none" w:sz="0" w:space="0" w:color="auto"/>
        <w:bottom w:val="none" w:sz="0" w:space="0" w:color="auto"/>
        <w:right w:val="none" w:sz="0" w:space="0" w:color="auto"/>
      </w:divBdr>
    </w:div>
    <w:div w:id="70321099">
      <w:bodyDiv w:val="1"/>
      <w:marLeft w:val="0"/>
      <w:marRight w:val="0"/>
      <w:marTop w:val="0"/>
      <w:marBottom w:val="0"/>
      <w:divBdr>
        <w:top w:val="none" w:sz="0" w:space="0" w:color="auto"/>
        <w:left w:val="none" w:sz="0" w:space="0" w:color="auto"/>
        <w:bottom w:val="none" w:sz="0" w:space="0" w:color="auto"/>
        <w:right w:val="none" w:sz="0" w:space="0" w:color="auto"/>
      </w:divBdr>
    </w:div>
    <w:div w:id="70542731">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76562665">
      <w:bodyDiv w:val="1"/>
      <w:marLeft w:val="0"/>
      <w:marRight w:val="0"/>
      <w:marTop w:val="0"/>
      <w:marBottom w:val="0"/>
      <w:divBdr>
        <w:top w:val="none" w:sz="0" w:space="0" w:color="auto"/>
        <w:left w:val="none" w:sz="0" w:space="0" w:color="auto"/>
        <w:bottom w:val="none" w:sz="0" w:space="0" w:color="auto"/>
        <w:right w:val="none" w:sz="0" w:space="0" w:color="auto"/>
      </w:divBdr>
    </w:div>
    <w:div w:id="86728864">
      <w:bodyDiv w:val="1"/>
      <w:marLeft w:val="0"/>
      <w:marRight w:val="0"/>
      <w:marTop w:val="0"/>
      <w:marBottom w:val="0"/>
      <w:divBdr>
        <w:top w:val="none" w:sz="0" w:space="0" w:color="auto"/>
        <w:left w:val="none" w:sz="0" w:space="0" w:color="auto"/>
        <w:bottom w:val="none" w:sz="0" w:space="0" w:color="auto"/>
        <w:right w:val="none" w:sz="0" w:space="0" w:color="auto"/>
      </w:divBdr>
    </w:div>
    <w:div w:id="88938752">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2672706">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09670590">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27473213">
      <w:bodyDiv w:val="1"/>
      <w:marLeft w:val="0"/>
      <w:marRight w:val="0"/>
      <w:marTop w:val="0"/>
      <w:marBottom w:val="0"/>
      <w:divBdr>
        <w:top w:val="none" w:sz="0" w:space="0" w:color="auto"/>
        <w:left w:val="none" w:sz="0" w:space="0" w:color="auto"/>
        <w:bottom w:val="none" w:sz="0" w:space="0" w:color="auto"/>
        <w:right w:val="none" w:sz="0" w:space="0" w:color="auto"/>
      </w:divBdr>
    </w:div>
    <w:div w:id="128909544">
      <w:bodyDiv w:val="1"/>
      <w:marLeft w:val="0"/>
      <w:marRight w:val="0"/>
      <w:marTop w:val="0"/>
      <w:marBottom w:val="0"/>
      <w:divBdr>
        <w:top w:val="none" w:sz="0" w:space="0" w:color="auto"/>
        <w:left w:val="none" w:sz="0" w:space="0" w:color="auto"/>
        <w:bottom w:val="none" w:sz="0" w:space="0" w:color="auto"/>
        <w:right w:val="none" w:sz="0" w:space="0" w:color="auto"/>
      </w:divBdr>
    </w:div>
    <w:div w:id="138428887">
      <w:bodyDiv w:val="1"/>
      <w:marLeft w:val="0"/>
      <w:marRight w:val="0"/>
      <w:marTop w:val="0"/>
      <w:marBottom w:val="0"/>
      <w:divBdr>
        <w:top w:val="none" w:sz="0" w:space="0" w:color="auto"/>
        <w:left w:val="none" w:sz="0" w:space="0" w:color="auto"/>
        <w:bottom w:val="none" w:sz="0" w:space="0" w:color="auto"/>
        <w:right w:val="none" w:sz="0" w:space="0" w:color="auto"/>
      </w:divBdr>
      <w:divsChild>
        <w:div w:id="1156843415">
          <w:marLeft w:val="0"/>
          <w:marRight w:val="0"/>
          <w:marTop w:val="0"/>
          <w:marBottom w:val="0"/>
          <w:divBdr>
            <w:top w:val="none" w:sz="0" w:space="0" w:color="auto"/>
            <w:left w:val="none" w:sz="0" w:space="0" w:color="auto"/>
            <w:bottom w:val="none" w:sz="0" w:space="0" w:color="auto"/>
            <w:right w:val="none" w:sz="0" w:space="0" w:color="auto"/>
          </w:divBdr>
          <w:divsChild>
            <w:div w:id="981347490">
              <w:marLeft w:val="439"/>
              <w:marRight w:val="0"/>
              <w:marTop w:val="0"/>
              <w:marBottom w:val="0"/>
              <w:divBdr>
                <w:top w:val="none" w:sz="0" w:space="0" w:color="auto"/>
                <w:left w:val="none" w:sz="0" w:space="0" w:color="auto"/>
                <w:bottom w:val="none" w:sz="0" w:space="0" w:color="auto"/>
                <w:right w:val="none" w:sz="0" w:space="0" w:color="auto"/>
              </w:divBdr>
              <w:divsChild>
                <w:div w:id="344789478">
                  <w:marLeft w:val="0"/>
                  <w:marRight w:val="0"/>
                  <w:marTop w:val="0"/>
                  <w:marBottom w:val="0"/>
                  <w:divBdr>
                    <w:top w:val="none" w:sz="0" w:space="0" w:color="auto"/>
                    <w:left w:val="none" w:sz="0" w:space="0" w:color="auto"/>
                    <w:bottom w:val="none" w:sz="0" w:space="0" w:color="auto"/>
                    <w:right w:val="none" w:sz="0" w:space="0" w:color="auto"/>
                  </w:divBdr>
                  <w:divsChild>
                    <w:div w:id="1640962754">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875617">
          <w:marLeft w:val="0"/>
          <w:marRight w:val="0"/>
          <w:marTop w:val="0"/>
          <w:marBottom w:val="0"/>
          <w:divBdr>
            <w:top w:val="none" w:sz="0" w:space="0" w:color="auto"/>
            <w:left w:val="none" w:sz="0" w:space="0" w:color="auto"/>
            <w:bottom w:val="none" w:sz="0" w:space="0" w:color="auto"/>
            <w:right w:val="none" w:sz="0" w:space="0" w:color="auto"/>
          </w:divBdr>
        </w:div>
      </w:divsChild>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40117877">
      <w:bodyDiv w:val="1"/>
      <w:marLeft w:val="0"/>
      <w:marRight w:val="0"/>
      <w:marTop w:val="0"/>
      <w:marBottom w:val="0"/>
      <w:divBdr>
        <w:top w:val="none" w:sz="0" w:space="0" w:color="auto"/>
        <w:left w:val="none" w:sz="0" w:space="0" w:color="auto"/>
        <w:bottom w:val="none" w:sz="0" w:space="0" w:color="auto"/>
        <w:right w:val="none" w:sz="0" w:space="0" w:color="auto"/>
      </w:divBdr>
    </w:div>
    <w:div w:id="142698520">
      <w:bodyDiv w:val="1"/>
      <w:marLeft w:val="0"/>
      <w:marRight w:val="0"/>
      <w:marTop w:val="0"/>
      <w:marBottom w:val="0"/>
      <w:divBdr>
        <w:top w:val="none" w:sz="0" w:space="0" w:color="auto"/>
        <w:left w:val="none" w:sz="0" w:space="0" w:color="auto"/>
        <w:bottom w:val="none" w:sz="0" w:space="0" w:color="auto"/>
        <w:right w:val="none" w:sz="0" w:space="0" w:color="auto"/>
      </w:divBdr>
    </w:div>
    <w:div w:id="143359449">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179201564">
      <w:bodyDiv w:val="1"/>
      <w:marLeft w:val="0"/>
      <w:marRight w:val="0"/>
      <w:marTop w:val="0"/>
      <w:marBottom w:val="0"/>
      <w:divBdr>
        <w:top w:val="none" w:sz="0" w:space="0" w:color="auto"/>
        <w:left w:val="none" w:sz="0" w:space="0" w:color="auto"/>
        <w:bottom w:val="none" w:sz="0" w:space="0" w:color="auto"/>
        <w:right w:val="none" w:sz="0" w:space="0" w:color="auto"/>
      </w:divBdr>
    </w:div>
    <w:div w:id="190731009">
      <w:bodyDiv w:val="1"/>
      <w:marLeft w:val="0"/>
      <w:marRight w:val="0"/>
      <w:marTop w:val="0"/>
      <w:marBottom w:val="0"/>
      <w:divBdr>
        <w:top w:val="none" w:sz="0" w:space="0" w:color="auto"/>
        <w:left w:val="none" w:sz="0" w:space="0" w:color="auto"/>
        <w:bottom w:val="none" w:sz="0" w:space="0" w:color="auto"/>
        <w:right w:val="none" w:sz="0" w:space="0" w:color="auto"/>
      </w:divBdr>
    </w:div>
    <w:div w:id="194731144">
      <w:bodyDiv w:val="1"/>
      <w:marLeft w:val="0"/>
      <w:marRight w:val="0"/>
      <w:marTop w:val="0"/>
      <w:marBottom w:val="0"/>
      <w:divBdr>
        <w:top w:val="none" w:sz="0" w:space="0" w:color="auto"/>
        <w:left w:val="none" w:sz="0" w:space="0" w:color="auto"/>
        <w:bottom w:val="none" w:sz="0" w:space="0" w:color="auto"/>
        <w:right w:val="none" w:sz="0" w:space="0" w:color="auto"/>
      </w:divBdr>
    </w:div>
    <w:div w:id="199906083">
      <w:bodyDiv w:val="1"/>
      <w:marLeft w:val="0"/>
      <w:marRight w:val="0"/>
      <w:marTop w:val="0"/>
      <w:marBottom w:val="0"/>
      <w:divBdr>
        <w:top w:val="none" w:sz="0" w:space="0" w:color="auto"/>
        <w:left w:val="none" w:sz="0" w:space="0" w:color="auto"/>
        <w:bottom w:val="none" w:sz="0" w:space="0" w:color="auto"/>
        <w:right w:val="none" w:sz="0" w:space="0" w:color="auto"/>
      </w:divBdr>
    </w:div>
    <w:div w:id="203294371">
      <w:bodyDiv w:val="1"/>
      <w:marLeft w:val="0"/>
      <w:marRight w:val="0"/>
      <w:marTop w:val="0"/>
      <w:marBottom w:val="0"/>
      <w:divBdr>
        <w:top w:val="none" w:sz="0" w:space="0" w:color="auto"/>
        <w:left w:val="none" w:sz="0" w:space="0" w:color="auto"/>
        <w:bottom w:val="none" w:sz="0" w:space="0" w:color="auto"/>
        <w:right w:val="none" w:sz="0" w:space="0" w:color="auto"/>
      </w:divBdr>
      <w:divsChild>
        <w:div w:id="429157399">
          <w:marLeft w:val="0"/>
          <w:marRight w:val="0"/>
          <w:marTop w:val="0"/>
          <w:marBottom w:val="0"/>
          <w:divBdr>
            <w:top w:val="none" w:sz="0" w:space="0" w:color="auto"/>
            <w:left w:val="none" w:sz="0" w:space="0" w:color="auto"/>
            <w:bottom w:val="none" w:sz="0" w:space="0" w:color="auto"/>
            <w:right w:val="none" w:sz="0" w:space="0" w:color="auto"/>
          </w:divBdr>
          <w:divsChild>
            <w:div w:id="153225294">
              <w:marLeft w:val="439"/>
              <w:marRight w:val="0"/>
              <w:marTop w:val="0"/>
              <w:marBottom w:val="0"/>
              <w:divBdr>
                <w:top w:val="none" w:sz="0" w:space="0" w:color="auto"/>
                <w:left w:val="none" w:sz="0" w:space="0" w:color="auto"/>
                <w:bottom w:val="none" w:sz="0" w:space="0" w:color="auto"/>
                <w:right w:val="none" w:sz="0" w:space="0" w:color="auto"/>
              </w:divBdr>
              <w:divsChild>
                <w:div w:id="1643536995">
                  <w:marLeft w:val="0"/>
                  <w:marRight w:val="0"/>
                  <w:marTop w:val="0"/>
                  <w:marBottom w:val="0"/>
                  <w:divBdr>
                    <w:top w:val="none" w:sz="0" w:space="0" w:color="auto"/>
                    <w:left w:val="none" w:sz="0" w:space="0" w:color="auto"/>
                    <w:bottom w:val="none" w:sz="0" w:space="0" w:color="auto"/>
                    <w:right w:val="none" w:sz="0" w:space="0" w:color="auto"/>
                  </w:divBdr>
                  <w:divsChild>
                    <w:div w:id="1963151378">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79067">
          <w:marLeft w:val="0"/>
          <w:marRight w:val="0"/>
          <w:marTop w:val="0"/>
          <w:marBottom w:val="0"/>
          <w:divBdr>
            <w:top w:val="none" w:sz="0" w:space="0" w:color="auto"/>
            <w:left w:val="none" w:sz="0" w:space="0" w:color="auto"/>
            <w:bottom w:val="none" w:sz="0" w:space="0" w:color="auto"/>
            <w:right w:val="none" w:sz="0" w:space="0" w:color="auto"/>
          </w:divBdr>
        </w:div>
      </w:divsChild>
    </w:div>
    <w:div w:id="208684675">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3741790">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34245847">
      <w:bodyDiv w:val="1"/>
      <w:marLeft w:val="0"/>
      <w:marRight w:val="0"/>
      <w:marTop w:val="0"/>
      <w:marBottom w:val="0"/>
      <w:divBdr>
        <w:top w:val="none" w:sz="0" w:space="0" w:color="auto"/>
        <w:left w:val="none" w:sz="0" w:space="0" w:color="auto"/>
        <w:bottom w:val="none" w:sz="0" w:space="0" w:color="auto"/>
        <w:right w:val="none" w:sz="0" w:space="0" w:color="auto"/>
      </w:divBdr>
    </w:div>
    <w:div w:id="236129856">
      <w:bodyDiv w:val="1"/>
      <w:marLeft w:val="0"/>
      <w:marRight w:val="0"/>
      <w:marTop w:val="0"/>
      <w:marBottom w:val="0"/>
      <w:divBdr>
        <w:top w:val="none" w:sz="0" w:space="0" w:color="auto"/>
        <w:left w:val="none" w:sz="0" w:space="0" w:color="auto"/>
        <w:bottom w:val="none" w:sz="0" w:space="0" w:color="auto"/>
        <w:right w:val="none" w:sz="0" w:space="0" w:color="auto"/>
      </w:divBdr>
    </w:div>
    <w:div w:id="236717076">
      <w:bodyDiv w:val="1"/>
      <w:marLeft w:val="0"/>
      <w:marRight w:val="0"/>
      <w:marTop w:val="0"/>
      <w:marBottom w:val="0"/>
      <w:divBdr>
        <w:top w:val="none" w:sz="0" w:space="0" w:color="auto"/>
        <w:left w:val="none" w:sz="0" w:space="0" w:color="auto"/>
        <w:bottom w:val="none" w:sz="0" w:space="0" w:color="auto"/>
        <w:right w:val="none" w:sz="0" w:space="0" w:color="auto"/>
      </w:divBdr>
    </w:div>
    <w:div w:id="242686057">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53321019">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68663996">
      <w:bodyDiv w:val="1"/>
      <w:marLeft w:val="0"/>
      <w:marRight w:val="0"/>
      <w:marTop w:val="0"/>
      <w:marBottom w:val="0"/>
      <w:divBdr>
        <w:top w:val="none" w:sz="0" w:space="0" w:color="auto"/>
        <w:left w:val="none" w:sz="0" w:space="0" w:color="auto"/>
        <w:bottom w:val="none" w:sz="0" w:space="0" w:color="auto"/>
        <w:right w:val="none" w:sz="0" w:space="0" w:color="auto"/>
      </w:divBdr>
    </w:div>
    <w:div w:id="269630470">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78226642">
      <w:bodyDiv w:val="1"/>
      <w:marLeft w:val="0"/>
      <w:marRight w:val="0"/>
      <w:marTop w:val="0"/>
      <w:marBottom w:val="0"/>
      <w:divBdr>
        <w:top w:val="none" w:sz="0" w:space="0" w:color="auto"/>
        <w:left w:val="none" w:sz="0" w:space="0" w:color="auto"/>
        <w:bottom w:val="none" w:sz="0" w:space="0" w:color="auto"/>
        <w:right w:val="none" w:sz="0" w:space="0" w:color="auto"/>
      </w:divBdr>
    </w:div>
    <w:div w:id="289475345">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16959400">
      <w:bodyDiv w:val="1"/>
      <w:marLeft w:val="0"/>
      <w:marRight w:val="0"/>
      <w:marTop w:val="0"/>
      <w:marBottom w:val="0"/>
      <w:divBdr>
        <w:top w:val="none" w:sz="0" w:space="0" w:color="auto"/>
        <w:left w:val="none" w:sz="0" w:space="0" w:color="auto"/>
        <w:bottom w:val="none" w:sz="0" w:space="0" w:color="auto"/>
        <w:right w:val="none" w:sz="0" w:space="0" w:color="auto"/>
      </w:divBdr>
    </w:div>
    <w:div w:id="320885740">
      <w:bodyDiv w:val="1"/>
      <w:marLeft w:val="0"/>
      <w:marRight w:val="0"/>
      <w:marTop w:val="0"/>
      <w:marBottom w:val="0"/>
      <w:divBdr>
        <w:top w:val="none" w:sz="0" w:space="0" w:color="auto"/>
        <w:left w:val="none" w:sz="0" w:space="0" w:color="auto"/>
        <w:bottom w:val="none" w:sz="0" w:space="0" w:color="auto"/>
        <w:right w:val="none" w:sz="0" w:space="0" w:color="auto"/>
      </w:divBdr>
      <w:divsChild>
        <w:div w:id="161748597">
          <w:marLeft w:val="0"/>
          <w:marRight w:val="0"/>
          <w:marTop w:val="0"/>
          <w:marBottom w:val="0"/>
          <w:divBdr>
            <w:top w:val="none" w:sz="0" w:space="0" w:color="auto"/>
            <w:left w:val="none" w:sz="0" w:space="0" w:color="auto"/>
            <w:bottom w:val="none" w:sz="0" w:space="0" w:color="auto"/>
            <w:right w:val="none" w:sz="0" w:space="0" w:color="auto"/>
          </w:divBdr>
          <w:divsChild>
            <w:div w:id="1977947171">
              <w:marLeft w:val="0"/>
              <w:marRight w:val="0"/>
              <w:marTop w:val="0"/>
              <w:marBottom w:val="0"/>
              <w:divBdr>
                <w:top w:val="none" w:sz="0" w:space="0" w:color="auto"/>
                <w:left w:val="none" w:sz="0" w:space="0" w:color="auto"/>
                <w:bottom w:val="none" w:sz="0" w:space="0" w:color="auto"/>
                <w:right w:val="none" w:sz="0" w:space="0" w:color="auto"/>
              </w:divBdr>
              <w:divsChild>
                <w:div w:id="1609191062">
                  <w:marLeft w:val="0"/>
                  <w:marRight w:val="0"/>
                  <w:marTop w:val="0"/>
                  <w:marBottom w:val="0"/>
                  <w:divBdr>
                    <w:top w:val="none" w:sz="0" w:space="0" w:color="auto"/>
                    <w:left w:val="none" w:sz="0" w:space="0" w:color="auto"/>
                    <w:bottom w:val="none" w:sz="0" w:space="0" w:color="auto"/>
                    <w:right w:val="none" w:sz="0" w:space="0" w:color="auto"/>
                  </w:divBdr>
                  <w:divsChild>
                    <w:div w:id="872571790">
                      <w:marLeft w:val="0"/>
                      <w:marRight w:val="0"/>
                      <w:marTop w:val="0"/>
                      <w:marBottom w:val="0"/>
                      <w:divBdr>
                        <w:top w:val="none" w:sz="0" w:space="0" w:color="auto"/>
                        <w:left w:val="none" w:sz="0" w:space="0" w:color="auto"/>
                        <w:bottom w:val="none" w:sz="0" w:space="0" w:color="auto"/>
                        <w:right w:val="none" w:sz="0" w:space="0" w:color="auto"/>
                      </w:divBdr>
                      <w:divsChild>
                        <w:div w:id="1675842564">
                          <w:marLeft w:val="0"/>
                          <w:marRight w:val="0"/>
                          <w:marTop w:val="0"/>
                          <w:marBottom w:val="0"/>
                          <w:divBdr>
                            <w:top w:val="none" w:sz="0" w:space="0" w:color="auto"/>
                            <w:left w:val="none" w:sz="0" w:space="0" w:color="auto"/>
                            <w:bottom w:val="none" w:sz="0" w:space="0" w:color="auto"/>
                            <w:right w:val="none" w:sz="0" w:space="0" w:color="auto"/>
                          </w:divBdr>
                          <w:divsChild>
                            <w:div w:id="1824081667">
                              <w:marLeft w:val="0"/>
                              <w:marRight w:val="0"/>
                              <w:marTop w:val="0"/>
                              <w:marBottom w:val="0"/>
                              <w:divBdr>
                                <w:top w:val="none" w:sz="0" w:space="0" w:color="auto"/>
                                <w:left w:val="none" w:sz="0" w:space="0" w:color="auto"/>
                                <w:bottom w:val="none" w:sz="0" w:space="0" w:color="auto"/>
                                <w:right w:val="none" w:sz="0" w:space="0" w:color="auto"/>
                              </w:divBdr>
                              <w:divsChild>
                                <w:div w:id="1321345563">
                                  <w:marLeft w:val="0"/>
                                  <w:marRight w:val="0"/>
                                  <w:marTop w:val="0"/>
                                  <w:marBottom w:val="0"/>
                                  <w:divBdr>
                                    <w:top w:val="none" w:sz="0" w:space="0" w:color="auto"/>
                                    <w:left w:val="none" w:sz="0" w:space="0" w:color="auto"/>
                                    <w:bottom w:val="none" w:sz="0" w:space="0" w:color="auto"/>
                                    <w:right w:val="none" w:sz="0" w:space="0" w:color="auto"/>
                                  </w:divBdr>
                                  <w:divsChild>
                                    <w:div w:id="1556315624">
                                      <w:marLeft w:val="0"/>
                                      <w:marRight w:val="0"/>
                                      <w:marTop w:val="0"/>
                                      <w:marBottom w:val="0"/>
                                      <w:divBdr>
                                        <w:top w:val="none" w:sz="0" w:space="0" w:color="auto"/>
                                        <w:left w:val="none" w:sz="0" w:space="0" w:color="auto"/>
                                        <w:bottom w:val="none" w:sz="0" w:space="0" w:color="auto"/>
                                        <w:right w:val="none" w:sz="0" w:space="0" w:color="auto"/>
                                      </w:divBdr>
                                      <w:divsChild>
                                        <w:div w:id="1615595476">
                                          <w:marLeft w:val="0"/>
                                          <w:marRight w:val="0"/>
                                          <w:marTop w:val="0"/>
                                          <w:marBottom w:val="0"/>
                                          <w:divBdr>
                                            <w:top w:val="none" w:sz="0" w:space="0" w:color="auto"/>
                                            <w:left w:val="none" w:sz="0" w:space="0" w:color="auto"/>
                                            <w:bottom w:val="none" w:sz="0" w:space="0" w:color="auto"/>
                                            <w:right w:val="none" w:sz="0" w:space="0" w:color="auto"/>
                                          </w:divBdr>
                                          <w:divsChild>
                                            <w:div w:id="1539198447">
                                              <w:marLeft w:val="0"/>
                                              <w:marRight w:val="0"/>
                                              <w:marTop w:val="0"/>
                                              <w:marBottom w:val="0"/>
                                              <w:divBdr>
                                                <w:top w:val="none" w:sz="0" w:space="0" w:color="auto"/>
                                                <w:left w:val="none" w:sz="0" w:space="0" w:color="auto"/>
                                                <w:bottom w:val="none" w:sz="0" w:space="0" w:color="auto"/>
                                                <w:right w:val="none" w:sz="0" w:space="0" w:color="auto"/>
                                              </w:divBdr>
                                              <w:divsChild>
                                                <w:div w:id="1344672058">
                                                  <w:marLeft w:val="0"/>
                                                  <w:marRight w:val="0"/>
                                                  <w:marTop w:val="0"/>
                                                  <w:marBottom w:val="0"/>
                                                  <w:divBdr>
                                                    <w:top w:val="none" w:sz="0" w:space="0" w:color="auto"/>
                                                    <w:left w:val="none" w:sz="0" w:space="0" w:color="auto"/>
                                                    <w:bottom w:val="none" w:sz="0" w:space="0" w:color="auto"/>
                                                    <w:right w:val="none" w:sz="0" w:space="0" w:color="auto"/>
                                                  </w:divBdr>
                                                  <w:divsChild>
                                                    <w:div w:id="20908346">
                                                      <w:marLeft w:val="0"/>
                                                      <w:marRight w:val="0"/>
                                                      <w:marTop w:val="0"/>
                                                      <w:marBottom w:val="0"/>
                                                      <w:divBdr>
                                                        <w:top w:val="none" w:sz="0" w:space="0" w:color="auto"/>
                                                        <w:left w:val="none" w:sz="0" w:space="0" w:color="auto"/>
                                                        <w:bottom w:val="none" w:sz="0" w:space="0" w:color="auto"/>
                                                        <w:right w:val="none" w:sz="0" w:space="0" w:color="auto"/>
                                                      </w:divBdr>
                                                      <w:divsChild>
                                                        <w:div w:id="1064909157">
                                                          <w:marLeft w:val="0"/>
                                                          <w:marRight w:val="0"/>
                                                          <w:marTop w:val="0"/>
                                                          <w:marBottom w:val="0"/>
                                                          <w:divBdr>
                                                            <w:top w:val="none" w:sz="0" w:space="0" w:color="auto"/>
                                                            <w:left w:val="none" w:sz="0" w:space="0" w:color="auto"/>
                                                            <w:bottom w:val="none" w:sz="0" w:space="0" w:color="auto"/>
                                                            <w:right w:val="none" w:sz="0" w:space="0" w:color="auto"/>
                                                          </w:divBdr>
                                                        </w:div>
                                                      </w:divsChild>
                                                    </w:div>
                                                    <w:div w:id="1200314696">
                                                      <w:marLeft w:val="0"/>
                                                      <w:marRight w:val="0"/>
                                                      <w:marTop w:val="0"/>
                                                      <w:marBottom w:val="0"/>
                                                      <w:divBdr>
                                                        <w:top w:val="none" w:sz="0" w:space="0" w:color="auto"/>
                                                        <w:left w:val="none" w:sz="0" w:space="0" w:color="auto"/>
                                                        <w:bottom w:val="none" w:sz="0" w:space="0" w:color="auto"/>
                                                        <w:right w:val="none" w:sz="0" w:space="0" w:color="auto"/>
                                                      </w:divBdr>
                                                      <w:divsChild>
                                                        <w:div w:id="336005609">
                                                          <w:marLeft w:val="0"/>
                                                          <w:marRight w:val="0"/>
                                                          <w:marTop w:val="0"/>
                                                          <w:marBottom w:val="75"/>
                                                          <w:divBdr>
                                                            <w:top w:val="none" w:sz="0" w:space="0" w:color="auto"/>
                                                            <w:left w:val="none" w:sz="0" w:space="0" w:color="auto"/>
                                                            <w:bottom w:val="none" w:sz="0" w:space="0" w:color="auto"/>
                                                            <w:right w:val="none" w:sz="0" w:space="0" w:color="auto"/>
                                                          </w:divBdr>
                                                          <w:divsChild>
                                                            <w:div w:id="151800344">
                                                              <w:marLeft w:val="0"/>
                                                              <w:marRight w:val="75"/>
                                                              <w:marTop w:val="0"/>
                                                              <w:marBottom w:val="0"/>
                                                              <w:divBdr>
                                                                <w:top w:val="none" w:sz="0" w:space="0" w:color="auto"/>
                                                                <w:left w:val="none" w:sz="0" w:space="0" w:color="auto"/>
                                                                <w:bottom w:val="none" w:sz="0" w:space="0" w:color="auto"/>
                                                                <w:right w:val="none" w:sz="0" w:space="0" w:color="auto"/>
                                                              </w:divBdr>
                                                            </w:div>
                                                          </w:divsChild>
                                                        </w:div>
                                                        <w:div w:id="1376736450">
                                                          <w:marLeft w:val="0"/>
                                                          <w:marRight w:val="0"/>
                                                          <w:marTop w:val="0"/>
                                                          <w:marBottom w:val="75"/>
                                                          <w:divBdr>
                                                            <w:top w:val="none" w:sz="0" w:space="0" w:color="auto"/>
                                                            <w:left w:val="none" w:sz="0" w:space="0" w:color="auto"/>
                                                            <w:bottom w:val="none" w:sz="0" w:space="0" w:color="auto"/>
                                                            <w:right w:val="none" w:sz="0" w:space="0" w:color="auto"/>
                                                          </w:divBdr>
                                                          <w:divsChild>
                                                            <w:div w:id="116011972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28863576">
                                                      <w:marLeft w:val="0"/>
                                                      <w:marRight w:val="0"/>
                                                      <w:marTop w:val="240"/>
                                                      <w:marBottom w:val="0"/>
                                                      <w:divBdr>
                                                        <w:top w:val="none" w:sz="0" w:space="0" w:color="auto"/>
                                                        <w:left w:val="none" w:sz="0" w:space="0" w:color="auto"/>
                                                        <w:bottom w:val="none" w:sz="0" w:space="0" w:color="auto"/>
                                                        <w:right w:val="none" w:sz="0" w:space="0" w:color="auto"/>
                                                      </w:divBdr>
                                                    </w:div>
                                                    <w:div w:id="170220068">
                                                      <w:marLeft w:val="0"/>
                                                      <w:marRight w:val="240"/>
                                                      <w:marTop w:val="0"/>
                                                      <w:marBottom w:val="0"/>
                                                      <w:divBdr>
                                                        <w:top w:val="none" w:sz="0" w:space="0" w:color="auto"/>
                                                        <w:left w:val="none" w:sz="0" w:space="0" w:color="auto"/>
                                                        <w:bottom w:val="none" w:sz="0" w:space="0" w:color="auto"/>
                                                        <w:right w:val="none" w:sz="0" w:space="0" w:color="auto"/>
                                                      </w:divBdr>
                                                    </w:div>
                                                    <w:div w:id="1006790755">
                                                      <w:marLeft w:val="0"/>
                                                      <w:marRight w:val="240"/>
                                                      <w:marTop w:val="0"/>
                                                      <w:marBottom w:val="0"/>
                                                      <w:divBdr>
                                                        <w:top w:val="none" w:sz="0" w:space="0" w:color="auto"/>
                                                        <w:left w:val="none" w:sz="0" w:space="0" w:color="auto"/>
                                                        <w:bottom w:val="none" w:sz="0" w:space="0" w:color="auto"/>
                                                        <w:right w:val="none" w:sz="0" w:space="0" w:color="auto"/>
                                                      </w:divBdr>
                                                    </w:div>
                                                    <w:div w:id="1007246831">
                                                      <w:marLeft w:val="0"/>
                                                      <w:marRight w:val="240"/>
                                                      <w:marTop w:val="0"/>
                                                      <w:marBottom w:val="0"/>
                                                      <w:divBdr>
                                                        <w:top w:val="none" w:sz="0" w:space="0" w:color="auto"/>
                                                        <w:left w:val="none" w:sz="0" w:space="0" w:color="auto"/>
                                                        <w:bottom w:val="none" w:sz="0" w:space="0" w:color="auto"/>
                                                        <w:right w:val="none" w:sz="0" w:space="0" w:color="auto"/>
                                                      </w:divBdr>
                                                    </w:div>
                                                  </w:divsChild>
                                                </w:div>
                                                <w:div w:id="1674917207">
                                                  <w:marLeft w:val="0"/>
                                                  <w:marRight w:val="0"/>
                                                  <w:marTop w:val="0"/>
                                                  <w:marBottom w:val="0"/>
                                                  <w:divBdr>
                                                    <w:top w:val="none" w:sz="0" w:space="0" w:color="auto"/>
                                                    <w:left w:val="none" w:sz="0" w:space="0" w:color="auto"/>
                                                    <w:bottom w:val="none" w:sz="0" w:space="0" w:color="auto"/>
                                                    <w:right w:val="none" w:sz="0" w:space="0" w:color="auto"/>
                                                  </w:divBdr>
                                                  <w:divsChild>
                                                    <w:div w:id="2033801286">
                                                      <w:marLeft w:val="0"/>
                                                      <w:marRight w:val="0"/>
                                                      <w:marTop w:val="0"/>
                                                      <w:marBottom w:val="0"/>
                                                      <w:divBdr>
                                                        <w:top w:val="none" w:sz="0" w:space="0" w:color="auto"/>
                                                        <w:left w:val="none" w:sz="0" w:space="0" w:color="auto"/>
                                                        <w:bottom w:val="none" w:sz="0" w:space="0" w:color="auto"/>
                                                        <w:right w:val="none" w:sz="0" w:space="0" w:color="auto"/>
                                                      </w:divBdr>
                                                      <w:divsChild>
                                                        <w:div w:id="1859807379">
                                                          <w:marLeft w:val="0"/>
                                                          <w:marRight w:val="0"/>
                                                          <w:marTop w:val="0"/>
                                                          <w:marBottom w:val="0"/>
                                                          <w:divBdr>
                                                            <w:top w:val="none" w:sz="0" w:space="0" w:color="auto"/>
                                                            <w:left w:val="none" w:sz="0" w:space="0" w:color="auto"/>
                                                            <w:bottom w:val="none" w:sz="0" w:space="0" w:color="auto"/>
                                                            <w:right w:val="none" w:sz="0" w:space="0" w:color="auto"/>
                                                          </w:divBdr>
                                                        </w:div>
                                                      </w:divsChild>
                                                    </w:div>
                                                    <w:div w:id="2056268986">
                                                      <w:marLeft w:val="0"/>
                                                      <w:marRight w:val="0"/>
                                                      <w:marTop w:val="0"/>
                                                      <w:marBottom w:val="0"/>
                                                      <w:divBdr>
                                                        <w:top w:val="none" w:sz="0" w:space="0" w:color="auto"/>
                                                        <w:left w:val="none" w:sz="0" w:space="0" w:color="auto"/>
                                                        <w:bottom w:val="none" w:sz="0" w:space="0" w:color="auto"/>
                                                        <w:right w:val="none" w:sz="0" w:space="0" w:color="auto"/>
                                                      </w:divBdr>
                                                      <w:divsChild>
                                                        <w:div w:id="1416633279">
                                                          <w:marLeft w:val="0"/>
                                                          <w:marRight w:val="0"/>
                                                          <w:marTop w:val="0"/>
                                                          <w:marBottom w:val="75"/>
                                                          <w:divBdr>
                                                            <w:top w:val="none" w:sz="0" w:space="0" w:color="auto"/>
                                                            <w:left w:val="none" w:sz="0" w:space="0" w:color="auto"/>
                                                            <w:bottom w:val="none" w:sz="0" w:space="0" w:color="auto"/>
                                                            <w:right w:val="none" w:sz="0" w:space="0" w:color="auto"/>
                                                          </w:divBdr>
                                                          <w:divsChild>
                                                            <w:div w:id="66705756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50079743">
                                                      <w:marLeft w:val="0"/>
                                                      <w:marRight w:val="0"/>
                                                      <w:marTop w:val="240"/>
                                                      <w:marBottom w:val="0"/>
                                                      <w:divBdr>
                                                        <w:top w:val="none" w:sz="0" w:space="0" w:color="auto"/>
                                                        <w:left w:val="none" w:sz="0" w:space="0" w:color="auto"/>
                                                        <w:bottom w:val="none" w:sz="0" w:space="0" w:color="auto"/>
                                                        <w:right w:val="none" w:sz="0" w:space="0" w:color="auto"/>
                                                      </w:divBdr>
                                                    </w:div>
                                                    <w:div w:id="1907450635">
                                                      <w:marLeft w:val="0"/>
                                                      <w:marRight w:val="240"/>
                                                      <w:marTop w:val="0"/>
                                                      <w:marBottom w:val="0"/>
                                                      <w:divBdr>
                                                        <w:top w:val="none" w:sz="0" w:space="0" w:color="auto"/>
                                                        <w:left w:val="none" w:sz="0" w:space="0" w:color="auto"/>
                                                        <w:bottom w:val="none" w:sz="0" w:space="0" w:color="auto"/>
                                                        <w:right w:val="none" w:sz="0" w:space="0" w:color="auto"/>
                                                      </w:divBdr>
                                                    </w:div>
                                                    <w:div w:id="799684530">
                                                      <w:marLeft w:val="0"/>
                                                      <w:marRight w:val="240"/>
                                                      <w:marTop w:val="0"/>
                                                      <w:marBottom w:val="0"/>
                                                      <w:divBdr>
                                                        <w:top w:val="none" w:sz="0" w:space="0" w:color="auto"/>
                                                        <w:left w:val="none" w:sz="0" w:space="0" w:color="auto"/>
                                                        <w:bottom w:val="none" w:sz="0" w:space="0" w:color="auto"/>
                                                        <w:right w:val="none" w:sz="0" w:space="0" w:color="auto"/>
                                                      </w:divBdr>
                                                    </w:div>
                                                    <w:div w:id="1366372047">
                                                      <w:marLeft w:val="0"/>
                                                      <w:marRight w:val="240"/>
                                                      <w:marTop w:val="0"/>
                                                      <w:marBottom w:val="0"/>
                                                      <w:divBdr>
                                                        <w:top w:val="none" w:sz="0" w:space="0" w:color="auto"/>
                                                        <w:left w:val="none" w:sz="0" w:space="0" w:color="auto"/>
                                                        <w:bottom w:val="none" w:sz="0" w:space="0" w:color="auto"/>
                                                        <w:right w:val="none" w:sz="0" w:space="0" w:color="auto"/>
                                                      </w:divBdr>
                                                    </w:div>
                                                  </w:divsChild>
                                                </w:div>
                                                <w:div w:id="325668686">
                                                  <w:marLeft w:val="0"/>
                                                  <w:marRight w:val="0"/>
                                                  <w:marTop w:val="0"/>
                                                  <w:marBottom w:val="0"/>
                                                  <w:divBdr>
                                                    <w:top w:val="none" w:sz="0" w:space="0" w:color="auto"/>
                                                    <w:left w:val="none" w:sz="0" w:space="0" w:color="auto"/>
                                                    <w:bottom w:val="none" w:sz="0" w:space="0" w:color="auto"/>
                                                    <w:right w:val="none" w:sz="0" w:space="0" w:color="auto"/>
                                                  </w:divBdr>
                                                  <w:divsChild>
                                                    <w:div w:id="483618814">
                                                      <w:marLeft w:val="0"/>
                                                      <w:marRight w:val="0"/>
                                                      <w:marTop w:val="0"/>
                                                      <w:marBottom w:val="0"/>
                                                      <w:divBdr>
                                                        <w:top w:val="none" w:sz="0" w:space="0" w:color="auto"/>
                                                        <w:left w:val="none" w:sz="0" w:space="0" w:color="auto"/>
                                                        <w:bottom w:val="none" w:sz="0" w:space="0" w:color="auto"/>
                                                        <w:right w:val="none" w:sz="0" w:space="0" w:color="auto"/>
                                                      </w:divBdr>
                                                      <w:divsChild>
                                                        <w:div w:id="1584296552">
                                                          <w:marLeft w:val="0"/>
                                                          <w:marRight w:val="0"/>
                                                          <w:marTop w:val="0"/>
                                                          <w:marBottom w:val="0"/>
                                                          <w:divBdr>
                                                            <w:top w:val="none" w:sz="0" w:space="0" w:color="auto"/>
                                                            <w:left w:val="none" w:sz="0" w:space="0" w:color="auto"/>
                                                            <w:bottom w:val="none" w:sz="0" w:space="0" w:color="auto"/>
                                                            <w:right w:val="none" w:sz="0" w:space="0" w:color="auto"/>
                                                          </w:divBdr>
                                                        </w:div>
                                                      </w:divsChild>
                                                    </w:div>
                                                    <w:div w:id="2040737690">
                                                      <w:marLeft w:val="0"/>
                                                      <w:marRight w:val="0"/>
                                                      <w:marTop w:val="0"/>
                                                      <w:marBottom w:val="0"/>
                                                      <w:divBdr>
                                                        <w:top w:val="none" w:sz="0" w:space="0" w:color="auto"/>
                                                        <w:left w:val="none" w:sz="0" w:space="0" w:color="auto"/>
                                                        <w:bottom w:val="none" w:sz="0" w:space="0" w:color="auto"/>
                                                        <w:right w:val="none" w:sz="0" w:space="0" w:color="auto"/>
                                                      </w:divBdr>
                                                      <w:divsChild>
                                                        <w:div w:id="1691448954">
                                                          <w:marLeft w:val="0"/>
                                                          <w:marRight w:val="0"/>
                                                          <w:marTop w:val="0"/>
                                                          <w:marBottom w:val="75"/>
                                                          <w:divBdr>
                                                            <w:top w:val="none" w:sz="0" w:space="0" w:color="auto"/>
                                                            <w:left w:val="none" w:sz="0" w:space="0" w:color="auto"/>
                                                            <w:bottom w:val="none" w:sz="0" w:space="0" w:color="auto"/>
                                                            <w:right w:val="none" w:sz="0" w:space="0" w:color="auto"/>
                                                          </w:divBdr>
                                                          <w:divsChild>
                                                            <w:div w:id="224533789">
                                                              <w:marLeft w:val="0"/>
                                                              <w:marRight w:val="75"/>
                                                              <w:marTop w:val="0"/>
                                                              <w:marBottom w:val="0"/>
                                                              <w:divBdr>
                                                                <w:top w:val="none" w:sz="0" w:space="0" w:color="auto"/>
                                                                <w:left w:val="none" w:sz="0" w:space="0" w:color="auto"/>
                                                                <w:bottom w:val="none" w:sz="0" w:space="0" w:color="auto"/>
                                                                <w:right w:val="none" w:sz="0" w:space="0" w:color="auto"/>
                                                              </w:divBdr>
                                                            </w:div>
                                                          </w:divsChild>
                                                        </w:div>
                                                        <w:div w:id="1334534240">
                                                          <w:marLeft w:val="0"/>
                                                          <w:marRight w:val="0"/>
                                                          <w:marTop w:val="0"/>
                                                          <w:marBottom w:val="75"/>
                                                          <w:divBdr>
                                                            <w:top w:val="none" w:sz="0" w:space="0" w:color="auto"/>
                                                            <w:left w:val="none" w:sz="0" w:space="0" w:color="auto"/>
                                                            <w:bottom w:val="none" w:sz="0" w:space="0" w:color="auto"/>
                                                            <w:right w:val="none" w:sz="0" w:space="0" w:color="auto"/>
                                                          </w:divBdr>
                                                          <w:divsChild>
                                                            <w:div w:id="12655034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954361874">
                                                      <w:marLeft w:val="0"/>
                                                      <w:marRight w:val="0"/>
                                                      <w:marTop w:val="240"/>
                                                      <w:marBottom w:val="0"/>
                                                      <w:divBdr>
                                                        <w:top w:val="none" w:sz="0" w:space="0" w:color="auto"/>
                                                        <w:left w:val="none" w:sz="0" w:space="0" w:color="auto"/>
                                                        <w:bottom w:val="none" w:sz="0" w:space="0" w:color="auto"/>
                                                        <w:right w:val="none" w:sz="0" w:space="0" w:color="auto"/>
                                                      </w:divBdr>
                                                    </w:div>
                                                    <w:div w:id="734668967">
                                                      <w:marLeft w:val="0"/>
                                                      <w:marRight w:val="240"/>
                                                      <w:marTop w:val="0"/>
                                                      <w:marBottom w:val="0"/>
                                                      <w:divBdr>
                                                        <w:top w:val="none" w:sz="0" w:space="0" w:color="auto"/>
                                                        <w:left w:val="none" w:sz="0" w:space="0" w:color="auto"/>
                                                        <w:bottom w:val="none" w:sz="0" w:space="0" w:color="auto"/>
                                                        <w:right w:val="none" w:sz="0" w:space="0" w:color="auto"/>
                                                      </w:divBdr>
                                                    </w:div>
                                                    <w:div w:id="652949962">
                                                      <w:marLeft w:val="0"/>
                                                      <w:marRight w:val="240"/>
                                                      <w:marTop w:val="0"/>
                                                      <w:marBottom w:val="0"/>
                                                      <w:divBdr>
                                                        <w:top w:val="none" w:sz="0" w:space="0" w:color="auto"/>
                                                        <w:left w:val="none" w:sz="0" w:space="0" w:color="auto"/>
                                                        <w:bottom w:val="none" w:sz="0" w:space="0" w:color="auto"/>
                                                        <w:right w:val="none" w:sz="0" w:space="0" w:color="auto"/>
                                                      </w:divBdr>
                                                    </w:div>
                                                    <w:div w:id="205263637">
                                                      <w:marLeft w:val="0"/>
                                                      <w:marRight w:val="240"/>
                                                      <w:marTop w:val="0"/>
                                                      <w:marBottom w:val="0"/>
                                                      <w:divBdr>
                                                        <w:top w:val="none" w:sz="0" w:space="0" w:color="auto"/>
                                                        <w:left w:val="none" w:sz="0" w:space="0" w:color="auto"/>
                                                        <w:bottom w:val="none" w:sz="0" w:space="0" w:color="auto"/>
                                                        <w:right w:val="none" w:sz="0" w:space="0" w:color="auto"/>
                                                      </w:divBdr>
                                                    </w:div>
                                                  </w:divsChild>
                                                </w:div>
                                                <w:div w:id="921061867">
                                                  <w:marLeft w:val="0"/>
                                                  <w:marRight w:val="0"/>
                                                  <w:marTop w:val="0"/>
                                                  <w:marBottom w:val="0"/>
                                                  <w:divBdr>
                                                    <w:top w:val="none" w:sz="0" w:space="0" w:color="auto"/>
                                                    <w:left w:val="none" w:sz="0" w:space="0" w:color="auto"/>
                                                    <w:bottom w:val="none" w:sz="0" w:space="0" w:color="auto"/>
                                                    <w:right w:val="none" w:sz="0" w:space="0" w:color="auto"/>
                                                  </w:divBdr>
                                                  <w:divsChild>
                                                    <w:div w:id="1950966425">
                                                      <w:marLeft w:val="0"/>
                                                      <w:marRight w:val="0"/>
                                                      <w:marTop w:val="0"/>
                                                      <w:marBottom w:val="0"/>
                                                      <w:divBdr>
                                                        <w:top w:val="none" w:sz="0" w:space="0" w:color="auto"/>
                                                        <w:left w:val="none" w:sz="0" w:space="0" w:color="auto"/>
                                                        <w:bottom w:val="none" w:sz="0" w:space="0" w:color="auto"/>
                                                        <w:right w:val="none" w:sz="0" w:space="0" w:color="auto"/>
                                                      </w:divBdr>
                                                      <w:divsChild>
                                                        <w:div w:id="154952507">
                                                          <w:marLeft w:val="0"/>
                                                          <w:marRight w:val="0"/>
                                                          <w:marTop w:val="0"/>
                                                          <w:marBottom w:val="0"/>
                                                          <w:divBdr>
                                                            <w:top w:val="none" w:sz="0" w:space="0" w:color="auto"/>
                                                            <w:left w:val="none" w:sz="0" w:space="0" w:color="auto"/>
                                                            <w:bottom w:val="none" w:sz="0" w:space="0" w:color="auto"/>
                                                            <w:right w:val="none" w:sz="0" w:space="0" w:color="auto"/>
                                                          </w:divBdr>
                                                        </w:div>
                                                      </w:divsChild>
                                                    </w:div>
                                                    <w:div w:id="1678772007">
                                                      <w:marLeft w:val="0"/>
                                                      <w:marRight w:val="0"/>
                                                      <w:marTop w:val="0"/>
                                                      <w:marBottom w:val="0"/>
                                                      <w:divBdr>
                                                        <w:top w:val="none" w:sz="0" w:space="0" w:color="auto"/>
                                                        <w:left w:val="none" w:sz="0" w:space="0" w:color="auto"/>
                                                        <w:bottom w:val="none" w:sz="0" w:space="0" w:color="auto"/>
                                                        <w:right w:val="none" w:sz="0" w:space="0" w:color="auto"/>
                                                      </w:divBdr>
                                                      <w:divsChild>
                                                        <w:div w:id="1919049383">
                                                          <w:marLeft w:val="0"/>
                                                          <w:marRight w:val="0"/>
                                                          <w:marTop w:val="0"/>
                                                          <w:marBottom w:val="75"/>
                                                          <w:divBdr>
                                                            <w:top w:val="none" w:sz="0" w:space="0" w:color="auto"/>
                                                            <w:left w:val="none" w:sz="0" w:space="0" w:color="auto"/>
                                                            <w:bottom w:val="none" w:sz="0" w:space="0" w:color="auto"/>
                                                            <w:right w:val="none" w:sz="0" w:space="0" w:color="auto"/>
                                                          </w:divBdr>
                                                          <w:divsChild>
                                                            <w:div w:id="10250603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813985597">
                                                      <w:marLeft w:val="0"/>
                                                      <w:marRight w:val="0"/>
                                                      <w:marTop w:val="240"/>
                                                      <w:marBottom w:val="0"/>
                                                      <w:divBdr>
                                                        <w:top w:val="none" w:sz="0" w:space="0" w:color="auto"/>
                                                        <w:left w:val="none" w:sz="0" w:space="0" w:color="auto"/>
                                                        <w:bottom w:val="none" w:sz="0" w:space="0" w:color="auto"/>
                                                        <w:right w:val="none" w:sz="0" w:space="0" w:color="auto"/>
                                                      </w:divBdr>
                                                    </w:div>
                                                    <w:div w:id="2051373190">
                                                      <w:marLeft w:val="0"/>
                                                      <w:marRight w:val="240"/>
                                                      <w:marTop w:val="0"/>
                                                      <w:marBottom w:val="0"/>
                                                      <w:divBdr>
                                                        <w:top w:val="none" w:sz="0" w:space="0" w:color="auto"/>
                                                        <w:left w:val="none" w:sz="0" w:space="0" w:color="auto"/>
                                                        <w:bottom w:val="none" w:sz="0" w:space="0" w:color="auto"/>
                                                        <w:right w:val="none" w:sz="0" w:space="0" w:color="auto"/>
                                                      </w:divBdr>
                                                    </w:div>
                                                    <w:div w:id="1677227578">
                                                      <w:marLeft w:val="0"/>
                                                      <w:marRight w:val="240"/>
                                                      <w:marTop w:val="0"/>
                                                      <w:marBottom w:val="0"/>
                                                      <w:divBdr>
                                                        <w:top w:val="none" w:sz="0" w:space="0" w:color="auto"/>
                                                        <w:left w:val="none" w:sz="0" w:space="0" w:color="auto"/>
                                                        <w:bottom w:val="none" w:sz="0" w:space="0" w:color="auto"/>
                                                        <w:right w:val="none" w:sz="0" w:space="0" w:color="auto"/>
                                                      </w:divBdr>
                                                    </w:div>
                                                    <w:div w:id="725908847">
                                                      <w:marLeft w:val="0"/>
                                                      <w:marRight w:val="240"/>
                                                      <w:marTop w:val="0"/>
                                                      <w:marBottom w:val="0"/>
                                                      <w:divBdr>
                                                        <w:top w:val="none" w:sz="0" w:space="0" w:color="auto"/>
                                                        <w:left w:val="none" w:sz="0" w:space="0" w:color="auto"/>
                                                        <w:bottom w:val="none" w:sz="0" w:space="0" w:color="auto"/>
                                                        <w:right w:val="none" w:sz="0" w:space="0" w:color="auto"/>
                                                      </w:divBdr>
                                                    </w:div>
                                                  </w:divsChild>
                                                </w:div>
                                                <w:div w:id="226306095">
                                                  <w:marLeft w:val="0"/>
                                                  <w:marRight w:val="0"/>
                                                  <w:marTop w:val="0"/>
                                                  <w:marBottom w:val="0"/>
                                                  <w:divBdr>
                                                    <w:top w:val="none" w:sz="0" w:space="0" w:color="auto"/>
                                                    <w:left w:val="none" w:sz="0" w:space="0" w:color="auto"/>
                                                    <w:bottom w:val="none" w:sz="0" w:space="0" w:color="auto"/>
                                                    <w:right w:val="none" w:sz="0" w:space="0" w:color="auto"/>
                                                  </w:divBdr>
                                                  <w:divsChild>
                                                    <w:div w:id="150223808">
                                                      <w:marLeft w:val="0"/>
                                                      <w:marRight w:val="0"/>
                                                      <w:marTop w:val="0"/>
                                                      <w:marBottom w:val="0"/>
                                                      <w:divBdr>
                                                        <w:top w:val="none" w:sz="0" w:space="0" w:color="auto"/>
                                                        <w:left w:val="none" w:sz="0" w:space="0" w:color="auto"/>
                                                        <w:bottom w:val="none" w:sz="0" w:space="0" w:color="auto"/>
                                                        <w:right w:val="none" w:sz="0" w:space="0" w:color="auto"/>
                                                      </w:divBdr>
                                                      <w:divsChild>
                                                        <w:div w:id="1234240125">
                                                          <w:marLeft w:val="0"/>
                                                          <w:marRight w:val="0"/>
                                                          <w:marTop w:val="0"/>
                                                          <w:marBottom w:val="0"/>
                                                          <w:divBdr>
                                                            <w:top w:val="none" w:sz="0" w:space="0" w:color="auto"/>
                                                            <w:left w:val="none" w:sz="0" w:space="0" w:color="auto"/>
                                                            <w:bottom w:val="none" w:sz="0" w:space="0" w:color="auto"/>
                                                            <w:right w:val="none" w:sz="0" w:space="0" w:color="auto"/>
                                                          </w:divBdr>
                                                        </w:div>
                                                      </w:divsChild>
                                                    </w:div>
                                                    <w:div w:id="394856257">
                                                      <w:marLeft w:val="0"/>
                                                      <w:marRight w:val="0"/>
                                                      <w:marTop w:val="0"/>
                                                      <w:marBottom w:val="0"/>
                                                      <w:divBdr>
                                                        <w:top w:val="none" w:sz="0" w:space="0" w:color="auto"/>
                                                        <w:left w:val="none" w:sz="0" w:space="0" w:color="auto"/>
                                                        <w:bottom w:val="none" w:sz="0" w:space="0" w:color="auto"/>
                                                        <w:right w:val="none" w:sz="0" w:space="0" w:color="auto"/>
                                                      </w:divBdr>
                                                      <w:divsChild>
                                                        <w:div w:id="310716152">
                                                          <w:marLeft w:val="0"/>
                                                          <w:marRight w:val="0"/>
                                                          <w:marTop w:val="0"/>
                                                          <w:marBottom w:val="75"/>
                                                          <w:divBdr>
                                                            <w:top w:val="none" w:sz="0" w:space="0" w:color="auto"/>
                                                            <w:left w:val="none" w:sz="0" w:space="0" w:color="auto"/>
                                                            <w:bottom w:val="none" w:sz="0" w:space="0" w:color="auto"/>
                                                            <w:right w:val="none" w:sz="0" w:space="0" w:color="auto"/>
                                                          </w:divBdr>
                                                          <w:divsChild>
                                                            <w:div w:id="120921894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137726212">
                                                      <w:marLeft w:val="0"/>
                                                      <w:marRight w:val="0"/>
                                                      <w:marTop w:val="240"/>
                                                      <w:marBottom w:val="0"/>
                                                      <w:divBdr>
                                                        <w:top w:val="none" w:sz="0" w:space="0" w:color="auto"/>
                                                        <w:left w:val="none" w:sz="0" w:space="0" w:color="auto"/>
                                                        <w:bottom w:val="none" w:sz="0" w:space="0" w:color="auto"/>
                                                        <w:right w:val="none" w:sz="0" w:space="0" w:color="auto"/>
                                                      </w:divBdr>
                                                    </w:div>
                                                    <w:div w:id="1358852150">
                                                      <w:marLeft w:val="0"/>
                                                      <w:marRight w:val="240"/>
                                                      <w:marTop w:val="0"/>
                                                      <w:marBottom w:val="0"/>
                                                      <w:divBdr>
                                                        <w:top w:val="none" w:sz="0" w:space="0" w:color="auto"/>
                                                        <w:left w:val="none" w:sz="0" w:space="0" w:color="auto"/>
                                                        <w:bottom w:val="none" w:sz="0" w:space="0" w:color="auto"/>
                                                        <w:right w:val="none" w:sz="0" w:space="0" w:color="auto"/>
                                                      </w:divBdr>
                                                    </w:div>
                                                    <w:div w:id="1904221276">
                                                      <w:marLeft w:val="0"/>
                                                      <w:marRight w:val="240"/>
                                                      <w:marTop w:val="0"/>
                                                      <w:marBottom w:val="0"/>
                                                      <w:divBdr>
                                                        <w:top w:val="none" w:sz="0" w:space="0" w:color="auto"/>
                                                        <w:left w:val="none" w:sz="0" w:space="0" w:color="auto"/>
                                                        <w:bottom w:val="none" w:sz="0" w:space="0" w:color="auto"/>
                                                        <w:right w:val="none" w:sz="0" w:space="0" w:color="auto"/>
                                                      </w:divBdr>
                                                    </w:div>
                                                    <w:div w:id="352388307">
                                                      <w:marLeft w:val="0"/>
                                                      <w:marRight w:val="240"/>
                                                      <w:marTop w:val="0"/>
                                                      <w:marBottom w:val="0"/>
                                                      <w:divBdr>
                                                        <w:top w:val="none" w:sz="0" w:space="0" w:color="auto"/>
                                                        <w:left w:val="none" w:sz="0" w:space="0" w:color="auto"/>
                                                        <w:bottom w:val="none" w:sz="0" w:space="0" w:color="auto"/>
                                                        <w:right w:val="none" w:sz="0" w:space="0" w:color="auto"/>
                                                      </w:divBdr>
                                                    </w:div>
                                                  </w:divsChild>
                                                </w:div>
                                                <w:div w:id="835266535">
                                                  <w:marLeft w:val="0"/>
                                                  <w:marRight w:val="0"/>
                                                  <w:marTop w:val="0"/>
                                                  <w:marBottom w:val="0"/>
                                                  <w:divBdr>
                                                    <w:top w:val="none" w:sz="0" w:space="0" w:color="auto"/>
                                                    <w:left w:val="none" w:sz="0" w:space="0" w:color="auto"/>
                                                    <w:bottom w:val="none" w:sz="0" w:space="0" w:color="auto"/>
                                                    <w:right w:val="none" w:sz="0" w:space="0" w:color="auto"/>
                                                  </w:divBdr>
                                                  <w:divsChild>
                                                    <w:div w:id="1456825827">
                                                      <w:marLeft w:val="0"/>
                                                      <w:marRight w:val="0"/>
                                                      <w:marTop w:val="0"/>
                                                      <w:marBottom w:val="0"/>
                                                      <w:divBdr>
                                                        <w:top w:val="none" w:sz="0" w:space="0" w:color="auto"/>
                                                        <w:left w:val="none" w:sz="0" w:space="0" w:color="auto"/>
                                                        <w:bottom w:val="none" w:sz="0" w:space="0" w:color="auto"/>
                                                        <w:right w:val="none" w:sz="0" w:space="0" w:color="auto"/>
                                                      </w:divBdr>
                                                      <w:divsChild>
                                                        <w:div w:id="634797046">
                                                          <w:marLeft w:val="0"/>
                                                          <w:marRight w:val="0"/>
                                                          <w:marTop w:val="0"/>
                                                          <w:marBottom w:val="0"/>
                                                          <w:divBdr>
                                                            <w:top w:val="none" w:sz="0" w:space="0" w:color="auto"/>
                                                            <w:left w:val="none" w:sz="0" w:space="0" w:color="auto"/>
                                                            <w:bottom w:val="none" w:sz="0" w:space="0" w:color="auto"/>
                                                            <w:right w:val="none" w:sz="0" w:space="0" w:color="auto"/>
                                                          </w:divBdr>
                                                        </w:div>
                                                      </w:divsChild>
                                                    </w:div>
                                                    <w:div w:id="1485394035">
                                                      <w:marLeft w:val="0"/>
                                                      <w:marRight w:val="0"/>
                                                      <w:marTop w:val="0"/>
                                                      <w:marBottom w:val="0"/>
                                                      <w:divBdr>
                                                        <w:top w:val="none" w:sz="0" w:space="0" w:color="auto"/>
                                                        <w:left w:val="none" w:sz="0" w:space="0" w:color="auto"/>
                                                        <w:bottom w:val="none" w:sz="0" w:space="0" w:color="auto"/>
                                                        <w:right w:val="none" w:sz="0" w:space="0" w:color="auto"/>
                                                      </w:divBdr>
                                                      <w:divsChild>
                                                        <w:div w:id="637614813">
                                                          <w:marLeft w:val="0"/>
                                                          <w:marRight w:val="0"/>
                                                          <w:marTop w:val="0"/>
                                                          <w:marBottom w:val="75"/>
                                                          <w:divBdr>
                                                            <w:top w:val="none" w:sz="0" w:space="0" w:color="auto"/>
                                                            <w:left w:val="none" w:sz="0" w:space="0" w:color="auto"/>
                                                            <w:bottom w:val="none" w:sz="0" w:space="0" w:color="auto"/>
                                                            <w:right w:val="none" w:sz="0" w:space="0" w:color="auto"/>
                                                          </w:divBdr>
                                                          <w:divsChild>
                                                            <w:div w:id="1469011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604069836">
                                                      <w:marLeft w:val="0"/>
                                                      <w:marRight w:val="0"/>
                                                      <w:marTop w:val="240"/>
                                                      <w:marBottom w:val="0"/>
                                                      <w:divBdr>
                                                        <w:top w:val="none" w:sz="0" w:space="0" w:color="auto"/>
                                                        <w:left w:val="none" w:sz="0" w:space="0" w:color="auto"/>
                                                        <w:bottom w:val="none" w:sz="0" w:space="0" w:color="auto"/>
                                                        <w:right w:val="none" w:sz="0" w:space="0" w:color="auto"/>
                                                      </w:divBdr>
                                                    </w:div>
                                                    <w:div w:id="185140944">
                                                      <w:marLeft w:val="0"/>
                                                      <w:marRight w:val="240"/>
                                                      <w:marTop w:val="0"/>
                                                      <w:marBottom w:val="0"/>
                                                      <w:divBdr>
                                                        <w:top w:val="none" w:sz="0" w:space="0" w:color="auto"/>
                                                        <w:left w:val="none" w:sz="0" w:space="0" w:color="auto"/>
                                                        <w:bottom w:val="none" w:sz="0" w:space="0" w:color="auto"/>
                                                        <w:right w:val="none" w:sz="0" w:space="0" w:color="auto"/>
                                                      </w:divBdr>
                                                    </w:div>
                                                    <w:div w:id="1442455288">
                                                      <w:marLeft w:val="0"/>
                                                      <w:marRight w:val="240"/>
                                                      <w:marTop w:val="0"/>
                                                      <w:marBottom w:val="0"/>
                                                      <w:divBdr>
                                                        <w:top w:val="none" w:sz="0" w:space="0" w:color="auto"/>
                                                        <w:left w:val="none" w:sz="0" w:space="0" w:color="auto"/>
                                                        <w:bottom w:val="none" w:sz="0" w:space="0" w:color="auto"/>
                                                        <w:right w:val="none" w:sz="0" w:space="0" w:color="auto"/>
                                                      </w:divBdr>
                                                    </w:div>
                                                    <w:div w:id="47291714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29141088">
      <w:bodyDiv w:val="1"/>
      <w:marLeft w:val="0"/>
      <w:marRight w:val="0"/>
      <w:marTop w:val="0"/>
      <w:marBottom w:val="0"/>
      <w:divBdr>
        <w:top w:val="none" w:sz="0" w:space="0" w:color="auto"/>
        <w:left w:val="none" w:sz="0" w:space="0" w:color="auto"/>
        <w:bottom w:val="none" w:sz="0" w:space="0" w:color="auto"/>
        <w:right w:val="none" w:sz="0" w:space="0" w:color="auto"/>
      </w:divBdr>
      <w:divsChild>
        <w:div w:id="1082798817">
          <w:marLeft w:val="0"/>
          <w:marRight w:val="0"/>
          <w:marTop w:val="0"/>
          <w:marBottom w:val="0"/>
          <w:divBdr>
            <w:top w:val="none" w:sz="0" w:space="0" w:color="auto"/>
            <w:left w:val="none" w:sz="0" w:space="0" w:color="auto"/>
            <w:bottom w:val="none" w:sz="0" w:space="0" w:color="auto"/>
            <w:right w:val="none" w:sz="0" w:space="0" w:color="auto"/>
          </w:divBdr>
          <w:divsChild>
            <w:div w:id="2077778239">
              <w:marLeft w:val="439"/>
              <w:marRight w:val="0"/>
              <w:marTop w:val="0"/>
              <w:marBottom w:val="0"/>
              <w:divBdr>
                <w:top w:val="none" w:sz="0" w:space="0" w:color="auto"/>
                <w:left w:val="none" w:sz="0" w:space="0" w:color="auto"/>
                <w:bottom w:val="none" w:sz="0" w:space="0" w:color="auto"/>
                <w:right w:val="none" w:sz="0" w:space="0" w:color="auto"/>
              </w:divBdr>
              <w:divsChild>
                <w:div w:id="2014605123">
                  <w:marLeft w:val="0"/>
                  <w:marRight w:val="0"/>
                  <w:marTop w:val="0"/>
                  <w:marBottom w:val="0"/>
                  <w:divBdr>
                    <w:top w:val="none" w:sz="0" w:space="0" w:color="auto"/>
                    <w:left w:val="none" w:sz="0" w:space="0" w:color="auto"/>
                    <w:bottom w:val="none" w:sz="0" w:space="0" w:color="auto"/>
                    <w:right w:val="none" w:sz="0" w:space="0" w:color="auto"/>
                  </w:divBdr>
                  <w:divsChild>
                    <w:div w:id="796096563">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9162">
          <w:marLeft w:val="0"/>
          <w:marRight w:val="0"/>
          <w:marTop w:val="0"/>
          <w:marBottom w:val="0"/>
          <w:divBdr>
            <w:top w:val="none" w:sz="0" w:space="0" w:color="auto"/>
            <w:left w:val="none" w:sz="0" w:space="0" w:color="auto"/>
            <w:bottom w:val="none" w:sz="0" w:space="0" w:color="auto"/>
            <w:right w:val="none" w:sz="0" w:space="0" w:color="auto"/>
          </w:divBdr>
        </w:div>
      </w:divsChild>
    </w:div>
    <w:div w:id="332072252">
      <w:bodyDiv w:val="1"/>
      <w:marLeft w:val="0"/>
      <w:marRight w:val="0"/>
      <w:marTop w:val="0"/>
      <w:marBottom w:val="0"/>
      <w:divBdr>
        <w:top w:val="none" w:sz="0" w:space="0" w:color="auto"/>
        <w:left w:val="none" w:sz="0" w:space="0" w:color="auto"/>
        <w:bottom w:val="none" w:sz="0" w:space="0" w:color="auto"/>
        <w:right w:val="none" w:sz="0" w:space="0" w:color="auto"/>
      </w:divBdr>
    </w:div>
    <w:div w:id="332690163">
      <w:bodyDiv w:val="1"/>
      <w:marLeft w:val="0"/>
      <w:marRight w:val="0"/>
      <w:marTop w:val="0"/>
      <w:marBottom w:val="0"/>
      <w:divBdr>
        <w:top w:val="none" w:sz="0" w:space="0" w:color="auto"/>
        <w:left w:val="none" w:sz="0" w:space="0" w:color="auto"/>
        <w:bottom w:val="none" w:sz="0" w:space="0" w:color="auto"/>
        <w:right w:val="none" w:sz="0" w:space="0" w:color="auto"/>
      </w:divBdr>
    </w:div>
    <w:div w:id="333725875">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68337245">
      <w:bodyDiv w:val="1"/>
      <w:marLeft w:val="0"/>
      <w:marRight w:val="0"/>
      <w:marTop w:val="0"/>
      <w:marBottom w:val="0"/>
      <w:divBdr>
        <w:top w:val="none" w:sz="0" w:space="0" w:color="auto"/>
        <w:left w:val="none" w:sz="0" w:space="0" w:color="auto"/>
        <w:bottom w:val="none" w:sz="0" w:space="0" w:color="auto"/>
        <w:right w:val="none" w:sz="0" w:space="0" w:color="auto"/>
      </w:divBdr>
    </w:div>
    <w:div w:id="377317626">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398098325">
      <w:bodyDiv w:val="1"/>
      <w:marLeft w:val="0"/>
      <w:marRight w:val="0"/>
      <w:marTop w:val="0"/>
      <w:marBottom w:val="0"/>
      <w:divBdr>
        <w:top w:val="none" w:sz="0" w:space="0" w:color="auto"/>
        <w:left w:val="none" w:sz="0" w:space="0" w:color="auto"/>
        <w:bottom w:val="none" w:sz="0" w:space="0" w:color="auto"/>
        <w:right w:val="none" w:sz="0" w:space="0" w:color="auto"/>
      </w:divBdr>
    </w:div>
    <w:div w:id="401174412">
      <w:bodyDiv w:val="1"/>
      <w:marLeft w:val="0"/>
      <w:marRight w:val="0"/>
      <w:marTop w:val="0"/>
      <w:marBottom w:val="0"/>
      <w:divBdr>
        <w:top w:val="none" w:sz="0" w:space="0" w:color="auto"/>
        <w:left w:val="none" w:sz="0" w:space="0" w:color="auto"/>
        <w:bottom w:val="none" w:sz="0" w:space="0" w:color="auto"/>
        <w:right w:val="none" w:sz="0" w:space="0" w:color="auto"/>
      </w:divBdr>
    </w:div>
    <w:div w:id="403571478">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12315739">
      <w:bodyDiv w:val="1"/>
      <w:marLeft w:val="0"/>
      <w:marRight w:val="0"/>
      <w:marTop w:val="0"/>
      <w:marBottom w:val="0"/>
      <w:divBdr>
        <w:top w:val="none" w:sz="0" w:space="0" w:color="auto"/>
        <w:left w:val="none" w:sz="0" w:space="0" w:color="auto"/>
        <w:bottom w:val="none" w:sz="0" w:space="0" w:color="auto"/>
        <w:right w:val="none" w:sz="0" w:space="0" w:color="auto"/>
      </w:divBdr>
      <w:divsChild>
        <w:div w:id="1270157460">
          <w:marLeft w:val="0"/>
          <w:marRight w:val="0"/>
          <w:marTop w:val="0"/>
          <w:marBottom w:val="0"/>
          <w:divBdr>
            <w:top w:val="none" w:sz="0" w:space="0" w:color="auto"/>
            <w:left w:val="none" w:sz="0" w:space="0" w:color="auto"/>
            <w:bottom w:val="none" w:sz="0" w:space="0" w:color="auto"/>
            <w:right w:val="none" w:sz="0" w:space="0" w:color="auto"/>
          </w:divBdr>
          <w:divsChild>
            <w:div w:id="1034040652">
              <w:marLeft w:val="0"/>
              <w:marRight w:val="0"/>
              <w:marTop w:val="0"/>
              <w:marBottom w:val="0"/>
              <w:divBdr>
                <w:top w:val="none" w:sz="0" w:space="0" w:color="auto"/>
                <w:left w:val="none" w:sz="0" w:space="0" w:color="auto"/>
                <w:bottom w:val="none" w:sz="0" w:space="0" w:color="auto"/>
                <w:right w:val="none" w:sz="0" w:space="0" w:color="auto"/>
              </w:divBdr>
              <w:divsChild>
                <w:div w:id="575624790">
                  <w:marLeft w:val="0"/>
                  <w:marRight w:val="0"/>
                  <w:marTop w:val="0"/>
                  <w:marBottom w:val="0"/>
                  <w:divBdr>
                    <w:top w:val="none" w:sz="0" w:space="0" w:color="auto"/>
                    <w:left w:val="none" w:sz="0" w:space="0" w:color="auto"/>
                    <w:bottom w:val="none" w:sz="0" w:space="0" w:color="auto"/>
                    <w:right w:val="none" w:sz="0" w:space="0" w:color="auto"/>
                  </w:divBdr>
                  <w:divsChild>
                    <w:div w:id="870342180">
                      <w:marLeft w:val="0"/>
                      <w:marRight w:val="0"/>
                      <w:marTop w:val="0"/>
                      <w:marBottom w:val="0"/>
                      <w:divBdr>
                        <w:top w:val="none" w:sz="0" w:space="0" w:color="auto"/>
                        <w:left w:val="none" w:sz="0" w:space="0" w:color="auto"/>
                        <w:bottom w:val="none" w:sz="0" w:space="0" w:color="auto"/>
                        <w:right w:val="none" w:sz="0" w:space="0" w:color="auto"/>
                      </w:divBdr>
                      <w:divsChild>
                        <w:div w:id="1012956590">
                          <w:marLeft w:val="0"/>
                          <w:marRight w:val="0"/>
                          <w:marTop w:val="0"/>
                          <w:marBottom w:val="0"/>
                          <w:divBdr>
                            <w:top w:val="none" w:sz="0" w:space="0" w:color="auto"/>
                            <w:left w:val="none" w:sz="0" w:space="0" w:color="auto"/>
                            <w:bottom w:val="none" w:sz="0" w:space="0" w:color="auto"/>
                            <w:right w:val="none" w:sz="0" w:space="0" w:color="auto"/>
                          </w:divBdr>
                          <w:divsChild>
                            <w:div w:id="1496992304">
                              <w:marLeft w:val="0"/>
                              <w:marRight w:val="0"/>
                              <w:marTop w:val="0"/>
                              <w:marBottom w:val="0"/>
                              <w:divBdr>
                                <w:top w:val="none" w:sz="0" w:space="0" w:color="auto"/>
                                <w:left w:val="none" w:sz="0" w:space="0" w:color="auto"/>
                                <w:bottom w:val="none" w:sz="0" w:space="0" w:color="auto"/>
                                <w:right w:val="none" w:sz="0" w:space="0" w:color="auto"/>
                              </w:divBdr>
                              <w:divsChild>
                                <w:div w:id="871698052">
                                  <w:marLeft w:val="0"/>
                                  <w:marRight w:val="0"/>
                                  <w:marTop w:val="0"/>
                                  <w:marBottom w:val="0"/>
                                  <w:divBdr>
                                    <w:top w:val="none" w:sz="0" w:space="0" w:color="auto"/>
                                    <w:left w:val="none" w:sz="0" w:space="0" w:color="auto"/>
                                    <w:bottom w:val="none" w:sz="0" w:space="0" w:color="auto"/>
                                    <w:right w:val="none" w:sz="0" w:space="0" w:color="auto"/>
                                  </w:divBdr>
                                  <w:divsChild>
                                    <w:div w:id="2055307124">
                                      <w:marLeft w:val="0"/>
                                      <w:marRight w:val="0"/>
                                      <w:marTop w:val="0"/>
                                      <w:marBottom w:val="0"/>
                                      <w:divBdr>
                                        <w:top w:val="none" w:sz="0" w:space="0" w:color="auto"/>
                                        <w:left w:val="none" w:sz="0" w:space="0" w:color="auto"/>
                                        <w:bottom w:val="none" w:sz="0" w:space="0" w:color="auto"/>
                                        <w:right w:val="none" w:sz="0" w:space="0" w:color="auto"/>
                                      </w:divBdr>
                                      <w:divsChild>
                                        <w:div w:id="1062217414">
                                          <w:marLeft w:val="0"/>
                                          <w:marRight w:val="0"/>
                                          <w:marTop w:val="0"/>
                                          <w:marBottom w:val="0"/>
                                          <w:divBdr>
                                            <w:top w:val="none" w:sz="0" w:space="0" w:color="auto"/>
                                            <w:left w:val="none" w:sz="0" w:space="0" w:color="auto"/>
                                            <w:bottom w:val="none" w:sz="0" w:space="0" w:color="auto"/>
                                            <w:right w:val="none" w:sz="0" w:space="0" w:color="auto"/>
                                          </w:divBdr>
                                          <w:divsChild>
                                            <w:div w:id="904492502">
                                              <w:marLeft w:val="0"/>
                                              <w:marRight w:val="0"/>
                                              <w:marTop w:val="0"/>
                                              <w:marBottom w:val="0"/>
                                              <w:divBdr>
                                                <w:top w:val="none" w:sz="0" w:space="0" w:color="auto"/>
                                                <w:left w:val="none" w:sz="0" w:space="0" w:color="auto"/>
                                                <w:bottom w:val="none" w:sz="0" w:space="0" w:color="auto"/>
                                                <w:right w:val="none" w:sz="0" w:space="0" w:color="auto"/>
                                              </w:divBdr>
                                              <w:divsChild>
                                                <w:div w:id="1559824656">
                                                  <w:marLeft w:val="0"/>
                                                  <w:marRight w:val="0"/>
                                                  <w:marTop w:val="0"/>
                                                  <w:marBottom w:val="0"/>
                                                  <w:divBdr>
                                                    <w:top w:val="none" w:sz="0" w:space="0" w:color="auto"/>
                                                    <w:left w:val="none" w:sz="0" w:space="0" w:color="auto"/>
                                                    <w:bottom w:val="none" w:sz="0" w:space="0" w:color="auto"/>
                                                    <w:right w:val="none" w:sz="0" w:space="0" w:color="auto"/>
                                                  </w:divBdr>
                                                  <w:divsChild>
                                                    <w:div w:id="1186796241">
                                                      <w:marLeft w:val="0"/>
                                                      <w:marRight w:val="0"/>
                                                      <w:marTop w:val="0"/>
                                                      <w:marBottom w:val="0"/>
                                                      <w:divBdr>
                                                        <w:top w:val="none" w:sz="0" w:space="0" w:color="auto"/>
                                                        <w:left w:val="none" w:sz="0" w:space="0" w:color="auto"/>
                                                        <w:bottom w:val="none" w:sz="0" w:space="0" w:color="auto"/>
                                                        <w:right w:val="none" w:sz="0" w:space="0" w:color="auto"/>
                                                      </w:divBdr>
                                                      <w:divsChild>
                                                        <w:div w:id="1665737792">
                                                          <w:marLeft w:val="0"/>
                                                          <w:marRight w:val="0"/>
                                                          <w:marTop w:val="0"/>
                                                          <w:marBottom w:val="0"/>
                                                          <w:divBdr>
                                                            <w:top w:val="none" w:sz="0" w:space="0" w:color="auto"/>
                                                            <w:left w:val="none" w:sz="0" w:space="0" w:color="auto"/>
                                                            <w:bottom w:val="none" w:sz="0" w:space="0" w:color="auto"/>
                                                            <w:right w:val="none" w:sz="0" w:space="0" w:color="auto"/>
                                                          </w:divBdr>
                                                          <w:divsChild>
                                                            <w:div w:id="944576099">
                                                              <w:marLeft w:val="0"/>
                                                              <w:marRight w:val="0"/>
                                                              <w:marTop w:val="0"/>
                                                              <w:marBottom w:val="0"/>
                                                              <w:divBdr>
                                                                <w:top w:val="none" w:sz="0" w:space="0" w:color="auto"/>
                                                                <w:left w:val="none" w:sz="0" w:space="0" w:color="auto"/>
                                                                <w:bottom w:val="none" w:sz="0" w:space="0" w:color="auto"/>
                                                                <w:right w:val="none" w:sz="0" w:space="0" w:color="auto"/>
                                                              </w:divBdr>
                                                              <w:divsChild>
                                                                <w:div w:id="1121067715">
                                                                  <w:marLeft w:val="0"/>
                                                                  <w:marRight w:val="0"/>
                                                                  <w:marTop w:val="0"/>
                                                                  <w:marBottom w:val="0"/>
                                                                  <w:divBdr>
                                                                    <w:top w:val="none" w:sz="0" w:space="0" w:color="auto"/>
                                                                    <w:left w:val="none" w:sz="0" w:space="0" w:color="auto"/>
                                                                    <w:bottom w:val="none" w:sz="0" w:space="0" w:color="auto"/>
                                                                    <w:right w:val="none" w:sz="0" w:space="0" w:color="auto"/>
                                                                  </w:divBdr>
                                                                  <w:divsChild>
                                                                    <w:div w:id="1919897037">
                                                                      <w:marLeft w:val="0"/>
                                                                      <w:marRight w:val="0"/>
                                                                      <w:marTop w:val="0"/>
                                                                      <w:marBottom w:val="0"/>
                                                                      <w:divBdr>
                                                                        <w:top w:val="none" w:sz="0" w:space="0" w:color="auto"/>
                                                                        <w:left w:val="none" w:sz="0" w:space="0" w:color="auto"/>
                                                                        <w:bottom w:val="none" w:sz="0" w:space="0" w:color="auto"/>
                                                                        <w:right w:val="none" w:sz="0" w:space="0" w:color="auto"/>
                                                                      </w:divBdr>
                                                                      <w:divsChild>
                                                                        <w:div w:id="1366367907">
                                                                          <w:marLeft w:val="0"/>
                                                                          <w:marRight w:val="0"/>
                                                                          <w:marTop w:val="0"/>
                                                                          <w:marBottom w:val="0"/>
                                                                          <w:divBdr>
                                                                            <w:top w:val="none" w:sz="0" w:space="0" w:color="auto"/>
                                                                            <w:left w:val="none" w:sz="0" w:space="0" w:color="auto"/>
                                                                            <w:bottom w:val="none" w:sz="0" w:space="0" w:color="auto"/>
                                                                            <w:right w:val="none" w:sz="0" w:space="0" w:color="auto"/>
                                                                          </w:divBdr>
                                                                          <w:divsChild>
                                                                            <w:div w:id="924656414">
                                                                              <w:marLeft w:val="0"/>
                                                                              <w:marRight w:val="0"/>
                                                                              <w:marTop w:val="0"/>
                                                                              <w:marBottom w:val="0"/>
                                                                              <w:divBdr>
                                                                                <w:top w:val="none" w:sz="0" w:space="0" w:color="auto"/>
                                                                                <w:left w:val="none" w:sz="0" w:space="0" w:color="auto"/>
                                                                                <w:bottom w:val="none" w:sz="0" w:space="0" w:color="auto"/>
                                                                                <w:right w:val="none" w:sz="0" w:space="0" w:color="auto"/>
                                                                              </w:divBdr>
                                                                              <w:divsChild>
                                                                                <w:div w:id="1101337372">
                                                                                  <w:marLeft w:val="0"/>
                                                                                  <w:marRight w:val="0"/>
                                                                                  <w:marTop w:val="0"/>
                                                                                  <w:marBottom w:val="0"/>
                                                                                  <w:divBdr>
                                                                                    <w:top w:val="none" w:sz="0" w:space="0" w:color="auto"/>
                                                                                    <w:left w:val="none" w:sz="0" w:space="0" w:color="auto"/>
                                                                                    <w:bottom w:val="none" w:sz="0" w:space="0" w:color="auto"/>
                                                                                    <w:right w:val="none" w:sz="0" w:space="0" w:color="auto"/>
                                                                                  </w:divBdr>
                                                                                  <w:divsChild>
                                                                                    <w:div w:id="2060592165">
                                                                                      <w:marLeft w:val="0"/>
                                                                                      <w:marRight w:val="0"/>
                                                                                      <w:marTop w:val="0"/>
                                                                                      <w:marBottom w:val="0"/>
                                                                                      <w:divBdr>
                                                                                        <w:top w:val="none" w:sz="0" w:space="0" w:color="auto"/>
                                                                                        <w:left w:val="none" w:sz="0" w:space="0" w:color="auto"/>
                                                                                        <w:bottom w:val="none" w:sz="0" w:space="0" w:color="auto"/>
                                                                                        <w:right w:val="none" w:sz="0" w:space="0" w:color="auto"/>
                                                                                      </w:divBdr>
                                                                                      <w:divsChild>
                                                                                        <w:div w:id="1400714597">
                                                                                          <w:marLeft w:val="0"/>
                                                                                          <w:marRight w:val="0"/>
                                                                                          <w:marTop w:val="0"/>
                                                                                          <w:marBottom w:val="0"/>
                                                                                          <w:divBdr>
                                                                                            <w:top w:val="none" w:sz="0" w:space="0" w:color="auto"/>
                                                                                            <w:left w:val="none" w:sz="0" w:space="0" w:color="auto"/>
                                                                                            <w:bottom w:val="none" w:sz="0" w:space="0" w:color="auto"/>
                                                                                            <w:right w:val="none" w:sz="0" w:space="0" w:color="auto"/>
                                                                                          </w:divBdr>
                                                                                          <w:divsChild>
                                                                                            <w:div w:id="2116636499">
                                                                                              <w:marLeft w:val="0"/>
                                                                                              <w:marRight w:val="0"/>
                                                                                              <w:marTop w:val="0"/>
                                                                                              <w:marBottom w:val="0"/>
                                                                                              <w:divBdr>
                                                                                                <w:top w:val="none" w:sz="0" w:space="0" w:color="auto"/>
                                                                                                <w:left w:val="none" w:sz="0" w:space="0" w:color="auto"/>
                                                                                                <w:bottom w:val="none" w:sz="0" w:space="0" w:color="auto"/>
                                                                                                <w:right w:val="none" w:sz="0" w:space="0" w:color="auto"/>
                                                                                              </w:divBdr>
                                                                                              <w:divsChild>
                                                                                                <w:div w:id="1962221974">
                                                                                                  <w:marLeft w:val="0"/>
                                                                                                  <w:marRight w:val="0"/>
                                                                                                  <w:marTop w:val="0"/>
                                                                                                  <w:marBottom w:val="0"/>
                                                                                                  <w:divBdr>
                                                                                                    <w:top w:val="none" w:sz="0" w:space="0" w:color="auto"/>
                                                                                                    <w:left w:val="none" w:sz="0" w:space="0" w:color="auto"/>
                                                                                                    <w:bottom w:val="none" w:sz="0" w:space="0" w:color="auto"/>
                                                                                                    <w:right w:val="none" w:sz="0" w:space="0" w:color="auto"/>
                                                                                                  </w:divBdr>
                                                                                                  <w:divsChild>
                                                                                                    <w:div w:id="2015759123">
                                                                                                      <w:marLeft w:val="0"/>
                                                                                                      <w:marRight w:val="0"/>
                                                                                                      <w:marTop w:val="0"/>
                                                                                                      <w:marBottom w:val="0"/>
                                                                                                      <w:divBdr>
                                                                                                        <w:top w:val="none" w:sz="0" w:space="0" w:color="auto"/>
                                                                                                        <w:left w:val="none" w:sz="0" w:space="0" w:color="auto"/>
                                                                                                        <w:bottom w:val="none" w:sz="0" w:space="0" w:color="auto"/>
                                                                                                        <w:right w:val="none" w:sz="0" w:space="0" w:color="auto"/>
                                                                                                      </w:divBdr>
                                                                                                      <w:divsChild>
                                                                                                        <w:div w:id="1151560408">
                                                                                                          <w:marLeft w:val="0"/>
                                                                                                          <w:marRight w:val="0"/>
                                                                                                          <w:marTop w:val="0"/>
                                                                                                          <w:marBottom w:val="0"/>
                                                                                                          <w:divBdr>
                                                                                                            <w:top w:val="none" w:sz="0" w:space="0" w:color="auto"/>
                                                                                                            <w:left w:val="none" w:sz="0" w:space="0" w:color="auto"/>
                                                                                                            <w:bottom w:val="none" w:sz="0" w:space="0" w:color="auto"/>
                                                                                                            <w:right w:val="none" w:sz="0" w:space="0" w:color="auto"/>
                                                                                                          </w:divBdr>
                                                                                                          <w:divsChild>
                                                                                                            <w:div w:id="326399276">
                                                                                                              <w:marLeft w:val="0"/>
                                                                                                              <w:marRight w:val="0"/>
                                                                                                              <w:marTop w:val="0"/>
                                                                                                              <w:marBottom w:val="0"/>
                                                                                                              <w:divBdr>
                                                                                                                <w:top w:val="none" w:sz="0" w:space="0" w:color="auto"/>
                                                                                                                <w:left w:val="none" w:sz="0" w:space="0" w:color="auto"/>
                                                                                                                <w:bottom w:val="none" w:sz="0" w:space="0" w:color="auto"/>
                                                                                                                <w:right w:val="none" w:sz="0" w:space="0" w:color="auto"/>
                                                                                                              </w:divBdr>
                                                                                                              <w:divsChild>
                                                                                                                <w:div w:id="801777627">
                                                                                                                  <w:marLeft w:val="0"/>
                                                                                                                  <w:marRight w:val="0"/>
                                                                                                                  <w:marTop w:val="0"/>
                                                                                                                  <w:marBottom w:val="0"/>
                                                                                                                  <w:divBdr>
                                                                                                                    <w:top w:val="none" w:sz="0" w:space="0" w:color="auto"/>
                                                                                                                    <w:left w:val="none" w:sz="0" w:space="0" w:color="auto"/>
                                                                                                                    <w:bottom w:val="none" w:sz="0" w:space="0" w:color="auto"/>
                                                                                                                    <w:right w:val="none" w:sz="0" w:space="0" w:color="auto"/>
                                                                                                                  </w:divBdr>
                                                                                                                  <w:divsChild>
                                                                                                                    <w:div w:id="170334391">
                                                                                                                      <w:marLeft w:val="0"/>
                                                                                                                      <w:marRight w:val="0"/>
                                                                                                                      <w:marTop w:val="0"/>
                                                                                                                      <w:marBottom w:val="0"/>
                                                                                                                      <w:divBdr>
                                                                                                                        <w:top w:val="none" w:sz="0" w:space="0" w:color="auto"/>
                                                                                                                        <w:left w:val="none" w:sz="0" w:space="0" w:color="auto"/>
                                                                                                                        <w:bottom w:val="none" w:sz="0" w:space="0" w:color="auto"/>
                                                                                                                        <w:right w:val="none" w:sz="0" w:space="0" w:color="auto"/>
                                                                                                                      </w:divBdr>
                                                                                                                    </w:div>
                                                                                                                    <w:div w:id="718867993">
                                                                                                                      <w:marLeft w:val="0"/>
                                                                                                                      <w:marRight w:val="0"/>
                                                                                                                      <w:marTop w:val="0"/>
                                                                                                                      <w:marBottom w:val="0"/>
                                                                                                                      <w:divBdr>
                                                                                                                        <w:top w:val="none" w:sz="0" w:space="0" w:color="auto"/>
                                                                                                                        <w:left w:val="none" w:sz="0" w:space="0" w:color="auto"/>
                                                                                                                        <w:bottom w:val="none" w:sz="0" w:space="0" w:color="auto"/>
                                                                                                                        <w:right w:val="none" w:sz="0" w:space="0" w:color="auto"/>
                                                                                                                      </w:divBdr>
                                                                                                                    </w:div>
                                                                                                                    <w:div w:id="141069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34063078">
      <w:bodyDiv w:val="1"/>
      <w:marLeft w:val="0"/>
      <w:marRight w:val="0"/>
      <w:marTop w:val="0"/>
      <w:marBottom w:val="0"/>
      <w:divBdr>
        <w:top w:val="none" w:sz="0" w:space="0" w:color="auto"/>
        <w:left w:val="none" w:sz="0" w:space="0" w:color="auto"/>
        <w:bottom w:val="none" w:sz="0" w:space="0" w:color="auto"/>
        <w:right w:val="none" w:sz="0" w:space="0" w:color="auto"/>
      </w:divBdr>
    </w:div>
    <w:div w:id="440999442">
      <w:bodyDiv w:val="1"/>
      <w:marLeft w:val="0"/>
      <w:marRight w:val="0"/>
      <w:marTop w:val="0"/>
      <w:marBottom w:val="0"/>
      <w:divBdr>
        <w:top w:val="none" w:sz="0" w:space="0" w:color="auto"/>
        <w:left w:val="none" w:sz="0" w:space="0" w:color="auto"/>
        <w:bottom w:val="none" w:sz="0" w:space="0" w:color="auto"/>
        <w:right w:val="none" w:sz="0" w:space="0" w:color="auto"/>
      </w:divBdr>
      <w:divsChild>
        <w:div w:id="1040327331">
          <w:marLeft w:val="0"/>
          <w:marRight w:val="0"/>
          <w:marTop w:val="0"/>
          <w:marBottom w:val="0"/>
          <w:divBdr>
            <w:top w:val="none" w:sz="0" w:space="0" w:color="auto"/>
            <w:left w:val="none" w:sz="0" w:space="0" w:color="auto"/>
            <w:bottom w:val="none" w:sz="0" w:space="0" w:color="auto"/>
            <w:right w:val="none" w:sz="0" w:space="0" w:color="auto"/>
          </w:divBdr>
          <w:divsChild>
            <w:div w:id="1679505016">
              <w:marLeft w:val="439"/>
              <w:marRight w:val="0"/>
              <w:marTop w:val="0"/>
              <w:marBottom w:val="0"/>
              <w:divBdr>
                <w:top w:val="none" w:sz="0" w:space="0" w:color="auto"/>
                <w:left w:val="none" w:sz="0" w:space="0" w:color="auto"/>
                <w:bottom w:val="none" w:sz="0" w:space="0" w:color="auto"/>
                <w:right w:val="none" w:sz="0" w:space="0" w:color="auto"/>
              </w:divBdr>
              <w:divsChild>
                <w:div w:id="898058141">
                  <w:marLeft w:val="0"/>
                  <w:marRight w:val="0"/>
                  <w:marTop w:val="0"/>
                  <w:marBottom w:val="0"/>
                  <w:divBdr>
                    <w:top w:val="none" w:sz="0" w:space="0" w:color="auto"/>
                    <w:left w:val="none" w:sz="0" w:space="0" w:color="auto"/>
                    <w:bottom w:val="none" w:sz="0" w:space="0" w:color="auto"/>
                    <w:right w:val="none" w:sz="0" w:space="0" w:color="auto"/>
                  </w:divBdr>
                  <w:divsChild>
                    <w:div w:id="842941076">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6771">
          <w:marLeft w:val="0"/>
          <w:marRight w:val="0"/>
          <w:marTop w:val="0"/>
          <w:marBottom w:val="0"/>
          <w:divBdr>
            <w:top w:val="none" w:sz="0" w:space="0" w:color="auto"/>
            <w:left w:val="none" w:sz="0" w:space="0" w:color="auto"/>
            <w:bottom w:val="none" w:sz="0" w:space="0" w:color="auto"/>
            <w:right w:val="none" w:sz="0" w:space="0" w:color="auto"/>
          </w:divBdr>
        </w:div>
      </w:divsChild>
    </w:div>
    <w:div w:id="441339693">
      <w:bodyDiv w:val="1"/>
      <w:marLeft w:val="0"/>
      <w:marRight w:val="0"/>
      <w:marTop w:val="0"/>
      <w:marBottom w:val="0"/>
      <w:divBdr>
        <w:top w:val="none" w:sz="0" w:space="0" w:color="auto"/>
        <w:left w:val="none" w:sz="0" w:space="0" w:color="auto"/>
        <w:bottom w:val="none" w:sz="0" w:space="0" w:color="auto"/>
        <w:right w:val="none" w:sz="0" w:space="0" w:color="auto"/>
      </w:divBdr>
    </w:div>
    <w:div w:id="443891165">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56803333">
      <w:bodyDiv w:val="1"/>
      <w:marLeft w:val="0"/>
      <w:marRight w:val="0"/>
      <w:marTop w:val="0"/>
      <w:marBottom w:val="0"/>
      <w:divBdr>
        <w:top w:val="none" w:sz="0" w:space="0" w:color="auto"/>
        <w:left w:val="none" w:sz="0" w:space="0" w:color="auto"/>
        <w:bottom w:val="none" w:sz="0" w:space="0" w:color="auto"/>
        <w:right w:val="none" w:sz="0" w:space="0" w:color="auto"/>
      </w:divBdr>
    </w:div>
    <w:div w:id="460147711">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496770784">
      <w:bodyDiv w:val="1"/>
      <w:marLeft w:val="0"/>
      <w:marRight w:val="0"/>
      <w:marTop w:val="0"/>
      <w:marBottom w:val="0"/>
      <w:divBdr>
        <w:top w:val="none" w:sz="0" w:space="0" w:color="auto"/>
        <w:left w:val="none" w:sz="0" w:space="0" w:color="auto"/>
        <w:bottom w:val="none" w:sz="0" w:space="0" w:color="auto"/>
        <w:right w:val="none" w:sz="0" w:space="0" w:color="auto"/>
      </w:divBdr>
    </w:div>
    <w:div w:id="507868832">
      <w:bodyDiv w:val="1"/>
      <w:marLeft w:val="0"/>
      <w:marRight w:val="0"/>
      <w:marTop w:val="0"/>
      <w:marBottom w:val="0"/>
      <w:divBdr>
        <w:top w:val="none" w:sz="0" w:space="0" w:color="auto"/>
        <w:left w:val="none" w:sz="0" w:space="0" w:color="auto"/>
        <w:bottom w:val="none" w:sz="0" w:space="0" w:color="auto"/>
        <w:right w:val="none" w:sz="0" w:space="0" w:color="auto"/>
      </w:divBdr>
    </w:div>
    <w:div w:id="510949527">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33543736">
      <w:bodyDiv w:val="1"/>
      <w:marLeft w:val="0"/>
      <w:marRight w:val="0"/>
      <w:marTop w:val="0"/>
      <w:marBottom w:val="0"/>
      <w:divBdr>
        <w:top w:val="none" w:sz="0" w:space="0" w:color="auto"/>
        <w:left w:val="none" w:sz="0" w:space="0" w:color="auto"/>
        <w:bottom w:val="none" w:sz="0" w:space="0" w:color="auto"/>
        <w:right w:val="none" w:sz="0" w:space="0" w:color="auto"/>
      </w:divBdr>
    </w:div>
    <w:div w:id="544559889">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73467231">
      <w:bodyDiv w:val="1"/>
      <w:marLeft w:val="0"/>
      <w:marRight w:val="0"/>
      <w:marTop w:val="0"/>
      <w:marBottom w:val="0"/>
      <w:divBdr>
        <w:top w:val="none" w:sz="0" w:space="0" w:color="auto"/>
        <w:left w:val="none" w:sz="0" w:space="0" w:color="auto"/>
        <w:bottom w:val="none" w:sz="0" w:space="0" w:color="auto"/>
        <w:right w:val="none" w:sz="0" w:space="0" w:color="auto"/>
      </w:divBdr>
    </w:div>
    <w:div w:id="576211852">
      <w:bodyDiv w:val="1"/>
      <w:marLeft w:val="0"/>
      <w:marRight w:val="0"/>
      <w:marTop w:val="0"/>
      <w:marBottom w:val="0"/>
      <w:divBdr>
        <w:top w:val="none" w:sz="0" w:space="0" w:color="auto"/>
        <w:left w:val="none" w:sz="0" w:space="0" w:color="auto"/>
        <w:bottom w:val="none" w:sz="0" w:space="0" w:color="auto"/>
        <w:right w:val="none" w:sz="0" w:space="0" w:color="auto"/>
      </w:divBdr>
    </w:div>
    <w:div w:id="583685500">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596405035">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15525990">
      <w:bodyDiv w:val="1"/>
      <w:marLeft w:val="0"/>
      <w:marRight w:val="0"/>
      <w:marTop w:val="0"/>
      <w:marBottom w:val="0"/>
      <w:divBdr>
        <w:top w:val="none" w:sz="0" w:space="0" w:color="auto"/>
        <w:left w:val="none" w:sz="0" w:space="0" w:color="auto"/>
        <w:bottom w:val="none" w:sz="0" w:space="0" w:color="auto"/>
        <w:right w:val="none" w:sz="0" w:space="0" w:color="auto"/>
      </w:divBdr>
    </w:div>
    <w:div w:id="619872202">
      <w:bodyDiv w:val="1"/>
      <w:marLeft w:val="0"/>
      <w:marRight w:val="0"/>
      <w:marTop w:val="0"/>
      <w:marBottom w:val="0"/>
      <w:divBdr>
        <w:top w:val="none" w:sz="0" w:space="0" w:color="auto"/>
        <w:left w:val="none" w:sz="0" w:space="0" w:color="auto"/>
        <w:bottom w:val="none" w:sz="0" w:space="0" w:color="auto"/>
        <w:right w:val="none" w:sz="0" w:space="0" w:color="auto"/>
      </w:divBdr>
    </w:div>
    <w:div w:id="622420335">
      <w:bodyDiv w:val="1"/>
      <w:marLeft w:val="0"/>
      <w:marRight w:val="0"/>
      <w:marTop w:val="0"/>
      <w:marBottom w:val="0"/>
      <w:divBdr>
        <w:top w:val="none" w:sz="0" w:space="0" w:color="auto"/>
        <w:left w:val="none" w:sz="0" w:space="0" w:color="auto"/>
        <w:bottom w:val="none" w:sz="0" w:space="0" w:color="auto"/>
        <w:right w:val="none" w:sz="0" w:space="0" w:color="auto"/>
      </w:divBdr>
    </w:div>
    <w:div w:id="641693636">
      <w:bodyDiv w:val="1"/>
      <w:marLeft w:val="0"/>
      <w:marRight w:val="0"/>
      <w:marTop w:val="0"/>
      <w:marBottom w:val="0"/>
      <w:divBdr>
        <w:top w:val="none" w:sz="0" w:space="0" w:color="auto"/>
        <w:left w:val="none" w:sz="0" w:space="0" w:color="auto"/>
        <w:bottom w:val="none" w:sz="0" w:space="0" w:color="auto"/>
        <w:right w:val="none" w:sz="0" w:space="0" w:color="auto"/>
      </w:divBdr>
      <w:divsChild>
        <w:div w:id="136147881">
          <w:marLeft w:val="0"/>
          <w:marRight w:val="0"/>
          <w:marTop w:val="0"/>
          <w:marBottom w:val="0"/>
          <w:divBdr>
            <w:top w:val="none" w:sz="0" w:space="0" w:color="auto"/>
            <w:left w:val="none" w:sz="0" w:space="0" w:color="auto"/>
            <w:bottom w:val="none" w:sz="0" w:space="0" w:color="auto"/>
            <w:right w:val="none" w:sz="0" w:space="0" w:color="auto"/>
          </w:divBdr>
          <w:divsChild>
            <w:div w:id="1222592757">
              <w:marLeft w:val="439"/>
              <w:marRight w:val="0"/>
              <w:marTop w:val="0"/>
              <w:marBottom w:val="0"/>
              <w:divBdr>
                <w:top w:val="none" w:sz="0" w:space="0" w:color="auto"/>
                <w:left w:val="none" w:sz="0" w:space="0" w:color="auto"/>
                <w:bottom w:val="none" w:sz="0" w:space="0" w:color="auto"/>
                <w:right w:val="none" w:sz="0" w:space="0" w:color="auto"/>
              </w:divBdr>
              <w:divsChild>
                <w:div w:id="119999224">
                  <w:marLeft w:val="0"/>
                  <w:marRight w:val="0"/>
                  <w:marTop w:val="0"/>
                  <w:marBottom w:val="0"/>
                  <w:divBdr>
                    <w:top w:val="none" w:sz="0" w:space="0" w:color="auto"/>
                    <w:left w:val="none" w:sz="0" w:space="0" w:color="auto"/>
                    <w:bottom w:val="none" w:sz="0" w:space="0" w:color="auto"/>
                    <w:right w:val="none" w:sz="0" w:space="0" w:color="auto"/>
                  </w:divBdr>
                  <w:divsChild>
                    <w:div w:id="816265310">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797146">
          <w:marLeft w:val="0"/>
          <w:marRight w:val="0"/>
          <w:marTop w:val="0"/>
          <w:marBottom w:val="0"/>
          <w:divBdr>
            <w:top w:val="none" w:sz="0" w:space="0" w:color="auto"/>
            <w:left w:val="none" w:sz="0" w:space="0" w:color="auto"/>
            <w:bottom w:val="none" w:sz="0" w:space="0" w:color="auto"/>
            <w:right w:val="none" w:sz="0" w:space="0" w:color="auto"/>
          </w:divBdr>
        </w:div>
      </w:divsChild>
    </w:div>
    <w:div w:id="641931161">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72997631">
      <w:bodyDiv w:val="1"/>
      <w:marLeft w:val="0"/>
      <w:marRight w:val="0"/>
      <w:marTop w:val="0"/>
      <w:marBottom w:val="0"/>
      <w:divBdr>
        <w:top w:val="none" w:sz="0" w:space="0" w:color="auto"/>
        <w:left w:val="none" w:sz="0" w:space="0" w:color="auto"/>
        <w:bottom w:val="none" w:sz="0" w:space="0" w:color="auto"/>
        <w:right w:val="none" w:sz="0" w:space="0" w:color="auto"/>
      </w:divBdr>
      <w:divsChild>
        <w:div w:id="862130031">
          <w:marLeft w:val="0"/>
          <w:marRight w:val="0"/>
          <w:marTop w:val="0"/>
          <w:marBottom w:val="0"/>
          <w:divBdr>
            <w:top w:val="none" w:sz="0" w:space="0" w:color="auto"/>
            <w:left w:val="none" w:sz="0" w:space="0" w:color="auto"/>
            <w:bottom w:val="none" w:sz="0" w:space="0" w:color="auto"/>
            <w:right w:val="none" w:sz="0" w:space="0" w:color="auto"/>
          </w:divBdr>
          <w:divsChild>
            <w:div w:id="1683317475">
              <w:marLeft w:val="439"/>
              <w:marRight w:val="0"/>
              <w:marTop w:val="0"/>
              <w:marBottom w:val="0"/>
              <w:divBdr>
                <w:top w:val="none" w:sz="0" w:space="0" w:color="auto"/>
                <w:left w:val="none" w:sz="0" w:space="0" w:color="auto"/>
                <w:bottom w:val="none" w:sz="0" w:space="0" w:color="auto"/>
                <w:right w:val="none" w:sz="0" w:space="0" w:color="auto"/>
              </w:divBdr>
              <w:divsChild>
                <w:div w:id="1075667751">
                  <w:marLeft w:val="0"/>
                  <w:marRight w:val="0"/>
                  <w:marTop w:val="0"/>
                  <w:marBottom w:val="0"/>
                  <w:divBdr>
                    <w:top w:val="none" w:sz="0" w:space="0" w:color="auto"/>
                    <w:left w:val="none" w:sz="0" w:space="0" w:color="auto"/>
                    <w:bottom w:val="none" w:sz="0" w:space="0" w:color="auto"/>
                    <w:right w:val="none" w:sz="0" w:space="0" w:color="auto"/>
                  </w:divBdr>
                  <w:divsChild>
                    <w:div w:id="170224632">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049751">
          <w:marLeft w:val="0"/>
          <w:marRight w:val="0"/>
          <w:marTop w:val="0"/>
          <w:marBottom w:val="0"/>
          <w:divBdr>
            <w:top w:val="none" w:sz="0" w:space="0" w:color="auto"/>
            <w:left w:val="none" w:sz="0" w:space="0" w:color="auto"/>
            <w:bottom w:val="none" w:sz="0" w:space="0" w:color="auto"/>
            <w:right w:val="none" w:sz="0" w:space="0" w:color="auto"/>
          </w:divBdr>
        </w:div>
      </w:divsChild>
    </w:div>
    <w:div w:id="676035645">
      <w:bodyDiv w:val="1"/>
      <w:marLeft w:val="0"/>
      <w:marRight w:val="0"/>
      <w:marTop w:val="0"/>
      <w:marBottom w:val="0"/>
      <w:divBdr>
        <w:top w:val="none" w:sz="0" w:space="0" w:color="auto"/>
        <w:left w:val="none" w:sz="0" w:space="0" w:color="auto"/>
        <w:bottom w:val="none" w:sz="0" w:space="0" w:color="auto"/>
        <w:right w:val="none" w:sz="0" w:space="0" w:color="auto"/>
      </w:divBdr>
    </w:div>
    <w:div w:id="677006739">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69940196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48815381">
      <w:bodyDiv w:val="1"/>
      <w:marLeft w:val="0"/>
      <w:marRight w:val="0"/>
      <w:marTop w:val="0"/>
      <w:marBottom w:val="0"/>
      <w:divBdr>
        <w:top w:val="none" w:sz="0" w:space="0" w:color="auto"/>
        <w:left w:val="none" w:sz="0" w:space="0" w:color="auto"/>
        <w:bottom w:val="none" w:sz="0" w:space="0" w:color="auto"/>
        <w:right w:val="none" w:sz="0" w:space="0" w:color="auto"/>
      </w:divBdr>
    </w:div>
    <w:div w:id="749427586">
      <w:bodyDiv w:val="1"/>
      <w:marLeft w:val="0"/>
      <w:marRight w:val="0"/>
      <w:marTop w:val="0"/>
      <w:marBottom w:val="0"/>
      <w:divBdr>
        <w:top w:val="none" w:sz="0" w:space="0" w:color="auto"/>
        <w:left w:val="none" w:sz="0" w:space="0" w:color="auto"/>
        <w:bottom w:val="none" w:sz="0" w:space="0" w:color="auto"/>
        <w:right w:val="none" w:sz="0" w:space="0" w:color="auto"/>
      </w:divBdr>
    </w:div>
    <w:div w:id="755518538">
      <w:bodyDiv w:val="1"/>
      <w:marLeft w:val="0"/>
      <w:marRight w:val="0"/>
      <w:marTop w:val="0"/>
      <w:marBottom w:val="0"/>
      <w:divBdr>
        <w:top w:val="none" w:sz="0" w:space="0" w:color="auto"/>
        <w:left w:val="none" w:sz="0" w:space="0" w:color="auto"/>
        <w:bottom w:val="none" w:sz="0" w:space="0" w:color="auto"/>
        <w:right w:val="none" w:sz="0" w:space="0" w:color="auto"/>
      </w:divBdr>
    </w:div>
    <w:div w:id="760834653">
      <w:bodyDiv w:val="1"/>
      <w:marLeft w:val="0"/>
      <w:marRight w:val="0"/>
      <w:marTop w:val="0"/>
      <w:marBottom w:val="0"/>
      <w:divBdr>
        <w:top w:val="none" w:sz="0" w:space="0" w:color="auto"/>
        <w:left w:val="none" w:sz="0" w:space="0" w:color="auto"/>
        <w:bottom w:val="none" w:sz="0" w:space="0" w:color="auto"/>
        <w:right w:val="none" w:sz="0" w:space="0" w:color="auto"/>
      </w:divBdr>
    </w:div>
    <w:div w:id="762458102">
      <w:bodyDiv w:val="1"/>
      <w:marLeft w:val="0"/>
      <w:marRight w:val="0"/>
      <w:marTop w:val="0"/>
      <w:marBottom w:val="0"/>
      <w:divBdr>
        <w:top w:val="none" w:sz="0" w:space="0" w:color="auto"/>
        <w:left w:val="none" w:sz="0" w:space="0" w:color="auto"/>
        <w:bottom w:val="none" w:sz="0" w:space="0" w:color="auto"/>
        <w:right w:val="none" w:sz="0" w:space="0" w:color="auto"/>
      </w:divBdr>
    </w:div>
    <w:div w:id="769743980">
      <w:bodyDiv w:val="1"/>
      <w:marLeft w:val="0"/>
      <w:marRight w:val="0"/>
      <w:marTop w:val="0"/>
      <w:marBottom w:val="0"/>
      <w:divBdr>
        <w:top w:val="none" w:sz="0" w:space="0" w:color="auto"/>
        <w:left w:val="none" w:sz="0" w:space="0" w:color="auto"/>
        <w:bottom w:val="none" w:sz="0" w:space="0" w:color="auto"/>
        <w:right w:val="none" w:sz="0" w:space="0" w:color="auto"/>
      </w:divBdr>
    </w:div>
    <w:div w:id="780226948">
      <w:bodyDiv w:val="1"/>
      <w:marLeft w:val="0"/>
      <w:marRight w:val="0"/>
      <w:marTop w:val="0"/>
      <w:marBottom w:val="0"/>
      <w:divBdr>
        <w:top w:val="none" w:sz="0" w:space="0" w:color="auto"/>
        <w:left w:val="none" w:sz="0" w:space="0" w:color="auto"/>
        <w:bottom w:val="none" w:sz="0" w:space="0" w:color="auto"/>
        <w:right w:val="none" w:sz="0" w:space="0" w:color="auto"/>
      </w:divBdr>
    </w:div>
    <w:div w:id="790782553">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19619102">
      <w:bodyDiv w:val="1"/>
      <w:marLeft w:val="0"/>
      <w:marRight w:val="0"/>
      <w:marTop w:val="0"/>
      <w:marBottom w:val="0"/>
      <w:divBdr>
        <w:top w:val="none" w:sz="0" w:space="0" w:color="auto"/>
        <w:left w:val="none" w:sz="0" w:space="0" w:color="auto"/>
        <w:bottom w:val="none" w:sz="0" w:space="0" w:color="auto"/>
        <w:right w:val="none" w:sz="0" w:space="0" w:color="auto"/>
      </w:divBdr>
      <w:divsChild>
        <w:div w:id="1847939509">
          <w:marLeft w:val="0"/>
          <w:marRight w:val="0"/>
          <w:marTop w:val="0"/>
          <w:marBottom w:val="0"/>
          <w:divBdr>
            <w:top w:val="none" w:sz="0" w:space="0" w:color="auto"/>
            <w:left w:val="none" w:sz="0" w:space="0" w:color="auto"/>
            <w:bottom w:val="none" w:sz="0" w:space="0" w:color="auto"/>
            <w:right w:val="none" w:sz="0" w:space="0" w:color="auto"/>
          </w:divBdr>
          <w:divsChild>
            <w:div w:id="342706160">
              <w:marLeft w:val="0"/>
              <w:marRight w:val="0"/>
              <w:marTop w:val="0"/>
              <w:marBottom w:val="0"/>
              <w:divBdr>
                <w:top w:val="none" w:sz="0" w:space="0" w:color="auto"/>
                <w:left w:val="none" w:sz="0" w:space="0" w:color="auto"/>
                <w:bottom w:val="none" w:sz="0" w:space="0" w:color="auto"/>
                <w:right w:val="none" w:sz="0" w:space="0" w:color="auto"/>
              </w:divBdr>
              <w:divsChild>
                <w:div w:id="357006892">
                  <w:marLeft w:val="0"/>
                  <w:marRight w:val="0"/>
                  <w:marTop w:val="0"/>
                  <w:marBottom w:val="0"/>
                  <w:divBdr>
                    <w:top w:val="none" w:sz="0" w:space="0" w:color="auto"/>
                    <w:left w:val="none" w:sz="0" w:space="0" w:color="auto"/>
                    <w:bottom w:val="none" w:sz="0" w:space="0" w:color="auto"/>
                    <w:right w:val="none" w:sz="0" w:space="0" w:color="auto"/>
                  </w:divBdr>
                  <w:divsChild>
                    <w:div w:id="1527716539">
                      <w:marLeft w:val="0"/>
                      <w:marRight w:val="0"/>
                      <w:marTop w:val="0"/>
                      <w:marBottom w:val="0"/>
                      <w:divBdr>
                        <w:top w:val="none" w:sz="0" w:space="0" w:color="auto"/>
                        <w:left w:val="none" w:sz="0" w:space="0" w:color="auto"/>
                        <w:bottom w:val="none" w:sz="0" w:space="0" w:color="auto"/>
                        <w:right w:val="none" w:sz="0" w:space="0" w:color="auto"/>
                      </w:divBdr>
                      <w:divsChild>
                        <w:div w:id="1107625927">
                          <w:marLeft w:val="0"/>
                          <w:marRight w:val="0"/>
                          <w:marTop w:val="0"/>
                          <w:marBottom w:val="0"/>
                          <w:divBdr>
                            <w:top w:val="none" w:sz="0" w:space="0" w:color="auto"/>
                            <w:left w:val="none" w:sz="0" w:space="0" w:color="auto"/>
                            <w:bottom w:val="none" w:sz="0" w:space="0" w:color="auto"/>
                            <w:right w:val="none" w:sz="0" w:space="0" w:color="auto"/>
                          </w:divBdr>
                          <w:divsChild>
                            <w:div w:id="824973622">
                              <w:marLeft w:val="0"/>
                              <w:marRight w:val="0"/>
                              <w:marTop w:val="0"/>
                              <w:marBottom w:val="0"/>
                              <w:divBdr>
                                <w:top w:val="none" w:sz="0" w:space="0" w:color="auto"/>
                                <w:left w:val="none" w:sz="0" w:space="0" w:color="auto"/>
                                <w:bottom w:val="none" w:sz="0" w:space="0" w:color="auto"/>
                                <w:right w:val="none" w:sz="0" w:space="0" w:color="auto"/>
                              </w:divBdr>
                              <w:divsChild>
                                <w:div w:id="1145658092">
                                  <w:marLeft w:val="0"/>
                                  <w:marRight w:val="0"/>
                                  <w:marTop w:val="0"/>
                                  <w:marBottom w:val="0"/>
                                  <w:divBdr>
                                    <w:top w:val="none" w:sz="0" w:space="0" w:color="auto"/>
                                    <w:left w:val="none" w:sz="0" w:space="0" w:color="auto"/>
                                    <w:bottom w:val="none" w:sz="0" w:space="0" w:color="auto"/>
                                    <w:right w:val="none" w:sz="0" w:space="0" w:color="auto"/>
                                  </w:divBdr>
                                  <w:divsChild>
                                    <w:div w:id="222061897">
                                      <w:marLeft w:val="0"/>
                                      <w:marRight w:val="0"/>
                                      <w:marTop w:val="0"/>
                                      <w:marBottom w:val="0"/>
                                      <w:divBdr>
                                        <w:top w:val="none" w:sz="0" w:space="0" w:color="auto"/>
                                        <w:left w:val="none" w:sz="0" w:space="0" w:color="auto"/>
                                        <w:bottom w:val="none" w:sz="0" w:space="0" w:color="auto"/>
                                        <w:right w:val="none" w:sz="0" w:space="0" w:color="auto"/>
                                      </w:divBdr>
                                      <w:divsChild>
                                        <w:div w:id="1559509927">
                                          <w:marLeft w:val="0"/>
                                          <w:marRight w:val="0"/>
                                          <w:marTop w:val="0"/>
                                          <w:marBottom w:val="0"/>
                                          <w:divBdr>
                                            <w:top w:val="none" w:sz="0" w:space="0" w:color="auto"/>
                                            <w:left w:val="none" w:sz="0" w:space="0" w:color="auto"/>
                                            <w:bottom w:val="none" w:sz="0" w:space="0" w:color="auto"/>
                                            <w:right w:val="none" w:sz="0" w:space="0" w:color="auto"/>
                                          </w:divBdr>
                                          <w:divsChild>
                                            <w:div w:id="1659649554">
                                              <w:marLeft w:val="0"/>
                                              <w:marRight w:val="0"/>
                                              <w:marTop w:val="0"/>
                                              <w:marBottom w:val="0"/>
                                              <w:divBdr>
                                                <w:top w:val="none" w:sz="0" w:space="0" w:color="auto"/>
                                                <w:left w:val="none" w:sz="0" w:space="0" w:color="auto"/>
                                                <w:bottom w:val="none" w:sz="0" w:space="0" w:color="auto"/>
                                                <w:right w:val="none" w:sz="0" w:space="0" w:color="auto"/>
                                              </w:divBdr>
                                              <w:divsChild>
                                                <w:div w:id="159242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7329614">
      <w:bodyDiv w:val="1"/>
      <w:marLeft w:val="0"/>
      <w:marRight w:val="0"/>
      <w:marTop w:val="0"/>
      <w:marBottom w:val="0"/>
      <w:divBdr>
        <w:top w:val="none" w:sz="0" w:space="0" w:color="auto"/>
        <w:left w:val="none" w:sz="0" w:space="0" w:color="auto"/>
        <w:bottom w:val="none" w:sz="0" w:space="0" w:color="auto"/>
        <w:right w:val="none" w:sz="0" w:space="0" w:color="auto"/>
      </w:divBdr>
    </w:div>
    <w:div w:id="831675726">
      <w:bodyDiv w:val="1"/>
      <w:marLeft w:val="0"/>
      <w:marRight w:val="0"/>
      <w:marTop w:val="0"/>
      <w:marBottom w:val="0"/>
      <w:divBdr>
        <w:top w:val="none" w:sz="0" w:space="0" w:color="auto"/>
        <w:left w:val="none" w:sz="0" w:space="0" w:color="auto"/>
        <w:bottom w:val="none" w:sz="0" w:space="0" w:color="auto"/>
        <w:right w:val="none" w:sz="0" w:space="0" w:color="auto"/>
      </w:divBdr>
    </w:div>
    <w:div w:id="839588979">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46136198">
      <w:bodyDiv w:val="1"/>
      <w:marLeft w:val="0"/>
      <w:marRight w:val="0"/>
      <w:marTop w:val="0"/>
      <w:marBottom w:val="0"/>
      <w:divBdr>
        <w:top w:val="none" w:sz="0" w:space="0" w:color="auto"/>
        <w:left w:val="none" w:sz="0" w:space="0" w:color="auto"/>
        <w:bottom w:val="none" w:sz="0" w:space="0" w:color="auto"/>
        <w:right w:val="none" w:sz="0" w:space="0" w:color="auto"/>
      </w:divBdr>
    </w:div>
    <w:div w:id="852493872">
      <w:bodyDiv w:val="1"/>
      <w:marLeft w:val="0"/>
      <w:marRight w:val="0"/>
      <w:marTop w:val="0"/>
      <w:marBottom w:val="0"/>
      <w:divBdr>
        <w:top w:val="none" w:sz="0" w:space="0" w:color="auto"/>
        <w:left w:val="none" w:sz="0" w:space="0" w:color="auto"/>
        <w:bottom w:val="none" w:sz="0" w:space="0" w:color="auto"/>
        <w:right w:val="none" w:sz="0" w:space="0" w:color="auto"/>
      </w:divBdr>
    </w:div>
    <w:div w:id="853376225">
      <w:bodyDiv w:val="1"/>
      <w:marLeft w:val="0"/>
      <w:marRight w:val="0"/>
      <w:marTop w:val="0"/>
      <w:marBottom w:val="0"/>
      <w:divBdr>
        <w:top w:val="none" w:sz="0" w:space="0" w:color="auto"/>
        <w:left w:val="none" w:sz="0" w:space="0" w:color="auto"/>
        <w:bottom w:val="none" w:sz="0" w:space="0" w:color="auto"/>
        <w:right w:val="none" w:sz="0" w:space="0" w:color="auto"/>
      </w:divBdr>
    </w:div>
    <w:div w:id="862979487">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868835074">
      <w:bodyDiv w:val="1"/>
      <w:marLeft w:val="0"/>
      <w:marRight w:val="0"/>
      <w:marTop w:val="0"/>
      <w:marBottom w:val="0"/>
      <w:divBdr>
        <w:top w:val="none" w:sz="0" w:space="0" w:color="auto"/>
        <w:left w:val="none" w:sz="0" w:space="0" w:color="auto"/>
        <w:bottom w:val="none" w:sz="0" w:space="0" w:color="auto"/>
        <w:right w:val="none" w:sz="0" w:space="0" w:color="auto"/>
      </w:divBdr>
    </w:div>
    <w:div w:id="872838606">
      <w:bodyDiv w:val="1"/>
      <w:marLeft w:val="0"/>
      <w:marRight w:val="0"/>
      <w:marTop w:val="0"/>
      <w:marBottom w:val="0"/>
      <w:divBdr>
        <w:top w:val="none" w:sz="0" w:space="0" w:color="auto"/>
        <w:left w:val="none" w:sz="0" w:space="0" w:color="auto"/>
        <w:bottom w:val="none" w:sz="0" w:space="0" w:color="auto"/>
        <w:right w:val="none" w:sz="0" w:space="0" w:color="auto"/>
      </w:divBdr>
    </w:div>
    <w:div w:id="873932058">
      <w:bodyDiv w:val="1"/>
      <w:marLeft w:val="0"/>
      <w:marRight w:val="0"/>
      <w:marTop w:val="0"/>
      <w:marBottom w:val="0"/>
      <w:divBdr>
        <w:top w:val="none" w:sz="0" w:space="0" w:color="auto"/>
        <w:left w:val="none" w:sz="0" w:space="0" w:color="auto"/>
        <w:bottom w:val="none" w:sz="0" w:space="0" w:color="auto"/>
        <w:right w:val="none" w:sz="0" w:space="0" w:color="auto"/>
      </w:divBdr>
    </w:div>
    <w:div w:id="882596362">
      <w:bodyDiv w:val="1"/>
      <w:marLeft w:val="0"/>
      <w:marRight w:val="0"/>
      <w:marTop w:val="0"/>
      <w:marBottom w:val="0"/>
      <w:divBdr>
        <w:top w:val="none" w:sz="0" w:space="0" w:color="auto"/>
        <w:left w:val="none" w:sz="0" w:space="0" w:color="auto"/>
        <w:bottom w:val="none" w:sz="0" w:space="0" w:color="auto"/>
        <w:right w:val="none" w:sz="0" w:space="0" w:color="auto"/>
      </w:divBdr>
    </w:div>
    <w:div w:id="884870852">
      <w:bodyDiv w:val="1"/>
      <w:marLeft w:val="0"/>
      <w:marRight w:val="0"/>
      <w:marTop w:val="0"/>
      <w:marBottom w:val="0"/>
      <w:divBdr>
        <w:top w:val="none" w:sz="0" w:space="0" w:color="auto"/>
        <w:left w:val="none" w:sz="0" w:space="0" w:color="auto"/>
        <w:bottom w:val="none" w:sz="0" w:space="0" w:color="auto"/>
        <w:right w:val="none" w:sz="0" w:space="0" w:color="auto"/>
      </w:divBdr>
    </w:div>
    <w:div w:id="887037235">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25846191">
      <w:bodyDiv w:val="1"/>
      <w:marLeft w:val="0"/>
      <w:marRight w:val="0"/>
      <w:marTop w:val="0"/>
      <w:marBottom w:val="0"/>
      <w:divBdr>
        <w:top w:val="none" w:sz="0" w:space="0" w:color="auto"/>
        <w:left w:val="none" w:sz="0" w:space="0" w:color="auto"/>
        <w:bottom w:val="none" w:sz="0" w:space="0" w:color="auto"/>
        <w:right w:val="none" w:sz="0" w:space="0" w:color="auto"/>
      </w:divBdr>
    </w:div>
    <w:div w:id="934676025">
      <w:bodyDiv w:val="1"/>
      <w:marLeft w:val="0"/>
      <w:marRight w:val="0"/>
      <w:marTop w:val="0"/>
      <w:marBottom w:val="0"/>
      <w:divBdr>
        <w:top w:val="none" w:sz="0" w:space="0" w:color="auto"/>
        <w:left w:val="none" w:sz="0" w:space="0" w:color="auto"/>
        <w:bottom w:val="none" w:sz="0" w:space="0" w:color="auto"/>
        <w:right w:val="none" w:sz="0" w:space="0" w:color="auto"/>
      </w:divBdr>
    </w:div>
    <w:div w:id="938831598">
      <w:bodyDiv w:val="1"/>
      <w:marLeft w:val="0"/>
      <w:marRight w:val="0"/>
      <w:marTop w:val="0"/>
      <w:marBottom w:val="0"/>
      <w:divBdr>
        <w:top w:val="none" w:sz="0" w:space="0" w:color="auto"/>
        <w:left w:val="none" w:sz="0" w:space="0" w:color="auto"/>
        <w:bottom w:val="none" w:sz="0" w:space="0" w:color="auto"/>
        <w:right w:val="none" w:sz="0" w:space="0" w:color="auto"/>
      </w:divBdr>
      <w:divsChild>
        <w:div w:id="1075587296">
          <w:marLeft w:val="0"/>
          <w:marRight w:val="0"/>
          <w:marTop w:val="0"/>
          <w:marBottom w:val="0"/>
          <w:divBdr>
            <w:top w:val="none" w:sz="0" w:space="0" w:color="auto"/>
            <w:left w:val="none" w:sz="0" w:space="0" w:color="auto"/>
            <w:bottom w:val="none" w:sz="0" w:space="0" w:color="auto"/>
            <w:right w:val="none" w:sz="0" w:space="0" w:color="auto"/>
          </w:divBdr>
          <w:divsChild>
            <w:div w:id="373307484">
              <w:marLeft w:val="0"/>
              <w:marRight w:val="0"/>
              <w:marTop w:val="0"/>
              <w:marBottom w:val="0"/>
              <w:divBdr>
                <w:top w:val="none" w:sz="0" w:space="0" w:color="auto"/>
                <w:left w:val="none" w:sz="0" w:space="0" w:color="auto"/>
                <w:bottom w:val="none" w:sz="0" w:space="0" w:color="auto"/>
                <w:right w:val="none" w:sz="0" w:space="0" w:color="auto"/>
              </w:divBdr>
              <w:divsChild>
                <w:div w:id="257061806">
                  <w:marLeft w:val="0"/>
                  <w:marRight w:val="0"/>
                  <w:marTop w:val="0"/>
                  <w:marBottom w:val="0"/>
                  <w:divBdr>
                    <w:top w:val="none" w:sz="0" w:space="0" w:color="auto"/>
                    <w:left w:val="none" w:sz="0" w:space="0" w:color="auto"/>
                    <w:bottom w:val="none" w:sz="0" w:space="0" w:color="auto"/>
                    <w:right w:val="none" w:sz="0" w:space="0" w:color="auto"/>
                  </w:divBdr>
                  <w:divsChild>
                    <w:div w:id="159472340">
                      <w:marLeft w:val="0"/>
                      <w:marRight w:val="0"/>
                      <w:marTop w:val="0"/>
                      <w:marBottom w:val="0"/>
                      <w:divBdr>
                        <w:top w:val="none" w:sz="0" w:space="0" w:color="auto"/>
                        <w:left w:val="none" w:sz="0" w:space="0" w:color="auto"/>
                        <w:bottom w:val="none" w:sz="0" w:space="0" w:color="auto"/>
                        <w:right w:val="none" w:sz="0" w:space="0" w:color="auto"/>
                      </w:divBdr>
                      <w:divsChild>
                        <w:div w:id="1038773990">
                          <w:marLeft w:val="0"/>
                          <w:marRight w:val="0"/>
                          <w:marTop w:val="0"/>
                          <w:marBottom w:val="0"/>
                          <w:divBdr>
                            <w:top w:val="none" w:sz="0" w:space="0" w:color="auto"/>
                            <w:left w:val="none" w:sz="0" w:space="0" w:color="auto"/>
                            <w:bottom w:val="none" w:sz="0" w:space="0" w:color="auto"/>
                            <w:right w:val="none" w:sz="0" w:space="0" w:color="auto"/>
                          </w:divBdr>
                          <w:divsChild>
                            <w:div w:id="1497964251">
                              <w:marLeft w:val="0"/>
                              <w:marRight w:val="0"/>
                              <w:marTop w:val="0"/>
                              <w:marBottom w:val="0"/>
                              <w:divBdr>
                                <w:top w:val="none" w:sz="0" w:space="0" w:color="auto"/>
                                <w:left w:val="none" w:sz="0" w:space="0" w:color="auto"/>
                                <w:bottom w:val="none" w:sz="0" w:space="0" w:color="auto"/>
                                <w:right w:val="none" w:sz="0" w:space="0" w:color="auto"/>
                              </w:divBdr>
                              <w:divsChild>
                                <w:div w:id="1683966753">
                                  <w:marLeft w:val="0"/>
                                  <w:marRight w:val="0"/>
                                  <w:marTop w:val="0"/>
                                  <w:marBottom w:val="0"/>
                                  <w:divBdr>
                                    <w:top w:val="none" w:sz="0" w:space="0" w:color="auto"/>
                                    <w:left w:val="none" w:sz="0" w:space="0" w:color="auto"/>
                                    <w:bottom w:val="none" w:sz="0" w:space="0" w:color="auto"/>
                                    <w:right w:val="none" w:sz="0" w:space="0" w:color="auto"/>
                                  </w:divBdr>
                                  <w:divsChild>
                                    <w:div w:id="906303566">
                                      <w:marLeft w:val="0"/>
                                      <w:marRight w:val="0"/>
                                      <w:marTop w:val="0"/>
                                      <w:marBottom w:val="0"/>
                                      <w:divBdr>
                                        <w:top w:val="none" w:sz="0" w:space="0" w:color="auto"/>
                                        <w:left w:val="none" w:sz="0" w:space="0" w:color="auto"/>
                                        <w:bottom w:val="none" w:sz="0" w:space="0" w:color="auto"/>
                                        <w:right w:val="none" w:sz="0" w:space="0" w:color="auto"/>
                                      </w:divBdr>
                                      <w:divsChild>
                                        <w:div w:id="1667442315">
                                          <w:marLeft w:val="0"/>
                                          <w:marRight w:val="0"/>
                                          <w:marTop w:val="0"/>
                                          <w:marBottom w:val="0"/>
                                          <w:divBdr>
                                            <w:top w:val="none" w:sz="0" w:space="0" w:color="auto"/>
                                            <w:left w:val="none" w:sz="0" w:space="0" w:color="auto"/>
                                            <w:bottom w:val="none" w:sz="0" w:space="0" w:color="auto"/>
                                            <w:right w:val="none" w:sz="0" w:space="0" w:color="auto"/>
                                          </w:divBdr>
                                          <w:divsChild>
                                            <w:div w:id="575477424">
                                              <w:marLeft w:val="0"/>
                                              <w:marRight w:val="0"/>
                                              <w:marTop w:val="0"/>
                                              <w:marBottom w:val="0"/>
                                              <w:divBdr>
                                                <w:top w:val="none" w:sz="0" w:space="0" w:color="auto"/>
                                                <w:left w:val="none" w:sz="0" w:space="0" w:color="auto"/>
                                                <w:bottom w:val="none" w:sz="0" w:space="0" w:color="auto"/>
                                                <w:right w:val="none" w:sz="0" w:space="0" w:color="auto"/>
                                              </w:divBdr>
                                              <w:divsChild>
                                                <w:div w:id="33964544">
                                                  <w:marLeft w:val="0"/>
                                                  <w:marRight w:val="0"/>
                                                  <w:marTop w:val="0"/>
                                                  <w:marBottom w:val="0"/>
                                                  <w:divBdr>
                                                    <w:top w:val="none" w:sz="0" w:space="0" w:color="auto"/>
                                                    <w:left w:val="none" w:sz="0" w:space="0" w:color="auto"/>
                                                    <w:bottom w:val="none" w:sz="0" w:space="0" w:color="auto"/>
                                                    <w:right w:val="none" w:sz="0" w:space="0" w:color="auto"/>
                                                  </w:divBdr>
                                                  <w:divsChild>
                                                    <w:div w:id="1379084995">
                                                      <w:marLeft w:val="0"/>
                                                      <w:marRight w:val="0"/>
                                                      <w:marTop w:val="0"/>
                                                      <w:marBottom w:val="0"/>
                                                      <w:divBdr>
                                                        <w:top w:val="none" w:sz="0" w:space="0" w:color="auto"/>
                                                        <w:left w:val="none" w:sz="0" w:space="0" w:color="auto"/>
                                                        <w:bottom w:val="none" w:sz="0" w:space="0" w:color="auto"/>
                                                        <w:right w:val="none" w:sz="0" w:space="0" w:color="auto"/>
                                                      </w:divBdr>
                                                      <w:divsChild>
                                                        <w:div w:id="74790574">
                                                          <w:marLeft w:val="0"/>
                                                          <w:marRight w:val="0"/>
                                                          <w:marTop w:val="0"/>
                                                          <w:marBottom w:val="0"/>
                                                          <w:divBdr>
                                                            <w:top w:val="none" w:sz="0" w:space="0" w:color="auto"/>
                                                            <w:left w:val="none" w:sz="0" w:space="0" w:color="auto"/>
                                                            <w:bottom w:val="none" w:sz="0" w:space="0" w:color="auto"/>
                                                            <w:right w:val="none" w:sz="0" w:space="0" w:color="auto"/>
                                                          </w:divBdr>
                                                          <w:divsChild>
                                                            <w:div w:id="185825245">
                                                              <w:marLeft w:val="0"/>
                                                              <w:marRight w:val="0"/>
                                                              <w:marTop w:val="0"/>
                                                              <w:marBottom w:val="0"/>
                                                              <w:divBdr>
                                                                <w:top w:val="none" w:sz="0" w:space="0" w:color="auto"/>
                                                                <w:left w:val="none" w:sz="0" w:space="0" w:color="auto"/>
                                                                <w:bottom w:val="none" w:sz="0" w:space="0" w:color="auto"/>
                                                                <w:right w:val="none" w:sz="0" w:space="0" w:color="auto"/>
                                                              </w:divBdr>
                                                              <w:divsChild>
                                                                <w:div w:id="956134362">
                                                                  <w:marLeft w:val="0"/>
                                                                  <w:marRight w:val="0"/>
                                                                  <w:marTop w:val="0"/>
                                                                  <w:marBottom w:val="0"/>
                                                                  <w:divBdr>
                                                                    <w:top w:val="none" w:sz="0" w:space="0" w:color="auto"/>
                                                                    <w:left w:val="none" w:sz="0" w:space="0" w:color="auto"/>
                                                                    <w:bottom w:val="none" w:sz="0" w:space="0" w:color="auto"/>
                                                                    <w:right w:val="none" w:sz="0" w:space="0" w:color="auto"/>
                                                                  </w:divBdr>
                                                                  <w:divsChild>
                                                                    <w:div w:id="1156338058">
                                                                      <w:marLeft w:val="0"/>
                                                                      <w:marRight w:val="0"/>
                                                                      <w:marTop w:val="0"/>
                                                                      <w:marBottom w:val="0"/>
                                                                      <w:divBdr>
                                                                        <w:top w:val="none" w:sz="0" w:space="0" w:color="auto"/>
                                                                        <w:left w:val="none" w:sz="0" w:space="0" w:color="auto"/>
                                                                        <w:bottom w:val="none" w:sz="0" w:space="0" w:color="auto"/>
                                                                        <w:right w:val="none" w:sz="0" w:space="0" w:color="auto"/>
                                                                      </w:divBdr>
                                                                      <w:divsChild>
                                                                        <w:div w:id="111621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46153938">
      <w:bodyDiv w:val="1"/>
      <w:marLeft w:val="0"/>
      <w:marRight w:val="0"/>
      <w:marTop w:val="0"/>
      <w:marBottom w:val="0"/>
      <w:divBdr>
        <w:top w:val="none" w:sz="0" w:space="0" w:color="auto"/>
        <w:left w:val="none" w:sz="0" w:space="0" w:color="auto"/>
        <w:bottom w:val="none" w:sz="0" w:space="0" w:color="auto"/>
        <w:right w:val="none" w:sz="0" w:space="0" w:color="auto"/>
      </w:divBdr>
    </w:div>
    <w:div w:id="948701520">
      <w:bodyDiv w:val="1"/>
      <w:marLeft w:val="0"/>
      <w:marRight w:val="0"/>
      <w:marTop w:val="0"/>
      <w:marBottom w:val="0"/>
      <w:divBdr>
        <w:top w:val="none" w:sz="0" w:space="0" w:color="auto"/>
        <w:left w:val="none" w:sz="0" w:space="0" w:color="auto"/>
        <w:bottom w:val="none" w:sz="0" w:space="0" w:color="auto"/>
        <w:right w:val="none" w:sz="0" w:space="0" w:color="auto"/>
      </w:divBdr>
      <w:divsChild>
        <w:div w:id="1996103829">
          <w:marLeft w:val="0"/>
          <w:marRight w:val="0"/>
          <w:marTop w:val="0"/>
          <w:marBottom w:val="0"/>
          <w:divBdr>
            <w:top w:val="none" w:sz="0" w:space="0" w:color="auto"/>
            <w:left w:val="none" w:sz="0" w:space="0" w:color="auto"/>
            <w:bottom w:val="none" w:sz="0" w:space="0" w:color="auto"/>
            <w:right w:val="none" w:sz="0" w:space="0" w:color="auto"/>
          </w:divBdr>
          <w:divsChild>
            <w:div w:id="1428039319">
              <w:marLeft w:val="439"/>
              <w:marRight w:val="0"/>
              <w:marTop w:val="0"/>
              <w:marBottom w:val="0"/>
              <w:divBdr>
                <w:top w:val="none" w:sz="0" w:space="0" w:color="auto"/>
                <w:left w:val="none" w:sz="0" w:space="0" w:color="auto"/>
                <w:bottom w:val="none" w:sz="0" w:space="0" w:color="auto"/>
                <w:right w:val="none" w:sz="0" w:space="0" w:color="auto"/>
              </w:divBdr>
              <w:divsChild>
                <w:div w:id="1805851519">
                  <w:marLeft w:val="0"/>
                  <w:marRight w:val="0"/>
                  <w:marTop w:val="0"/>
                  <w:marBottom w:val="0"/>
                  <w:divBdr>
                    <w:top w:val="none" w:sz="0" w:space="0" w:color="auto"/>
                    <w:left w:val="none" w:sz="0" w:space="0" w:color="auto"/>
                    <w:bottom w:val="none" w:sz="0" w:space="0" w:color="auto"/>
                    <w:right w:val="none" w:sz="0" w:space="0" w:color="auto"/>
                  </w:divBdr>
                  <w:divsChild>
                    <w:div w:id="335694906">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374376">
          <w:marLeft w:val="0"/>
          <w:marRight w:val="0"/>
          <w:marTop w:val="0"/>
          <w:marBottom w:val="0"/>
          <w:divBdr>
            <w:top w:val="none" w:sz="0" w:space="0" w:color="auto"/>
            <w:left w:val="none" w:sz="0" w:space="0" w:color="auto"/>
            <w:bottom w:val="none" w:sz="0" w:space="0" w:color="auto"/>
            <w:right w:val="none" w:sz="0" w:space="0" w:color="auto"/>
          </w:divBdr>
        </w:div>
      </w:divsChild>
    </w:div>
    <w:div w:id="949509791">
      <w:bodyDiv w:val="1"/>
      <w:marLeft w:val="0"/>
      <w:marRight w:val="0"/>
      <w:marTop w:val="0"/>
      <w:marBottom w:val="0"/>
      <w:divBdr>
        <w:top w:val="none" w:sz="0" w:space="0" w:color="auto"/>
        <w:left w:val="none" w:sz="0" w:space="0" w:color="auto"/>
        <w:bottom w:val="none" w:sz="0" w:space="0" w:color="auto"/>
        <w:right w:val="none" w:sz="0" w:space="0" w:color="auto"/>
      </w:divBdr>
    </w:div>
    <w:div w:id="969477919">
      <w:bodyDiv w:val="1"/>
      <w:marLeft w:val="0"/>
      <w:marRight w:val="0"/>
      <w:marTop w:val="0"/>
      <w:marBottom w:val="0"/>
      <w:divBdr>
        <w:top w:val="none" w:sz="0" w:space="0" w:color="auto"/>
        <w:left w:val="none" w:sz="0" w:space="0" w:color="auto"/>
        <w:bottom w:val="none" w:sz="0" w:space="0" w:color="auto"/>
        <w:right w:val="none" w:sz="0" w:space="0" w:color="auto"/>
      </w:divBdr>
    </w:div>
    <w:div w:id="971442808">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981040604">
      <w:bodyDiv w:val="1"/>
      <w:marLeft w:val="0"/>
      <w:marRight w:val="0"/>
      <w:marTop w:val="0"/>
      <w:marBottom w:val="0"/>
      <w:divBdr>
        <w:top w:val="none" w:sz="0" w:space="0" w:color="auto"/>
        <w:left w:val="none" w:sz="0" w:space="0" w:color="auto"/>
        <w:bottom w:val="none" w:sz="0" w:space="0" w:color="auto"/>
        <w:right w:val="none" w:sz="0" w:space="0" w:color="auto"/>
      </w:divBdr>
      <w:divsChild>
        <w:div w:id="229006177">
          <w:marLeft w:val="0"/>
          <w:marRight w:val="0"/>
          <w:marTop w:val="0"/>
          <w:marBottom w:val="0"/>
          <w:divBdr>
            <w:top w:val="none" w:sz="0" w:space="0" w:color="auto"/>
            <w:left w:val="none" w:sz="0" w:space="0" w:color="auto"/>
            <w:bottom w:val="none" w:sz="0" w:space="0" w:color="auto"/>
            <w:right w:val="none" w:sz="0" w:space="0" w:color="auto"/>
          </w:divBdr>
          <w:divsChild>
            <w:div w:id="2044404105">
              <w:marLeft w:val="0"/>
              <w:marRight w:val="0"/>
              <w:marTop w:val="0"/>
              <w:marBottom w:val="0"/>
              <w:divBdr>
                <w:top w:val="none" w:sz="0" w:space="0" w:color="auto"/>
                <w:left w:val="none" w:sz="0" w:space="0" w:color="auto"/>
                <w:bottom w:val="none" w:sz="0" w:space="0" w:color="auto"/>
                <w:right w:val="none" w:sz="0" w:space="0" w:color="auto"/>
              </w:divBdr>
              <w:divsChild>
                <w:div w:id="1021662187">
                  <w:marLeft w:val="0"/>
                  <w:marRight w:val="0"/>
                  <w:marTop w:val="0"/>
                  <w:marBottom w:val="0"/>
                  <w:divBdr>
                    <w:top w:val="none" w:sz="0" w:space="0" w:color="auto"/>
                    <w:left w:val="none" w:sz="0" w:space="0" w:color="auto"/>
                    <w:bottom w:val="none" w:sz="0" w:space="0" w:color="auto"/>
                    <w:right w:val="none" w:sz="0" w:space="0" w:color="auto"/>
                  </w:divBdr>
                  <w:divsChild>
                    <w:div w:id="367532819">
                      <w:marLeft w:val="0"/>
                      <w:marRight w:val="0"/>
                      <w:marTop w:val="0"/>
                      <w:marBottom w:val="0"/>
                      <w:divBdr>
                        <w:top w:val="none" w:sz="0" w:space="0" w:color="auto"/>
                        <w:left w:val="none" w:sz="0" w:space="0" w:color="auto"/>
                        <w:bottom w:val="none" w:sz="0" w:space="0" w:color="auto"/>
                        <w:right w:val="none" w:sz="0" w:space="0" w:color="auto"/>
                      </w:divBdr>
                      <w:divsChild>
                        <w:div w:id="852377802">
                          <w:marLeft w:val="0"/>
                          <w:marRight w:val="0"/>
                          <w:marTop w:val="0"/>
                          <w:marBottom w:val="0"/>
                          <w:divBdr>
                            <w:top w:val="none" w:sz="0" w:space="0" w:color="auto"/>
                            <w:left w:val="none" w:sz="0" w:space="0" w:color="auto"/>
                            <w:bottom w:val="none" w:sz="0" w:space="0" w:color="auto"/>
                            <w:right w:val="none" w:sz="0" w:space="0" w:color="auto"/>
                          </w:divBdr>
                          <w:divsChild>
                            <w:div w:id="1773477311">
                              <w:marLeft w:val="0"/>
                              <w:marRight w:val="0"/>
                              <w:marTop w:val="0"/>
                              <w:marBottom w:val="0"/>
                              <w:divBdr>
                                <w:top w:val="none" w:sz="0" w:space="0" w:color="auto"/>
                                <w:left w:val="none" w:sz="0" w:space="0" w:color="auto"/>
                                <w:bottom w:val="none" w:sz="0" w:space="0" w:color="auto"/>
                                <w:right w:val="none" w:sz="0" w:space="0" w:color="auto"/>
                              </w:divBdr>
                              <w:divsChild>
                                <w:div w:id="66391737">
                                  <w:marLeft w:val="0"/>
                                  <w:marRight w:val="0"/>
                                  <w:marTop w:val="0"/>
                                  <w:marBottom w:val="0"/>
                                  <w:divBdr>
                                    <w:top w:val="none" w:sz="0" w:space="0" w:color="auto"/>
                                    <w:left w:val="none" w:sz="0" w:space="0" w:color="auto"/>
                                    <w:bottom w:val="none" w:sz="0" w:space="0" w:color="auto"/>
                                    <w:right w:val="none" w:sz="0" w:space="0" w:color="auto"/>
                                  </w:divBdr>
                                  <w:divsChild>
                                    <w:div w:id="185755872">
                                      <w:marLeft w:val="0"/>
                                      <w:marRight w:val="0"/>
                                      <w:marTop w:val="0"/>
                                      <w:marBottom w:val="0"/>
                                      <w:divBdr>
                                        <w:top w:val="none" w:sz="0" w:space="0" w:color="auto"/>
                                        <w:left w:val="none" w:sz="0" w:space="0" w:color="auto"/>
                                        <w:bottom w:val="none" w:sz="0" w:space="0" w:color="auto"/>
                                        <w:right w:val="none" w:sz="0" w:space="0" w:color="auto"/>
                                      </w:divBdr>
                                      <w:divsChild>
                                        <w:div w:id="59257977">
                                          <w:marLeft w:val="0"/>
                                          <w:marRight w:val="0"/>
                                          <w:marTop w:val="0"/>
                                          <w:marBottom w:val="0"/>
                                          <w:divBdr>
                                            <w:top w:val="none" w:sz="0" w:space="0" w:color="auto"/>
                                            <w:left w:val="none" w:sz="0" w:space="0" w:color="auto"/>
                                            <w:bottom w:val="none" w:sz="0" w:space="0" w:color="auto"/>
                                            <w:right w:val="none" w:sz="0" w:space="0" w:color="auto"/>
                                          </w:divBdr>
                                          <w:divsChild>
                                            <w:div w:id="1318001813">
                                              <w:marLeft w:val="0"/>
                                              <w:marRight w:val="0"/>
                                              <w:marTop w:val="0"/>
                                              <w:marBottom w:val="0"/>
                                              <w:divBdr>
                                                <w:top w:val="none" w:sz="0" w:space="0" w:color="auto"/>
                                                <w:left w:val="none" w:sz="0" w:space="0" w:color="auto"/>
                                                <w:bottom w:val="none" w:sz="0" w:space="0" w:color="auto"/>
                                                <w:right w:val="none" w:sz="0" w:space="0" w:color="auto"/>
                                              </w:divBdr>
                                              <w:divsChild>
                                                <w:div w:id="1740398067">
                                                  <w:marLeft w:val="0"/>
                                                  <w:marRight w:val="0"/>
                                                  <w:marTop w:val="0"/>
                                                  <w:marBottom w:val="0"/>
                                                  <w:divBdr>
                                                    <w:top w:val="none" w:sz="0" w:space="0" w:color="auto"/>
                                                    <w:left w:val="none" w:sz="0" w:space="0" w:color="auto"/>
                                                    <w:bottom w:val="none" w:sz="0" w:space="0" w:color="auto"/>
                                                    <w:right w:val="none" w:sz="0" w:space="0" w:color="auto"/>
                                                  </w:divBdr>
                                                  <w:divsChild>
                                                    <w:div w:id="17245346">
                                                      <w:marLeft w:val="0"/>
                                                      <w:marRight w:val="0"/>
                                                      <w:marTop w:val="0"/>
                                                      <w:marBottom w:val="0"/>
                                                      <w:divBdr>
                                                        <w:top w:val="none" w:sz="0" w:space="0" w:color="auto"/>
                                                        <w:left w:val="none" w:sz="0" w:space="0" w:color="auto"/>
                                                        <w:bottom w:val="none" w:sz="0" w:space="0" w:color="auto"/>
                                                        <w:right w:val="none" w:sz="0" w:space="0" w:color="auto"/>
                                                      </w:divBdr>
                                                      <w:divsChild>
                                                        <w:div w:id="287929312">
                                                          <w:marLeft w:val="0"/>
                                                          <w:marRight w:val="0"/>
                                                          <w:marTop w:val="0"/>
                                                          <w:marBottom w:val="0"/>
                                                          <w:divBdr>
                                                            <w:top w:val="none" w:sz="0" w:space="0" w:color="auto"/>
                                                            <w:left w:val="none" w:sz="0" w:space="0" w:color="auto"/>
                                                            <w:bottom w:val="none" w:sz="0" w:space="0" w:color="auto"/>
                                                            <w:right w:val="none" w:sz="0" w:space="0" w:color="auto"/>
                                                          </w:divBdr>
                                                          <w:divsChild>
                                                            <w:div w:id="10450202">
                                                              <w:marLeft w:val="0"/>
                                                              <w:marRight w:val="0"/>
                                                              <w:marTop w:val="0"/>
                                                              <w:marBottom w:val="0"/>
                                                              <w:divBdr>
                                                                <w:top w:val="none" w:sz="0" w:space="0" w:color="auto"/>
                                                                <w:left w:val="none" w:sz="0" w:space="0" w:color="auto"/>
                                                                <w:bottom w:val="none" w:sz="0" w:space="0" w:color="auto"/>
                                                                <w:right w:val="none" w:sz="0" w:space="0" w:color="auto"/>
                                                              </w:divBdr>
                                                              <w:divsChild>
                                                                <w:div w:id="562956562">
                                                                  <w:marLeft w:val="0"/>
                                                                  <w:marRight w:val="0"/>
                                                                  <w:marTop w:val="0"/>
                                                                  <w:marBottom w:val="0"/>
                                                                  <w:divBdr>
                                                                    <w:top w:val="none" w:sz="0" w:space="0" w:color="auto"/>
                                                                    <w:left w:val="none" w:sz="0" w:space="0" w:color="auto"/>
                                                                    <w:bottom w:val="none" w:sz="0" w:space="0" w:color="auto"/>
                                                                    <w:right w:val="none" w:sz="0" w:space="0" w:color="auto"/>
                                                                  </w:divBdr>
                                                                  <w:divsChild>
                                                                    <w:div w:id="675232663">
                                                                      <w:marLeft w:val="0"/>
                                                                      <w:marRight w:val="0"/>
                                                                      <w:marTop w:val="0"/>
                                                                      <w:marBottom w:val="0"/>
                                                                      <w:divBdr>
                                                                        <w:top w:val="none" w:sz="0" w:space="0" w:color="auto"/>
                                                                        <w:left w:val="none" w:sz="0" w:space="0" w:color="auto"/>
                                                                        <w:bottom w:val="none" w:sz="0" w:space="0" w:color="auto"/>
                                                                        <w:right w:val="none" w:sz="0" w:space="0" w:color="auto"/>
                                                                      </w:divBdr>
                                                                      <w:divsChild>
                                                                        <w:div w:id="1433086343">
                                                                          <w:marLeft w:val="0"/>
                                                                          <w:marRight w:val="0"/>
                                                                          <w:marTop w:val="0"/>
                                                                          <w:marBottom w:val="0"/>
                                                                          <w:divBdr>
                                                                            <w:top w:val="none" w:sz="0" w:space="0" w:color="auto"/>
                                                                            <w:left w:val="none" w:sz="0" w:space="0" w:color="auto"/>
                                                                            <w:bottom w:val="none" w:sz="0" w:space="0" w:color="auto"/>
                                                                            <w:right w:val="none" w:sz="0" w:space="0" w:color="auto"/>
                                                                          </w:divBdr>
                                                                          <w:divsChild>
                                                                            <w:div w:id="16469657">
                                                                              <w:marLeft w:val="0"/>
                                                                              <w:marRight w:val="0"/>
                                                                              <w:marTop w:val="0"/>
                                                                              <w:marBottom w:val="0"/>
                                                                              <w:divBdr>
                                                                                <w:top w:val="none" w:sz="0" w:space="0" w:color="auto"/>
                                                                                <w:left w:val="none" w:sz="0" w:space="0" w:color="auto"/>
                                                                                <w:bottom w:val="none" w:sz="0" w:space="0" w:color="auto"/>
                                                                                <w:right w:val="none" w:sz="0" w:space="0" w:color="auto"/>
                                                                              </w:divBdr>
                                                                              <w:divsChild>
                                                                                <w:div w:id="973104278">
                                                                                  <w:marLeft w:val="0"/>
                                                                                  <w:marRight w:val="0"/>
                                                                                  <w:marTop w:val="0"/>
                                                                                  <w:marBottom w:val="0"/>
                                                                                  <w:divBdr>
                                                                                    <w:top w:val="none" w:sz="0" w:space="0" w:color="auto"/>
                                                                                    <w:left w:val="none" w:sz="0" w:space="0" w:color="auto"/>
                                                                                    <w:bottom w:val="none" w:sz="0" w:space="0" w:color="auto"/>
                                                                                    <w:right w:val="none" w:sz="0" w:space="0" w:color="auto"/>
                                                                                  </w:divBdr>
                                                                                  <w:divsChild>
                                                                                    <w:div w:id="81160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7825944">
      <w:bodyDiv w:val="1"/>
      <w:marLeft w:val="0"/>
      <w:marRight w:val="0"/>
      <w:marTop w:val="0"/>
      <w:marBottom w:val="0"/>
      <w:divBdr>
        <w:top w:val="none" w:sz="0" w:space="0" w:color="auto"/>
        <w:left w:val="none" w:sz="0" w:space="0" w:color="auto"/>
        <w:bottom w:val="none" w:sz="0" w:space="0" w:color="auto"/>
        <w:right w:val="none" w:sz="0" w:space="0" w:color="auto"/>
      </w:divBdr>
    </w:div>
    <w:div w:id="999309559">
      <w:bodyDiv w:val="1"/>
      <w:marLeft w:val="0"/>
      <w:marRight w:val="0"/>
      <w:marTop w:val="0"/>
      <w:marBottom w:val="0"/>
      <w:divBdr>
        <w:top w:val="none" w:sz="0" w:space="0" w:color="auto"/>
        <w:left w:val="none" w:sz="0" w:space="0" w:color="auto"/>
        <w:bottom w:val="none" w:sz="0" w:space="0" w:color="auto"/>
        <w:right w:val="none" w:sz="0" w:space="0" w:color="auto"/>
      </w:divBdr>
    </w:div>
    <w:div w:id="1005743895">
      <w:bodyDiv w:val="1"/>
      <w:marLeft w:val="0"/>
      <w:marRight w:val="0"/>
      <w:marTop w:val="0"/>
      <w:marBottom w:val="0"/>
      <w:divBdr>
        <w:top w:val="none" w:sz="0" w:space="0" w:color="auto"/>
        <w:left w:val="none" w:sz="0" w:space="0" w:color="auto"/>
        <w:bottom w:val="none" w:sz="0" w:space="0" w:color="auto"/>
        <w:right w:val="none" w:sz="0" w:space="0" w:color="auto"/>
      </w:divBdr>
      <w:divsChild>
        <w:div w:id="1634287573">
          <w:marLeft w:val="0"/>
          <w:marRight w:val="0"/>
          <w:marTop w:val="0"/>
          <w:marBottom w:val="0"/>
          <w:divBdr>
            <w:top w:val="none" w:sz="0" w:space="0" w:color="auto"/>
            <w:left w:val="none" w:sz="0" w:space="0" w:color="auto"/>
            <w:bottom w:val="none" w:sz="0" w:space="0" w:color="auto"/>
            <w:right w:val="none" w:sz="0" w:space="0" w:color="auto"/>
          </w:divBdr>
          <w:divsChild>
            <w:div w:id="1293706930">
              <w:marLeft w:val="439"/>
              <w:marRight w:val="0"/>
              <w:marTop w:val="0"/>
              <w:marBottom w:val="0"/>
              <w:divBdr>
                <w:top w:val="none" w:sz="0" w:space="0" w:color="auto"/>
                <w:left w:val="none" w:sz="0" w:space="0" w:color="auto"/>
                <w:bottom w:val="none" w:sz="0" w:space="0" w:color="auto"/>
                <w:right w:val="none" w:sz="0" w:space="0" w:color="auto"/>
              </w:divBdr>
              <w:divsChild>
                <w:div w:id="1772621990">
                  <w:marLeft w:val="0"/>
                  <w:marRight w:val="0"/>
                  <w:marTop w:val="0"/>
                  <w:marBottom w:val="0"/>
                  <w:divBdr>
                    <w:top w:val="none" w:sz="0" w:space="0" w:color="auto"/>
                    <w:left w:val="none" w:sz="0" w:space="0" w:color="auto"/>
                    <w:bottom w:val="none" w:sz="0" w:space="0" w:color="auto"/>
                    <w:right w:val="none" w:sz="0" w:space="0" w:color="auto"/>
                  </w:divBdr>
                  <w:divsChild>
                    <w:div w:id="1836218065">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6936">
          <w:marLeft w:val="0"/>
          <w:marRight w:val="0"/>
          <w:marTop w:val="0"/>
          <w:marBottom w:val="0"/>
          <w:divBdr>
            <w:top w:val="none" w:sz="0" w:space="0" w:color="auto"/>
            <w:left w:val="none" w:sz="0" w:space="0" w:color="auto"/>
            <w:bottom w:val="none" w:sz="0" w:space="0" w:color="auto"/>
            <w:right w:val="none" w:sz="0" w:space="0" w:color="auto"/>
          </w:divBdr>
        </w:div>
      </w:divsChild>
    </w:div>
    <w:div w:id="1006051722">
      <w:bodyDiv w:val="1"/>
      <w:marLeft w:val="0"/>
      <w:marRight w:val="0"/>
      <w:marTop w:val="0"/>
      <w:marBottom w:val="0"/>
      <w:divBdr>
        <w:top w:val="none" w:sz="0" w:space="0" w:color="auto"/>
        <w:left w:val="none" w:sz="0" w:space="0" w:color="auto"/>
        <w:bottom w:val="none" w:sz="0" w:space="0" w:color="auto"/>
        <w:right w:val="none" w:sz="0" w:space="0" w:color="auto"/>
      </w:divBdr>
    </w:div>
    <w:div w:id="1009452303">
      <w:bodyDiv w:val="1"/>
      <w:marLeft w:val="0"/>
      <w:marRight w:val="0"/>
      <w:marTop w:val="0"/>
      <w:marBottom w:val="0"/>
      <w:divBdr>
        <w:top w:val="none" w:sz="0" w:space="0" w:color="auto"/>
        <w:left w:val="none" w:sz="0" w:space="0" w:color="auto"/>
        <w:bottom w:val="none" w:sz="0" w:space="0" w:color="auto"/>
        <w:right w:val="none" w:sz="0" w:space="0" w:color="auto"/>
      </w:divBdr>
    </w:div>
    <w:div w:id="1015183760">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26293862">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4401261">
      <w:bodyDiv w:val="1"/>
      <w:marLeft w:val="0"/>
      <w:marRight w:val="0"/>
      <w:marTop w:val="0"/>
      <w:marBottom w:val="0"/>
      <w:divBdr>
        <w:top w:val="none" w:sz="0" w:space="0" w:color="auto"/>
        <w:left w:val="none" w:sz="0" w:space="0" w:color="auto"/>
        <w:bottom w:val="none" w:sz="0" w:space="0" w:color="auto"/>
        <w:right w:val="none" w:sz="0" w:space="0" w:color="auto"/>
      </w:divBdr>
      <w:divsChild>
        <w:div w:id="685250599">
          <w:marLeft w:val="0"/>
          <w:marRight w:val="0"/>
          <w:marTop w:val="0"/>
          <w:marBottom w:val="0"/>
          <w:divBdr>
            <w:top w:val="none" w:sz="0" w:space="0" w:color="auto"/>
            <w:left w:val="none" w:sz="0" w:space="0" w:color="auto"/>
            <w:bottom w:val="none" w:sz="0" w:space="0" w:color="auto"/>
            <w:right w:val="none" w:sz="0" w:space="0" w:color="auto"/>
          </w:divBdr>
          <w:divsChild>
            <w:div w:id="1208031922">
              <w:marLeft w:val="439"/>
              <w:marRight w:val="0"/>
              <w:marTop w:val="0"/>
              <w:marBottom w:val="0"/>
              <w:divBdr>
                <w:top w:val="none" w:sz="0" w:space="0" w:color="auto"/>
                <w:left w:val="none" w:sz="0" w:space="0" w:color="auto"/>
                <w:bottom w:val="none" w:sz="0" w:space="0" w:color="auto"/>
                <w:right w:val="none" w:sz="0" w:space="0" w:color="auto"/>
              </w:divBdr>
              <w:divsChild>
                <w:div w:id="821504385">
                  <w:marLeft w:val="0"/>
                  <w:marRight w:val="0"/>
                  <w:marTop w:val="0"/>
                  <w:marBottom w:val="0"/>
                  <w:divBdr>
                    <w:top w:val="none" w:sz="0" w:space="0" w:color="auto"/>
                    <w:left w:val="none" w:sz="0" w:space="0" w:color="auto"/>
                    <w:bottom w:val="none" w:sz="0" w:space="0" w:color="auto"/>
                    <w:right w:val="none" w:sz="0" w:space="0" w:color="auto"/>
                  </w:divBdr>
                  <w:divsChild>
                    <w:div w:id="1915309940">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650677">
          <w:marLeft w:val="0"/>
          <w:marRight w:val="0"/>
          <w:marTop w:val="0"/>
          <w:marBottom w:val="0"/>
          <w:divBdr>
            <w:top w:val="none" w:sz="0" w:space="0" w:color="auto"/>
            <w:left w:val="none" w:sz="0" w:space="0" w:color="auto"/>
            <w:bottom w:val="none" w:sz="0" w:space="0" w:color="auto"/>
            <w:right w:val="none" w:sz="0" w:space="0" w:color="auto"/>
          </w:divBdr>
        </w:div>
      </w:divsChild>
    </w:div>
    <w:div w:id="1046611884">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59746619">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68848747">
      <w:bodyDiv w:val="1"/>
      <w:marLeft w:val="0"/>
      <w:marRight w:val="0"/>
      <w:marTop w:val="0"/>
      <w:marBottom w:val="0"/>
      <w:divBdr>
        <w:top w:val="none" w:sz="0" w:space="0" w:color="auto"/>
        <w:left w:val="none" w:sz="0" w:space="0" w:color="auto"/>
        <w:bottom w:val="none" w:sz="0" w:space="0" w:color="auto"/>
        <w:right w:val="none" w:sz="0" w:space="0" w:color="auto"/>
      </w:divBdr>
    </w:div>
    <w:div w:id="1098410021">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07578114">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49439917">
      <w:bodyDiv w:val="1"/>
      <w:marLeft w:val="0"/>
      <w:marRight w:val="0"/>
      <w:marTop w:val="0"/>
      <w:marBottom w:val="0"/>
      <w:divBdr>
        <w:top w:val="none" w:sz="0" w:space="0" w:color="auto"/>
        <w:left w:val="none" w:sz="0" w:space="0" w:color="auto"/>
        <w:bottom w:val="none" w:sz="0" w:space="0" w:color="auto"/>
        <w:right w:val="none" w:sz="0" w:space="0" w:color="auto"/>
      </w:divBdr>
    </w:div>
    <w:div w:id="1152259635">
      <w:bodyDiv w:val="1"/>
      <w:marLeft w:val="0"/>
      <w:marRight w:val="0"/>
      <w:marTop w:val="0"/>
      <w:marBottom w:val="0"/>
      <w:divBdr>
        <w:top w:val="none" w:sz="0" w:space="0" w:color="auto"/>
        <w:left w:val="none" w:sz="0" w:space="0" w:color="auto"/>
        <w:bottom w:val="none" w:sz="0" w:space="0" w:color="auto"/>
        <w:right w:val="none" w:sz="0" w:space="0" w:color="auto"/>
      </w:divBdr>
    </w:div>
    <w:div w:id="1159031042">
      <w:bodyDiv w:val="1"/>
      <w:marLeft w:val="0"/>
      <w:marRight w:val="0"/>
      <w:marTop w:val="0"/>
      <w:marBottom w:val="0"/>
      <w:divBdr>
        <w:top w:val="none" w:sz="0" w:space="0" w:color="auto"/>
        <w:left w:val="none" w:sz="0" w:space="0" w:color="auto"/>
        <w:bottom w:val="none" w:sz="0" w:space="0" w:color="auto"/>
        <w:right w:val="none" w:sz="0" w:space="0" w:color="auto"/>
      </w:divBdr>
      <w:divsChild>
        <w:div w:id="761099194">
          <w:marLeft w:val="0"/>
          <w:marRight w:val="0"/>
          <w:marTop w:val="0"/>
          <w:marBottom w:val="0"/>
          <w:divBdr>
            <w:top w:val="none" w:sz="0" w:space="0" w:color="auto"/>
            <w:left w:val="none" w:sz="0" w:space="0" w:color="auto"/>
            <w:bottom w:val="none" w:sz="0" w:space="0" w:color="auto"/>
            <w:right w:val="none" w:sz="0" w:space="0" w:color="auto"/>
          </w:divBdr>
          <w:divsChild>
            <w:div w:id="1647585454">
              <w:marLeft w:val="0"/>
              <w:marRight w:val="0"/>
              <w:marTop w:val="0"/>
              <w:marBottom w:val="0"/>
              <w:divBdr>
                <w:top w:val="none" w:sz="0" w:space="0" w:color="auto"/>
                <w:left w:val="none" w:sz="0" w:space="0" w:color="auto"/>
                <w:bottom w:val="none" w:sz="0" w:space="0" w:color="auto"/>
                <w:right w:val="none" w:sz="0" w:space="0" w:color="auto"/>
              </w:divBdr>
              <w:divsChild>
                <w:div w:id="1598095416">
                  <w:marLeft w:val="0"/>
                  <w:marRight w:val="0"/>
                  <w:marTop w:val="0"/>
                  <w:marBottom w:val="0"/>
                  <w:divBdr>
                    <w:top w:val="none" w:sz="0" w:space="0" w:color="auto"/>
                    <w:left w:val="none" w:sz="0" w:space="0" w:color="auto"/>
                    <w:bottom w:val="none" w:sz="0" w:space="0" w:color="auto"/>
                    <w:right w:val="none" w:sz="0" w:space="0" w:color="auto"/>
                  </w:divBdr>
                  <w:divsChild>
                    <w:div w:id="1276644298">
                      <w:marLeft w:val="0"/>
                      <w:marRight w:val="0"/>
                      <w:marTop w:val="0"/>
                      <w:marBottom w:val="0"/>
                      <w:divBdr>
                        <w:top w:val="none" w:sz="0" w:space="0" w:color="auto"/>
                        <w:left w:val="none" w:sz="0" w:space="0" w:color="auto"/>
                        <w:bottom w:val="none" w:sz="0" w:space="0" w:color="auto"/>
                        <w:right w:val="none" w:sz="0" w:space="0" w:color="auto"/>
                      </w:divBdr>
                      <w:divsChild>
                        <w:div w:id="949120840">
                          <w:marLeft w:val="0"/>
                          <w:marRight w:val="0"/>
                          <w:marTop w:val="0"/>
                          <w:marBottom w:val="0"/>
                          <w:divBdr>
                            <w:top w:val="none" w:sz="0" w:space="0" w:color="auto"/>
                            <w:left w:val="none" w:sz="0" w:space="0" w:color="auto"/>
                            <w:bottom w:val="none" w:sz="0" w:space="0" w:color="auto"/>
                            <w:right w:val="none" w:sz="0" w:space="0" w:color="auto"/>
                          </w:divBdr>
                          <w:divsChild>
                            <w:div w:id="1893299773">
                              <w:marLeft w:val="0"/>
                              <w:marRight w:val="0"/>
                              <w:marTop w:val="0"/>
                              <w:marBottom w:val="0"/>
                              <w:divBdr>
                                <w:top w:val="none" w:sz="0" w:space="0" w:color="auto"/>
                                <w:left w:val="none" w:sz="0" w:space="0" w:color="auto"/>
                                <w:bottom w:val="none" w:sz="0" w:space="0" w:color="auto"/>
                                <w:right w:val="none" w:sz="0" w:space="0" w:color="auto"/>
                              </w:divBdr>
                              <w:divsChild>
                                <w:div w:id="1370102619">
                                  <w:marLeft w:val="0"/>
                                  <w:marRight w:val="0"/>
                                  <w:marTop w:val="0"/>
                                  <w:marBottom w:val="0"/>
                                  <w:divBdr>
                                    <w:top w:val="none" w:sz="0" w:space="0" w:color="auto"/>
                                    <w:left w:val="none" w:sz="0" w:space="0" w:color="auto"/>
                                    <w:bottom w:val="none" w:sz="0" w:space="0" w:color="auto"/>
                                    <w:right w:val="none" w:sz="0" w:space="0" w:color="auto"/>
                                  </w:divBdr>
                                  <w:divsChild>
                                    <w:div w:id="222564569">
                                      <w:marLeft w:val="0"/>
                                      <w:marRight w:val="0"/>
                                      <w:marTop w:val="0"/>
                                      <w:marBottom w:val="0"/>
                                      <w:divBdr>
                                        <w:top w:val="none" w:sz="0" w:space="0" w:color="auto"/>
                                        <w:left w:val="none" w:sz="0" w:space="0" w:color="auto"/>
                                        <w:bottom w:val="none" w:sz="0" w:space="0" w:color="auto"/>
                                        <w:right w:val="none" w:sz="0" w:space="0" w:color="auto"/>
                                      </w:divBdr>
                                      <w:divsChild>
                                        <w:div w:id="1728406996">
                                          <w:marLeft w:val="0"/>
                                          <w:marRight w:val="0"/>
                                          <w:marTop w:val="165"/>
                                          <w:marBottom w:val="165"/>
                                          <w:divBdr>
                                            <w:top w:val="none" w:sz="0" w:space="0" w:color="auto"/>
                                            <w:left w:val="none" w:sz="0" w:space="0" w:color="auto"/>
                                            <w:bottom w:val="none" w:sz="0" w:space="0" w:color="auto"/>
                                            <w:right w:val="none" w:sz="0" w:space="0" w:color="auto"/>
                                          </w:divBdr>
                                          <w:divsChild>
                                            <w:div w:id="1885478700">
                                              <w:marLeft w:val="0"/>
                                              <w:marRight w:val="0"/>
                                              <w:marTop w:val="0"/>
                                              <w:marBottom w:val="0"/>
                                              <w:divBdr>
                                                <w:top w:val="none" w:sz="0" w:space="0" w:color="auto"/>
                                                <w:left w:val="none" w:sz="0" w:space="0" w:color="auto"/>
                                                <w:bottom w:val="none" w:sz="0" w:space="0" w:color="auto"/>
                                                <w:right w:val="none" w:sz="0" w:space="0" w:color="auto"/>
                                              </w:divBdr>
                                              <w:divsChild>
                                                <w:div w:id="205862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3545984">
      <w:bodyDiv w:val="1"/>
      <w:marLeft w:val="0"/>
      <w:marRight w:val="0"/>
      <w:marTop w:val="0"/>
      <w:marBottom w:val="0"/>
      <w:divBdr>
        <w:top w:val="none" w:sz="0" w:space="0" w:color="auto"/>
        <w:left w:val="none" w:sz="0" w:space="0" w:color="auto"/>
        <w:bottom w:val="none" w:sz="0" w:space="0" w:color="auto"/>
        <w:right w:val="none" w:sz="0" w:space="0" w:color="auto"/>
      </w:divBdr>
      <w:divsChild>
        <w:div w:id="2035840066">
          <w:marLeft w:val="0"/>
          <w:marRight w:val="0"/>
          <w:marTop w:val="150"/>
          <w:marBottom w:val="0"/>
          <w:divBdr>
            <w:top w:val="none" w:sz="0" w:space="0" w:color="auto"/>
            <w:left w:val="none" w:sz="0" w:space="0" w:color="auto"/>
            <w:bottom w:val="none" w:sz="0" w:space="0" w:color="auto"/>
            <w:right w:val="none" w:sz="0" w:space="0" w:color="auto"/>
          </w:divBdr>
          <w:divsChild>
            <w:div w:id="11972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92212">
      <w:bodyDiv w:val="1"/>
      <w:marLeft w:val="0"/>
      <w:marRight w:val="0"/>
      <w:marTop w:val="0"/>
      <w:marBottom w:val="0"/>
      <w:divBdr>
        <w:top w:val="none" w:sz="0" w:space="0" w:color="auto"/>
        <w:left w:val="none" w:sz="0" w:space="0" w:color="auto"/>
        <w:bottom w:val="none" w:sz="0" w:space="0" w:color="auto"/>
        <w:right w:val="none" w:sz="0" w:space="0" w:color="auto"/>
      </w:divBdr>
    </w:div>
    <w:div w:id="1164515905">
      <w:bodyDiv w:val="1"/>
      <w:marLeft w:val="0"/>
      <w:marRight w:val="0"/>
      <w:marTop w:val="0"/>
      <w:marBottom w:val="0"/>
      <w:divBdr>
        <w:top w:val="none" w:sz="0" w:space="0" w:color="auto"/>
        <w:left w:val="none" w:sz="0" w:space="0" w:color="auto"/>
        <w:bottom w:val="none" w:sz="0" w:space="0" w:color="auto"/>
        <w:right w:val="none" w:sz="0" w:space="0" w:color="auto"/>
      </w:divBdr>
    </w:div>
    <w:div w:id="1170099361">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180388169">
      <w:bodyDiv w:val="1"/>
      <w:marLeft w:val="0"/>
      <w:marRight w:val="0"/>
      <w:marTop w:val="0"/>
      <w:marBottom w:val="0"/>
      <w:divBdr>
        <w:top w:val="none" w:sz="0" w:space="0" w:color="auto"/>
        <w:left w:val="none" w:sz="0" w:space="0" w:color="auto"/>
        <w:bottom w:val="none" w:sz="0" w:space="0" w:color="auto"/>
        <w:right w:val="none" w:sz="0" w:space="0" w:color="auto"/>
      </w:divBdr>
    </w:div>
    <w:div w:id="1183395628">
      <w:bodyDiv w:val="1"/>
      <w:marLeft w:val="0"/>
      <w:marRight w:val="0"/>
      <w:marTop w:val="0"/>
      <w:marBottom w:val="0"/>
      <w:divBdr>
        <w:top w:val="none" w:sz="0" w:space="0" w:color="auto"/>
        <w:left w:val="none" w:sz="0" w:space="0" w:color="auto"/>
        <w:bottom w:val="none" w:sz="0" w:space="0" w:color="auto"/>
        <w:right w:val="none" w:sz="0" w:space="0" w:color="auto"/>
      </w:divBdr>
    </w:div>
    <w:div w:id="1189638646">
      <w:bodyDiv w:val="1"/>
      <w:marLeft w:val="0"/>
      <w:marRight w:val="0"/>
      <w:marTop w:val="0"/>
      <w:marBottom w:val="0"/>
      <w:divBdr>
        <w:top w:val="none" w:sz="0" w:space="0" w:color="auto"/>
        <w:left w:val="none" w:sz="0" w:space="0" w:color="auto"/>
        <w:bottom w:val="none" w:sz="0" w:space="0" w:color="auto"/>
        <w:right w:val="none" w:sz="0" w:space="0" w:color="auto"/>
      </w:divBdr>
      <w:divsChild>
        <w:div w:id="483854415">
          <w:marLeft w:val="0"/>
          <w:marRight w:val="0"/>
          <w:marTop w:val="0"/>
          <w:marBottom w:val="0"/>
          <w:divBdr>
            <w:top w:val="none" w:sz="0" w:space="0" w:color="auto"/>
            <w:left w:val="none" w:sz="0" w:space="0" w:color="auto"/>
            <w:bottom w:val="none" w:sz="0" w:space="0" w:color="auto"/>
            <w:right w:val="none" w:sz="0" w:space="0" w:color="auto"/>
          </w:divBdr>
          <w:divsChild>
            <w:div w:id="529492807">
              <w:marLeft w:val="439"/>
              <w:marRight w:val="0"/>
              <w:marTop w:val="0"/>
              <w:marBottom w:val="0"/>
              <w:divBdr>
                <w:top w:val="none" w:sz="0" w:space="0" w:color="auto"/>
                <w:left w:val="none" w:sz="0" w:space="0" w:color="auto"/>
                <w:bottom w:val="none" w:sz="0" w:space="0" w:color="auto"/>
                <w:right w:val="none" w:sz="0" w:space="0" w:color="auto"/>
              </w:divBdr>
              <w:divsChild>
                <w:div w:id="2087721396">
                  <w:marLeft w:val="0"/>
                  <w:marRight w:val="0"/>
                  <w:marTop w:val="0"/>
                  <w:marBottom w:val="0"/>
                  <w:divBdr>
                    <w:top w:val="none" w:sz="0" w:space="0" w:color="auto"/>
                    <w:left w:val="none" w:sz="0" w:space="0" w:color="auto"/>
                    <w:bottom w:val="none" w:sz="0" w:space="0" w:color="auto"/>
                    <w:right w:val="none" w:sz="0" w:space="0" w:color="auto"/>
                  </w:divBdr>
                  <w:divsChild>
                    <w:div w:id="1893075448">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06899">
          <w:marLeft w:val="0"/>
          <w:marRight w:val="0"/>
          <w:marTop w:val="0"/>
          <w:marBottom w:val="0"/>
          <w:divBdr>
            <w:top w:val="none" w:sz="0" w:space="0" w:color="auto"/>
            <w:left w:val="none" w:sz="0" w:space="0" w:color="auto"/>
            <w:bottom w:val="none" w:sz="0" w:space="0" w:color="auto"/>
            <w:right w:val="none" w:sz="0" w:space="0" w:color="auto"/>
          </w:divBdr>
        </w:div>
      </w:divsChild>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11648938">
      <w:bodyDiv w:val="1"/>
      <w:marLeft w:val="0"/>
      <w:marRight w:val="0"/>
      <w:marTop w:val="0"/>
      <w:marBottom w:val="0"/>
      <w:divBdr>
        <w:top w:val="none" w:sz="0" w:space="0" w:color="auto"/>
        <w:left w:val="none" w:sz="0" w:space="0" w:color="auto"/>
        <w:bottom w:val="none" w:sz="0" w:space="0" w:color="auto"/>
        <w:right w:val="none" w:sz="0" w:space="0" w:color="auto"/>
      </w:divBdr>
    </w:div>
    <w:div w:id="1213271843">
      <w:bodyDiv w:val="1"/>
      <w:marLeft w:val="0"/>
      <w:marRight w:val="0"/>
      <w:marTop w:val="0"/>
      <w:marBottom w:val="0"/>
      <w:divBdr>
        <w:top w:val="none" w:sz="0" w:space="0" w:color="auto"/>
        <w:left w:val="none" w:sz="0" w:space="0" w:color="auto"/>
        <w:bottom w:val="none" w:sz="0" w:space="0" w:color="auto"/>
        <w:right w:val="none" w:sz="0" w:space="0" w:color="auto"/>
      </w:divBdr>
    </w:div>
    <w:div w:id="1213930989">
      <w:bodyDiv w:val="1"/>
      <w:marLeft w:val="0"/>
      <w:marRight w:val="0"/>
      <w:marTop w:val="0"/>
      <w:marBottom w:val="0"/>
      <w:divBdr>
        <w:top w:val="none" w:sz="0" w:space="0" w:color="auto"/>
        <w:left w:val="none" w:sz="0" w:space="0" w:color="auto"/>
        <w:bottom w:val="none" w:sz="0" w:space="0" w:color="auto"/>
        <w:right w:val="none" w:sz="0" w:space="0" w:color="auto"/>
      </w:divBdr>
    </w:div>
    <w:div w:id="1215459942">
      <w:bodyDiv w:val="1"/>
      <w:marLeft w:val="0"/>
      <w:marRight w:val="0"/>
      <w:marTop w:val="0"/>
      <w:marBottom w:val="0"/>
      <w:divBdr>
        <w:top w:val="none" w:sz="0" w:space="0" w:color="auto"/>
        <w:left w:val="none" w:sz="0" w:space="0" w:color="auto"/>
        <w:bottom w:val="none" w:sz="0" w:space="0" w:color="auto"/>
        <w:right w:val="none" w:sz="0" w:space="0" w:color="auto"/>
      </w:divBdr>
    </w:div>
    <w:div w:id="1223445227">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59942918">
      <w:bodyDiv w:val="1"/>
      <w:marLeft w:val="0"/>
      <w:marRight w:val="0"/>
      <w:marTop w:val="0"/>
      <w:marBottom w:val="0"/>
      <w:divBdr>
        <w:top w:val="none" w:sz="0" w:space="0" w:color="auto"/>
        <w:left w:val="none" w:sz="0" w:space="0" w:color="auto"/>
        <w:bottom w:val="none" w:sz="0" w:space="0" w:color="auto"/>
        <w:right w:val="none" w:sz="0" w:space="0" w:color="auto"/>
      </w:divBdr>
    </w:div>
    <w:div w:id="1264531798">
      <w:bodyDiv w:val="1"/>
      <w:marLeft w:val="0"/>
      <w:marRight w:val="0"/>
      <w:marTop w:val="0"/>
      <w:marBottom w:val="0"/>
      <w:divBdr>
        <w:top w:val="none" w:sz="0" w:space="0" w:color="auto"/>
        <w:left w:val="none" w:sz="0" w:space="0" w:color="auto"/>
        <w:bottom w:val="none" w:sz="0" w:space="0" w:color="auto"/>
        <w:right w:val="none" w:sz="0" w:space="0" w:color="auto"/>
      </w:divBdr>
    </w:div>
    <w:div w:id="1266425729">
      <w:bodyDiv w:val="1"/>
      <w:marLeft w:val="0"/>
      <w:marRight w:val="0"/>
      <w:marTop w:val="0"/>
      <w:marBottom w:val="0"/>
      <w:divBdr>
        <w:top w:val="none" w:sz="0" w:space="0" w:color="auto"/>
        <w:left w:val="none" w:sz="0" w:space="0" w:color="auto"/>
        <w:bottom w:val="none" w:sz="0" w:space="0" w:color="auto"/>
        <w:right w:val="none" w:sz="0" w:space="0" w:color="auto"/>
      </w:divBdr>
      <w:divsChild>
        <w:div w:id="580145715">
          <w:marLeft w:val="360"/>
          <w:marRight w:val="0"/>
          <w:marTop w:val="120"/>
          <w:marBottom w:val="0"/>
          <w:divBdr>
            <w:top w:val="none" w:sz="0" w:space="0" w:color="auto"/>
            <w:left w:val="none" w:sz="0" w:space="0" w:color="auto"/>
            <w:bottom w:val="none" w:sz="0" w:space="0" w:color="auto"/>
            <w:right w:val="none" w:sz="0" w:space="0" w:color="auto"/>
          </w:divBdr>
        </w:div>
        <w:div w:id="1685933252">
          <w:marLeft w:val="360"/>
          <w:marRight w:val="0"/>
          <w:marTop w:val="120"/>
          <w:marBottom w:val="0"/>
          <w:divBdr>
            <w:top w:val="none" w:sz="0" w:space="0" w:color="auto"/>
            <w:left w:val="none" w:sz="0" w:space="0" w:color="auto"/>
            <w:bottom w:val="none" w:sz="0" w:space="0" w:color="auto"/>
            <w:right w:val="none" w:sz="0" w:space="0" w:color="auto"/>
          </w:divBdr>
        </w:div>
        <w:div w:id="1369528311">
          <w:marLeft w:val="360"/>
          <w:marRight w:val="0"/>
          <w:marTop w:val="120"/>
          <w:marBottom w:val="0"/>
          <w:divBdr>
            <w:top w:val="none" w:sz="0" w:space="0" w:color="auto"/>
            <w:left w:val="none" w:sz="0" w:space="0" w:color="auto"/>
            <w:bottom w:val="none" w:sz="0" w:space="0" w:color="auto"/>
            <w:right w:val="none" w:sz="0" w:space="0" w:color="auto"/>
          </w:divBdr>
        </w:div>
        <w:div w:id="1403598178">
          <w:marLeft w:val="360"/>
          <w:marRight w:val="0"/>
          <w:marTop w:val="120"/>
          <w:marBottom w:val="0"/>
          <w:divBdr>
            <w:top w:val="none" w:sz="0" w:space="0" w:color="auto"/>
            <w:left w:val="none" w:sz="0" w:space="0" w:color="auto"/>
            <w:bottom w:val="none" w:sz="0" w:space="0" w:color="auto"/>
            <w:right w:val="none" w:sz="0" w:space="0" w:color="auto"/>
          </w:divBdr>
        </w:div>
        <w:div w:id="1328746947">
          <w:marLeft w:val="360"/>
          <w:marRight w:val="0"/>
          <w:marTop w:val="120"/>
          <w:marBottom w:val="0"/>
          <w:divBdr>
            <w:top w:val="none" w:sz="0" w:space="0" w:color="auto"/>
            <w:left w:val="none" w:sz="0" w:space="0" w:color="auto"/>
            <w:bottom w:val="none" w:sz="0" w:space="0" w:color="auto"/>
            <w:right w:val="none" w:sz="0" w:space="0" w:color="auto"/>
          </w:divBdr>
        </w:div>
        <w:div w:id="2010518941">
          <w:marLeft w:val="360"/>
          <w:marRight w:val="0"/>
          <w:marTop w:val="120"/>
          <w:marBottom w:val="0"/>
          <w:divBdr>
            <w:top w:val="none" w:sz="0" w:space="0" w:color="auto"/>
            <w:left w:val="none" w:sz="0" w:space="0" w:color="auto"/>
            <w:bottom w:val="none" w:sz="0" w:space="0" w:color="auto"/>
            <w:right w:val="none" w:sz="0" w:space="0" w:color="auto"/>
          </w:divBdr>
        </w:div>
        <w:div w:id="554321031">
          <w:marLeft w:val="360"/>
          <w:marRight w:val="0"/>
          <w:marTop w:val="120"/>
          <w:marBottom w:val="0"/>
          <w:divBdr>
            <w:top w:val="none" w:sz="0" w:space="0" w:color="auto"/>
            <w:left w:val="none" w:sz="0" w:space="0" w:color="auto"/>
            <w:bottom w:val="none" w:sz="0" w:space="0" w:color="auto"/>
            <w:right w:val="none" w:sz="0" w:space="0" w:color="auto"/>
          </w:divBdr>
        </w:div>
        <w:div w:id="65225515">
          <w:marLeft w:val="360"/>
          <w:marRight w:val="0"/>
          <w:marTop w:val="120"/>
          <w:marBottom w:val="0"/>
          <w:divBdr>
            <w:top w:val="none" w:sz="0" w:space="0" w:color="auto"/>
            <w:left w:val="none" w:sz="0" w:space="0" w:color="auto"/>
            <w:bottom w:val="none" w:sz="0" w:space="0" w:color="auto"/>
            <w:right w:val="none" w:sz="0" w:space="0" w:color="auto"/>
          </w:divBdr>
        </w:div>
        <w:div w:id="849836709">
          <w:marLeft w:val="360"/>
          <w:marRight w:val="0"/>
          <w:marTop w:val="120"/>
          <w:marBottom w:val="0"/>
          <w:divBdr>
            <w:top w:val="none" w:sz="0" w:space="0" w:color="auto"/>
            <w:left w:val="none" w:sz="0" w:space="0" w:color="auto"/>
            <w:bottom w:val="none" w:sz="0" w:space="0" w:color="auto"/>
            <w:right w:val="none" w:sz="0" w:space="0" w:color="auto"/>
          </w:divBdr>
        </w:div>
        <w:div w:id="1017579606">
          <w:marLeft w:val="360"/>
          <w:marRight w:val="0"/>
          <w:marTop w:val="120"/>
          <w:marBottom w:val="0"/>
          <w:divBdr>
            <w:top w:val="none" w:sz="0" w:space="0" w:color="auto"/>
            <w:left w:val="none" w:sz="0" w:space="0" w:color="auto"/>
            <w:bottom w:val="none" w:sz="0" w:space="0" w:color="auto"/>
            <w:right w:val="none" w:sz="0" w:space="0" w:color="auto"/>
          </w:divBdr>
        </w:div>
      </w:divsChild>
    </w:div>
    <w:div w:id="1271619911">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3918351">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288705081">
      <w:bodyDiv w:val="1"/>
      <w:marLeft w:val="0"/>
      <w:marRight w:val="0"/>
      <w:marTop w:val="0"/>
      <w:marBottom w:val="0"/>
      <w:divBdr>
        <w:top w:val="none" w:sz="0" w:space="0" w:color="auto"/>
        <w:left w:val="none" w:sz="0" w:space="0" w:color="auto"/>
        <w:bottom w:val="none" w:sz="0" w:space="0" w:color="auto"/>
        <w:right w:val="none" w:sz="0" w:space="0" w:color="auto"/>
      </w:divBdr>
      <w:divsChild>
        <w:div w:id="924262120">
          <w:marLeft w:val="0"/>
          <w:marRight w:val="0"/>
          <w:marTop w:val="0"/>
          <w:marBottom w:val="0"/>
          <w:divBdr>
            <w:top w:val="none" w:sz="0" w:space="0" w:color="auto"/>
            <w:left w:val="none" w:sz="0" w:space="0" w:color="auto"/>
            <w:bottom w:val="none" w:sz="0" w:space="0" w:color="auto"/>
            <w:right w:val="none" w:sz="0" w:space="0" w:color="auto"/>
          </w:divBdr>
          <w:divsChild>
            <w:div w:id="634722374">
              <w:marLeft w:val="0"/>
              <w:marRight w:val="0"/>
              <w:marTop w:val="0"/>
              <w:marBottom w:val="0"/>
              <w:divBdr>
                <w:top w:val="none" w:sz="0" w:space="0" w:color="auto"/>
                <w:left w:val="none" w:sz="0" w:space="0" w:color="auto"/>
                <w:bottom w:val="none" w:sz="0" w:space="0" w:color="auto"/>
                <w:right w:val="none" w:sz="0" w:space="0" w:color="auto"/>
              </w:divBdr>
              <w:divsChild>
                <w:div w:id="1564637147">
                  <w:marLeft w:val="0"/>
                  <w:marRight w:val="0"/>
                  <w:marTop w:val="0"/>
                  <w:marBottom w:val="0"/>
                  <w:divBdr>
                    <w:top w:val="none" w:sz="0" w:space="0" w:color="auto"/>
                    <w:left w:val="none" w:sz="0" w:space="0" w:color="auto"/>
                    <w:bottom w:val="none" w:sz="0" w:space="0" w:color="auto"/>
                    <w:right w:val="none" w:sz="0" w:space="0" w:color="auto"/>
                  </w:divBdr>
                  <w:divsChild>
                    <w:div w:id="503790018">
                      <w:marLeft w:val="0"/>
                      <w:marRight w:val="0"/>
                      <w:marTop w:val="0"/>
                      <w:marBottom w:val="0"/>
                      <w:divBdr>
                        <w:top w:val="none" w:sz="0" w:space="0" w:color="auto"/>
                        <w:left w:val="none" w:sz="0" w:space="0" w:color="auto"/>
                        <w:bottom w:val="none" w:sz="0" w:space="0" w:color="auto"/>
                        <w:right w:val="none" w:sz="0" w:space="0" w:color="auto"/>
                      </w:divBdr>
                      <w:divsChild>
                        <w:div w:id="99340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298995">
      <w:bodyDiv w:val="1"/>
      <w:marLeft w:val="0"/>
      <w:marRight w:val="0"/>
      <w:marTop w:val="0"/>
      <w:marBottom w:val="0"/>
      <w:divBdr>
        <w:top w:val="none" w:sz="0" w:space="0" w:color="auto"/>
        <w:left w:val="none" w:sz="0" w:space="0" w:color="auto"/>
        <w:bottom w:val="none" w:sz="0" w:space="0" w:color="auto"/>
        <w:right w:val="none" w:sz="0" w:space="0" w:color="auto"/>
      </w:divBdr>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7662955">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18144468">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4723853">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7614969">
      <w:bodyDiv w:val="1"/>
      <w:marLeft w:val="0"/>
      <w:marRight w:val="0"/>
      <w:marTop w:val="0"/>
      <w:marBottom w:val="0"/>
      <w:divBdr>
        <w:top w:val="none" w:sz="0" w:space="0" w:color="auto"/>
        <w:left w:val="none" w:sz="0" w:space="0" w:color="auto"/>
        <w:bottom w:val="none" w:sz="0" w:space="0" w:color="auto"/>
        <w:right w:val="none" w:sz="0" w:space="0" w:color="auto"/>
      </w:divBdr>
      <w:divsChild>
        <w:div w:id="1122765853">
          <w:marLeft w:val="0"/>
          <w:marRight w:val="0"/>
          <w:marTop w:val="0"/>
          <w:marBottom w:val="0"/>
          <w:divBdr>
            <w:top w:val="none" w:sz="0" w:space="0" w:color="auto"/>
            <w:left w:val="none" w:sz="0" w:space="0" w:color="auto"/>
            <w:bottom w:val="none" w:sz="0" w:space="0" w:color="auto"/>
            <w:right w:val="none" w:sz="0" w:space="0" w:color="auto"/>
          </w:divBdr>
          <w:divsChild>
            <w:div w:id="2118327146">
              <w:marLeft w:val="0"/>
              <w:marRight w:val="0"/>
              <w:marTop w:val="0"/>
              <w:marBottom w:val="0"/>
              <w:divBdr>
                <w:top w:val="none" w:sz="0" w:space="0" w:color="auto"/>
                <w:left w:val="none" w:sz="0" w:space="0" w:color="auto"/>
                <w:bottom w:val="none" w:sz="0" w:space="0" w:color="auto"/>
                <w:right w:val="none" w:sz="0" w:space="0" w:color="auto"/>
              </w:divBdr>
              <w:divsChild>
                <w:div w:id="1127285647">
                  <w:marLeft w:val="0"/>
                  <w:marRight w:val="0"/>
                  <w:marTop w:val="0"/>
                  <w:marBottom w:val="0"/>
                  <w:divBdr>
                    <w:top w:val="none" w:sz="0" w:space="0" w:color="auto"/>
                    <w:left w:val="none" w:sz="0" w:space="0" w:color="auto"/>
                    <w:bottom w:val="none" w:sz="0" w:space="0" w:color="auto"/>
                    <w:right w:val="none" w:sz="0" w:space="0" w:color="auto"/>
                  </w:divBdr>
                  <w:divsChild>
                    <w:div w:id="190150980">
                      <w:marLeft w:val="0"/>
                      <w:marRight w:val="0"/>
                      <w:marTop w:val="0"/>
                      <w:marBottom w:val="0"/>
                      <w:divBdr>
                        <w:top w:val="none" w:sz="0" w:space="0" w:color="auto"/>
                        <w:left w:val="none" w:sz="0" w:space="0" w:color="auto"/>
                        <w:bottom w:val="none" w:sz="0" w:space="0" w:color="auto"/>
                        <w:right w:val="none" w:sz="0" w:space="0" w:color="auto"/>
                      </w:divBdr>
                      <w:divsChild>
                        <w:div w:id="1981184763">
                          <w:marLeft w:val="0"/>
                          <w:marRight w:val="0"/>
                          <w:marTop w:val="0"/>
                          <w:marBottom w:val="0"/>
                          <w:divBdr>
                            <w:top w:val="none" w:sz="0" w:space="0" w:color="auto"/>
                            <w:left w:val="none" w:sz="0" w:space="0" w:color="auto"/>
                            <w:bottom w:val="none" w:sz="0" w:space="0" w:color="auto"/>
                            <w:right w:val="none" w:sz="0" w:space="0" w:color="auto"/>
                          </w:divBdr>
                          <w:divsChild>
                            <w:div w:id="1544562030">
                              <w:marLeft w:val="0"/>
                              <w:marRight w:val="0"/>
                              <w:marTop w:val="0"/>
                              <w:marBottom w:val="0"/>
                              <w:divBdr>
                                <w:top w:val="none" w:sz="0" w:space="0" w:color="auto"/>
                                <w:left w:val="none" w:sz="0" w:space="0" w:color="auto"/>
                                <w:bottom w:val="none" w:sz="0" w:space="0" w:color="auto"/>
                                <w:right w:val="none" w:sz="0" w:space="0" w:color="auto"/>
                              </w:divBdr>
                              <w:divsChild>
                                <w:div w:id="570698817">
                                  <w:marLeft w:val="0"/>
                                  <w:marRight w:val="0"/>
                                  <w:marTop w:val="0"/>
                                  <w:marBottom w:val="0"/>
                                  <w:divBdr>
                                    <w:top w:val="none" w:sz="0" w:space="0" w:color="auto"/>
                                    <w:left w:val="none" w:sz="0" w:space="0" w:color="auto"/>
                                    <w:bottom w:val="none" w:sz="0" w:space="0" w:color="auto"/>
                                    <w:right w:val="none" w:sz="0" w:space="0" w:color="auto"/>
                                  </w:divBdr>
                                  <w:divsChild>
                                    <w:div w:id="1853951715">
                                      <w:marLeft w:val="0"/>
                                      <w:marRight w:val="0"/>
                                      <w:marTop w:val="0"/>
                                      <w:marBottom w:val="0"/>
                                      <w:divBdr>
                                        <w:top w:val="none" w:sz="0" w:space="0" w:color="auto"/>
                                        <w:left w:val="none" w:sz="0" w:space="0" w:color="auto"/>
                                        <w:bottom w:val="none" w:sz="0" w:space="0" w:color="auto"/>
                                        <w:right w:val="none" w:sz="0" w:space="0" w:color="auto"/>
                                      </w:divBdr>
                                      <w:divsChild>
                                        <w:div w:id="1785884189">
                                          <w:marLeft w:val="0"/>
                                          <w:marRight w:val="0"/>
                                          <w:marTop w:val="0"/>
                                          <w:marBottom w:val="0"/>
                                          <w:divBdr>
                                            <w:top w:val="none" w:sz="0" w:space="0" w:color="auto"/>
                                            <w:left w:val="none" w:sz="0" w:space="0" w:color="auto"/>
                                            <w:bottom w:val="none" w:sz="0" w:space="0" w:color="auto"/>
                                            <w:right w:val="none" w:sz="0" w:space="0" w:color="auto"/>
                                          </w:divBdr>
                                          <w:divsChild>
                                            <w:div w:id="621350529">
                                              <w:marLeft w:val="0"/>
                                              <w:marRight w:val="0"/>
                                              <w:marTop w:val="0"/>
                                              <w:marBottom w:val="0"/>
                                              <w:divBdr>
                                                <w:top w:val="none" w:sz="0" w:space="0" w:color="auto"/>
                                                <w:left w:val="none" w:sz="0" w:space="0" w:color="auto"/>
                                                <w:bottom w:val="none" w:sz="0" w:space="0" w:color="auto"/>
                                                <w:right w:val="none" w:sz="0" w:space="0" w:color="auto"/>
                                              </w:divBdr>
                                              <w:divsChild>
                                                <w:div w:id="1605724348">
                                                  <w:marLeft w:val="0"/>
                                                  <w:marRight w:val="0"/>
                                                  <w:marTop w:val="0"/>
                                                  <w:marBottom w:val="0"/>
                                                  <w:divBdr>
                                                    <w:top w:val="none" w:sz="0" w:space="0" w:color="auto"/>
                                                    <w:left w:val="none" w:sz="0" w:space="0" w:color="auto"/>
                                                    <w:bottom w:val="none" w:sz="0" w:space="0" w:color="auto"/>
                                                    <w:right w:val="none" w:sz="0" w:space="0" w:color="auto"/>
                                                  </w:divBdr>
                                                  <w:divsChild>
                                                    <w:div w:id="246309640">
                                                      <w:marLeft w:val="0"/>
                                                      <w:marRight w:val="0"/>
                                                      <w:marTop w:val="0"/>
                                                      <w:marBottom w:val="0"/>
                                                      <w:divBdr>
                                                        <w:top w:val="none" w:sz="0" w:space="0" w:color="auto"/>
                                                        <w:left w:val="none" w:sz="0" w:space="0" w:color="auto"/>
                                                        <w:bottom w:val="none" w:sz="0" w:space="0" w:color="auto"/>
                                                        <w:right w:val="none" w:sz="0" w:space="0" w:color="auto"/>
                                                      </w:divBdr>
                                                      <w:divsChild>
                                                        <w:div w:id="1522813133">
                                                          <w:marLeft w:val="0"/>
                                                          <w:marRight w:val="0"/>
                                                          <w:marTop w:val="0"/>
                                                          <w:marBottom w:val="0"/>
                                                          <w:divBdr>
                                                            <w:top w:val="none" w:sz="0" w:space="0" w:color="auto"/>
                                                            <w:left w:val="none" w:sz="0" w:space="0" w:color="auto"/>
                                                            <w:bottom w:val="none" w:sz="0" w:space="0" w:color="auto"/>
                                                            <w:right w:val="none" w:sz="0" w:space="0" w:color="auto"/>
                                                          </w:divBdr>
                                                          <w:divsChild>
                                                            <w:div w:id="1190334718">
                                                              <w:marLeft w:val="0"/>
                                                              <w:marRight w:val="0"/>
                                                              <w:marTop w:val="0"/>
                                                              <w:marBottom w:val="0"/>
                                                              <w:divBdr>
                                                                <w:top w:val="none" w:sz="0" w:space="0" w:color="auto"/>
                                                                <w:left w:val="none" w:sz="0" w:space="0" w:color="auto"/>
                                                                <w:bottom w:val="none" w:sz="0" w:space="0" w:color="auto"/>
                                                                <w:right w:val="none" w:sz="0" w:space="0" w:color="auto"/>
                                                              </w:divBdr>
                                                              <w:divsChild>
                                                                <w:div w:id="1688751375">
                                                                  <w:marLeft w:val="0"/>
                                                                  <w:marRight w:val="0"/>
                                                                  <w:marTop w:val="0"/>
                                                                  <w:marBottom w:val="0"/>
                                                                  <w:divBdr>
                                                                    <w:top w:val="none" w:sz="0" w:space="0" w:color="auto"/>
                                                                    <w:left w:val="none" w:sz="0" w:space="0" w:color="auto"/>
                                                                    <w:bottom w:val="none" w:sz="0" w:space="0" w:color="auto"/>
                                                                    <w:right w:val="none" w:sz="0" w:space="0" w:color="auto"/>
                                                                  </w:divBdr>
                                                                  <w:divsChild>
                                                                    <w:div w:id="599996629">
                                                                      <w:marLeft w:val="0"/>
                                                                      <w:marRight w:val="0"/>
                                                                      <w:marTop w:val="0"/>
                                                                      <w:marBottom w:val="0"/>
                                                                      <w:divBdr>
                                                                        <w:top w:val="none" w:sz="0" w:space="0" w:color="auto"/>
                                                                        <w:left w:val="none" w:sz="0" w:space="0" w:color="auto"/>
                                                                        <w:bottom w:val="none" w:sz="0" w:space="0" w:color="auto"/>
                                                                        <w:right w:val="none" w:sz="0" w:space="0" w:color="auto"/>
                                                                      </w:divBdr>
                                                                      <w:divsChild>
                                                                        <w:div w:id="368650884">
                                                                          <w:marLeft w:val="0"/>
                                                                          <w:marRight w:val="0"/>
                                                                          <w:marTop w:val="0"/>
                                                                          <w:marBottom w:val="0"/>
                                                                          <w:divBdr>
                                                                            <w:top w:val="none" w:sz="0" w:space="0" w:color="auto"/>
                                                                            <w:left w:val="none" w:sz="0" w:space="0" w:color="auto"/>
                                                                            <w:bottom w:val="none" w:sz="0" w:space="0" w:color="auto"/>
                                                                            <w:right w:val="none" w:sz="0" w:space="0" w:color="auto"/>
                                                                          </w:divBdr>
                                                                          <w:divsChild>
                                                                            <w:div w:id="726539470">
                                                                              <w:marLeft w:val="0"/>
                                                                              <w:marRight w:val="0"/>
                                                                              <w:marTop w:val="0"/>
                                                                              <w:marBottom w:val="0"/>
                                                                              <w:divBdr>
                                                                                <w:top w:val="none" w:sz="0" w:space="0" w:color="auto"/>
                                                                                <w:left w:val="none" w:sz="0" w:space="0" w:color="auto"/>
                                                                                <w:bottom w:val="none" w:sz="0" w:space="0" w:color="auto"/>
                                                                                <w:right w:val="none" w:sz="0" w:space="0" w:color="auto"/>
                                                                              </w:divBdr>
                                                                              <w:divsChild>
                                                                                <w:div w:id="658777235">
                                                                                  <w:marLeft w:val="0"/>
                                                                                  <w:marRight w:val="0"/>
                                                                                  <w:marTop w:val="0"/>
                                                                                  <w:marBottom w:val="0"/>
                                                                                  <w:divBdr>
                                                                                    <w:top w:val="none" w:sz="0" w:space="0" w:color="auto"/>
                                                                                    <w:left w:val="none" w:sz="0" w:space="0" w:color="auto"/>
                                                                                    <w:bottom w:val="none" w:sz="0" w:space="0" w:color="auto"/>
                                                                                    <w:right w:val="none" w:sz="0" w:space="0" w:color="auto"/>
                                                                                  </w:divBdr>
                                                                                  <w:divsChild>
                                                                                    <w:div w:id="155045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4432600">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66174547">
      <w:bodyDiv w:val="1"/>
      <w:marLeft w:val="0"/>
      <w:marRight w:val="0"/>
      <w:marTop w:val="0"/>
      <w:marBottom w:val="0"/>
      <w:divBdr>
        <w:top w:val="none" w:sz="0" w:space="0" w:color="auto"/>
        <w:left w:val="none" w:sz="0" w:space="0" w:color="auto"/>
        <w:bottom w:val="none" w:sz="0" w:space="0" w:color="auto"/>
        <w:right w:val="none" w:sz="0" w:space="0" w:color="auto"/>
      </w:divBdr>
    </w:div>
    <w:div w:id="1370489850">
      <w:bodyDiv w:val="1"/>
      <w:marLeft w:val="0"/>
      <w:marRight w:val="0"/>
      <w:marTop w:val="0"/>
      <w:marBottom w:val="0"/>
      <w:divBdr>
        <w:top w:val="none" w:sz="0" w:space="0" w:color="auto"/>
        <w:left w:val="none" w:sz="0" w:space="0" w:color="auto"/>
        <w:bottom w:val="none" w:sz="0" w:space="0" w:color="auto"/>
        <w:right w:val="none" w:sz="0" w:space="0" w:color="auto"/>
      </w:divBdr>
    </w:div>
    <w:div w:id="1372338689">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83557094">
      <w:bodyDiv w:val="1"/>
      <w:marLeft w:val="0"/>
      <w:marRight w:val="0"/>
      <w:marTop w:val="0"/>
      <w:marBottom w:val="0"/>
      <w:divBdr>
        <w:top w:val="none" w:sz="0" w:space="0" w:color="auto"/>
        <w:left w:val="none" w:sz="0" w:space="0" w:color="auto"/>
        <w:bottom w:val="none" w:sz="0" w:space="0" w:color="auto"/>
        <w:right w:val="none" w:sz="0" w:space="0" w:color="auto"/>
      </w:divBdr>
    </w:div>
    <w:div w:id="1386221736">
      <w:bodyDiv w:val="1"/>
      <w:marLeft w:val="0"/>
      <w:marRight w:val="0"/>
      <w:marTop w:val="0"/>
      <w:marBottom w:val="0"/>
      <w:divBdr>
        <w:top w:val="none" w:sz="0" w:space="0" w:color="auto"/>
        <w:left w:val="none" w:sz="0" w:space="0" w:color="auto"/>
        <w:bottom w:val="none" w:sz="0" w:space="0" w:color="auto"/>
        <w:right w:val="none" w:sz="0" w:space="0" w:color="auto"/>
      </w:divBdr>
    </w:div>
    <w:div w:id="1390036166">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08382722">
      <w:bodyDiv w:val="1"/>
      <w:marLeft w:val="0"/>
      <w:marRight w:val="0"/>
      <w:marTop w:val="0"/>
      <w:marBottom w:val="0"/>
      <w:divBdr>
        <w:top w:val="none" w:sz="0" w:space="0" w:color="auto"/>
        <w:left w:val="none" w:sz="0" w:space="0" w:color="auto"/>
        <w:bottom w:val="none" w:sz="0" w:space="0" w:color="auto"/>
        <w:right w:val="none" w:sz="0" w:space="0" w:color="auto"/>
      </w:divBdr>
    </w:div>
    <w:div w:id="1410619433">
      <w:bodyDiv w:val="1"/>
      <w:marLeft w:val="0"/>
      <w:marRight w:val="0"/>
      <w:marTop w:val="0"/>
      <w:marBottom w:val="0"/>
      <w:divBdr>
        <w:top w:val="none" w:sz="0" w:space="0" w:color="auto"/>
        <w:left w:val="none" w:sz="0" w:space="0" w:color="auto"/>
        <w:bottom w:val="none" w:sz="0" w:space="0" w:color="auto"/>
        <w:right w:val="none" w:sz="0" w:space="0" w:color="auto"/>
      </w:divBdr>
    </w:div>
    <w:div w:id="1410729167">
      <w:bodyDiv w:val="1"/>
      <w:marLeft w:val="0"/>
      <w:marRight w:val="0"/>
      <w:marTop w:val="0"/>
      <w:marBottom w:val="0"/>
      <w:divBdr>
        <w:top w:val="none" w:sz="0" w:space="0" w:color="auto"/>
        <w:left w:val="none" w:sz="0" w:space="0" w:color="auto"/>
        <w:bottom w:val="none" w:sz="0" w:space="0" w:color="auto"/>
        <w:right w:val="none" w:sz="0" w:space="0" w:color="auto"/>
      </w:divBdr>
    </w:div>
    <w:div w:id="1422797567">
      <w:bodyDiv w:val="1"/>
      <w:marLeft w:val="0"/>
      <w:marRight w:val="0"/>
      <w:marTop w:val="0"/>
      <w:marBottom w:val="0"/>
      <w:divBdr>
        <w:top w:val="none" w:sz="0" w:space="0" w:color="auto"/>
        <w:left w:val="none" w:sz="0" w:space="0" w:color="auto"/>
        <w:bottom w:val="none" w:sz="0" w:space="0" w:color="auto"/>
        <w:right w:val="none" w:sz="0" w:space="0" w:color="auto"/>
      </w:divBdr>
    </w:div>
    <w:div w:id="1432553044">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38913079">
      <w:bodyDiv w:val="1"/>
      <w:marLeft w:val="0"/>
      <w:marRight w:val="0"/>
      <w:marTop w:val="0"/>
      <w:marBottom w:val="0"/>
      <w:divBdr>
        <w:top w:val="none" w:sz="0" w:space="0" w:color="auto"/>
        <w:left w:val="none" w:sz="0" w:space="0" w:color="auto"/>
        <w:bottom w:val="none" w:sz="0" w:space="0" w:color="auto"/>
        <w:right w:val="none" w:sz="0" w:space="0" w:color="auto"/>
      </w:divBdr>
    </w:div>
    <w:div w:id="1446075173">
      <w:bodyDiv w:val="1"/>
      <w:marLeft w:val="0"/>
      <w:marRight w:val="0"/>
      <w:marTop w:val="0"/>
      <w:marBottom w:val="0"/>
      <w:divBdr>
        <w:top w:val="none" w:sz="0" w:space="0" w:color="auto"/>
        <w:left w:val="none" w:sz="0" w:space="0" w:color="auto"/>
        <w:bottom w:val="none" w:sz="0" w:space="0" w:color="auto"/>
        <w:right w:val="none" w:sz="0" w:space="0" w:color="auto"/>
      </w:divBdr>
    </w:div>
    <w:div w:id="1448238852">
      <w:bodyDiv w:val="1"/>
      <w:marLeft w:val="0"/>
      <w:marRight w:val="0"/>
      <w:marTop w:val="0"/>
      <w:marBottom w:val="0"/>
      <w:divBdr>
        <w:top w:val="none" w:sz="0" w:space="0" w:color="auto"/>
        <w:left w:val="none" w:sz="0" w:space="0" w:color="auto"/>
        <w:bottom w:val="none" w:sz="0" w:space="0" w:color="auto"/>
        <w:right w:val="none" w:sz="0" w:space="0" w:color="auto"/>
      </w:divBdr>
    </w:div>
    <w:div w:id="1454253769">
      <w:bodyDiv w:val="1"/>
      <w:marLeft w:val="0"/>
      <w:marRight w:val="0"/>
      <w:marTop w:val="0"/>
      <w:marBottom w:val="0"/>
      <w:divBdr>
        <w:top w:val="none" w:sz="0" w:space="0" w:color="auto"/>
        <w:left w:val="none" w:sz="0" w:space="0" w:color="auto"/>
        <w:bottom w:val="none" w:sz="0" w:space="0" w:color="auto"/>
        <w:right w:val="none" w:sz="0" w:space="0" w:color="auto"/>
      </w:divBdr>
    </w:div>
    <w:div w:id="1457064063">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480069729">
      <w:bodyDiv w:val="1"/>
      <w:marLeft w:val="0"/>
      <w:marRight w:val="0"/>
      <w:marTop w:val="0"/>
      <w:marBottom w:val="0"/>
      <w:divBdr>
        <w:top w:val="none" w:sz="0" w:space="0" w:color="auto"/>
        <w:left w:val="none" w:sz="0" w:space="0" w:color="auto"/>
        <w:bottom w:val="none" w:sz="0" w:space="0" w:color="auto"/>
        <w:right w:val="none" w:sz="0" w:space="0" w:color="auto"/>
      </w:divBdr>
    </w:div>
    <w:div w:id="1487094016">
      <w:bodyDiv w:val="1"/>
      <w:marLeft w:val="0"/>
      <w:marRight w:val="0"/>
      <w:marTop w:val="0"/>
      <w:marBottom w:val="0"/>
      <w:divBdr>
        <w:top w:val="none" w:sz="0" w:space="0" w:color="auto"/>
        <w:left w:val="none" w:sz="0" w:space="0" w:color="auto"/>
        <w:bottom w:val="none" w:sz="0" w:space="0" w:color="auto"/>
        <w:right w:val="none" w:sz="0" w:space="0" w:color="auto"/>
      </w:divBdr>
    </w:div>
    <w:div w:id="1488790909">
      <w:bodyDiv w:val="1"/>
      <w:marLeft w:val="0"/>
      <w:marRight w:val="0"/>
      <w:marTop w:val="0"/>
      <w:marBottom w:val="0"/>
      <w:divBdr>
        <w:top w:val="none" w:sz="0" w:space="0" w:color="auto"/>
        <w:left w:val="none" w:sz="0" w:space="0" w:color="auto"/>
        <w:bottom w:val="none" w:sz="0" w:space="0" w:color="auto"/>
        <w:right w:val="none" w:sz="0" w:space="0" w:color="auto"/>
      </w:divBdr>
    </w:div>
    <w:div w:id="1492677937">
      <w:bodyDiv w:val="1"/>
      <w:marLeft w:val="0"/>
      <w:marRight w:val="0"/>
      <w:marTop w:val="0"/>
      <w:marBottom w:val="0"/>
      <w:divBdr>
        <w:top w:val="none" w:sz="0" w:space="0" w:color="auto"/>
        <w:left w:val="none" w:sz="0" w:space="0" w:color="auto"/>
        <w:bottom w:val="none" w:sz="0" w:space="0" w:color="auto"/>
        <w:right w:val="none" w:sz="0" w:space="0" w:color="auto"/>
      </w:divBdr>
      <w:divsChild>
        <w:div w:id="210728991">
          <w:marLeft w:val="0"/>
          <w:marRight w:val="0"/>
          <w:marTop w:val="0"/>
          <w:marBottom w:val="0"/>
          <w:divBdr>
            <w:top w:val="none" w:sz="0" w:space="0" w:color="auto"/>
            <w:left w:val="none" w:sz="0" w:space="0" w:color="auto"/>
            <w:bottom w:val="none" w:sz="0" w:space="0" w:color="auto"/>
            <w:right w:val="none" w:sz="0" w:space="0" w:color="auto"/>
          </w:divBdr>
          <w:divsChild>
            <w:div w:id="2132747096">
              <w:marLeft w:val="0"/>
              <w:marRight w:val="0"/>
              <w:marTop w:val="0"/>
              <w:marBottom w:val="0"/>
              <w:divBdr>
                <w:top w:val="none" w:sz="0" w:space="0" w:color="auto"/>
                <w:left w:val="none" w:sz="0" w:space="0" w:color="auto"/>
                <w:bottom w:val="none" w:sz="0" w:space="0" w:color="auto"/>
                <w:right w:val="none" w:sz="0" w:space="0" w:color="auto"/>
              </w:divBdr>
              <w:divsChild>
                <w:div w:id="1703632165">
                  <w:marLeft w:val="0"/>
                  <w:marRight w:val="0"/>
                  <w:marTop w:val="0"/>
                  <w:marBottom w:val="0"/>
                  <w:divBdr>
                    <w:top w:val="none" w:sz="0" w:space="0" w:color="auto"/>
                    <w:left w:val="none" w:sz="0" w:space="0" w:color="auto"/>
                    <w:bottom w:val="none" w:sz="0" w:space="0" w:color="auto"/>
                    <w:right w:val="none" w:sz="0" w:space="0" w:color="auto"/>
                  </w:divBdr>
                  <w:divsChild>
                    <w:div w:id="1576820255">
                      <w:marLeft w:val="-225"/>
                      <w:marRight w:val="-225"/>
                      <w:marTop w:val="0"/>
                      <w:marBottom w:val="0"/>
                      <w:divBdr>
                        <w:top w:val="none" w:sz="0" w:space="0" w:color="auto"/>
                        <w:left w:val="none" w:sz="0" w:space="0" w:color="auto"/>
                        <w:bottom w:val="none" w:sz="0" w:space="0" w:color="auto"/>
                        <w:right w:val="none" w:sz="0" w:space="0" w:color="auto"/>
                      </w:divBdr>
                      <w:divsChild>
                        <w:div w:id="2076659179">
                          <w:marLeft w:val="0"/>
                          <w:marRight w:val="0"/>
                          <w:marTop w:val="0"/>
                          <w:marBottom w:val="0"/>
                          <w:divBdr>
                            <w:top w:val="none" w:sz="0" w:space="0" w:color="auto"/>
                            <w:left w:val="none" w:sz="0" w:space="0" w:color="auto"/>
                            <w:bottom w:val="none" w:sz="0" w:space="0" w:color="auto"/>
                            <w:right w:val="none" w:sz="0" w:space="0" w:color="auto"/>
                          </w:divBdr>
                          <w:divsChild>
                            <w:div w:id="2085715500">
                              <w:marLeft w:val="0"/>
                              <w:marRight w:val="0"/>
                              <w:marTop w:val="0"/>
                              <w:marBottom w:val="0"/>
                              <w:divBdr>
                                <w:top w:val="none" w:sz="0" w:space="0" w:color="auto"/>
                                <w:left w:val="none" w:sz="0" w:space="0" w:color="auto"/>
                                <w:bottom w:val="none" w:sz="0" w:space="0" w:color="auto"/>
                                <w:right w:val="none" w:sz="0" w:space="0" w:color="auto"/>
                              </w:divBdr>
                              <w:divsChild>
                                <w:div w:id="1284968476">
                                  <w:marLeft w:val="-225"/>
                                  <w:marRight w:val="-225"/>
                                  <w:marTop w:val="0"/>
                                  <w:marBottom w:val="0"/>
                                  <w:divBdr>
                                    <w:top w:val="none" w:sz="0" w:space="0" w:color="auto"/>
                                    <w:left w:val="none" w:sz="0" w:space="0" w:color="auto"/>
                                    <w:bottom w:val="none" w:sz="0" w:space="0" w:color="auto"/>
                                    <w:right w:val="none" w:sz="0" w:space="0" w:color="auto"/>
                                  </w:divBdr>
                                  <w:divsChild>
                                    <w:div w:id="61031187">
                                      <w:marLeft w:val="0"/>
                                      <w:marRight w:val="0"/>
                                      <w:marTop w:val="0"/>
                                      <w:marBottom w:val="0"/>
                                      <w:divBdr>
                                        <w:top w:val="none" w:sz="0" w:space="0" w:color="auto"/>
                                        <w:left w:val="none" w:sz="0" w:space="0" w:color="auto"/>
                                        <w:bottom w:val="none" w:sz="0" w:space="0" w:color="auto"/>
                                        <w:right w:val="none" w:sz="0" w:space="0" w:color="auto"/>
                                      </w:divBdr>
                                      <w:divsChild>
                                        <w:div w:id="2098288142">
                                          <w:marLeft w:val="0"/>
                                          <w:marRight w:val="0"/>
                                          <w:marTop w:val="0"/>
                                          <w:marBottom w:val="0"/>
                                          <w:divBdr>
                                            <w:top w:val="none" w:sz="0" w:space="0" w:color="auto"/>
                                            <w:left w:val="none" w:sz="0" w:space="0" w:color="auto"/>
                                            <w:bottom w:val="none" w:sz="0" w:space="0" w:color="auto"/>
                                            <w:right w:val="none" w:sz="0" w:space="0" w:color="auto"/>
                                          </w:divBdr>
                                          <w:divsChild>
                                            <w:div w:id="28963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7092123">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21434746">
      <w:bodyDiv w:val="1"/>
      <w:marLeft w:val="0"/>
      <w:marRight w:val="0"/>
      <w:marTop w:val="0"/>
      <w:marBottom w:val="0"/>
      <w:divBdr>
        <w:top w:val="none" w:sz="0" w:space="0" w:color="auto"/>
        <w:left w:val="none" w:sz="0" w:space="0" w:color="auto"/>
        <w:bottom w:val="none" w:sz="0" w:space="0" w:color="auto"/>
        <w:right w:val="none" w:sz="0" w:space="0" w:color="auto"/>
      </w:divBdr>
    </w:div>
    <w:div w:id="1522433706">
      <w:bodyDiv w:val="1"/>
      <w:marLeft w:val="0"/>
      <w:marRight w:val="0"/>
      <w:marTop w:val="0"/>
      <w:marBottom w:val="0"/>
      <w:divBdr>
        <w:top w:val="none" w:sz="0" w:space="0" w:color="auto"/>
        <w:left w:val="none" w:sz="0" w:space="0" w:color="auto"/>
        <w:bottom w:val="none" w:sz="0" w:space="0" w:color="auto"/>
        <w:right w:val="none" w:sz="0" w:space="0" w:color="auto"/>
      </w:divBdr>
    </w:div>
    <w:div w:id="1530794462">
      <w:bodyDiv w:val="1"/>
      <w:marLeft w:val="0"/>
      <w:marRight w:val="0"/>
      <w:marTop w:val="0"/>
      <w:marBottom w:val="0"/>
      <w:divBdr>
        <w:top w:val="none" w:sz="0" w:space="0" w:color="auto"/>
        <w:left w:val="none" w:sz="0" w:space="0" w:color="auto"/>
        <w:bottom w:val="none" w:sz="0" w:space="0" w:color="auto"/>
        <w:right w:val="none" w:sz="0" w:space="0" w:color="auto"/>
      </w:divBdr>
      <w:divsChild>
        <w:div w:id="930818157">
          <w:marLeft w:val="0"/>
          <w:marRight w:val="0"/>
          <w:marTop w:val="0"/>
          <w:marBottom w:val="0"/>
          <w:divBdr>
            <w:top w:val="none" w:sz="0" w:space="0" w:color="auto"/>
            <w:left w:val="none" w:sz="0" w:space="0" w:color="auto"/>
            <w:bottom w:val="none" w:sz="0" w:space="0" w:color="auto"/>
            <w:right w:val="none" w:sz="0" w:space="0" w:color="auto"/>
          </w:divBdr>
          <w:divsChild>
            <w:div w:id="1300460206">
              <w:marLeft w:val="439"/>
              <w:marRight w:val="0"/>
              <w:marTop w:val="0"/>
              <w:marBottom w:val="0"/>
              <w:divBdr>
                <w:top w:val="none" w:sz="0" w:space="0" w:color="auto"/>
                <w:left w:val="none" w:sz="0" w:space="0" w:color="auto"/>
                <w:bottom w:val="none" w:sz="0" w:space="0" w:color="auto"/>
                <w:right w:val="none" w:sz="0" w:space="0" w:color="auto"/>
              </w:divBdr>
              <w:divsChild>
                <w:div w:id="1982268852">
                  <w:marLeft w:val="0"/>
                  <w:marRight w:val="0"/>
                  <w:marTop w:val="0"/>
                  <w:marBottom w:val="0"/>
                  <w:divBdr>
                    <w:top w:val="none" w:sz="0" w:space="0" w:color="auto"/>
                    <w:left w:val="none" w:sz="0" w:space="0" w:color="auto"/>
                    <w:bottom w:val="none" w:sz="0" w:space="0" w:color="auto"/>
                    <w:right w:val="none" w:sz="0" w:space="0" w:color="auto"/>
                  </w:divBdr>
                  <w:divsChild>
                    <w:div w:id="2094085727">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231117">
          <w:marLeft w:val="0"/>
          <w:marRight w:val="0"/>
          <w:marTop w:val="0"/>
          <w:marBottom w:val="0"/>
          <w:divBdr>
            <w:top w:val="none" w:sz="0" w:space="0" w:color="auto"/>
            <w:left w:val="none" w:sz="0" w:space="0" w:color="auto"/>
            <w:bottom w:val="none" w:sz="0" w:space="0" w:color="auto"/>
            <w:right w:val="none" w:sz="0" w:space="0" w:color="auto"/>
          </w:divBdr>
        </w:div>
      </w:divsChild>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4078302">
      <w:bodyDiv w:val="1"/>
      <w:marLeft w:val="0"/>
      <w:marRight w:val="0"/>
      <w:marTop w:val="0"/>
      <w:marBottom w:val="0"/>
      <w:divBdr>
        <w:top w:val="none" w:sz="0" w:space="0" w:color="auto"/>
        <w:left w:val="none" w:sz="0" w:space="0" w:color="auto"/>
        <w:bottom w:val="none" w:sz="0" w:space="0" w:color="auto"/>
        <w:right w:val="none" w:sz="0" w:space="0" w:color="auto"/>
      </w:divBdr>
    </w:div>
    <w:div w:id="1538347177">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47452266">
      <w:bodyDiv w:val="1"/>
      <w:marLeft w:val="0"/>
      <w:marRight w:val="0"/>
      <w:marTop w:val="0"/>
      <w:marBottom w:val="0"/>
      <w:divBdr>
        <w:top w:val="none" w:sz="0" w:space="0" w:color="auto"/>
        <w:left w:val="none" w:sz="0" w:space="0" w:color="auto"/>
        <w:bottom w:val="none" w:sz="0" w:space="0" w:color="auto"/>
        <w:right w:val="none" w:sz="0" w:space="0" w:color="auto"/>
      </w:divBdr>
    </w:div>
    <w:div w:id="1558973004">
      <w:bodyDiv w:val="1"/>
      <w:marLeft w:val="0"/>
      <w:marRight w:val="0"/>
      <w:marTop w:val="0"/>
      <w:marBottom w:val="0"/>
      <w:divBdr>
        <w:top w:val="none" w:sz="0" w:space="0" w:color="auto"/>
        <w:left w:val="none" w:sz="0" w:space="0" w:color="auto"/>
        <w:bottom w:val="none" w:sz="0" w:space="0" w:color="auto"/>
        <w:right w:val="none" w:sz="0" w:space="0" w:color="auto"/>
      </w:divBdr>
    </w:div>
    <w:div w:id="1561211349">
      <w:bodyDiv w:val="1"/>
      <w:marLeft w:val="0"/>
      <w:marRight w:val="0"/>
      <w:marTop w:val="0"/>
      <w:marBottom w:val="0"/>
      <w:divBdr>
        <w:top w:val="none" w:sz="0" w:space="0" w:color="auto"/>
        <w:left w:val="none" w:sz="0" w:space="0" w:color="auto"/>
        <w:bottom w:val="none" w:sz="0" w:space="0" w:color="auto"/>
        <w:right w:val="none" w:sz="0" w:space="0" w:color="auto"/>
      </w:divBdr>
    </w:div>
    <w:div w:id="1569464547">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3178471">
      <w:bodyDiv w:val="1"/>
      <w:marLeft w:val="0"/>
      <w:marRight w:val="0"/>
      <w:marTop w:val="0"/>
      <w:marBottom w:val="0"/>
      <w:divBdr>
        <w:top w:val="none" w:sz="0" w:space="0" w:color="auto"/>
        <w:left w:val="none" w:sz="0" w:space="0" w:color="auto"/>
        <w:bottom w:val="none" w:sz="0" w:space="0" w:color="auto"/>
        <w:right w:val="none" w:sz="0" w:space="0" w:color="auto"/>
      </w:divBdr>
      <w:divsChild>
        <w:div w:id="464470719">
          <w:marLeft w:val="0"/>
          <w:marRight w:val="0"/>
          <w:marTop w:val="0"/>
          <w:marBottom w:val="0"/>
          <w:divBdr>
            <w:top w:val="none" w:sz="0" w:space="0" w:color="auto"/>
            <w:left w:val="none" w:sz="0" w:space="0" w:color="auto"/>
            <w:bottom w:val="none" w:sz="0" w:space="0" w:color="auto"/>
            <w:right w:val="none" w:sz="0" w:space="0" w:color="auto"/>
          </w:divBdr>
          <w:divsChild>
            <w:div w:id="1169517640">
              <w:marLeft w:val="439"/>
              <w:marRight w:val="0"/>
              <w:marTop w:val="0"/>
              <w:marBottom w:val="0"/>
              <w:divBdr>
                <w:top w:val="none" w:sz="0" w:space="0" w:color="auto"/>
                <w:left w:val="none" w:sz="0" w:space="0" w:color="auto"/>
                <w:bottom w:val="none" w:sz="0" w:space="0" w:color="auto"/>
                <w:right w:val="none" w:sz="0" w:space="0" w:color="auto"/>
              </w:divBdr>
              <w:divsChild>
                <w:div w:id="1513764242">
                  <w:marLeft w:val="0"/>
                  <w:marRight w:val="0"/>
                  <w:marTop w:val="0"/>
                  <w:marBottom w:val="0"/>
                  <w:divBdr>
                    <w:top w:val="none" w:sz="0" w:space="0" w:color="auto"/>
                    <w:left w:val="none" w:sz="0" w:space="0" w:color="auto"/>
                    <w:bottom w:val="none" w:sz="0" w:space="0" w:color="auto"/>
                    <w:right w:val="none" w:sz="0" w:space="0" w:color="auto"/>
                  </w:divBdr>
                  <w:divsChild>
                    <w:div w:id="1015158541">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999716">
          <w:marLeft w:val="0"/>
          <w:marRight w:val="0"/>
          <w:marTop w:val="0"/>
          <w:marBottom w:val="0"/>
          <w:divBdr>
            <w:top w:val="none" w:sz="0" w:space="0" w:color="auto"/>
            <w:left w:val="none" w:sz="0" w:space="0" w:color="auto"/>
            <w:bottom w:val="none" w:sz="0" w:space="0" w:color="auto"/>
            <w:right w:val="none" w:sz="0" w:space="0" w:color="auto"/>
          </w:divBdr>
        </w:div>
      </w:divsChild>
    </w:div>
    <w:div w:id="1583637646">
      <w:bodyDiv w:val="1"/>
      <w:marLeft w:val="0"/>
      <w:marRight w:val="0"/>
      <w:marTop w:val="0"/>
      <w:marBottom w:val="0"/>
      <w:divBdr>
        <w:top w:val="none" w:sz="0" w:space="0" w:color="auto"/>
        <w:left w:val="none" w:sz="0" w:space="0" w:color="auto"/>
        <w:bottom w:val="none" w:sz="0" w:space="0" w:color="auto"/>
        <w:right w:val="none" w:sz="0" w:space="0" w:color="auto"/>
      </w:divBdr>
      <w:divsChild>
        <w:div w:id="1092122708">
          <w:marLeft w:val="720"/>
          <w:marRight w:val="0"/>
          <w:marTop w:val="101"/>
          <w:marBottom w:val="0"/>
          <w:divBdr>
            <w:top w:val="none" w:sz="0" w:space="0" w:color="auto"/>
            <w:left w:val="none" w:sz="0" w:space="0" w:color="auto"/>
            <w:bottom w:val="none" w:sz="0" w:space="0" w:color="auto"/>
            <w:right w:val="none" w:sz="0" w:space="0" w:color="auto"/>
          </w:divBdr>
        </w:div>
      </w:divsChild>
    </w:div>
    <w:div w:id="1587764803">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4996016">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7539883">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12205136">
      <w:bodyDiv w:val="1"/>
      <w:marLeft w:val="0"/>
      <w:marRight w:val="0"/>
      <w:marTop w:val="0"/>
      <w:marBottom w:val="0"/>
      <w:divBdr>
        <w:top w:val="none" w:sz="0" w:space="0" w:color="auto"/>
        <w:left w:val="none" w:sz="0" w:space="0" w:color="auto"/>
        <w:bottom w:val="none" w:sz="0" w:space="0" w:color="auto"/>
        <w:right w:val="none" w:sz="0" w:space="0" w:color="auto"/>
      </w:divBdr>
      <w:divsChild>
        <w:div w:id="1055158476">
          <w:marLeft w:val="0"/>
          <w:marRight w:val="0"/>
          <w:marTop w:val="0"/>
          <w:marBottom w:val="0"/>
          <w:divBdr>
            <w:top w:val="none" w:sz="0" w:space="0" w:color="auto"/>
            <w:left w:val="none" w:sz="0" w:space="0" w:color="auto"/>
            <w:bottom w:val="none" w:sz="0" w:space="0" w:color="auto"/>
            <w:right w:val="none" w:sz="0" w:space="0" w:color="auto"/>
          </w:divBdr>
          <w:divsChild>
            <w:div w:id="2013408854">
              <w:marLeft w:val="0"/>
              <w:marRight w:val="0"/>
              <w:marTop w:val="0"/>
              <w:marBottom w:val="0"/>
              <w:divBdr>
                <w:top w:val="none" w:sz="0" w:space="0" w:color="auto"/>
                <w:left w:val="none" w:sz="0" w:space="0" w:color="auto"/>
                <w:bottom w:val="none" w:sz="0" w:space="0" w:color="auto"/>
                <w:right w:val="none" w:sz="0" w:space="0" w:color="auto"/>
              </w:divBdr>
              <w:divsChild>
                <w:div w:id="2012021286">
                  <w:marLeft w:val="0"/>
                  <w:marRight w:val="0"/>
                  <w:marTop w:val="0"/>
                  <w:marBottom w:val="0"/>
                  <w:divBdr>
                    <w:top w:val="none" w:sz="0" w:space="0" w:color="auto"/>
                    <w:left w:val="none" w:sz="0" w:space="0" w:color="auto"/>
                    <w:bottom w:val="none" w:sz="0" w:space="0" w:color="auto"/>
                    <w:right w:val="none" w:sz="0" w:space="0" w:color="auto"/>
                  </w:divBdr>
                  <w:divsChild>
                    <w:div w:id="1898124970">
                      <w:marLeft w:val="0"/>
                      <w:marRight w:val="0"/>
                      <w:marTop w:val="0"/>
                      <w:marBottom w:val="0"/>
                      <w:divBdr>
                        <w:top w:val="none" w:sz="0" w:space="0" w:color="auto"/>
                        <w:left w:val="none" w:sz="0" w:space="0" w:color="auto"/>
                        <w:bottom w:val="none" w:sz="0" w:space="0" w:color="auto"/>
                        <w:right w:val="none" w:sz="0" w:space="0" w:color="auto"/>
                      </w:divBdr>
                      <w:divsChild>
                        <w:div w:id="1567180621">
                          <w:marLeft w:val="0"/>
                          <w:marRight w:val="0"/>
                          <w:marTop w:val="0"/>
                          <w:marBottom w:val="0"/>
                          <w:divBdr>
                            <w:top w:val="none" w:sz="0" w:space="0" w:color="auto"/>
                            <w:left w:val="none" w:sz="0" w:space="0" w:color="auto"/>
                            <w:bottom w:val="none" w:sz="0" w:space="0" w:color="auto"/>
                            <w:right w:val="none" w:sz="0" w:space="0" w:color="auto"/>
                          </w:divBdr>
                          <w:divsChild>
                            <w:div w:id="2136823896">
                              <w:marLeft w:val="0"/>
                              <w:marRight w:val="0"/>
                              <w:marTop w:val="0"/>
                              <w:marBottom w:val="0"/>
                              <w:divBdr>
                                <w:top w:val="none" w:sz="0" w:space="0" w:color="auto"/>
                                <w:left w:val="none" w:sz="0" w:space="0" w:color="auto"/>
                                <w:bottom w:val="none" w:sz="0" w:space="0" w:color="auto"/>
                                <w:right w:val="none" w:sz="0" w:space="0" w:color="auto"/>
                              </w:divBdr>
                              <w:divsChild>
                                <w:div w:id="856120416">
                                  <w:marLeft w:val="0"/>
                                  <w:marRight w:val="0"/>
                                  <w:marTop w:val="0"/>
                                  <w:marBottom w:val="0"/>
                                  <w:divBdr>
                                    <w:top w:val="none" w:sz="0" w:space="0" w:color="auto"/>
                                    <w:left w:val="none" w:sz="0" w:space="0" w:color="auto"/>
                                    <w:bottom w:val="none" w:sz="0" w:space="0" w:color="auto"/>
                                    <w:right w:val="none" w:sz="0" w:space="0" w:color="auto"/>
                                  </w:divBdr>
                                  <w:divsChild>
                                    <w:div w:id="834224320">
                                      <w:marLeft w:val="0"/>
                                      <w:marRight w:val="0"/>
                                      <w:marTop w:val="0"/>
                                      <w:marBottom w:val="0"/>
                                      <w:divBdr>
                                        <w:top w:val="none" w:sz="0" w:space="0" w:color="auto"/>
                                        <w:left w:val="none" w:sz="0" w:space="0" w:color="auto"/>
                                        <w:bottom w:val="none" w:sz="0" w:space="0" w:color="auto"/>
                                        <w:right w:val="none" w:sz="0" w:space="0" w:color="auto"/>
                                      </w:divBdr>
                                      <w:divsChild>
                                        <w:div w:id="232589010">
                                          <w:marLeft w:val="0"/>
                                          <w:marRight w:val="0"/>
                                          <w:marTop w:val="0"/>
                                          <w:marBottom w:val="0"/>
                                          <w:divBdr>
                                            <w:top w:val="none" w:sz="0" w:space="0" w:color="auto"/>
                                            <w:left w:val="none" w:sz="0" w:space="0" w:color="auto"/>
                                            <w:bottom w:val="none" w:sz="0" w:space="0" w:color="auto"/>
                                            <w:right w:val="none" w:sz="0" w:space="0" w:color="auto"/>
                                          </w:divBdr>
                                          <w:divsChild>
                                            <w:div w:id="2095465587">
                                              <w:marLeft w:val="0"/>
                                              <w:marRight w:val="0"/>
                                              <w:marTop w:val="0"/>
                                              <w:marBottom w:val="0"/>
                                              <w:divBdr>
                                                <w:top w:val="none" w:sz="0" w:space="0" w:color="auto"/>
                                                <w:left w:val="none" w:sz="0" w:space="0" w:color="auto"/>
                                                <w:bottom w:val="none" w:sz="0" w:space="0" w:color="auto"/>
                                                <w:right w:val="none" w:sz="0" w:space="0" w:color="auto"/>
                                              </w:divBdr>
                                              <w:divsChild>
                                                <w:div w:id="432014223">
                                                  <w:marLeft w:val="0"/>
                                                  <w:marRight w:val="0"/>
                                                  <w:marTop w:val="0"/>
                                                  <w:marBottom w:val="0"/>
                                                  <w:divBdr>
                                                    <w:top w:val="none" w:sz="0" w:space="0" w:color="auto"/>
                                                    <w:left w:val="none" w:sz="0" w:space="0" w:color="auto"/>
                                                    <w:bottom w:val="none" w:sz="0" w:space="0" w:color="auto"/>
                                                    <w:right w:val="none" w:sz="0" w:space="0" w:color="auto"/>
                                                  </w:divBdr>
                                                  <w:divsChild>
                                                    <w:div w:id="477653504">
                                                      <w:marLeft w:val="0"/>
                                                      <w:marRight w:val="0"/>
                                                      <w:marTop w:val="0"/>
                                                      <w:marBottom w:val="0"/>
                                                      <w:divBdr>
                                                        <w:top w:val="none" w:sz="0" w:space="0" w:color="auto"/>
                                                        <w:left w:val="none" w:sz="0" w:space="0" w:color="auto"/>
                                                        <w:bottom w:val="none" w:sz="0" w:space="0" w:color="auto"/>
                                                        <w:right w:val="none" w:sz="0" w:space="0" w:color="auto"/>
                                                      </w:divBdr>
                                                      <w:divsChild>
                                                        <w:div w:id="1766804296">
                                                          <w:marLeft w:val="0"/>
                                                          <w:marRight w:val="0"/>
                                                          <w:marTop w:val="0"/>
                                                          <w:marBottom w:val="0"/>
                                                          <w:divBdr>
                                                            <w:top w:val="none" w:sz="0" w:space="0" w:color="auto"/>
                                                            <w:left w:val="none" w:sz="0" w:space="0" w:color="auto"/>
                                                            <w:bottom w:val="none" w:sz="0" w:space="0" w:color="auto"/>
                                                            <w:right w:val="none" w:sz="0" w:space="0" w:color="auto"/>
                                                          </w:divBdr>
                                                          <w:divsChild>
                                                            <w:div w:id="1044060128">
                                                              <w:marLeft w:val="0"/>
                                                              <w:marRight w:val="0"/>
                                                              <w:marTop w:val="0"/>
                                                              <w:marBottom w:val="0"/>
                                                              <w:divBdr>
                                                                <w:top w:val="none" w:sz="0" w:space="0" w:color="auto"/>
                                                                <w:left w:val="none" w:sz="0" w:space="0" w:color="auto"/>
                                                                <w:bottom w:val="none" w:sz="0" w:space="0" w:color="auto"/>
                                                                <w:right w:val="none" w:sz="0" w:space="0" w:color="auto"/>
                                                              </w:divBdr>
                                                              <w:divsChild>
                                                                <w:div w:id="1014041435">
                                                                  <w:marLeft w:val="0"/>
                                                                  <w:marRight w:val="0"/>
                                                                  <w:marTop w:val="0"/>
                                                                  <w:marBottom w:val="0"/>
                                                                  <w:divBdr>
                                                                    <w:top w:val="none" w:sz="0" w:space="0" w:color="auto"/>
                                                                    <w:left w:val="none" w:sz="0" w:space="0" w:color="auto"/>
                                                                    <w:bottom w:val="none" w:sz="0" w:space="0" w:color="auto"/>
                                                                    <w:right w:val="none" w:sz="0" w:space="0" w:color="auto"/>
                                                                  </w:divBdr>
                                                                  <w:divsChild>
                                                                    <w:div w:id="151298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2858109">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26420932">
      <w:bodyDiv w:val="1"/>
      <w:marLeft w:val="0"/>
      <w:marRight w:val="0"/>
      <w:marTop w:val="0"/>
      <w:marBottom w:val="0"/>
      <w:divBdr>
        <w:top w:val="none" w:sz="0" w:space="0" w:color="auto"/>
        <w:left w:val="none" w:sz="0" w:space="0" w:color="auto"/>
        <w:bottom w:val="none" w:sz="0" w:space="0" w:color="auto"/>
        <w:right w:val="none" w:sz="0" w:space="0" w:color="auto"/>
      </w:divBdr>
    </w:div>
    <w:div w:id="1628312869">
      <w:bodyDiv w:val="1"/>
      <w:marLeft w:val="0"/>
      <w:marRight w:val="0"/>
      <w:marTop w:val="0"/>
      <w:marBottom w:val="0"/>
      <w:divBdr>
        <w:top w:val="none" w:sz="0" w:space="0" w:color="auto"/>
        <w:left w:val="none" w:sz="0" w:space="0" w:color="auto"/>
        <w:bottom w:val="none" w:sz="0" w:space="0" w:color="auto"/>
        <w:right w:val="none" w:sz="0" w:space="0" w:color="auto"/>
      </w:divBdr>
    </w:div>
    <w:div w:id="1629822116">
      <w:bodyDiv w:val="1"/>
      <w:marLeft w:val="0"/>
      <w:marRight w:val="0"/>
      <w:marTop w:val="0"/>
      <w:marBottom w:val="0"/>
      <w:divBdr>
        <w:top w:val="none" w:sz="0" w:space="0" w:color="auto"/>
        <w:left w:val="none" w:sz="0" w:space="0" w:color="auto"/>
        <w:bottom w:val="none" w:sz="0" w:space="0" w:color="auto"/>
        <w:right w:val="none" w:sz="0" w:space="0" w:color="auto"/>
      </w:divBdr>
    </w:div>
    <w:div w:id="1637760120">
      <w:bodyDiv w:val="1"/>
      <w:marLeft w:val="0"/>
      <w:marRight w:val="0"/>
      <w:marTop w:val="0"/>
      <w:marBottom w:val="0"/>
      <w:divBdr>
        <w:top w:val="none" w:sz="0" w:space="0" w:color="auto"/>
        <w:left w:val="none" w:sz="0" w:space="0" w:color="auto"/>
        <w:bottom w:val="none" w:sz="0" w:space="0" w:color="auto"/>
        <w:right w:val="none" w:sz="0" w:space="0" w:color="auto"/>
      </w:divBdr>
    </w:div>
    <w:div w:id="1641691639">
      <w:bodyDiv w:val="1"/>
      <w:marLeft w:val="0"/>
      <w:marRight w:val="0"/>
      <w:marTop w:val="0"/>
      <w:marBottom w:val="0"/>
      <w:divBdr>
        <w:top w:val="none" w:sz="0" w:space="0" w:color="auto"/>
        <w:left w:val="none" w:sz="0" w:space="0" w:color="auto"/>
        <w:bottom w:val="none" w:sz="0" w:space="0" w:color="auto"/>
        <w:right w:val="none" w:sz="0" w:space="0" w:color="auto"/>
      </w:divBdr>
    </w:div>
    <w:div w:id="1647667301">
      <w:bodyDiv w:val="1"/>
      <w:marLeft w:val="0"/>
      <w:marRight w:val="0"/>
      <w:marTop w:val="0"/>
      <w:marBottom w:val="0"/>
      <w:divBdr>
        <w:top w:val="none" w:sz="0" w:space="0" w:color="auto"/>
        <w:left w:val="none" w:sz="0" w:space="0" w:color="auto"/>
        <w:bottom w:val="none" w:sz="0" w:space="0" w:color="auto"/>
        <w:right w:val="none" w:sz="0" w:space="0" w:color="auto"/>
      </w:divBdr>
    </w:div>
    <w:div w:id="1655449835">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689138839">
      <w:bodyDiv w:val="1"/>
      <w:marLeft w:val="0"/>
      <w:marRight w:val="0"/>
      <w:marTop w:val="0"/>
      <w:marBottom w:val="0"/>
      <w:divBdr>
        <w:top w:val="none" w:sz="0" w:space="0" w:color="auto"/>
        <w:left w:val="none" w:sz="0" w:space="0" w:color="auto"/>
        <w:bottom w:val="none" w:sz="0" w:space="0" w:color="auto"/>
        <w:right w:val="none" w:sz="0" w:space="0" w:color="auto"/>
      </w:divBdr>
    </w:div>
    <w:div w:id="1691636320">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06253786">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18551358">
      <w:bodyDiv w:val="1"/>
      <w:marLeft w:val="0"/>
      <w:marRight w:val="0"/>
      <w:marTop w:val="0"/>
      <w:marBottom w:val="0"/>
      <w:divBdr>
        <w:top w:val="none" w:sz="0" w:space="0" w:color="auto"/>
        <w:left w:val="none" w:sz="0" w:space="0" w:color="auto"/>
        <w:bottom w:val="none" w:sz="0" w:space="0" w:color="auto"/>
        <w:right w:val="none" w:sz="0" w:space="0" w:color="auto"/>
      </w:divBdr>
    </w:div>
    <w:div w:id="1742023300">
      <w:bodyDiv w:val="1"/>
      <w:marLeft w:val="0"/>
      <w:marRight w:val="0"/>
      <w:marTop w:val="0"/>
      <w:marBottom w:val="0"/>
      <w:divBdr>
        <w:top w:val="none" w:sz="0" w:space="0" w:color="auto"/>
        <w:left w:val="none" w:sz="0" w:space="0" w:color="auto"/>
        <w:bottom w:val="none" w:sz="0" w:space="0" w:color="auto"/>
        <w:right w:val="none" w:sz="0" w:space="0" w:color="auto"/>
      </w:divBdr>
      <w:divsChild>
        <w:div w:id="928781226">
          <w:marLeft w:val="0"/>
          <w:marRight w:val="1"/>
          <w:marTop w:val="0"/>
          <w:marBottom w:val="0"/>
          <w:divBdr>
            <w:top w:val="none" w:sz="0" w:space="0" w:color="auto"/>
            <w:left w:val="none" w:sz="0" w:space="0" w:color="auto"/>
            <w:bottom w:val="none" w:sz="0" w:space="0" w:color="auto"/>
            <w:right w:val="none" w:sz="0" w:space="0" w:color="auto"/>
          </w:divBdr>
          <w:divsChild>
            <w:div w:id="521092218">
              <w:marLeft w:val="0"/>
              <w:marRight w:val="0"/>
              <w:marTop w:val="0"/>
              <w:marBottom w:val="0"/>
              <w:divBdr>
                <w:top w:val="none" w:sz="0" w:space="0" w:color="auto"/>
                <w:left w:val="none" w:sz="0" w:space="0" w:color="auto"/>
                <w:bottom w:val="none" w:sz="0" w:space="0" w:color="auto"/>
                <w:right w:val="none" w:sz="0" w:space="0" w:color="auto"/>
              </w:divBdr>
              <w:divsChild>
                <w:div w:id="206533507">
                  <w:marLeft w:val="0"/>
                  <w:marRight w:val="1"/>
                  <w:marTop w:val="0"/>
                  <w:marBottom w:val="0"/>
                  <w:divBdr>
                    <w:top w:val="none" w:sz="0" w:space="0" w:color="auto"/>
                    <w:left w:val="none" w:sz="0" w:space="0" w:color="auto"/>
                    <w:bottom w:val="none" w:sz="0" w:space="0" w:color="auto"/>
                    <w:right w:val="none" w:sz="0" w:space="0" w:color="auto"/>
                  </w:divBdr>
                  <w:divsChild>
                    <w:div w:id="628516368">
                      <w:marLeft w:val="0"/>
                      <w:marRight w:val="0"/>
                      <w:marTop w:val="0"/>
                      <w:marBottom w:val="0"/>
                      <w:divBdr>
                        <w:top w:val="none" w:sz="0" w:space="0" w:color="auto"/>
                        <w:left w:val="none" w:sz="0" w:space="0" w:color="auto"/>
                        <w:bottom w:val="none" w:sz="0" w:space="0" w:color="auto"/>
                        <w:right w:val="none" w:sz="0" w:space="0" w:color="auto"/>
                      </w:divBdr>
                      <w:divsChild>
                        <w:div w:id="241840206">
                          <w:marLeft w:val="0"/>
                          <w:marRight w:val="0"/>
                          <w:marTop w:val="0"/>
                          <w:marBottom w:val="0"/>
                          <w:divBdr>
                            <w:top w:val="none" w:sz="0" w:space="0" w:color="auto"/>
                            <w:left w:val="none" w:sz="0" w:space="0" w:color="auto"/>
                            <w:bottom w:val="none" w:sz="0" w:space="0" w:color="auto"/>
                            <w:right w:val="none" w:sz="0" w:space="0" w:color="auto"/>
                          </w:divBdr>
                          <w:divsChild>
                            <w:div w:id="2050297020">
                              <w:marLeft w:val="0"/>
                              <w:marRight w:val="0"/>
                              <w:marTop w:val="120"/>
                              <w:marBottom w:val="360"/>
                              <w:divBdr>
                                <w:top w:val="none" w:sz="0" w:space="0" w:color="auto"/>
                                <w:left w:val="none" w:sz="0" w:space="0" w:color="auto"/>
                                <w:bottom w:val="none" w:sz="0" w:space="0" w:color="auto"/>
                                <w:right w:val="none" w:sz="0" w:space="0" w:color="auto"/>
                              </w:divBdr>
                              <w:divsChild>
                                <w:div w:id="50856966">
                                  <w:marLeft w:val="0"/>
                                  <w:marRight w:val="0"/>
                                  <w:marTop w:val="0"/>
                                  <w:marBottom w:val="0"/>
                                  <w:divBdr>
                                    <w:top w:val="none" w:sz="0" w:space="0" w:color="auto"/>
                                    <w:left w:val="none" w:sz="0" w:space="0" w:color="auto"/>
                                    <w:bottom w:val="none" w:sz="0" w:space="0" w:color="auto"/>
                                    <w:right w:val="none" w:sz="0" w:space="0" w:color="auto"/>
                                  </w:divBdr>
                                </w:div>
                                <w:div w:id="193809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4595455">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58669165">
      <w:bodyDiv w:val="1"/>
      <w:marLeft w:val="0"/>
      <w:marRight w:val="0"/>
      <w:marTop w:val="0"/>
      <w:marBottom w:val="0"/>
      <w:divBdr>
        <w:top w:val="none" w:sz="0" w:space="0" w:color="auto"/>
        <w:left w:val="none" w:sz="0" w:space="0" w:color="auto"/>
        <w:bottom w:val="none" w:sz="0" w:space="0" w:color="auto"/>
        <w:right w:val="none" w:sz="0" w:space="0" w:color="auto"/>
      </w:divBdr>
    </w:div>
    <w:div w:id="1769158114">
      <w:bodyDiv w:val="1"/>
      <w:marLeft w:val="0"/>
      <w:marRight w:val="0"/>
      <w:marTop w:val="0"/>
      <w:marBottom w:val="0"/>
      <w:divBdr>
        <w:top w:val="none" w:sz="0" w:space="0" w:color="auto"/>
        <w:left w:val="none" w:sz="0" w:space="0" w:color="auto"/>
        <w:bottom w:val="none" w:sz="0" w:space="0" w:color="auto"/>
        <w:right w:val="none" w:sz="0" w:space="0" w:color="auto"/>
      </w:divBdr>
    </w:div>
    <w:div w:id="1774395432">
      <w:bodyDiv w:val="1"/>
      <w:marLeft w:val="0"/>
      <w:marRight w:val="0"/>
      <w:marTop w:val="0"/>
      <w:marBottom w:val="0"/>
      <w:divBdr>
        <w:top w:val="none" w:sz="0" w:space="0" w:color="auto"/>
        <w:left w:val="none" w:sz="0" w:space="0" w:color="auto"/>
        <w:bottom w:val="none" w:sz="0" w:space="0" w:color="auto"/>
        <w:right w:val="none" w:sz="0" w:space="0" w:color="auto"/>
      </w:divBdr>
      <w:divsChild>
        <w:div w:id="97798693">
          <w:marLeft w:val="0"/>
          <w:marRight w:val="0"/>
          <w:marTop w:val="0"/>
          <w:marBottom w:val="0"/>
          <w:divBdr>
            <w:top w:val="none" w:sz="0" w:space="0" w:color="auto"/>
            <w:left w:val="none" w:sz="0" w:space="0" w:color="auto"/>
            <w:bottom w:val="none" w:sz="0" w:space="0" w:color="auto"/>
            <w:right w:val="none" w:sz="0" w:space="0" w:color="auto"/>
          </w:divBdr>
          <w:divsChild>
            <w:div w:id="1672904349">
              <w:marLeft w:val="439"/>
              <w:marRight w:val="0"/>
              <w:marTop w:val="0"/>
              <w:marBottom w:val="0"/>
              <w:divBdr>
                <w:top w:val="none" w:sz="0" w:space="0" w:color="auto"/>
                <w:left w:val="none" w:sz="0" w:space="0" w:color="auto"/>
                <w:bottom w:val="none" w:sz="0" w:space="0" w:color="auto"/>
                <w:right w:val="none" w:sz="0" w:space="0" w:color="auto"/>
              </w:divBdr>
              <w:divsChild>
                <w:div w:id="2035375330">
                  <w:marLeft w:val="0"/>
                  <w:marRight w:val="0"/>
                  <w:marTop w:val="0"/>
                  <w:marBottom w:val="0"/>
                  <w:divBdr>
                    <w:top w:val="none" w:sz="0" w:space="0" w:color="auto"/>
                    <w:left w:val="none" w:sz="0" w:space="0" w:color="auto"/>
                    <w:bottom w:val="none" w:sz="0" w:space="0" w:color="auto"/>
                    <w:right w:val="none" w:sz="0" w:space="0" w:color="auto"/>
                  </w:divBdr>
                  <w:divsChild>
                    <w:div w:id="796143399">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05139">
          <w:marLeft w:val="0"/>
          <w:marRight w:val="0"/>
          <w:marTop w:val="0"/>
          <w:marBottom w:val="0"/>
          <w:divBdr>
            <w:top w:val="none" w:sz="0" w:space="0" w:color="auto"/>
            <w:left w:val="none" w:sz="0" w:space="0" w:color="auto"/>
            <w:bottom w:val="none" w:sz="0" w:space="0" w:color="auto"/>
            <w:right w:val="none" w:sz="0" w:space="0" w:color="auto"/>
          </w:divBdr>
        </w:div>
      </w:divsChild>
    </w:div>
    <w:div w:id="1777558152">
      <w:bodyDiv w:val="1"/>
      <w:marLeft w:val="0"/>
      <w:marRight w:val="0"/>
      <w:marTop w:val="0"/>
      <w:marBottom w:val="0"/>
      <w:divBdr>
        <w:top w:val="none" w:sz="0" w:space="0" w:color="auto"/>
        <w:left w:val="none" w:sz="0" w:space="0" w:color="auto"/>
        <w:bottom w:val="none" w:sz="0" w:space="0" w:color="auto"/>
        <w:right w:val="none" w:sz="0" w:space="0" w:color="auto"/>
      </w:divBdr>
    </w:div>
    <w:div w:id="1785148346">
      <w:bodyDiv w:val="1"/>
      <w:marLeft w:val="0"/>
      <w:marRight w:val="0"/>
      <w:marTop w:val="0"/>
      <w:marBottom w:val="0"/>
      <w:divBdr>
        <w:top w:val="none" w:sz="0" w:space="0" w:color="auto"/>
        <w:left w:val="none" w:sz="0" w:space="0" w:color="auto"/>
        <w:bottom w:val="none" w:sz="0" w:space="0" w:color="auto"/>
        <w:right w:val="none" w:sz="0" w:space="0" w:color="auto"/>
      </w:divBdr>
    </w:div>
    <w:div w:id="1785151400">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803035630">
      <w:bodyDiv w:val="1"/>
      <w:marLeft w:val="0"/>
      <w:marRight w:val="0"/>
      <w:marTop w:val="0"/>
      <w:marBottom w:val="0"/>
      <w:divBdr>
        <w:top w:val="none" w:sz="0" w:space="0" w:color="auto"/>
        <w:left w:val="none" w:sz="0" w:space="0" w:color="auto"/>
        <w:bottom w:val="none" w:sz="0" w:space="0" w:color="auto"/>
        <w:right w:val="none" w:sz="0" w:space="0" w:color="auto"/>
      </w:divBdr>
      <w:divsChild>
        <w:div w:id="1259943816">
          <w:marLeft w:val="0"/>
          <w:marRight w:val="0"/>
          <w:marTop w:val="0"/>
          <w:marBottom w:val="0"/>
          <w:divBdr>
            <w:top w:val="none" w:sz="0" w:space="0" w:color="auto"/>
            <w:left w:val="none" w:sz="0" w:space="0" w:color="auto"/>
            <w:bottom w:val="none" w:sz="0" w:space="0" w:color="auto"/>
            <w:right w:val="none" w:sz="0" w:space="0" w:color="auto"/>
          </w:divBdr>
          <w:divsChild>
            <w:div w:id="2139715718">
              <w:marLeft w:val="0"/>
              <w:marRight w:val="0"/>
              <w:marTop w:val="0"/>
              <w:marBottom w:val="0"/>
              <w:divBdr>
                <w:top w:val="none" w:sz="0" w:space="0" w:color="auto"/>
                <w:left w:val="none" w:sz="0" w:space="0" w:color="auto"/>
                <w:bottom w:val="none" w:sz="0" w:space="0" w:color="auto"/>
                <w:right w:val="none" w:sz="0" w:space="0" w:color="auto"/>
              </w:divBdr>
              <w:divsChild>
                <w:div w:id="763720232">
                  <w:marLeft w:val="0"/>
                  <w:marRight w:val="0"/>
                  <w:marTop w:val="0"/>
                  <w:marBottom w:val="0"/>
                  <w:divBdr>
                    <w:top w:val="none" w:sz="0" w:space="0" w:color="auto"/>
                    <w:left w:val="none" w:sz="0" w:space="0" w:color="auto"/>
                    <w:bottom w:val="none" w:sz="0" w:space="0" w:color="auto"/>
                    <w:right w:val="none" w:sz="0" w:space="0" w:color="auto"/>
                  </w:divBdr>
                  <w:divsChild>
                    <w:div w:id="537738225">
                      <w:marLeft w:val="0"/>
                      <w:marRight w:val="0"/>
                      <w:marTop w:val="0"/>
                      <w:marBottom w:val="0"/>
                      <w:divBdr>
                        <w:top w:val="none" w:sz="0" w:space="0" w:color="auto"/>
                        <w:left w:val="none" w:sz="0" w:space="0" w:color="auto"/>
                        <w:bottom w:val="none" w:sz="0" w:space="0" w:color="auto"/>
                        <w:right w:val="none" w:sz="0" w:space="0" w:color="auto"/>
                      </w:divBdr>
                      <w:divsChild>
                        <w:div w:id="846211833">
                          <w:marLeft w:val="0"/>
                          <w:marRight w:val="0"/>
                          <w:marTop w:val="0"/>
                          <w:marBottom w:val="0"/>
                          <w:divBdr>
                            <w:top w:val="none" w:sz="0" w:space="0" w:color="auto"/>
                            <w:left w:val="none" w:sz="0" w:space="0" w:color="auto"/>
                            <w:bottom w:val="none" w:sz="0" w:space="0" w:color="auto"/>
                            <w:right w:val="none" w:sz="0" w:space="0" w:color="auto"/>
                          </w:divBdr>
                          <w:divsChild>
                            <w:div w:id="1711685584">
                              <w:marLeft w:val="0"/>
                              <w:marRight w:val="0"/>
                              <w:marTop w:val="0"/>
                              <w:marBottom w:val="0"/>
                              <w:divBdr>
                                <w:top w:val="none" w:sz="0" w:space="0" w:color="auto"/>
                                <w:left w:val="none" w:sz="0" w:space="0" w:color="auto"/>
                                <w:bottom w:val="none" w:sz="0" w:space="0" w:color="auto"/>
                                <w:right w:val="none" w:sz="0" w:space="0" w:color="auto"/>
                              </w:divBdr>
                              <w:divsChild>
                                <w:div w:id="755130334">
                                  <w:marLeft w:val="0"/>
                                  <w:marRight w:val="0"/>
                                  <w:marTop w:val="0"/>
                                  <w:marBottom w:val="0"/>
                                  <w:divBdr>
                                    <w:top w:val="none" w:sz="0" w:space="0" w:color="auto"/>
                                    <w:left w:val="none" w:sz="0" w:space="0" w:color="auto"/>
                                    <w:bottom w:val="none" w:sz="0" w:space="0" w:color="auto"/>
                                    <w:right w:val="none" w:sz="0" w:space="0" w:color="auto"/>
                                  </w:divBdr>
                                  <w:divsChild>
                                    <w:div w:id="799885405">
                                      <w:marLeft w:val="0"/>
                                      <w:marRight w:val="0"/>
                                      <w:marTop w:val="0"/>
                                      <w:marBottom w:val="0"/>
                                      <w:divBdr>
                                        <w:top w:val="none" w:sz="0" w:space="0" w:color="auto"/>
                                        <w:left w:val="none" w:sz="0" w:space="0" w:color="auto"/>
                                        <w:bottom w:val="none" w:sz="0" w:space="0" w:color="auto"/>
                                        <w:right w:val="none" w:sz="0" w:space="0" w:color="auto"/>
                                      </w:divBdr>
                                      <w:divsChild>
                                        <w:div w:id="405078267">
                                          <w:marLeft w:val="0"/>
                                          <w:marRight w:val="0"/>
                                          <w:marTop w:val="0"/>
                                          <w:marBottom w:val="0"/>
                                          <w:divBdr>
                                            <w:top w:val="none" w:sz="0" w:space="0" w:color="auto"/>
                                            <w:left w:val="none" w:sz="0" w:space="0" w:color="auto"/>
                                            <w:bottom w:val="none" w:sz="0" w:space="0" w:color="auto"/>
                                            <w:right w:val="none" w:sz="0" w:space="0" w:color="auto"/>
                                          </w:divBdr>
                                          <w:divsChild>
                                            <w:div w:id="1349285850">
                                              <w:marLeft w:val="0"/>
                                              <w:marRight w:val="0"/>
                                              <w:marTop w:val="0"/>
                                              <w:marBottom w:val="0"/>
                                              <w:divBdr>
                                                <w:top w:val="none" w:sz="0" w:space="0" w:color="auto"/>
                                                <w:left w:val="none" w:sz="0" w:space="0" w:color="auto"/>
                                                <w:bottom w:val="none" w:sz="0" w:space="0" w:color="auto"/>
                                                <w:right w:val="none" w:sz="0" w:space="0" w:color="auto"/>
                                              </w:divBdr>
                                              <w:divsChild>
                                                <w:div w:id="1854685686">
                                                  <w:marLeft w:val="0"/>
                                                  <w:marRight w:val="0"/>
                                                  <w:marTop w:val="0"/>
                                                  <w:marBottom w:val="0"/>
                                                  <w:divBdr>
                                                    <w:top w:val="none" w:sz="0" w:space="0" w:color="auto"/>
                                                    <w:left w:val="none" w:sz="0" w:space="0" w:color="auto"/>
                                                    <w:bottom w:val="none" w:sz="0" w:space="0" w:color="auto"/>
                                                    <w:right w:val="none" w:sz="0" w:space="0" w:color="auto"/>
                                                  </w:divBdr>
                                                  <w:divsChild>
                                                    <w:div w:id="413670629">
                                                      <w:marLeft w:val="0"/>
                                                      <w:marRight w:val="0"/>
                                                      <w:marTop w:val="0"/>
                                                      <w:marBottom w:val="0"/>
                                                      <w:divBdr>
                                                        <w:top w:val="none" w:sz="0" w:space="0" w:color="auto"/>
                                                        <w:left w:val="none" w:sz="0" w:space="0" w:color="auto"/>
                                                        <w:bottom w:val="none" w:sz="0" w:space="0" w:color="auto"/>
                                                        <w:right w:val="none" w:sz="0" w:space="0" w:color="auto"/>
                                                      </w:divBdr>
                                                      <w:divsChild>
                                                        <w:div w:id="162404825">
                                                          <w:marLeft w:val="0"/>
                                                          <w:marRight w:val="0"/>
                                                          <w:marTop w:val="0"/>
                                                          <w:marBottom w:val="0"/>
                                                          <w:divBdr>
                                                            <w:top w:val="none" w:sz="0" w:space="0" w:color="auto"/>
                                                            <w:left w:val="none" w:sz="0" w:space="0" w:color="auto"/>
                                                            <w:bottom w:val="none" w:sz="0" w:space="0" w:color="auto"/>
                                                            <w:right w:val="none" w:sz="0" w:space="0" w:color="auto"/>
                                                          </w:divBdr>
                                                        </w:div>
                                                      </w:divsChild>
                                                    </w:div>
                                                    <w:div w:id="219707881">
                                                      <w:marLeft w:val="0"/>
                                                      <w:marRight w:val="0"/>
                                                      <w:marTop w:val="0"/>
                                                      <w:marBottom w:val="0"/>
                                                      <w:divBdr>
                                                        <w:top w:val="none" w:sz="0" w:space="0" w:color="auto"/>
                                                        <w:left w:val="none" w:sz="0" w:space="0" w:color="auto"/>
                                                        <w:bottom w:val="none" w:sz="0" w:space="0" w:color="auto"/>
                                                        <w:right w:val="none" w:sz="0" w:space="0" w:color="auto"/>
                                                      </w:divBdr>
                                                      <w:divsChild>
                                                        <w:div w:id="299767613">
                                                          <w:marLeft w:val="0"/>
                                                          <w:marRight w:val="0"/>
                                                          <w:marTop w:val="0"/>
                                                          <w:marBottom w:val="75"/>
                                                          <w:divBdr>
                                                            <w:top w:val="none" w:sz="0" w:space="0" w:color="auto"/>
                                                            <w:left w:val="none" w:sz="0" w:space="0" w:color="auto"/>
                                                            <w:bottom w:val="none" w:sz="0" w:space="0" w:color="auto"/>
                                                            <w:right w:val="none" w:sz="0" w:space="0" w:color="auto"/>
                                                          </w:divBdr>
                                                          <w:divsChild>
                                                            <w:div w:id="206104781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99153311">
                                                      <w:marLeft w:val="0"/>
                                                      <w:marRight w:val="0"/>
                                                      <w:marTop w:val="240"/>
                                                      <w:marBottom w:val="0"/>
                                                      <w:divBdr>
                                                        <w:top w:val="none" w:sz="0" w:space="0" w:color="auto"/>
                                                        <w:left w:val="none" w:sz="0" w:space="0" w:color="auto"/>
                                                        <w:bottom w:val="none" w:sz="0" w:space="0" w:color="auto"/>
                                                        <w:right w:val="none" w:sz="0" w:space="0" w:color="auto"/>
                                                      </w:divBdr>
                                                    </w:div>
                                                    <w:div w:id="2040933813">
                                                      <w:marLeft w:val="0"/>
                                                      <w:marRight w:val="240"/>
                                                      <w:marTop w:val="0"/>
                                                      <w:marBottom w:val="0"/>
                                                      <w:divBdr>
                                                        <w:top w:val="none" w:sz="0" w:space="0" w:color="auto"/>
                                                        <w:left w:val="none" w:sz="0" w:space="0" w:color="auto"/>
                                                        <w:bottom w:val="none" w:sz="0" w:space="0" w:color="auto"/>
                                                        <w:right w:val="none" w:sz="0" w:space="0" w:color="auto"/>
                                                      </w:divBdr>
                                                    </w:div>
                                                    <w:div w:id="2102481741">
                                                      <w:marLeft w:val="0"/>
                                                      <w:marRight w:val="240"/>
                                                      <w:marTop w:val="0"/>
                                                      <w:marBottom w:val="0"/>
                                                      <w:divBdr>
                                                        <w:top w:val="none" w:sz="0" w:space="0" w:color="auto"/>
                                                        <w:left w:val="none" w:sz="0" w:space="0" w:color="auto"/>
                                                        <w:bottom w:val="none" w:sz="0" w:space="0" w:color="auto"/>
                                                        <w:right w:val="none" w:sz="0" w:space="0" w:color="auto"/>
                                                      </w:divBdr>
                                                    </w:div>
                                                    <w:div w:id="1079911389">
                                                      <w:marLeft w:val="0"/>
                                                      <w:marRight w:val="240"/>
                                                      <w:marTop w:val="0"/>
                                                      <w:marBottom w:val="0"/>
                                                      <w:divBdr>
                                                        <w:top w:val="none" w:sz="0" w:space="0" w:color="auto"/>
                                                        <w:left w:val="none" w:sz="0" w:space="0" w:color="auto"/>
                                                        <w:bottom w:val="none" w:sz="0" w:space="0" w:color="auto"/>
                                                        <w:right w:val="none" w:sz="0" w:space="0" w:color="auto"/>
                                                      </w:divBdr>
                                                    </w:div>
                                                  </w:divsChild>
                                                </w:div>
                                                <w:div w:id="1968005219">
                                                  <w:marLeft w:val="0"/>
                                                  <w:marRight w:val="0"/>
                                                  <w:marTop w:val="0"/>
                                                  <w:marBottom w:val="0"/>
                                                  <w:divBdr>
                                                    <w:top w:val="none" w:sz="0" w:space="0" w:color="auto"/>
                                                    <w:left w:val="none" w:sz="0" w:space="0" w:color="auto"/>
                                                    <w:bottom w:val="none" w:sz="0" w:space="0" w:color="auto"/>
                                                    <w:right w:val="none" w:sz="0" w:space="0" w:color="auto"/>
                                                  </w:divBdr>
                                                  <w:divsChild>
                                                    <w:div w:id="126971019">
                                                      <w:marLeft w:val="0"/>
                                                      <w:marRight w:val="0"/>
                                                      <w:marTop w:val="0"/>
                                                      <w:marBottom w:val="0"/>
                                                      <w:divBdr>
                                                        <w:top w:val="none" w:sz="0" w:space="0" w:color="auto"/>
                                                        <w:left w:val="none" w:sz="0" w:space="0" w:color="auto"/>
                                                        <w:bottom w:val="none" w:sz="0" w:space="0" w:color="auto"/>
                                                        <w:right w:val="none" w:sz="0" w:space="0" w:color="auto"/>
                                                      </w:divBdr>
                                                      <w:divsChild>
                                                        <w:div w:id="157885219">
                                                          <w:marLeft w:val="0"/>
                                                          <w:marRight w:val="0"/>
                                                          <w:marTop w:val="0"/>
                                                          <w:marBottom w:val="0"/>
                                                          <w:divBdr>
                                                            <w:top w:val="none" w:sz="0" w:space="0" w:color="auto"/>
                                                            <w:left w:val="none" w:sz="0" w:space="0" w:color="auto"/>
                                                            <w:bottom w:val="none" w:sz="0" w:space="0" w:color="auto"/>
                                                            <w:right w:val="none" w:sz="0" w:space="0" w:color="auto"/>
                                                          </w:divBdr>
                                                        </w:div>
                                                      </w:divsChild>
                                                    </w:div>
                                                    <w:div w:id="1744643657">
                                                      <w:marLeft w:val="0"/>
                                                      <w:marRight w:val="0"/>
                                                      <w:marTop w:val="0"/>
                                                      <w:marBottom w:val="0"/>
                                                      <w:divBdr>
                                                        <w:top w:val="none" w:sz="0" w:space="0" w:color="auto"/>
                                                        <w:left w:val="none" w:sz="0" w:space="0" w:color="auto"/>
                                                        <w:bottom w:val="none" w:sz="0" w:space="0" w:color="auto"/>
                                                        <w:right w:val="none" w:sz="0" w:space="0" w:color="auto"/>
                                                      </w:divBdr>
                                                      <w:divsChild>
                                                        <w:div w:id="1983847446">
                                                          <w:marLeft w:val="0"/>
                                                          <w:marRight w:val="0"/>
                                                          <w:marTop w:val="0"/>
                                                          <w:marBottom w:val="75"/>
                                                          <w:divBdr>
                                                            <w:top w:val="none" w:sz="0" w:space="0" w:color="auto"/>
                                                            <w:left w:val="none" w:sz="0" w:space="0" w:color="auto"/>
                                                            <w:bottom w:val="none" w:sz="0" w:space="0" w:color="auto"/>
                                                            <w:right w:val="none" w:sz="0" w:space="0" w:color="auto"/>
                                                          </w:divBdr>
                                                          <w:divsChild>
                                                            <w:div w:id="923762453">
                                                              <w:marLeft w:val="0"/>
                                                              <w:marRight w:val="75"/>
                                                              <w:marTop w:val="0"/>
                                                              <w:marBottom w:val="0"/>
                                                              <w:divBdr>
                                                                <w:top w:val="none" w:sz="0" w:space="0" w:color="auto"/>
                                                                <w:left w:val="none" w:sz="0" w:space="0" w:color="auto"/>
                                                                <w:bottom w:val="none" w:sz="0" w:space="0" w:color="auto"/>
                                                                <w:right w:val="none" w:sz="0" w:space="0" w:color="auto"/>
                                                              </w:divBdr>
                                                            </w:div>
                                                          </w:divsChild>
                                                        </w:div>
                                                        <w:div w:id="689644776">
                                                          <w:marLeft w:val="0"/>
                                                          <w:marRight w:val="0"/>
                                                          <w:marTop w:val="0"/>
                                                          <w:marBottom w:val="75"/>
                                                          <w:divBdr>
                                                            <w:top w:val="none" w:sz="0" w:space="0" w:color="auto"/>
                                                            <w:left w:val="none" w:sz="0" w:space="0" w:color="auto"/>
                                                            <w:bottom w:val="none" w:sz="0" w:space="0" w:color="auto"/>
                                                            <w:right w:val="none" w:sz="0" w:space="0" w:color="auto"/>
                                                          </w:divBdr>
                                                          <w:divsChild>
                                                            <w:div w:id="36833837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76413550">
                                                      <w:marLeft w:val="0"/>
                                                      <w:marRight w:val="0"/>
                                                      <w:marTop w:val="240"/>
                                                      <w:marBottom w:val="0"/>
                                                      <w:divBdr>
                                                        <w:top w:val="none" w:sz="0" w:space="0" w:color="auto"/>
                                                        <w:left w:val="none" w:sz="0" w:space="0" w:color="auto"/>
                                                        <w:bottom w:val="none" w:sz="0" w:space="0" w:color="auto"/>
                                                        <w:right w:val="none" w:sz="0" w:space="0" w:color="auto"/>
                                                      </w:divBdr>
                                                    </w:div>
                                                    <w:div w:id="1257520298">
                                                      <w:marLeft w:val="0"/>
                                                      <w:marRight w:val="240"/>
                                                      <w:marTop w:val="0"/>
                                                      <w:marBottom w:val="0"/>
                                                      <w:divBdr>
                                                        <w:top w:val="none" w:sz="0" w:space="0" w:color="auto"/>
                                                        <w:left w:val="none" w:sz="0" w:space="0" w:color="auto"/>
                                                        <w:bottom w:val="none" w:sz="0" w:space="0" w:color="auto"/>
                                                        <w:right w:val="none" w:sz="0" w:space="0" w:color="auto"/>
                                                      </w:divBdr>
                                                    </w:div>
                                                    <w:div w:id="1708985729">
                                                      <w:marLeft w:val="0"/>
                                                      <w:marRight w:val="240"/>
                                                      <w:marTop w:val="0"/>
                                                      <w:marBottom w:val="0"/>
                                                      <w:divBdr>
                                                        <w:top w:val="none" w:sz="0" w:space="0" w:color="auto"/>
                                                        <w:left w:val="none" w:sz="0" w:space="0" w:color="auto"/>
                                                        <w:bottom w:val="none" w:sz="0" w:space="0" w:color="auto"/>
                                                        <w:right w:val="none" w:sz="0" w:space="0" w:color="auto"/>
                                                      </w:divBdr>
                                                    </w:div>
                                                    <w:div w:id="263390955">
                                                      <w:marLeft w:val="0"/>
                                                      <w:marRight w:val="240"/>
                                                      <w:marTop w:val="0"/>
                                                      <w:marBottom w:val="0"/>
                                                      <w:divBdr>
                                                        <w:top w:val="none" w:sz="0" w:space="0" w:color="auto"/>
                                                        <w:left w:val="none" w:sz="0" w:space="0" w:color="auto"/>
                                                        <w:bottom w:val="none" w:sz="0" w:space="0" w:color="auto"/>
                                                        <w:right w:val="none" w:sz="0" w:space="0" w:color="auto"/>
                                                      </w:divBdr>
                                                    </w:div>
                                                  </w:divsChild>
                                                </w:div>
                                                <w:div w:id="808745896">
                                                  <w:marLeft w:val="0"/>
                                                  <w:marRight w:val="0"/>
                                                  <w:marTop w:val="0"/>
                                                  <w:marBottom w:val="0"/>
                                                  <w:divBdr>
                                                    <w:top w:val="none" w:sz="0" w:space="0" w:color="auto"/>
                                                    <w:left w:val="none" w:sz="0" w:space="0" w:color="auto"/>
                                                    <w:bottom w:val="none" w:sz="0" w:space="0" w:color="auto"/>
                                                    <w:right w:val="none" w:sz="0" w:space="0" w:color="auto"/>
                                                  </w:divBdr>
                                                  <w:divsChild>
                                                    <w:div w:id="1579630513">
                                                      <w:marLeft w:val="0"/>
                                                      <w:marRight w:val="0"/>
                                                      <w:marTop w:val="0"/>
                                                      <w:marBottom w:val="0"/>
                                                      <w:divBdr>
                                                        <w:top w:val="none" w:sz="0" w:space="0" w:color="auto"/>
                                                        <w:left w:val="none" w:sz="0" w:space="0" w:color="auto"/>
                                                        <w:bottom w:val="none" w:sz="0" w:space="0" w:color="auto"/>
                                                        <w:right w:val="none" w:sz="0" w:space="0" w:color="auto"/>
                                                      </w:divBdr>
                                                      <w:divsChild>
                                                        <w:div w:id="1452939455">
                                                          <w:marLeft w:val="0"/>
                                                          <w:marRight w:val="0"/>
                                                          <w:marTop w:val="0"/>
                                                          <w:marBottom w:val="0"/>
                                                          <w:divBdr>
                                                            <w:top w:val="none" w:sz="0" w:space="0" w:color="auto"/>
                                                            <w:left w:val="none" w:sz="0" w:space="0" w:color="auto"/>
                                                            <w:bottom w:val="none" w:sz="0" w:space="0" w:color="auto"/>
                                                            <w:right w:val="none" w:sz="0" w:space="0" w:color="auto"/>
                                                          </w:divBdr>
                                                        </w:div>
                                                      </w:divsChild>
                                                    </w:div>
                                                    <w:div w:id="880632239">
                                                      <w:marLeft w:val="0"/>
                                                      <w:marRight w:val="0"/>
                                                      <w:marTop w:val="0"/>
                                                      <w:marBottom w:val="0"/>
                                                      <w:divBdr>
                                                        <w:top w:val="none" w:sz="0" w:space="0" w:color="auto"/>
                                                        <w:left w:val="none" w:sz="0" w:space="0" w:color="auto"/>
                                                        <w:bottom w:val="none" w:sz="0" w:space="0" w:color="auto"/>
                                                        <w:right w:val="none" w:sz="0" w:space="0" w:color="auto"/>
                                                      </w:divBdr>
                                                      <w:divsChild>
                                                        <w:div w:id="1937904889">
                                                          <w:marLeft w:val="0"/>
                                                          <w:marRight w:val="0"/>
                                                          <w:marTop w:val="0"/>
                                                          <w:marBottom w:val="75"/>
                                                          <w:divBdr>
                                                            <w:top w:val="none" w:sz="0" w:space="0" w:color="auto"/>
                                                            <w:left w:val="none" w:sz="0" w:space="0" w:color="auto"/>
                                                            <w:bottom w:val="none" w:sz="0" w:space="0" w:color="auto"/>
                                                            <w:right w:val="none" w:sz="0" w:space="0" w:color="auto"/>
                                                          </w:divBdr>
                                                          <w:divsChild>
                                                            <w:div w:id="20438943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427048689">
                                                      <w:marLeft w:val="0"/>
                                                      <w:marRight w:val="0"/>
                                                      <w:marTop w:val="240"/>
                                                      <w:marBottom w:val="0"/>
                                                      <w:divBdr>
                                                        <w:top w:val="none" w:sz="0" w:space="0" w:color="auto"/>
                                                        <w:left w:val="none" w:sz="0" w:space="0" w:color="auto"/>
                                                        <w:bottom w:val="none" w:sz="0" w:space="0" w:color="auto"/>
                                                        <w:right w:val="none" w:sz="0" w:space="0" w:color="auto"/>
                                                      </w:divBdr>
                                                    </w:div>
                                                    <w:div w:id="1342973303">
                                                      <w:marLeft w:val="0"/>
                                                      <w:marRight w:val="240"/>
                                                      <w:marTop w:val="0"/>
                                                      <w:marBottom w:val="0"/>
                                                      <w:divBdr>
                                                        <w:top w:val="none" w:sz="0" w:space="0" w:color="auto"/>
                                                        <w:left w:val="none" w:sz="0" w:space="0" w:color="auto"/>
                                                        <w:bottom w:val="none" w:sz="0" w:space="0" w:color="auto"/>
                                                        <w:right w:val="none" w:sz="0" w:space="0" w:color="auto"/>
                                                      </w:divBdr>
                                                    </w:div>
                                                    <w:div w:id="1468468131">
                                                      <w:marLeft w:val="0"/>
                                                      <w:marRight w:val="240"/>
                                                      <w:marTop w:val="0"/>
                                                      <w:marBottom w:val="0"/>
                                                      <w:divBdr>
                                                        <w:top w:val="none" w:sz="0" w:space="0" w:color="auto"/>
                                                        <w:left w:val="none" w:sz="0" w:space="0" w:color="auto"/>
                                                        <w:bottom w:val="none" w:sz="0" w:space="0" w:color="auto"/>
                                                        <w:right w:val="none" w:sz="0" w:space="0" w:color="auto"/>
                                                      </w:divBdr>
                                                    </w:div>
                                                    <w:div w:id="1934046656">
                                                      <w:marLeft w:val="0"/>
                                                      <w:marRight w:val="240"/>
                                                      <w:marTop w:val="0"/>
                                                      <w:marBottom w:val="0"/>
                                                      <w:divBdr>
                                                        <w:top w:val="none" w:sz="0" w:space="0" w:color="auto"/>
                                                        <w:left w:val="none" w:sz="0" w:space="0" w:color="auto"/>
                                                        <w:bottom w:val="none" w:sz="0" w:space="0" w:color="auto"/>
                                                        <w:right w:val="none" w:sz="0" w:space="0" w:color="auto"/>
                                                      </w:divBdr>
                                                    </w:div>
                                                  </w:divsChild>
                                                </w:div>
                                                <w:div w:id="185214392">
                                                  <w:marLeft w:val="0"/>
                                                  <w:marRight w:val="0"/>
                                                  <w:marTop w:val="0"/>
                                                  <w:marBottom w:val="0"/>
                                                  <w:divBdr>
                                                    <w:top w:val="none" w:sz="0" w:space="0" w:color="auto"/>
                                                    <w:left w:val="none" w:sz="0" w:space="0" w:color="auto"/>
                                                    <w:bottom w:val="none" w:sz="0" w:space="0" w:color="auto"/>
                                                    <w:right w:val="none" w:sz="0" w:space="0" w:color="auto"/>
                                                  </w:divBdr>
                                                  <w:divsChild>
                                                    <w:div w:id="179974784">
                                                      <w:marLeft w:val="0"/>
                                                      <w:marRight w:val="0"/>
                                                      <w:marTop w:val="0"/>
                                                      <w:marBottom w:val="0"/>
                                                      <w:divBdr>
                                                        <w:top w:val="none" w:sz="0" w:space="0" w:color="auto"/>
                                                        <w:left w:val="none" w:sz="0" w:space="0" w:color="auto"/>
                                                        <w:bottom w:val="none" w:sz="0" w:space="0" w:color="auto"/>
                                                        <w:right w:val="none" w:sz="0" w:space="0" w:color="auto"/>
                                                      </w:divBdr>
                                                      <w:divsChild>
                                                        <w:div w:id="443234548">
                                                          <w:marLeft w:val="0"/>
                                                          <w:marRight w:val="0"/>
                                                          <w:marTop w:val="0"/>
                                                          <w:marBottom w:val="0"/>
                                                          <w:divBdr>
                                                            <w:top w:val="none" w:sz="0" w:space="0" w:color="auto"/>
                                                            <w:left w:val="none" w:sz="0" w:space="0" w:color="auto"/>
                                                            <w:bottom w:val="none" w:sz="0" w:space="0" w:color="auto"/>
                                                            <w:right w:val="none" w:sz="0" w:space="0" w:color="auto"/>
                                                          </w:divBdr>
                                                        </w:div>
                                                      </w:divsChild>
                                                    </w:div>
                                                    <w:div w:id="974607601">
                                                      <w:marLeft w:val="0"/>
                                                      <w:marRight w:val="0"/>
                                                      <w:marTop w:val="0"/>
                                                      <w:marBottom w:val="0"/>
                                                      <w:divBdr>
                                                        <w:top w:val="none" w:sz="0" w:space="0" w:color="auto"/>
                                                        <w:left w:val="none" w:sz="0" w:space="0" w:color="auto"/>
                                                        <w:bottom w:val="none" w:sz="0" w:space="0" w:color="auto"/>
                                                        <w:right w:val="none" w:sz="0" w:space="0" w:color="auto"/>
                                                      </w:divBdr>
                                                      <w:divsChild>
                                                        <w:div w:id="1410613070">
                                                          <w:marLeft w:val="0"/>
                                                          <w:marRight w:val="0"/>
                                                          <w:marTop w:val="0"/>
                                                          <w:marBottom w:val="75"/>
                                                          <w:divBdr>
                                                            <w:top w:val="none" w:sz="0" w:space="0" w:color="auto"/>
                                                            <w:left w:val="none" w:sz="0" w:space="0" w:color="auto"/>
                                                            <w:bottom w:val="none" w:sz="0" w:space="0" w:color="auto"/>
                                                            <w:right w:val="none" w:sz="0" w:space="0" w:color="auto"/>
                                                          </w:divBdr>
                                                          <w:divsChild>
                                                            <w:div w:id="176862084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417166106">
                                                      <w:marLeft w:val="0"/>
                                                      <w:marRight w:val="0"/>
                                                      <w:marTop w:val="240"/>
                                                      <w:marBottom w:val="0"/>
                                                      <w:divBdr>
                                                        <w:top w:val="none" w:sz="0" w:space="0" w:color="auto"/>
                                                        <w:left w:val="none" w:sz="0" w:space="0" w:color="auto"/>
                                                        <w:bottom w:val="none" w:sz="0" w:space="0" w:color="auto"/>
                                                        <w:right w:val="none" w:sz="0" w:space="0" w:color="auto"/>
                                                      </w:divBdr>
                                                    </w:div>
                                                    <w:div w:id="362362918">
                                                      <w:marLeft w:val="0"/>
                                                      <w:marRight w:val="240"/>
                                                      <w:marTop w:val="0"/>
                                                      <w:marBottom w:val="0"/>
                                                      <w:divBdr>
                                                        <w:top w:val="none" w:sz="0" w:space="0" w:color="auto"/>
                                                        <w:left w:val="none" w:sz="0" w:space="0" w:color="auto"/>
                                                        <w:bottom w:val="none" w:sz="0" w:space="0" w:color="auto"/>
                                                        <w:right w:val="none" w:sz="0" w:space="0" w:color="auto"/>
                                                      </w:divBdr>
                                                    </w:div>
                                                    <w:div w:id="734089591">
                                                      <w:marLeft w:val="0"/>
                                                      <w:marRight w:val="240"/>
                                                      <w:marTop w:val="0"/>
                                                      <w:marBottom w:val="0"/>
                                                      <w:divBdr>
                                                        <w:top w:val="none" w:sz="0" w:space="0" w:color="auto"/>
                                                        <w:left w:val="none" w:sz="0" w:space="0" w:color="auto"/>
                                                        <w:bottom w:val="none" w:sz="0" w:space="0" w:color="auto"/>
                                                        <w:right w:val="none" w:sz="0" w:space="0" w:color="auto"/>
                                                      </w:divBdr>
                                                    </w:div>
                                                    <w:div w:id="1762490323">
                                                      <w:marLeft w:val="0"/>
                                                      <w:marRight w:val="240"/>
                                                      <w:marTop w:val="0"/>
                                                      <w:marBottom w:val="0"/>
                                                      <w:divBdr>
                                                        <w:top w:val="none" w:sz="0" w:space="0" w:color="auto"/>
                                                        <w:left w:val="none" w:sz="0" w:space="0" w:color="auto"/>
                                                        <w:bottom w:val="none" w:sz="0" w:space="0" w:color="auto"/>
                                                        <w:right w:val="none" w:sz="0" w:space="0" w:color="auto"/>
                                                      </w:divBdr>
                                                    </w:div>
                                                  </w:divsChild>
                                                </w:div>
                                                <w:div w:id="194002500">
                                                  <w:marLeft w:val="0"/>
                                                  <w:marRight w:val="0"/>
                                                  <w:marTop w:val="0"/>
                                                  <w:marBottom w:val="0"/>
                                                  <w:divBdr>
                                                    <w:top w:val="none" w:sz="0" w:space="0" w:color="auto"/>
                                                    <w:left w:val="none" w:sz="0" w:space="0" w:color="auto"/>
                                                    <w:bottom w:val="none" w:sz="0" w:space="0" w:color="auto"/>
                                                    <w:right w:val="none" w:sz="0" w:space="0" w:color="auto"/>
                                                  </w:divBdr>
                                                  <w:divsChild>
                                                    <w:div w:id="1063529728">
                                                      <w:marLeft w:val="0"/>
                                                      <w:marRight w:val="0"/>
                                                      <w:marTop w:val="0"/>
                                                      <w:marBottom w:val="0"/>
                                                      <w:divBdr>
                                                        <w:top w:val="none" w:sz="0" w:space="0" w:color="auto"/>
                                                        <w:left w:val="none" w:sz="0" w:space="0" w:color="auto"/>
                                                        <w:bottom w:val="none" w:sz="0" w:space="0" w:color="auto"/>
                                                        <w:right w:val="none" w:sz="0" w:space="0" w:color="auto"/>
                                                      </w:divBdr>
                                                      <w:divsChild>
                                                        <w:div w:id="570115539">
                                                          <w:marLeft w:val="0"/>
                                                          <w:marRight w:val="0"/>
                                                          <w:marTop w:val="0"/>
                                                          <w:marBottom w:val="0"/>
                                                          <w:divBdr>
                                                            <w:top w:val="none" w:sz="0" w:space="0" w:color="auto"/>
                                                            <w:left w:val="none" w:sz="0" w:space="0" w:color="auto"/>
                                                            <w:bottom w:val="none" w:sz="0" w:space="0" w:color="auto"/>
                                                            <w:right w:val="none" w:sz="0" w:space="0" w:color="auto"/>
                                                          </w:divBdr>
                                                        </w:div>
                                                      </w:divsChild>
                                                    </w:div>
                                                    <w:div w:id="842205965">
                                                      <w:marLeft w:val="0"/>
                                                      <w:marRight w:val="0"/>
                                                      <w:marTop w:val="0"/>
                                                      <w:marBottom w:val="0"/>
                                                      <w:divBdr>
                                                        <w:top w:val="none" w:sz="0" w:space="0" w:color="auto"/>
                                                        <w:left w:val="none" w:sz="0" w:space="0" w:color="auto"/>
                                                        <w:bottom w:val="none" w:sz="0" w:space="0" w:color="auto"/>
                                                        <w:right w:val="none" w:sz="0" w:space="0" w:color="auto"/>
                                                      </w:divBdr>
                                                      <w:divsChild>
                                                        <w:div w:id="2170420">
                                                          <w:marLeft w:val="0"/>
                                                          <w:marRight w:val="0"/>
                                                          <w:marTop w:val="0"/>
                                                          <w:marBottom w:val="75"/>
                                                          <w:divBdr>
                                                            <w:top w:val="none" w:sz="0" w:space="0" w:color="auto"/>
                                                            <w:left w:val="none" w:sz="0" w:space="0" w:color="auto"/>
                                                            <w:bottom w:val="none" w:sz="0" w:space="0" w:color="auto"/>
                                                            <w:right w:val="none" w:sz="0" w:space="0" w:color="auto"/>
                                                          </w:divBdr>
                                                          <w:divsChild>
                                                            <w:div w:id="191011836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35550972">
                                                      <w:marLeft w:val="0"/>
                                                      <w:marRight w:val="0"/>
                                                      <w:marTop w:val="240"/>
                                                      <w:marBottom w:val="0"/>
                                                      <w:divBdr>
                                                        <w:top w:val="none" w:sz="0" w:space="0" w:color="auto"/>
                                                        <w:left w:val="none" w:sz="0" w:space="0" w:color="auto"/>
                                                        <w:bottom w:val="none" w:sz="0" w:space="0" w:color="auto"/>
                                                        <w:right w:val="none" w:sz="0" w:space="0" w:color="auto"/>
                                                      </w:divBdr>
                                                    </w:div>
                                                    <w:div w:id="1371758814">
                                                      <w:marLeft w:val="0"/>
                                                      <w:marRight w:val="240"/>
                                                      <w:marTop w:val="0"/>
                                                      <w:marBottom w:val="0"/>
                                                      <w:divBdr>
                                                        <w:top w:val="none" w:sz="0" w:space="0" w:color="auto"/>
                                                        <w:left w:val="none" w:sz="0" w:space="0" w:color="auto"/>
                                                        <w:bottom w:val="none" w:sz="0" w:space="0" w:color="auto"/>
                                                        <w:right w:val="none" w:sz="0" w:space="0" w:color="auto"/>
                                                      </w:divBdr>
                                                    </w:div>
                                                    <w:div w:id="1436369301">
                                                      <w:marLeft w:val="0"/>
                                                      <w:marRight w:val="240"/>
                                                      <w:marTop w:val="0"/>
                                                      <w:marBottom w:val="0"/>
                                                      <w:divBdr>
                                                        <w:top w:val="none" w:sz="0" w:space="0" w:color="auto"/>
                                                        <w:left w:val="none" w:sz="0" w:space="0" w:color="auto"/>
                                                        <w:bottom w:val="none" w:sz="0" w:space="0" w:color="auto"/>
                                                        <w:right w:val="none" w:sz="0" w:space="0" w:color="auto"/>
                                                      </w:divBdr>
                                                    </w:div>
                                                    <w:div w:id="208942612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2357530">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27932967">
      <w:bodyDiv w:val="1"/>
      <w:marLeft w:val="0"/>
      <w:marRight w:val="0"/>
      <w:marTop w:val="0"/>
      <w:marBottom w:val="0"/>
      <w:divBdr>
        <w:top w:val="none" w:sz="0" w:space="0" w:color="auto"/>
        <w:left w:val="none" w:sz="0" w:space="0" w:color="auto"/>
        <w:bottom w:val="none" w:sz="0" w:space="0" w:color="auto"/>
        <w:right w:val="none" w:sz="0" w:space="0" w:color="auto"/>
      </w:divBdr>
    </w:div>
    <w:div w:id="1832596144">
      <w:bodyDiv w:val="1"/>
      <w:marLeft w:val="0"/>
      <w:marRight w:val="0"/>
      <w:marTop w:val="0"/>
      <w:marBottom w:val="0"/>
      <w:divBdr>
        <w:top w:val="none" w:sz="0" w:space="0" w:color="auto"/>
        <w:left w:val="none" w:sz="0" w:space="0" w:color="auto"/>
        <w:bottom w:val="none" w:sz="0" w:space="0" w:color="auto"/>
        <w:right w:val="none" w:sz="0" w:space="0" w:color="auto"/>
      </w:divBdr>
    </w:div>
    <w:div w:id="1849589571">
      <w:bodyDiv w:val="1"/>
      <w:marLeft w:val="0"/>
      <w:marRight w:val="0"/>
      <w:marTop w:val="0"/>
      <w:marBottom w:val="0"/>
      <w:divBdr>
        <w:top w:val="none" w:sz="0" w:space="0" w:color="auto"/>
        <w:left w:val="none" w:sz="0" w:space="0" w:color="auto"/>
        <w:bottom w:val="none" w:sz="0" w:space="0" w:color="auto"/>
        <w:right w:val="none" w:sz="0" w:space="0" w:color="auto"/>
      </w:divBdr>
    </w:div>
    <w:div w:id="1856143131">
      <w:bodyDiv w:val="1"/>
      <w:marLeft w:val="0"/>
      <w:marRight w:val="0"/>
      <w:marTop w:val="0"/>
      <w:marBottom w:val="0"/>
      <w:divBdr>
        <w:top w:val="none" w:sz="0" w:space="0" w:color="auto"/>
        <w:left w:val="none" w:sz="0" w:space="0" w:color="auto"/>
        <w:bottom w:val="none" w:sz="0" w:space="0" w:color="auto"/>
        <w:right w:val="none" w:sz="0" w:space="0" w:color="auto"/>
      </w:divBdr>
      <w:divsChild>
        <w:div w:id="805659007">
          <w:marLeft w:val="216"/>
          <w:marRight w:val="0"/>
          <w:marTop w:val="80"/>
          <w:marBottom w:val="0"/>
          <w:divBdr>
            <w:top w:val="none" w:sz="0" w:space="0" w:color="auto"/>
            <w:left w:val="none" w:sz="0" w:space="0" w:color="auto"/>
            <w:bottom w:val="none" w:sz="0" w:space="0" w:color="auto"/>
            <w:right w:val="none" w:sz="0" w:space="0" w:color="auto"/>
          </w:divBdr>
        </w:div>
      </w:divsChild>
    </w:div>
    <w:div w:id="1866013547">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71137895">
      <w:bodyDiv w:val="1"/>
      <w:marLeft w:val="0"/>
      <w:marRight w:val="0"/>
      <w:marTop w:val="0"/>
      <w:marBottom w:val="0"/>
      <w:divBdr>
        <w:top w:val="none" w:sz="0" w:space="0" w:color="auto"/>
        <w:left w:val="none" w:sz="0" w:space="0" w:color="auto"/>
        <w:bottom w:val="none" w:sz="0" w:space="0" w:color="auto"/>
        <w:right w:val="none" w:sz="0" w:space="0" w:color="auto"/>
      </w:divBdr>
    </w:div>
    <w:div w:id="1872762876">
      <w:bodyDiv w:val="1"/>
      <w:marLeft w:val="0"/>
      <w:marRight w:val="0"/>
      <w:marTop w:val="0"/>
      <w:marBottom w:val="0"/>
      <w:divBdr>
        <w:top w:val="none" w:sz="0" w:space="0" w:color="auto"/>
        <w:left w:val="none" w:sz="0" w:space="0" w:color="auto"/>
        <w:bottom w:val="none" w:sz="0" w:space="0" w:color="auto"/>
        <w:right w:val="none" w:sz="0" w:space="0" w:color="auto"/>
      </w:divBdr>
    </w:div>
    <w:div w:id="1874608482">
      <w:bodyDiv w:val="1"/>
      <w:marLeft w:val="0"/>
      <w:marRight w:val="0"/>
      <w:marTop w:val="0"/>
      <w:marBottom w:val="0"/>
      <w:divBdr>
        <w:top w:val="none" w:sz="0" w:space="0" w:color="auto"/>
        <w:left w:val="none" w:sz="0" w:space="0" w:color="auto"/>
        <w:bottom w:val="none" w:sz="0" w:space="0" w:color="auto"/>
        <w:right w:val="none" w:sz="0" w:space="0" w:color="auto"/>
      </w:divBdr>
    </w:div>
    <w:div w:id="1891376603">
      <w:bodyDiv w:val="1"/>
      <w:marLeft w:val="0"/>
      <w:marRight w:val="0"/>
      <w:marTop w:val="0"/>
      <w:marBottom w:val="0"/>
      <w:divBdr>
        <w:top w:val="none" w:sz="0" w:space="0" w:color="auto"/>
        <w:left w:val="none" w:sz="0" w:space="0" w:color="auto"/>
        <w:bottom w:val="none" w:sz="0" w:space="0" w:color="auto"/>
        <w:right w:val="none" w:sz="0" w:space="0" w:color="auto"/>
      </w:divBdr>
    </w:div>
    <w:div w:id="1895000162">
      <w:bodyDiv w:val="1"/>
      <w:marLeft w:val="0"/>
      <w:marRight w:val="0"/>
      <w:marTop w:val="0"/>
      <w:marBottom w:val="0"/>
      <w:divBdr>
        <w:top w:val="none" w:sz="0" w:space="0" w:color="auto"/>
        <w:left w:val="none" w:sz="0" w:space="0" w:color="auto"/>
        <w:bottom w:val="none" w:sz="0" w:space="0" w:color="auto"/>
        <w:right w:val="none" w:sz="0" w:space="0" w:color="auto"/>
      </w:divBdr>
    </w:div>
    <w:div w:id="1898973162">
      <w:bodyDiv w:val="1"/>
      <w:marLeft w:val="0"/>
      <w:marRight w:val="0"/>
      <w:marTop w:val="0"/>
      <w:marBottom w:val="0"/>
      <w:divBdr>
        <w:top w:val="none" w:sz="0" w:space="0" w:color="auto"/>
        <w:left w:val="none" w:sz="0" w:space="0" w:color="auto"/>
        <w:bottom w:val="none" w:sz="0" w:space="0" w:color="auto"/>
        <w:right w:val="none" w:sz="0" w:space="0" w:color="auto"/>
      </w:divBdr>
    </w:div>
    <w:div w:id="1908303808">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15428112">
      <w:bodyDiv w:val="1"/>
      <w:marLeft w:val="0"/>
      <w:marRight w:val="0"/>
      <w:marTop w:val="0"/>
      <w:marBottom w:val="0"/>
      <w:divBdr>
        <w:top w:val="none" w:sz="0" w:space="0" w:color="auto"/>
        <w:left w:val="none" w:sz="0" w:space="0" w:color="auto"/>
        <w:bottom w:val="none" w:sz="0" w:space="0" w:color="auto"/>
        <w:right w:val="none" w:sz="0" w:space="0" w:color="auto"/>
      </w:divBdr>
    </w:div>
    <w:div w:id="1922445186">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35818648">
      <w:bodyDiv w:val="1"/>
      <w:marLeft w:val="0"/>
      <w:marRight w:val="0"/>
      <w:marTop w:val="0"/>
      <w:marBottom w:val="0"/>
      <w:divBdr>
        <w:top w:val="none" w:sz="0" w:space="0" w:color="auto"/>
        <w:left w:val="none" w:sz="0" w:space="0" w:color="auto"/>
        <w:bottom w:val="none" w:sz="0" w:space="0" w:color="auto"/>
        <w:right w:val="none" w:sz="0" w:space="0" w:color="auto"/>
      </w:divBdr>
    </w:div>
    <w:div w:id="1936553854">
      <w:bodyDiv w:val="1"/>
      <w:marLeft w:val="0"/>
      <w:marRight w:val="0"/>
      <w:marTop w:val="0"/>
      <w:marBottom w:val="0"/>
      <w:divBdr>
        <w:top w:val="none" w:sz="0" w:space="0" w:color="auto"/>
        <w:left w:val="none" w:sz="0" w:space="0" w:color="auto"/>
        <w:bottom w:val="none" w:sz="0" w:space="0" w:color="auto"/>
        <w:right w:val="none" w:sz="0" w:space="0" w:color="auto"/>
      </w:divBdr>
    </w:div>
    <w:div w:id="1945459151">
      <w:bodyDiv w:val="1"/>
      <w:marLeft w:val="0"/>
      <w:marRight w:val="0"/>
      <w:marTop w:val="0"/>
      <w:marBottom w:val="0"/>
      <w:divBdr>
        <w:top w:val="none" w:sz="0" w:space="0" w:color="auto"/>
        <w:left w:val="none" w:sz="0" w:space="0" w:color="auto"/>
        <w:bottom w:val="none" w:sz="0" w:space="0" w:color="auto"/>
        <w:right w:val="none" w:sz="0" w:space="0" w:color="auto"/>
      </w:divBdr>
    </w:div>
    <w:div w:id="1948268370">
      <w:bodyDiv w:val="1"/>
      <w:marLeft w:val="0"/>
      <w:marRight w:val="0"/>
      <w:marTop w:val="0"/>
      <w:marBottom w:val="0"/>
      <w:divBdr>
        <w:top w:val="none" w:sz="0" w:space="0" w:color="auto"/>
        <w:left w:val="none" w:sz="0" w:space="0" w:color="auto"/>
        <w:bottom w:val="none" w:sz="0" w:space="0" w:color="auto"/>
        <w:right w:val="none" w:sz="0" w:space="0" w:color="auto"/>
      </w:divBdr>
    </w:div>
    <w:div w:id="1957105029">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5836787">
      <w:bodyDiv w:val="1"/>
      <w:marLeft w:val="0"/>
      <w:marRight w:val="0"/>
      <w:marTop w:val="0"/>
      <w:marBottom w:val="0"/>
      <w:divBdr>
        <w:top w:val="none" w:sz="0" w:space="0" w:color="auto"/>
        <w:left w:val="none" w:sz="0" w:space="0" w:color="auto"/>
        <w:bottom w:val="none" w:sz="0" w:space="0" w:color="auto"/>
        <w:right w:val="none" w:sz="0" w:space="0" w:color="auto"/>
      </w:divBdr>
    </w:div>
    <w:div w:id="1996646667">
      <w:bodyDiv w:val="1"/>
      <w:marLeft w:val="0"/>
      <w:marRight w:val="0"/>
      <w:marTop w:val="0"/>
      <w:marBottom w:val="0"/>
      <w:divBdr>
        <w:top w:val="none" w:sz="0" w:space="0" w:color="auto"/>
        <w:left w:val="none" w:sz="0" w:space="0" w:color="auto"/>
        <w:bottom w:val="none" w:sz="0" w:space="0" w:color="auto"/>
        <w:right w:val="none" w:sz="0" w:space="0" w:color="auto"/>
      </w:divBdr>
      <w:divsChild>
        <w:div w:id="876356851">
          <w:marLeft w:val="0"/>
          <w:marRight w:val="0"/>
          <w:marTop w:val="0"/>
          <w:marBottom w:val="0"/>
          <w:divBdr>
            <w:top w:val="none" w:sz="0" w:space="0" w:color="auto"/>
            <w:left w:val="none" w:sz="0" w:space="0" w:color="auto"/>
            <w:bottom w:val="none" w:sz="0" w:space="0" w:color="auto"/>
            <w:right w:val="none" w:sz="0" w:space="0" w:color="auto"/>
          </w:divBdr>
          <w:divsChild>
            <w:div w:id="1071582373">
              <w:marLeft w:val="439"/>
              <w:marRight w:val="0"/>
              <w:marTop w:val="0"/>
              <w:marBottom w:val="0"/>
              <w:divBdr>
                <w:top w:val="none" w:sz="0" w:space="0" w:color="auto"/>
                <w:left w:val="none" w:sz="0" w:space="0" w:color="auto"/>
                <w:bottom w:val="none" w:sz="0" w:space="0" w:color="auto"/>
                <w:right w:val="none" w:sz="0" w:space="0" w:color="auto"/>
              </w:divBdr>
              <w:divsChild>
                <w:div w:id="1959330137">
                  <w:marLeft w:val="0"/>
                  <w:marRight w:val="0"/>
                  <w:marTop w:val="0"/>
                  <w:marBottom w:val="0"/>
                  <w:divBdr>
                    <w:top w:val="none" w:sz="0" w:space="0" w:color="auto"/>
                    <w:left w:val="none" w:sz="0" w:space="0" w:color="auto"/>
                    <w:bottom w:val="none" w:sz="0" w:space="0" w:color="auto"/>
                    <w:right w:val="none" w:sz="0" w:space="0" w:color="auto"/>
                  </w:divBdr>
                  <w:divsChild>
                    <w:div w:id="487330740">
                      <w:marLeft w:val="17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264149">
          <w:marLeft w:val="0"/>
          <w:marRight w:val="0"/>
          <w:marTop w:val="0"/>
          <w:marBottom w:val="0"/>
          <w:divBdr>
            <w:top w:val="none" w:sz="0" w:space="0" w:color="auto"/>
            <w:left w:val="none" w:sz="0" w:space="0" w:color="auto"/>
            <w:bottom w:val="none" w:sz="0" w:space="0" w:color="auto"/>
            <w:right w:val="none" w:sz="0" w:space="0" w:color="auto"/>
          </w:divBdr>
        </w:div>
      </w:divsChild>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1998338435">
      <w:bodyDiv w:val="1"/>
      <w:marLeft w:val="0"/>
      <w:marRight w:val="0"/>
      <w:marTop w:val="0"/>
      <w:marBottom w:val="0"/>
      <w:divBdr>
        <w:top w:val="none" w:sz="0" w:space="0" w:color="auto"/>
        <w:left w:val="none" w:sz="0" w:space="0" w:color="auto"/>
        <w:bottom w:val="none" w:sz="0" w:space="0" w:color="auto"/>
        <w:right w:val="none" w:sz="0" w:space="0" w:color="auto"/>
      </w:divBdr>
    </w:div>
    <w:div w:id="2003124835">
      <w:bodyDiv w:val="1"/>
      <w:marLeft w:val="0"/>
      <w:marRight w:val="0"/>
      <w:marTop w:val="0"/>
      <w:marBottom w:val="0"/>
      <w:divBdr>
        <w:top w:val="none" w:sz="0" w:space="0" w:color="auto"/>
        <w:left w:val="none" w:sz="0" w:space="0" w:color="auto"/>
        <w:bottom w:val="none" w:sz="0" w:space="0" w:color="auto"/>
        <w:right w:val="none" w:sz="0" w:space="0" w:color="auto"/>
      </w:divBdr>
    </w:div>
    <w:div w:id="2005425073">
      <w:bodyDiv w:val="1"/>
      <w:marLeft w:val="0"/>
      <w:marRight w:val="0"/>
      <w:marTop w:val="0"/>
      <w:marBottom w:val="0"/>
      <w:divBdr>
        <w:top w:val="none" w:sz="0" w:space="0" w:color="auto"/>
        <w:left w:val="none" w:sz="0" w:space="0" w:color="auto"/>
        <w:bottom w:val="none" w:sz="0" w:space="0" w:color="auto"/>
        <w:right w:val="none" w:sz="0" w:space="0" w:color="auto"/>
      </w:divBdr>
    </w:div>
    <w:div w:id="2007777914">
      <w:bodyDiv w:val="1"/>
      <w:marLeft w:val="0"/>
      <w:marRight w:val="0"/>
      <w:marTop w:val="0"/>
      <w:marBottom w:val="0"/>
      <w:divBdr>
        <w:top w:val="none" w:sz="0" w:space="0" w:color="auto"/>
        <w:left w:val="none" w:sz="0" w:space="0" w:color="auto"/>
        <w:bottom w:val="none" w:sz="0" w:space="0" w:color="auto"/>
        <w:right w:val="none" w:sz="0" w:space="0" w:color="auto"/>
      </w:divBdr>
    </w:div>
    <w:div w:id="2017685877">
      <w:bodyDiv w:val="1"/>
      <w:marLeft w:val="0"/>
      <w:marRight w:val="0"/>
      <w:marTop w:val="0"/>
      <w:marBottom w:val="0"/>
      <w:divBdr>
        <w:top w:val="none" w:sz="0" w:space="0" w:color="auto"/>
        <w:left w:val="none" w:sz="0" w:space="0" w:color="auto"/>
        <w:bottom w:val="none" w:sz="0" w:space="0" w:color="auto"/>
        <w:right w:val="none" w:sz="0" w:space="0" w:color="auto"/>
      </w:divBdr>
    </w:div>
    <w:div w:id="2019231433">
      <w:bodyDiv w:val="1"/>
      <w:marLeft w:val="0"/>
      <w:marRight w:val="0"/>
      <w:marTop w:val="0"/>
      <w:marBottom w:val="0"/>
      <w:divBdr>
        <w:top w:val="none" w:sz="0" w:space="0" w:color="auto"/>
        <w:left w:val="none" w:sz="0" w:space="0" w:color="auto"/>
        <w:bottom w:val="none" w:sz="0" w:space="0" w:color="auto"/>
        <w:right w:val="none" w:sz="0" w:space="0" w:color="auto"/>
      </w:divBdr>
    </w:div>
    <w:div w:id="2025014060">
      <w:bodyDiv w:val="1"/>
      <w:marLeft w:val="0"/>
      <w:marRight w:val="0"/>
      <w:marTop w:val="0"/>
      <w:marBottom w:val="0"/>
      <w:divBdr>
        <w:top w:val="none" w:sz="0" w:space="0" w:color="auto"/>
        <w:left w:val="none" w:sz="0" w:space="0" w:color="auto"/>
        <w:bottom w:val="none" w:sz="0" w:space="0" w:color="auto"/>
        <w:right w:val="none" w:sz="0" w:space="0" w:color="auto"/>
      </w:divBdr>
    </w:div>
    <w:div w:id="2026130859">
      <w:bodyDiv w:val="1"/>
      <w:marLeft w:val="0"/>
      <w:marRight w:val="0"/>
      <w:marTop w:val="0"/>
      <w:marBottom w:val="0"/>
      <w:divBdr>
        <w:top w:val="none" w:sz="0" w:space="0" w:color="auto"/>
        <w:left w:val="none" w:sz="0" w:space="0" w:color="auto"/>
        <w:bottom w:val="none" w:sz="0" w:space="0" w:color="auto"/>
        <w:right w:val="none" w:sz="0" w:space="0" w:color="auto"/>
      </w:divBdr>
    </w:div>
    <w:div w:id="2030137929">
      <w:bodyDiv w:val="1"/>
      <w:marLeft w:val="0"/>
      <w:marRight w:val="0"/>
      <w:marTop w:val="0"/>
      <w:marBottom w:val="0"/>
      <w:divBdr>
        <w:top w:val="none" w:sz="0" w:space="0" w:color="auto"/>
        <w:left w:val="none" w:sz="0" w:space="0" w:color="auto"/>
        <w:bottom w:val="none" w:sz="0" w:space="0" w:color="auto"/>
        <w:right w:val="none" w:sz="0" w:space="0" w:color="auto"/>
      </w:divBdr>
    </w:div>
    <w:div w:id="2038776500">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8797833">
      <w:bodyDiv w:val="1"/>
      <w:marLeft w:val="0"/>
      <w:marRight w:val="0"/>
      <w:marTop w:val="0"/>
      <w:marBottom w:val="0"/>
      <w:divBdr>
        <w:top w:val="none" w:sz="0" w:space="0" w:color="auto"/>
        <w:left w:val="none" w:sz="0" w:space="0" w:color="auto"/>
        <w:bottom w:val="none" w:sz="0" w:space="0" w:color="auto"/>
        <w:right w:val="none" w:sz="0" w:space="0" w:color="auto"/>
      </w:divBdr>
      <w:divsChild>
        <w:div w:id="139537284">
          <w:marLeft w:val="720"/>
          <w:marRight w:val="0"/>
          <w:marTop w:val="101"/>
          <w:marBottom w:val="0"/>
          <w:divBdr>
            <w:top w:val="none" w:sz="0" w:space="0" w:color="auto"/>
            <w:left w:val="none" w:sz="0" w:space="0" w:color="auto"/>
            <w:bottom w:val="none" w:sz="0" w:space="0" w:color="auto"/>
            <w:right w:val="none" w:sz="0" w:space="0" w:color="auto"/>
          </w:divBdr>
        </w:div>
      </w:divsChild>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60274857">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64284736">
      <w:bodyDiv w:val="1"/>
      <w:marLeft w:val="0"/>
      <w:marRight w:val="0"/>
      <w:marTop w:val="0"/>
      <w:marBottom w:val="0"/>
      <w:divBdr>
        <w:top w:val="none" w:sz="0" w:space="0" w:color="auto"/>
        <w:left w:val="none" w:sz="0" w:space="0" w:color="auto"/>
        <w:bottom w:val="none" w:sz="0" w:space="0" w:color="auto"/>
        <w:right w:val="none" w:sz="0" w:space="0" w:color="auto"/>
      </w:divBdr>
    </w:div>
    <w:div w:id="2092583720">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095781253">
      <w:bodyDiv w:val="1"/>
      <w:marLeft w:val="0"/>
      <w:marRight w:val="0"/>
      <w:marTop w:val="0"/>
      <w:marBottom w:val="0"/>
      <w:divBdr>
        <w:top w:val="none" w:sz="0" w:space="0" w:color="auto"/>
        <w:left w:val="none" w:sz="0" w:space="0" w:color="auto"/>
        <w:bottom w:val="none" w:sz="0" w:space="0" w:color="auto"/>
        <w:right w:val="none" w:sz="0" w:space="0" w:color="auto"/>
      </w:divBdr>
    </w:div>
    <w:div w:id="2098283425">
      <w:bodyDiv w:val="1"/>
      <w:marLeft w:val="0"/>
      <w:marRight w:val="0"/>
      <w:marTop w:val="0"/>
      <w:marBottom w:val="0"/>
      <w:divBdr>
        <w:top w:val="none" w:sz="0" w:space="0" w:color="auto"/>
        <w:left w:val="none" w:sz="0" w:space="0" w:color="auto"/>
        <w:bottom w:val="none" w:sz="0" w:space="0" w:color="auto"/>
        <w:right w:val="none" w:sz="0" w:space="0" w:color="auto"/>
      </w:divBdr>
    </w:div>
    <w:div w:id="2098939524">
      <w:bodyDiv w:val="1"/>
      <w:marLeft w:val="0"/>
      <w:marRight w:val="0"/>
      <w:marTop w:val="0"/>
      <w:marBottom w:val="0"/>
      <w:divBdr>
        <w:top w:val="none" w:sz="0" w:space="0" w:color="auto"/>
        <w:left w:val="none" w:sz="0" w:space="0" w:color="auto"/>
        <w:bottom w:val="none" w:sz="0" w:space="0" w:color="auto"/>
        <w:right w:val="none" w:sz="0" w:space="0" w:color="auto"/>
      </w:divBdr>
      <w:divsChild>
        <w:div w:id="1890452964">
          <w:marLeft w:val="0"/>
          <w:marRight w:val="0"/>
          <w:marTop w:val="0"/>
          <w:marBottom w:val="0"/>
          <w:divBdr>
            <w:top w:val="none" w:sz="0" w:space="0" w:color="auto"/>
            <w:left w:val="none" w:sz="0" w:space="0" w:color="auto"/>
            <w:bottom w:val="none" w:sz="0" w:space="0" w:color="auto"/>
            <w:right w:val="none" w:sz="0" w:space="0" w:color="auto"/>
          </w:divBdr>
          <w:divsChild>
            <w:div w:id="1982997162">
              <w:marLeft w:val="0"/>
              <w:marRight w:val="0"/>
              <w:marTop w:val="0"/>
              <w:marBottom w:val="0"/>
              <w:divBdr>
                <w:top w:val="none" w:sz="0" w:space="0" w:color="auto"/>
                <w:left w:val="none" w:sz="0" w:space="0" w:color="auto"/>
                <w:bottom w:val="none" w:sz="0" w:space="0" w:color="auto"/>
                <w:right w:val="none" w:sz="0" w:space="0" w:color="auto"/>
              </w:divBdr>
              <w:divsChild>
                <w:div w:id="1247299672">
                  <w:marLeft w:val="0"/>
                  <w:marRight w:val="0"/>
                  <w:marTop w:val="0"/>
                  <w:marBottom w:val="0"/>
                  <w:divBdr>
                    <w:top w:val="none" w:sz="0" w:space="0" w:color="auto"/>
                    <w:left w:val="none" w:sz="0" w:space="0" w:color="auto"/>
                    <w:bottom w:val="none" w:sz="0" w:space="0" w:color="auto"/>
                    <w:right w:val="none" w:sz="0" w:space="0" w:color="auto"/>
                  </w:divBdr>
                  <w:divsChild>
                    <w:div w:id="179784080">
                      <w:marLeft w:val="0"/>
                      <w:marRight w:val="0"/>
                      <w:marTop w:val="0"/>
                      <w:marBottom w:val="0"/>
                      <w:divBdr>
                        <w:top w:val="none" w:sz="0" w:space="0" w:color="auto"/>
                        <w:left w:val="none" w:sz="0" w:space="0" w:color="auto"/>
                        <w:bottom w:val="none" w:sz="0" w:space="0" w:color="auto"/>
                        <w:right w:val="none" w:sz="0" w:space="0" w:color="auto"/>
                      </w:divBdr>
                      <w:divsChild>
                        <w:div w:id="86232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901535">
      <w:bodyDiv w:val="1"/>
      <w:marLeft w:val="0"/>
      <w:marRight w:val="0"/>
      <w:marTop w:val="0"/>
      <w:marBottom w:val="0"/>
      <w:divBdr>
        <w:top w:val="none" w:sz="0" w:space="0" w:color="auto"/>
        <w:left w:val="none" w:sz="0" w:space="0" w:color="auto"/>
        <w:bottom w:val="none" w:sz="0" w:space="0" w:color="auto"/>
        <w:right w:val="none" w:sz="0" w:space="0" w:color="auto"/>
      </w:divBdr>
    </w:div>
    <w:div w:id="2102137986">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3357143">
      <w:bodyDiv w:val="1"/>
      <w:marLeft w:val="0"/>
      <w:marRight w:val="0"/>
      <w:marTop w:val="0"/>
      <w:marBottom w:val="0"/>
      <w:divBdr>
        <w:top w:val="none" w:sz="0" w:space="0" w:color="auto"/>
        <w:left w:val="none" w:sz="0" w:space="0" w:color="auto"/>
        <w:bottom w:val="none" w:sz="0" w:space="0" w:color="auto"/>
        <w:right w:val="none" w:sz="0" w:space="0" w:color="auto"/>
      </w:divBdr>
    </w:div>
    <w:div w:id="2115860674">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21603716">
      <w:bodyDiv w:val="1"/>
      <w:marLeft w:val="0"/>
      <w:marRight w:val="0"/>
      <w:marTop w:val="0"/>
      <w:marBottom w:val="0"/>
      <w:divBdr>
        <w:top w:val="none" w:sz="0" w:space="0" w:color="auto"/>
        <w:left w:val="none" w:sz="0" w:space="0" w:color="auto"/>
        <w:bottom w:val="none" w:sz="0" w:space="0" w:color="auto"/>
        <w:right w:val="none" w:sz="0" w:space="0" w:color="auto"/>
      </w:divBdr>
    </w:div>
    <w:div w:id="2129465388">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 w:id="214272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23</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
    <b:Tag>Placeholder1</b:Tag>
    <b:SourceType>JournalArticle</b:SourceType>
    <b:Guid>{8C142885-55E2-479E-8A94-1FF0E38E82E5}</b:Guid>
    <b:Title>Over 150 potentially low-value health care practices: an Australian study</b:Title>
    <b:Year>2012</b:Year>
    <b:Author>
      <b:Author>
        <b:NameList>
          <b:Person>
            <b:Last>Elshaug</b:Last>
            <b:First>Adam</b:First>
          </b:Person>
          <b:Person>
            <b:Last>Watt</b:Last>
            <b:First>Amber</b:First>
          </b:Person>
          <b:Person>
            <b:Last>Mundy</b:Last>
            <b:First>Linder</b:First>
          </b:Person>
          <b:Person>
            <b:Last>Willis</b:Last>
            <b:First>Cameron</b:First>
          </b:Person>
        </b:NameList>
      </b:Author>
    </b:Author>
    <b:JournalName>The Medical Journal of Australia</b:JournalName>
    <b:Pages>556-560</b:Pages>
    <b:RefOrder>24</b:RefOrder>
  </b:Source>
  <b:Source>
    <b:Tag>Rel08</b:Tag>
    <b:SourceType>ElectronicSource</b:SourceType>
    <b:Guid>{1A8A9786-E79E-4EB6-BF28-024EDE0BEB7F}</b:Guid>
    <b:Title>Relative Value Study</b:Title>
    <b:Year>2008</b:Year>
    <b:ProductionCompany>Department of Health</b:ProductionCompany>
    <b:RefOrder>2</b:RefOrder>
  </b:Source>
  <b:Source>
    <b:Tag>Min</b:Tag>
    <b:SourceType>ArticleInAPeriodical</b:SourceType>
    <b:Guid>{CC719991-0566-49B9-8719-CD4BC8821734}</b:Guid>
    <b:Author>
      <b:Author>
        <b:NameList>
          <b:Person>
            <b:Last>Minion</b:Last>
            <b:First>Lynne</b:First>
          </b:Person>
        </b:NameList>
      </b:Author>
    </b:Author>
    <b:Title>AMA calls for improvements to My Health Record for it to reach potential </b:Title>
    <b:PeriodicalTitle>Healthcare IT news</b:PeriodicalTitle>
    <b:Edition> 15 Dec 2017</b:Edition>
    <b:RefOrder>18</b:RefOrder>
  </b:Source>
  <b:Source>
    <b:Tag>Aus17</b:Tag>
    <b:SourceType>ElectronicSource</b:SourceType>
    <b:Guid>{2F373B75-9EAF-4FCC-B9A2-8EE32303919E}</b:Guid>
    <b:Title>My Health Record Participation and Use Dashboard</b:Title>
    <b:Year>Period ending 10 September 2017</b:Year>
    <b:Author>
      <b:Author>
        <b:Corporate> Australian Digital Health Agency</b:Corporate>
      </b:Author>
    </b:Author>
    <b:RefOrder>19</b:RefOrder>
  </b:Source>
  <b:Source>
    <b:Tag>Gra17</b:Tag>
    <b:SourceType>Misc</b:SourceType>
    <b:Guid>{011806A5-9FAF-48EA-8C49-3F783B6A5CD7}</b:Guid>
    <b:Title>Where to now for the My Health Record</b:Title>
    <b:Year>November 2017</b:Year>
    <b:Author>
      <b:Author>
        <b:NameList>
          <b:Person>
            <b:Last>Grieve</b:Last>
            <b:First>Grahame</b:First>
          </b:Person>
        </b:NameList>
      </b:Author>
    </b:Author>
    <b:PublicationTitle>Healthcare IT</b:PublicationTitle>
    <b:RefOrder>20</b:RefOrder>
  </b:Source>
  <b:Source>
    <b:Tag>Sig16</b:Tag>
    <b:SourceType>Misc</b:SourceType>
    <b:Guid>{6A29E046-FD1A-4E63-B9D6-F2401C1CFE55}</b:Guid>
    <b:Author>
      <b:Author>
        <b:NameList>
          <b:Person>
            <b:Last>Millers</b:Last>
            <b:First>Siggins</b:First>
          </b:Person>
        </b:NameList>
      </b:Author>
    </b:Author>
    <b:Title>Evaluation of the Participation Trials for the My Health Record</b:Title>
    <b:Year>November 2016</b:Year>
    <b:RefOrder>21</b:RefOrder>
  </b:Source>
  <b:Source>
    <b:Tag>Cen08</b:Tag>
    <b:SourceType>Misc</b:SourceType>
    <b:Guid>{27F7C2A2-73DA-48A3-AB59-92F485B6A3E3}</b:Guid>
    <b:Author>
      <b:Author>
        <b:Corporate> Center for Information Technology Leadership</b:Corporate>
      </b:Author>
    </b:Author>
    <b:Title>The value of personal health records</b:Title>
    <b:Year>2008</b:Year>
    <b:City>Charlestown, Mass</b:City>
    <b:Publisher> CITL</b:Publisher>
    <b:RefOrder>22</b:RefOrder>
  </b:Source>
  <b:Source>
    <b:Tag>Roy16</b:Tag>
    <b:SourceType>Misc</b:SourceType>
    <b:Guid>{F1381EF9-8BA2-429D-85FC-CC98D42D3FAB}</b:Guid>
    <b:Author>
      <b:Author>
        <b:Corporate> Royal College of Surgeons of England</b:Corporate>
      </b:Author>
    </b:Author>
    <b:Title>Consent: Supported Decision-Making: A guide to good practice </b:Title>
    <b:Year>2016</b:Year>
    <b:RefOrder>16</b:RefOrder>
  </b:Source>
  <b:Source>
    <b:Tag>Roy</b:Tag>
    <b:SourceType>Misc</b:SourceType>
    <b:Guid>{2AAE435B-222A-4D80-9904-8FE9AFC68739}</b:Guid>
    <b:Author>
      <b:Author>
        <b:Corporate> Royal College of Surgeons</b:Corporate>
      </b:Author>
    </b:Author>
    <b:Title>Position paper: Informed consent</b:Title>
    <b:Volume>FES-PST-042</b:Volume>
    <b:RefOrder>17</b:RefOrder>
  </b:Source>
  <b:Source>
    <b:Tag>Cam16</b:Tag>
    <b:SourceType>Misc</b:SourceType>
    <b:Guid>{BB62737C-298D-4EF8-BD80-23E54A8E648E}</b:Guid>
    <b:Author>
      <b:Author>
        <b:NameList>
          <b:Person>
            <b:Last>al</b:Last>
            <b:First>Campanella</b:First>
            <b:Middle>et</b:Middle>
          </b:Person>
        </b:NameList>
      </b:Author>
    </b:Author>
    <b:Title>The impact of Public Reporting on clinical outcomes: a systematic review and meta-analysis, , .; </b:Title>
    <b:Year> 2016</b:Year>
    <b:Publisher>BMC Health Serv Res</b:Publisher>
    <b:StandardNumber>16: 296</b:StandardNumber>
    <b:RefOrder>13</b:RefOrder>
  </b:Source>
  <b:Source>
    <b:Tag>Fre17</b:Tag>
    <b:SourceType>Misc</b:SourceType>
    <b:Guid>{A4AA750B-AB19-451A-A8E2-310ADDEAC351}</b:Guid>
    <b:Author>
      <b:Author>
        <b:NameList>
          <b:Person>
            <b:Last>Allen</b:Last>
            <b:First>Freed</b:First>
            <b:Middle>&amp;</b:Middle>
          </b:Person>
        </b:NameList>
      </b:Author>
    </b:Author>
    <b:Title>Variation in outpatient consultant physician fees in Australia by specialty and state and territory</b:Title>
    <b:PublicationTitle>MJA</b:PublicationTitle>
    <b:Year> 6 March 2017</b:Year>
    <b:Issue>206 (4) j </b:Issue>
    <b:RefOrder>14</b:RefOrder>
  </b:Source>
  <b:Source>
    <b:Tag>Pro18</b:Tag>
    <b:SourceType>Misc</b:SourceType>
    <b:Guid>{F27F64A3-9F3C-4923-9B94-D85DED31431D}</b:Guid>
    <b:Author>
      <b:Author>
        <b:NameList>
          <b:Person>
            <b:Last>Scott</b:Last>
            <b:First>Professor</b:First>
            <b:Middle>Anthony</b:Middle>
          </b:Person>
        </b:NameList>
      </b:Author>
    </b:Author>
    <b:Title>Health Sector Report Specialists</b:Title>
    <b:Year>2018</b:Year>
    <b:Publisher>ANZ – Melbourne Institute</b:Publisher>
    <b:RefOrder>15</b:RefOrder>
  </b:Source>
  <b:Source>
    <b:Tag>Esp16</b:Tag>
    <b:SourceType>Misc</b:SourceType>
    <b:Guid>{C13BA908-6879-4267-81C5-6B3A1496A8B7}</b:Guid>
    <b:Author>
      <b:Author>
        <b:NameList>
          <b:Person>
            <b:Last>al</b:Last>
            <b:First>Esposito</b:First>
            <b:Middle>et</b:Middle>
          </b:Person>
        </b:NameList>
      </b:Author>
    </b:Author>
    <b:Title>Clinical audit, a valuable tool to improve quality of care: General methodology and applications in nephrology </b:Title>
    <b:PublicationTitle> World J Nephro</b:PublicationTitle>
    <b:Year>6 November 2016</b:Year>
    <b:Issue>3(4): 249–255</b:Issue>
    <b:RefOrder>25</b:RefOrder>
  </b:Source>
  <b:Source>
    <b:Tag>Goo14</b:Tag>
    <b:SourceType>DocumentFromInternetSite</b:SourceType>
    <b:Guid>{B5E59594-CF62-4A36-99E5-36F806E195B2}</b:Guid>
    <b:Title>Good Medical Practice: A Code of Conduct for Doctors in Australia</b:Title>
    <b:Year>March 2014</b:Year>
    <b:URL>http://www.medicalboard.gov.au/Codes-Guidelines-Policies.aspx</b:URL>
    <b:RefOrder>12</b:RefOrder>
  </b:Source>
  <b:Source>
    <b:Tag>McD06</b:Tag>
    <b:SourceType>Misc</b:SourceType>
    <b:Guid>{47C49C6D-CEE1-42FF-A11F-ACF194DAFAE4}</b:Guid>
    <b:Title>Systematic Review of Comprehensive Primary Care Models</b:Title>
    <b:Year>2006</b:Year>
    <b:Author>
      <b:Author>
        <b:NameList>
          <b:Person>
            <b:Last>McDonald J</b:Last>
            <b:First>et</b:First>
            <b:Middle>al</b:Middle>
          </b:Person>
        </b:NameList>
      </b:Author>
    </b:Author>
    <b:City>Sydney</b:City>
    <b:Publisher>Australian Primary Health Care Research Institute</b:Publisher>
    <b:RefOrder>10</b:RefOrder>
  </b:Source>
  <b:Source>
    <b:Tag>Wag00</b:Tag>
    <b:SourceType>Misc</b:SourceType>
    <b:Guid>{AC168336-B3BB-4325-AF39-94B7F41561C7}</b:Guid>
    <b:Author>
      <b:Author>
        <b:NameList>
          <b:Person>
            <b:Last>EH</b:Last>
            <b:First>Wagner</b:First>
          </b:Person>
        </b:NameList>
      </b:Author>
    </b:Author>
    <b:Title>The role of patient care teams in chronic disease management, ,.;</b:Title>
    <b:PublicationTitle>British Medical Journal</b:PublicationTitle>
    <b:Year>2000</b:Year>
    <b:Volume>320(569-572)</b:Volume>
    <b:RefOrder>11</b:RefOrder>
  </b:Source>
  <b:Source>
    <b:Tag>Tor15</b:Tag>
    <b:SourceType>Misc</b:SourceType>
    <b:Guid>{03CF007E-C1A2-4EA6-8539-C9B5555886D6}</b:Guid>
    <b:Author>
      <b:Author>
        <b:NameList>
          <b:Person>
            <b:Last>al</b:Last>
            <b:First>Torre-Dı´ez</b:First>
            <b:Middle>et</b:Middle>
          </b:Person>
        </b:NameList>
      </b:Author>
    </b:Author>
    <b:Title>Cost-Utility and Cost-Effectiveness Studies of Telemedicine, Electronic, and Mobile Health Systems in the Literature: A Systematic Review</b:Title>
    <b:Year>2015</b:Year>
    <b:Publisher> Telemed J E Health</b:Publisher>
    <b:Issue>21(2): 81–85</b:Issue>
    <b:RefOrder>5</b:RefOrder>
  </b:Source>
  <b:Source>
    <b:Tag>Sai18</b:Tag>
    <b:SourceType>InternetSite</b:SourceType>
    <b:Guid>{B009CA2C-7EC6-486A-B499-FDE88BF50B00}</b:Guid>
    <b:Title>Sairaanhoitokorvaustentaksat</b:Title>
    <b:Year>2018</b:Year>
    <b:InternetSiteTitle>Kela</b:InternetSiteTitle>
    <b:Month>6</b:Month>
    <b:Day>6</b:Day>
    <b:URL>(https://www.kela.fi/documents/10180/0/Sairaanhoitokorvausten+taksat+6.6.2018/c33a166c-4d0b-4bd9-a776-8cd46455de39)</b:URL>
    <b:RefOrder>7</b:RefOrder>
  </b:Source>
  <b:Source>
    <b:Tag>Mar14</b:Tag>
    <b:SourceType>Misc</b:SourceType>
    <b:Guid>{8FC36832-EE1E-4EC0-BB86-9C60A5826A4C}</b:Guid>
    <b:Title>Feasibility, effectiveness and costs associated with a web-based follow-up assessment following total joint arthroplasty</b:Title>
    <b:Year>2014</b:Year>
    <b:StandardNumber>doi:10.1016/j.arth.2014.04.003</b:StandardNumber>
    <b:Author>
      <b:Author>
        <b:NameList>
          <b:Person>
            <b:Last>Marsh JD</b:Last>
            <b:First>et</b:First>
            <b:Middle>al</b:Middle>
          </b:Person>
        </b:NameList>
      </b:Author>
    </b:Author>
    <b:PublicationTitle>J Arthroplasty</b:PublicationTitle>
    <b:Issue>29:1723–8.</b:Issue>
    <b:RefOrder>6</b:RefOrder>
  </b:Source>
  <b:Source>
    <b:Tag>Dat15</b:Tag>
    <b:SourceType>Misc</b:SourceType>
    <b:Guid>{BE449DB6-BAF6-4258-A2E4-F078852217A6}</b:Guid>
    <b:Title>Data dictionary and Hospital Episode Statistics,</b:Title>
    <b:Year>2015</b:Year>
    <b:Publisher>Department of Health, NHS England</b:Publisher>
    <b:RefOrder>8</b:RefOrder>
  </b:Source>
  <b:Source>
    <b:Tag>Bri04</b:Tag>
    <b:SourceType>JournalArticle</b:SourceType>
    <b:Guid>{D8CDF77B-E39D-4CB4-A410-C862C9636551}</b:Guid>
    <b:Title>Determinants of GP billing in Australia: content and time</b:Title>
    <b:Year>2004</b:Year>
    <b:Publisher>Medical Journal of Australia</b:Publisher>
    <b:Author>
      <b:Author>
        <b:NameList>
          <b:Person>
            <b:Last>Britt</b:Last>
            <b:First>Valenti,</b:First>
            <b:Middle>Miller and Farmer</b:Middle>
          </b:Person>
        </b:NameList>
      </b:Author>
    </b:Author>
    <b:Volume>181</b:Volume>
    <b:Issue>2</b:Issue>
    <b:RefOrder>3</b:RefOrder>
  </b:Source>
  <b:Source>
    <b:Tag>Bra15</b:Tag>
    <b:SourceType>Misc</b:SourceType>
    <b:Guid>{4C1EAE9D-E0A8-426F-A09B-179113F3068F}</b:Guid>
    <b:Author>
      <b:Author>
        <b:NameList>
          <b:Person>
            <b:Last>al</b:Last>
            <b:First>Bradford</b:First>
            <b:Middle>et</b:Middle>
          </b:Person>
        </b:NameList>
      </b:Author>
    </b:Author>
    <b:Title>Awareness, experiences and perceptions of telehealth in a rural Queensland community</b:Title>
    <b:Year>2015</b:Year>
    <b:Publisher>BMC Health Services Research</b:Publisher>
    <b:Issue>15:427</b:Issue>
    <b:RefOrder>9</b:RefOrder>
  </b:Source>
  <b:Source>
    <b:Tag>Wag14</b:Tag>
    <b:SourceType>Misc</b:SourceType>
    <b:Guid>{BDB41EC0-B7D7-4946-A6A7-E8A6259E5494}</b:Guid>
    <b:Author>
      <b:Author>
        <b:NameList>
          <b:Person>
            <b:Last>al</b:Last>
            <b:First>Wage</b:First>
            <b:Middle>et</b:Middle>
          </b:Person>
        </b:NameList>
      </b:Author>
    </b:Author>
    <b:Title>Clinician Acceptance is the Key Factor for Sustainable Telehealth Services</b:Title>
    <b:PublicationTitle>Sage journals</b:PublicationTitle>
    <b:Year>2014</b:Year>
    <b:RefOrder>4</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B8D4500A6B28E4F956019502F1A89FF" ma:contentTypeVersion="4" ma:contentTypeDescription="Create a new document." ma:contentTypeScope="" ma:versionID="49eb40df73056c91277780f0bdbdea17">
  <xsd:schema xmlns:xsd="http://www.w3.org/2001/XMLSchema" xmlns:xs="http://www.w3.org/2001/XMLSchema" xmlns:p="http://schemas.microsoft.com/office/2006/metadata/properties" xmlns:ns3="be1b238d-a01c-4d27-ae24-e9ff96f9c731" targetNamespace="http://schemas.microsoft.com/office/2006/metadata/properties" ma:root="true" ma:fieldsID="5c608c5e5fa381935e3b605958d3f75e" ns3:_="">
    <xsd:import namespace="be1b238d-a01c-4d27-ae24-e9ff96f9c73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1b238d-a01c-4d27-ae24-e9ff96f9c7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77C341-6FA7-4B4F-A144-081FCA6D38E0}">
  <ds:schemaRefs>
    <ds:schemaRef ds:uri="http://schemas.openxmlformats.org/officeDocument/2006/bibliography"/>
  </ds:schemaRefs>
</ds:datastoreItem>
</file>

<file path=customXml/itemProps2.xml><?xml version="1.0" encoding="utf-8"?>
<ds:datastoreItem xmlns:ds="http://schemas.openxmlformats.org/officeDocument/2006/customXml" ds:itemID="{24A6FA57-84ED-4EA9-ABE5-15497F2651F6}">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be1b238d-a01c-4d27-ae24-e9ff96f9c731"/>
    <ds:schemaRef ds:uri="http://purl.org/dc/elements/1.1/"/>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96A2B6DC-8928-4310-81AE-C6182CCDA512}">
  <ds:schemaRefs>
    <ds:schemaRef ds:uri="http://schemas.microsoft.com/sharepoint/v3/contenttype/forms"/>
  </ds:schemaRefs>
</ds:datastoreItem>
</file>

<file path=customXml/itemProps4.xml><?xml version="1.0" encoding="utf-8"?>
<ds:datastoreItem xmlns:ds="http://schemas.openxmlformats.org/officeDocument/2006/customXml" ds:itemID="{F7A9D92A-550D-43FF-A364-809E3CAF3A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1b238d-a01c-4d27-ae24-e9ff96f9c7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66968</Words>
  <Characters>368325</Characters>
  <Application>Microsoft Office Word</Application>
  <DocSecurity>0</DocSecurity>
  <Lines>8769</Lines>
  <Paragraphs>5182</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Specialist and Consultant Physician Consultation Clinical Committee</vt:lpstr>
    </vt:vector>
  </TitlesOfParts>
  <Company/>
  <LinksUpToDate>false</LinksUpToDate>
  <CharactersWithSpaces>430111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Medicare Benefits Schedule Review Taskforce Report from the Specialist and Consultant Physician Consultation Clinical Committee</dc:title>
  <dc:subject>Medicare Benefits Schedule</dc:subject>
  <dc:creator>Australian Government Department of Health</dc:creator>
  <cp:keywords/>
  <dc:description>_x000d_
</dc:description>
  <cp:lastModifiedBy>SMEDLEY, Tyne</cp:lastModifiedBy>
  <cp:revision>2</cp:revision>
  <cp:lastPrinted>2021-06-30T06:22:00Z</cp:lastPrinted>
  <dcterms:created xsi:type="dcterms:W3CDTF">2021-06-30T06:26:00Z</dcterms:created>
  <dcterms:modified xsi:type="dcterms:W3CDTF">2021-06-30T06:26:00Z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0x010100BB8D4500A6B28E4F956019502F1A89FF</vt:lpwstr>
  </property>
</Properties>
</file>