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7D702" w14:textId="77777777" w:rsidR="00EE7BD8" w:rsidRPr="00EE7BD8" w:rsidRDefault="00A919FB" w:rsidP="00EE7BD8">
      <w:pPr>
        <w:pStyle w:val="Subtitle"/>
        <w:pBdr>
          <w:top w:val="double" w:sz="4" w:space="1" w:color="B66113"/>
        </w:pBdr>
      </w:pPr>
      <w:bookmarkStart w:id="0" w:name="_Toc448369494"/>
      <w:bookmarkStart w:id="1" w:name="_Toc427153112"/>
      <w:r w:rsidRPr="00FC1976">
        <w:t>Me</w:t>
      </w:r>
      <w:r w:rsidRPr="00EE7BD8">
        <w:t>dicare Benefits Schedule Review Taskforce</w:t>
      </w:r>
    </w:p>
    <w:p w14:paraId="09C39BD6" w14:textId="77777777" w:rsidR="00EE7BD8" w:rsidRPr="00EE7BD8" w:rsidRDefault="00A919FB" w:rsidP="00EE7BD8">
      <w:pPr>
        <w:pStyle w:val="Title"/>
      </w:pPr>
      <w:r w:rsidRPr="00EE7BD8">
        <w:t xml:space="preserve">Report from the </w:t>
      </w:r>
      <w:r w:rsidR="00A55330" w:rsidRPr="00EE7BD8">
        <w:t>Renal</w:t>
      </w:r>
      <w:r w:rsidR="007B0B8F" w:rsidRPr="00EE7BD8">
        <w:t xml:space="preserve"> </w:t>
      </w:r>
      <w:r w:rsidRPr="00EE7BD8">
        <w:t>Clinical Committee</w:t>
      </w:r>
    </w:p>
    <w:p w14:paraId="190B756B" w14:textId="303E11F9" w:rsidR="00A919FB" w:rsidRPr="00EE7BD8" w:rsidRDefault="00A773F4" w:rsidP="00EE7BD8">
      <w:pPr>
        <w:pStyle w:val="Subtitle"/>
        <w:pBdr>
          <w:bottom w:val="double" w:sz="4" w:space="1" w:color="B66113"/>
        </w:pBdr>
      </w:pPr>
      <w:r w:rsidRPr="00EE7BD8">
        <w:t>December</w:t>
      </w:r>
      <w:r w:rsidR="00A919FB" w:rsidRPr="00EE7BD8">
        <w:t xml:space="preserve"> 2016</w:t>
      </w:r>
    </w:p>
    <w:p w14:paraId="265BC845" w14:textId="77777777" w:rsidR="00A919FB" w:rsidRPr="00FC1976" w:rsidRDefault="00A919FB" w:rsidP="00A919FB">
      <w:pPr>
        <w:rPr>
          <w:lang w:val="en-AU"/>
        </w:rPr>
      </w:pPr>
    </w:p>
    <w:p w14:paraId="2A1EB850" w14:textId="77777777" w:rsidR="00B1476E" w:rsidRPr="00FC1976" w:rsidRDefault="00B1476E" w:rsidP="00A919FB">
      <w:pPr>
        <w:rPr>
          <w:lang w:val="en-AU"/>
        </w:rPr>
        <w:sectPr w:rsidR="00B1476E" w:rsidRPr="00FC1976" w:rsidSect="0048563C">
          <w:footerReference w:type="default" r:id="rId8"/>
          <w:pgSz w:w="11906" w:h="16838" w:code="9"/>
          <w:pgMar w:top="1440" w:right="1440" w:bottom="1276" w:left="1440" w:header="720" w:footer="720" w:gutter="0"/>
          <w:paperSrc w:first="2" w:other="2"/>
          <w:cols w:space="720"/>
          <w:docGrid w:linePitch="326"/>
        </w:sectPr>
      </w:pPr>
    </w:p>
    <w:p w14:paraId="7791A635" w14:textId="77777777" w:rsidR="00F72CBE" w:rsidRDefault="00F72CBE" w:rsidP="00F72CBE">
      <w:pPr>
        <w:pStyle w:val="BoxText"/>
        <w:pBdr>
          <w:top w:val="single" w:sz="12" w:space="4" w:color="984806"/>
          <w:left w:val="single" w:sz="12" w:space="4" w:color="984806"/>
          <w:bottom w:val="single" w:sz="12" w:space="4" w:color="984806"/>
          <w:right w:val="single" w:sz="12" w:space="4" w:color="984806"/>
        </w:pBdr>
        <w:rPr>
          <w:rFonts w:cs="Arial"/>
          <w:bCs/>
        </w:rPr>
      </w:pPr>
      <w:r w:rsidRPr="003B1222">
        <w:rPr>
          <w:rFonts w:cs="Arial"/>
          <w:b/>
          <w:bCs/>
          <w:color w:val="01653F"/>
          <w:sz w:val="32"/>
          <w:szCs w:val="28"/>
        </w:rPr>
        <w:lastRenderedPageBreak/>
        <w:t>Important note</w:t>
      </w:r>
    </w:p>
    <w:p w14:paraId="29A23498" w14:textId="09595E75" w:rsidR="00F72CBE" w:rsidRDefault="00F72CBE" w:rsidP="00F72CBE">
      <w:pPr>
        <w:pStyle w:val="BoxText"/>
        <w:pBdr>
          <w:top w:val="single" w:sz="12" w:space="4" w:color="984806"/>
          <w:left w:val="single" w:sz="12" w:space="4" w:color="984806"/>
          <w:bottom w:val="single" w:sz="12" w:space="4" w:color="984806"/>
          <w:right w:val="single" w:sz="12" w:space="4" w:color="984806"/>
        </w:pBdr>
        <w:rPr>
          <w:rFonts w:cs="Arial"/>
          <w:bCs/>
        </w:rPr>
      </w:pPr>
      <w:r w:rsidRPr="00913EA8">
        <w:rPr>
          <w:rFonts w:cs="Arial"/>
          <w:bCs/>
        </w:rPr>
        <w:t xml:space="preserve">The views and recommendations in this </w:t>
      </w:r>
      <w:r w:rsidR="00E54055">
        <w:rPr>
          <w:rFonts w:cs="Arial"/>
          <w:bCs/>
        </w:rPr>
        <w:t>Review</w:t>
      </w:r>
      <w:r w:rsidRPr="00913EA8">
        <w:rPr>
          <w:rFonts w:cs="Arial"/>
          <w:bCs/>
        </w:rPr>
        <w:t xml:space="preserve"> report from the </w:t>
      </w:r>
      <w:r w:rsidR="007D479F">
        <w:rPr>
          <w:rFonts w:cs="Arial"/>
          <w:bCs/>
        </w:rPr>
        <w:t>Clinical Committee</w:t>
      </w:r>
      <w:r w:rsidRPr="00913EA8">
        <w:rPr>
          <w:rFonts w:cs="Arial"/>
          <w:bCs/>
        </w:rPr>
        <w:t xml:space="preserve"> have been released for the purpose of seeking the views of stakeholders.</w:t>
      </w:r>
    </w:p>
    <w:p w14:paraId="4EC87014" w14:textId="77777777" w:rsidR="00F72CBE" w:rsidRDefault="00F72CBE" w:rsidP="00F72CBE">
      <w:pPr>
        <w:pStyle w:val="BoxText"/>
        <w:pBdr>
          <w:top w:val="single" w:sz="12" w:space="4" w:color="984806"/>
          <w:left w:val="single" w:sz="12" w:space="4" w:color="984806"/>
          <w:bottom w:val="single" w:sz="12" w:space="4" w:color="984806"/>
          <w:right w:val="single" w:sz="12" w:space="4" w:color="984806"/>
        </w:pBdr>
        <w:rPr>
          <w:noProof/>
        </w:rPr>
      </w:pPr>
      <w:r w:rsidRPr="00913EA8">
        <w:rPr>
          <w:rFonts w:cs="Arial"/>
          <w:bCs/>
        </w:rPr>
        <w:t>This report does not constitute the final position on these items which is subject to:</w:t>
      </w:r>
      <w:r w:rsidRPr="00CA4CDF">
        <w:rPr>
          <w:noProof/>
        </w:rPr>
        <w:t xml:space="preserve"> </w:t>
      </w:r>
    </w:p>
    <w:p w14:paraId="7A808654" w14:textId="77777777" w:rsidR="00F72CBE" w:rsidRPr="001B6B24" w:rsidRDefault="00F72CBE" w:rsidP="00F72CBE">
      <w:pPr>
        <w:pStyle w:val="BoxBullet"/>
        <w:pBdr>
          <w:top w:val="single" w:sz="12" w:space="4" w:color="984806"/>
          <w:left w:val="single" w:sz="12" w:space="4" w:color="984806"/>
          <w:bottom w:val="single" w:sz="12" w:space="4" w:color="984806"/>
          <w:right w:val="single" w:sz="12" w:space="4" w:color="984806"/>
        </w:pBdr>
      </w:pPr>
      <w:r w:rsidRPr="00AC60DB">
        <w:rPr>
          <w:rFonts w:eastAsia="MS Mincho"/>
        </w:rPr>
        <w:t>Stakeholder feedback</w:t>
      </w:r>
      <w:r w:rsidRPr="00F126D6">
        <w:rPr>
          <w:bCs/>
        </w:rPr>
        <w:t>;</w:t>
      </w:r>
    </w:p>
    <w:p w14:paraId="2FAE4744" w14:textId="77777777" w:rsidR="00F72CBE" w:rsidRPr="001B6B24" w:rsidRDefault="00F72CBE" w:rsidP="00F72CBE">
      <w:pPr>
        <w:pStyle w:val="BoxText"/>
        <w:pBdr>
          <w:top w:val="single" w:sz="12" w:space="4" w:color="984806"/>
          <w:left w:val="single" w:sz="12" w:space="4" w:color="984806"/>
          <w:bottom w:val="single" w:sz="12" w:space="4" w:color="984806"/>
          <w:right w:val="single" w:sz="12" w:space="4" w:color="984806"/>
        </w:pBdr>
      </w:pPr>
      <w:r>
        <w:t>Then</w:t>
      </w:r>
    </w:p>
    <w:p w14:paraId="4BF0D431" w14:textId="77777777" w:rsidR="00F72CBE" w:rsidRPr="001B6B24" w:rsidRDefault="00F72CBE" w:rsidP="00F72CBE">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MBS</w:t>
      </w:r>
      <w:r w:rsidRPr="00F126D6">
        <w:rPr>
          <w:bCs/>
        </w:rPr>
        <w:t xml:space="preserve"> </w:t>
      </w:r>
      <w:r>
        <w:rPr>
          <w:bCs/>
        </w:rPr>
        <w:t>R</w:t>
      </w:r>
      <w:r w:rsidRPr="00F126D6">
        <w:rPr>
          <w:bCs/>
        </w:rPr>
        <w:t xml:space="preserve">eview </w:t>
      </w:r>
      <w:r>
        <w:rPr>
          <w:bCs/>
        </w:rPr>
        <w:t>T</w:t>
      </w:r>
      <w:r w:rsidRPr="00F126D6">
        <w:rPr>
          <w:bCs/>
        </w:rPr>
        <w:t>askforce;</w:t>
      </w:r>
    </w:p>
    <w:p w14:paraId="7109497E" w14:textId="77777777" w:rsidR="00F72CBE" w:rsidRPr="001B6B24" w:rsidRDefault="00F72CBE" w:rsidP="00F72CBE">
      <w:pPr>
        <w:pStyle w:val="BoxText"/>
        <w:pBdr>
          <w:top w:val="single" w:sz="12" w:space="4" w:color="984806"/>
          <w:left w:val="single" w:sz="12" w:space="4" w:color="984806"/>
          <w:bottom w:val="single" w:sz="12" w:space="4" w:color="984806"/>
          <w:right w:val="single" w:sz="12" w:space="4" w:color="984806"/>
        </w:pBdr>
      </w:pPr>
      <w:r w:rsidRPr="00913EA8">
        <w:t xml:space="preserve">Then </w:t>
      </w:r>
      <w:r w:rsidRPr="001B6B24">
        <w:rPr>
          <w:i/>
        </w:rPr>
        <w:t>if endorsed</w:t>
      </w:r>
    </w:p>
    <w:p w14:paraId="0C5563FB" w14:textId="77777777" w:rsidR="00F72CBE" w:rsidRPr="001B6B24" w:rsidRDefault="00F72CBE" w:rsidP="00F72CBE">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w:t>
      </w:r>
      <w:r w:rsidRPr="00F126D6">
        <w:rPr>
          <w:bCs/>
        </w:rPr>
        <w:t xml:space="preserve">inister for </w:t>
      </w:r>
      <w:r>
        <w:rPr>
          <w:bCs/>
        </w:rPr>
        <w:t>H</w:t>
      </w:r>
      <w:r w:rsidRPr="00F126D6">
        <w:rPr>
          <w:bCs/>
        </w:rPr>
        <w:t>ealth; and</w:t>
      </w:r>
    </w:p>
    <w:p w14:paraId="42E95BBE" w14:textId="77777777" w:rsidR="00F72CBE" w:rsidRPr="001B6B24" w:rsidRDefault="00F72CBE" w:rsidP="00F72CBE">
      <w:pPr>
        <w:pStyle w:val="BoxBullet"/>
        <w:pBdr>
          <w:top w:val="single" w:sz="12" w:space="4" w:color="984806"/>
          <w:left w:val="single" w:sz="12" w:space="4" w:color="984806"/>
          <w:bottom w:val="single" w:sz="12" w:space="4" w:color="984806"/>
          <w:right w:val="single" w:sz="12" w:space="4" w:color="984806"/>
        </w:pBdr>
      </w:pPr>
      <w:r w:rsidRPr="00F126D6">
        <w:rPr>
          <w:bCs/>
        </w:rPr>
        <w:t>Government.</w:t>
      </w:r>
    </w:p>
    <w:p w14:paraId="0D714D69" w14:textId="6092C0C6" w:rsidR="00F72CBE" w:rsidRDefault="00F72CBE" w:rsidP="00F72CBE">
      <w:pPr>
        <w:pStyle w:val="BoxText"/>
        <w:pBdr>
          <w:top w:val="single" w:sz="12" w:space="4" w:color="984806"/>
          <w:left w:val="single" w:sz="12" w:space="4" w:color="984806"/>
          <w:bottom w:val="single" w:sz="12" w:space="4" w:color="984806"/>
          <w:right w:val="single" w:sz="12" w:space="4" w:color="984806"/>
        </w:pBdr>
        <w:rPr>
          <w:rFonts w:cs="Arial"/>
          <w:u w:val="single"/>
        </w:rPr>
      </w:pPr>
      <w:r w:rsidRPr="00913EA8">
        <w:rPr>
          <w:rFonts w:cs="Arial"/>
          <w:bCs/>
        </w:rPr>
        <w:t xml:space="preserve">Stakeholders should provide comment on the recommendations via the </w:t>
      </w:r>
      <w:r w:rsidRPr="00A773F4">
        <w:rPr>
          <w:rFonts w:eastAsiaTheme="majorEastAsia" w:cs="Arial"/>
        </w:rPr>
        <w:t>online consultation tool</w:t>
      </w:r>
      <w:r w:rsidRPr="00A773F4">
        <w:rPr>
          <w:rFonts w:cs="Arial"/>
        </w:rPr>
        <w:t>.</w:t>
      </w:r>
    </w:p>
    <w:p w14:paraId="4EB37043" w14:textId="77777777" w:rsidR="00F72CBE" w:rsidRDefault="00F72CBE" w:rsidP="00F72CBE">
      <w:pPr>
        <w:pStyle w:val="BoxText"/>
        <w:pBdr>
          <w:top w:val="single" w:sz="12" w:space="4" w:color="984806"/>
          <w:left w:val="single" w:sz="12" w:space="4" w:color="984806"/>
          <w:bottom w:val="single" w:sz="12" w:space="4" w:color="984806"/>
          <w:right w:val="single" w:sz="12" w:space="4" w:color="984806"/>
        </w:pBdr>
        <w:rPr>
          <w:rFonts w:cs="Arial"/>
          <w:u w:val="single"/>
        </w:rPr>
      </w:pPr>
      <w:r w:rsidRPr="003B1222">
        <w:rPr>
          <w:rFonts w:cs="Arial"/>
          <w:b/>
          <w:bCs/>
          <w:color w:val="01653F"/>
        </w:rPr>
        <w:t>Confidentiality of comments:</w:t>
      </w:r>
    </w:p>
    <w:p w14:paraId="54E6A03E" w14:textId="77777777" w:rsidR="00F72CBE" w:rsidRPr="009200D8" w:rsidRDefault="00F72CBE" w:rsidP="00F72CBE">
      <w:pPr>
        <w:pStyle w:val="BoxText"/>
        <w:pBdr>
          <w:top w:val="single" w:sz="12" w:space="4" w:color="984806"/>
          <w:left w:val="single" w:sz="12" w:space="4" w:color="984806"/>
          <w:bottom w:val="single" w:sz="12" w:space="4" w:color="984806"/>
          <w:right w:val="single" w:sz="12" w:space="4" w:color="984806"/>
        </w:pBdr>
        <w:rPr>
          <w:rFonts w:cs="Arial"/>
        </w:rPr>
      </w:pPr>
      <w:r w:rsidRPr="00913EA8">
        <w:rPr>
          <w:rFonts w:cs="Arial"/>
          <w:bCs/>
        </w:rPr>
        <w:t xml:space="preserve">If you want your </w:t>
      </w:r>
      <w:r>
        <w:rPr>
          <w:rFonts w:cs="Arial"/>
          <w:bCs/>
        </w:rPr>
        <w:t>feedback</w:t>
      </w:r>
      <w:r w:rsidRPr="00913EA8">
        <w:rPr>
          <w:rFonts w:cs="Arial"/>
          <w:bCs/>
        </w:rPr>
        <w:t xml:space="preserve"> to remain confidential please mark it as such. It is important to be aware that confidential </w:t>
      </w:r>
      <w:r>
        <w:rPr>
          <w:rFonts w:cs="Arial"/>
          <w:bCs/>
        </w:rPr>
        <w:t>feedback</w:t>
      </w:r>
      <w:r w:rsidRPr="00913EA8">
        <w:rPr>
          <w:rFonts w:cs="Arial"/>
          <w:bCs/>
        </w:rPr>
        <w:t xml:space="preserve"> may still be subject to access under freedom of information law.</w:t>
      </w:r>
    </w:p>
    <w:p w14:paraId="08DF7364" w14:textId="77777777" w:rsidR="00262127" w:rsidRPr="00FC1976" w:rsidRDefault="00262127" w:rsidP="00082595">
      <w:pPr>
        <w:rPr>
          <w:lang w:val="en-AU"/>
        </w:rPr>
      </w:pPr>
      <w:r w:rsidRPr="00FC1976">
        <w:rPr>
          <w:lang w:val="en-AU"/>
        </w:rPr>
        <w:br w:type="page"/>
      </w:r>
    </w:p>
    <w:p w14:paraId="39B36CB7" w14:textId="78FA4CF5" w:rsidR="00CE268D" w:rsidRPr="00A773F4" w:rsidRDefault="00C56DF9" w:rsidP="00A773F4">
      <w:pPr>
        <w:rPr>
          <w:b/>
          <w:color w:val="01653F"/>
          <w:sz w:val="32"/>
          <w:lang w:val="en-AU"/>
        </w:rPr>
      </w:pPr>
      <w:r w:rsidRPr="00FC1976">
        <w:rPr>
          <w:b/>
          <w:color w:val="01653F"/>
          <w:sz w:val="32"/>
          <w:lang w:val="en-AU"/>
        </w:rPr>
        <w:lastRenderedPageBreak/>
        <w:t>Table of Contents</w:t>
      </w:r>
      <w:bookmarkEnd w:id="0"/>
    </w:p>
    <w:p w14:paraId="2EED8696" w14:textId="21574FCC" w:rsidR="00621980" w:rsidRDefault="00A5097F">
      <w:pPr>
        <w:pStyle w:val="TOC1"/>
        <w:tabs>
          <w:tab w:val="right" w:leader="dot" w:pos="9016"/>
        </w:tabs>
        <w:rPr>
          <w:rFonts w:eastAsiaTheme="minorEastAsia" w:cstheme="minorBidi"/>
          <w:b w:val="0"/>
          <w:bCs w:val="0"/>
          <w:noProof/>
          <w:sz w:val="22"/>
          <w:szCs w:val="22"/>
          <w:lang w:val="en-AU"/>
        </w:rPr>
      </w:pPr>
      <w:r w:rsidRPr="00FC1976">
        <w:rPr>
          <w:lang w:val="en-AU"/>
        </w:rPr>
        <w:fldChar w:fldCharType="begin"/>
      </w:r>
      <w:r w:rsidRPr="00FC1976">
        <w:rPr>
          <w:lang w:val="en-AU"/>
        </w:rPr>
        <w:instrText xml:space="preserve"> TOC \h \z \u \t "Heading 1,1,Heading 2,2,Heading 3,3</w:instrText>
      </w:r>
      <w:r w:rsidR="001D17CD" w:rsidRPr="00FC1976">
        <w:rPr>
          <w:lang w:val="en-AU"/>
        </w:rPr>
        <w:instrText>, Appendix Style 1, 1</w:instrText>
      </w:r>
      <w:r w:rsidRPr="00FC1976">
        <w:rPr>
          <w:lang w:val="en-AU"/>
        </w:rPr>
        <w:instrText xml:space="preserve">" </w:instrText>
      </w:r>
      <w:r w:rsidRPr="00FC1976">
        <w:rPr>
          <w:lang w:val="en-AU"/>
        </w:rPr>
        <w:fldChar w:fldCharType="separate"/>
      </w:r>
      <w:hyperlink w:anchor="_Toc467668942" w:history="1">
        <w:r w:rsidR="00621980" w:rsidRPr="00D8084B">
          <w:rPr>
            <w:rStyle w:val="Hyperlink"/>
            <w:noProof/>
            <w:lang w:val="en-AU" w:bidi="x-none"/>
            <w14:scene3d>
              <w14:camera w14:prst="orthographicFront"/>
              <w14:lightRig w14:rig="threePt" w14:dir="t">
                <w14:rot w14:lat="0" w14:lon="0" w14:rev="0"/>
              </w14:lightRig>
            </w14:scene3d>
          </w:rPr>
          <w:t>1.</w:t>
        </w:r>
        <w:r w:rsidR="00621980">
          <w:rPr>
            <w:rFonts w:eastAsiaTheme="minorEastAsia" w:cstheme="minorBidi"/>
            <w:b w:val="0"/>
            <w:bCs w:val="0"/>
            <w:noProof/>
            <w:sz w:val="22"/>
            <w:szCs w:val="22"/>
            <w:lang w:val="en-AU"/>
          </w:rPr>
          <w:tab/>
        </w:r>
        <w:r w:rsidR="00621980" w:rsidRPr="00D8084B">
          <w:rPr>
            <w:rStyle w:val="Hyperlink"/>
            <w:noProof/>
          </w:rPr>
          <w:t>Executive summary</w:t>
        </w:r>
        <w:r w:rsidR="00621980">
          <w:rPr>
            <w:noProof/>
            <w:webHidden/>
          </w:rPr>
          <w:tab/>
        </w:r>
        <w:r w:rsidR="00621980">
          <w:rPr>
            <w:noProof/>
            <w:webHidden/>
          </w:rPr>
          <w:fldChar w:fldCharType="begin"/>
        </w:r>
        <w:r w:rsidR="00621980">
          <w:rPr>
            <w:noProof/>
            <w:webHidden/>
          </w:rPr>
          <w:instrText xml:space="preserve"> PAGEREF _Toc467668942 \h </w:instrText>
        </w:r>
        <w:r w:rsidR="00621980">
          <w:rPr>
            <w:noProof/>
            <w:webHidden/>
          </w:rPr>
        </w:r>
        <w:r w:rsidR="00621980">
          <w:rPr>
            <w:noProof/>
            <w:webHidden/>
          </w:rPr>
          <w:fldChar w:fldCharType="separate"/>
        </w:r>
        <w:r w:rsidR="00D17FB0">
          <w:rPr>
            <w:noProof/>
            <w:webHidden/>
          </w:rPr>
          <w:t>5</w:t>
        </w:r>
        <w:r w:rsidR="00621980">
          <w:rPr>
            <w:noProof/>
            <w:webHidden/>
          </w:rPr>
          <w:fldChar w:fldCharType="end"/>
        </w:r>
      </w:hyperlink>
    </w:p>
    <w:p w14:paraId="6950F0CC" w14:textId="0030F158" w:rsidR="00621980" w:rsidRDefault="002105C1">
      <w:pPr>
        <w:pStyle w:val="TOC2"/>
        <w:rPr>
          <w:rFonts w:eastAsiaTheme="minorEastAsia" w:cstheme="minorBidi"/>
          <w:i w:val="0"/>
          <w:iCs w:val="0"/>
          <w:noProof/>
          <w:sz w:val="22"/>
          <w:szCs w:val="22"/>
          <w:lang w:val="en-AU"/>
        </w:rPr>
      </w:pPr>
      <w:hyperlink w:anchor="_Toc467668943" w:history="1">
        <w:r w:rsidR="00621980" w:rsidRPr="00D8084B">
          <w:rPr>
            <w:rStyle w:val="Hyperlink"/>
            <w:noProof/>
          </w:rPr>
          <w:t>1.1</w:t>
        </w:r>
        <w:r w:rsidR="00621980">
          <w:rPr>
            <w:rFonts w:eastAsiaTheme="minorEastAsia" w:cstheme="minorBidi"/>
            <w:i w:val="0"/>
            <w:iCs w:val="0"/>
            <w:noProof/>
            <w:sz w:val="22"/>
            <w:szCs w:val="22"/>
            <w:lang w:val="en-AU"/>
          </w:rPr>
          <w:tab/>
        </w:r>
        <w:r w:rsidR="00621980" w:rsidRPr="00D8084B">
          <w:rPr>
            <w:rStyle w:val="Hyperlink"/>
            <w:noProof/>
          </w:rPr>
          <w:t>MBS Review process</w:t>
        </w:r>
        <w:r w:rsidR="00621980">
          <w:rPr>
            <w:noProof/>
            <w:webHidden/>
          </w:rPr>
          <w:tab/>
        </w:r>
        <w:r w:rsidR="00621980">
          <w:rPr>
            <w:noProof/>
            <w:webHidden/>
          </w:rPr>
          <w:fldChar w:fldCharType="begin"/>
        </w:r>
        <w:r w:rsidR="00621980">
          <w:rPr>
            <w:noProof/>
            <w:webHidden/>
          </w:rPr>
          <w:instrText xml:space="preserve"> PAGEREF _Toc467668943 \h </w:instrText>
        </w:r>
        <w:r w:rsidR="00621980">
          <w:rPr>
            <w:noProof/>
            <w:webHidden/>
          </w:rPr>
        </w:r>
        <w:r w:rsidR="00621980">
          <w:rPr>
            <w:noProof/>
            <w:webHidden/>
          </w:rPr>
          <w:fldChar w:fldCharType="separate"/>
        </w:r>
        <w:r w:rsidR="00D17FB0">
          <w:rPr>
            <w:noProof/>
            <w:webHidden/>
          </w:rPr>
          <w:t>5</w:t>
        </w:r>
        <w:r w:rsidR="00621980">
          <w:rPr>
            <w:noProof/>
            <w:webHidden/>
          </w:rPr>
          <w:fldChar w:fldCharType="end"/>
        </w:r>
      </w:hyperlink>
    </w:p>
    <w:p w14:paraId="6132A6D0" w14:textId="62387B18" w:rsidR="00621980" w:rsidRDefault="002105C1">
      <w:pPr>
        <w:pStyle w:val="TOC2"/>
        <w:rPr>
          <w:rFonts w:eastAsiaTheme="minorEastAsia" w:cstheme="minorBidi"/>
          <w:i w:val="0"/>
          <w:iCs w:val="0"/>
          <w:noProof/>
          <w:sz w:val="22"/>
          <w:szCs w:val="22"/>
          <w:lang w:val="en-AU"/>
        </w:rPr>
      </w:pPr>
      <w:hyperlink w:anchor="_Toc467668944" w:history="1">
        <w:r w:rsidR="00621980" w:rsidRPr="00D8084B">
          <w:rPr>
            <w:rStyle w:val="Hyperlink"/>
            <w:noProof/>
          </w:rPr>
          <w:t>1.2</w:t>
        </w:r>
        <w:r w:rsidR="00621980">
          <w:rPr>
            <w:rFonts w:eastAsiaTheme="minorEastAsia" w:cstheme="minorBidi"/>
            <w:i w:val="0"/>
            <w:iCs w:val="0"/>
            <w:noProof/>
            <w:sz w:val="22"/>
            <w:szCs w:val="22"/>
            <w:lang w:val="en-AU"/>
          </w:rPr>
          <w:tab/>
        </w:r>
        <w:r w:rsidR="00621980" w:rsidRPr="00D8084B">
          <w:rPr>
            <w:rStyle w:val="Hyperlink"/>
            <w:noProof/>
          </w:rPr>
          <w:t>The Renal Clinical Committee</w:t>
        </w:r>
        <w:r w:rsidR="00621980">
          <w:rPr>
            <w:noProof/>
            <w:webHidden/>
          </w:rPr>
          <w:tab/>
        </w:r>
        <w:r w:rsidR="00621980">
          <w:rPr>
            <w:noProof/>
            <w:webHidden/>
          </w:rPr>
          <w:fldChar w:fldCharType="begin"/>
        </w:r>
        <w:r w:rsidR="00621980">
          <w:rPr>
            <w:noProof/>
            <w:webHidden/>
          </w:rPr>
          <w:instrText xml:space="preserve"> PAGEREF _Toc467668944 \h </w:instrText>
        </w:r>
        <w:r w:rsidR="00621980">
          <w:rPr>
            <w:noProof/>
            <w:webHidden/>
          </w:rPr>
        </w:r>
        <w:r w:rsidR="00621980">
          <w:rPr>
            <w:noProof/>
            <w:webHidden/>
          </w:rPr>
          <w:fldChar w:fldCharType="separate"/>
        </w:r>
        <w:r w:rsidR="00D17FB0">
          <w:rPr>
            <w:noProof/>
            <w:webHidden/>
          </w:rPr>
          <w:t>6</w:t>
        </w:r>
        <w:r w:rsidR="00621980">
          <w:rPr>
            <w:noProof/>
            <w:webHidden/>
          </w:rPr>
          <w:fldChar w:fldCharType="end"/>
        </w:r>
      </w:hyperlink>
    </w:p>
    <w:p w14:paraId="6F365832" w14:textId="7B2E8E94" w:rsidR="00621980" w:rsidRDefault="002105C1">
      <w:pPr>
        <w:pStyle w:val="TOC2"/>
        <w:rPr>
          <w:rFonts w:eastAsiaTheme="minorEastAsia" w:cstheme="minorBidi"/>
          <w:i w:val="0"/>
          <w:iCs w:val="0"/>
          <w:noProof/>
          <w:sz w:val="22"/>
          <w:szCs w:val="22"/>
          <w:lang w:val="en-AU"/>
        </w:rPr>
      </w:pPr>
      <w:hyperlink w:anchor="_Toc467668945" w:history="1">
        <w:r w:rsidR="00621980" w:rsidRPr="00D8084B">
          <w:rPr>
            <w:rStyle w:val="Hyperlink"/>
            <w:noProof/>
          </w:rPr>
          <w:t>1.3</w:t>
        </w:r>
        <w:r w:rsidR="00621980">
          <w:rPr>
            <w:rFonts w:eastAsiaTheme="minorEastAsia" w:cstheme="minorBidi"/>
            <w:i w:val="0"/>
            <w:iCs w:val="0"/>
            <w:noProof/>
            <w:sz w:val="22"/>
            <w:szCs w:val="22"/>
            <w:lang w:val="en-AU"/>
          </w:rPr>
          <w:tab/>
        </w:r>
        <w:r w:rsidR="00621980" w:rsidRPr="00D8084B">
          <w:rPr>
            <w:rStyle w:val="Hyperlink"/>
            <w:noProof/>
          </w:rPr>
          <w:t>Recommendations</w:t>
        </w:r>
        <w:r w:rsidR="00621980">
          <w:rPr>
            <w:noProof/>
            <w:webHidden/>
          </w:rPr>
          <w:tab/>
        </w:r>
        <w:r w:rsidR="00621980">
          <w:rPr>
            <w:noProof/>
            <w:webHidden/>
          </w:rPr>
          <w:fldChar w:fldCharType="begin"/>
        </w:r>
        <w:r w:rsidR="00621980">
          <w:rPr>
            <w:noProof/>
            <w:webHidden/>
          </w:rPr>
          <w:instrText xml:space="preserve"> PAGEREF _Toc467668945 \h </w:instrText>
        </w:r>
        <w:r w:rsidR="00621980">
          <w:rPr>
            <w:noProof/>
            <w:webHidden/>
          </w:rPr>
        </w:r>
        <w:r w:rsidR="00621980">
          <w:rPr>
            <w:noProof/>
            <w:webHidden/>
          </w:rPr>
          <w:fldChar w:fldCharType="separate"/>
        </w:r>
        <w:r w:rsidR="00D17FB0">
          <w:rPr>
            <w:noProof/>
            <w:webHidden/>
          </w:rPr>
          <w:t>6</w:t>
        </w:r>
        <w:r w:rsidR="00621980">
          <w:rPr>
            <w:noProof/>
            <w:webHidden/>
          </w:rPr>
          <w:fldChar w:fldCharType="end"/>
        </w:r>
      </w:hyperlink>
    </w:p>
    <w:p w14:paraId="12E25FD1" w14:textId="369523A7" w:rsidR="00621980" w:rsidRDefault="002105C1">
      <w:pPr>
        <w:pStyle w:val="TOC2"/>
        <w:rPr>
          <w:rFonts w:eastAsiaTheme="minorEastAsia" w:cstheme="minorBidi"/>
          <w:i w:val="0"/>
          <w:iCs w:val="0"/>
          <w:noProof/>
          <w:sz w:val="22"/>
          <w:szCs w:val="22"/>
          <w:lang w:val="en-AU"/>
        </w:rPr>
      </w:pPr>
      <w:hyperlink w:anchor="_Toc467668946" w:history="1">
        <w:r w:rsidR="00621980" w:rsidRPr="00D8084B">
          <w:rPr>
            <w:rStyle w:val="Hyperlink"/>
            <w:noProof/>
          </w:rPr>
          <w:t>1.4</w:t>
        </w:r>
        <w:r w:rsidR="00621980">
          <w:rPr>
            <w:rFonts w:eastAsiaTheme="minorEastAsia" w:cstheme="minorBidi"/>
            <w:i w:val="0"/>
            <w:iCs w:val="0"/>
            <w:noProof/>
            <w:sz w:val="22"/>
            <w:szCs w:val="22"/>
            <w:lang w:val="en-AU"/>
          </w:rPr>
          <w:tab/>
        </w:r>
        <w:r w:rsidR="00621980" w:rsidRPr="00D8084B">
          <w:rPr>
            <w:rStyle w:val="Hyperlink"/>
            <w:noProof/>
          </w:rPr>
          <w:t>Consumer Engagement</w:t>
        </w:r>
        <w:r w:rsidR="00621980">
          <w:rPr>
            <w:noProof/>
            <w:webHidden/>
          </w:rPr>
          <w:tab/>
        </w:r>
        <w:r w:rsidR="00621980">
          <w:rPr>
            <w:noProof/>
            <w:webHidden/>
          </w:rPr>
          <w:fldChar w:fldCharType="begin"/>
        </w:r>
        <w:r w:rsidR="00621980">
          <w:rPr>
            <w:noProof/>
            <w:webHidden/>
          </w:rPr>
          <w:instrText xml:space="preserve"> PAGEREF _Toc467668946 \h </w:instrText>
        </w:r>
        <w:r w:rsidR="00621980">
          <w:rPr>
            <w:noProof/>
            <w:webHidden/>
          </w:rPr>
        </w:r>
        <w:r w:rsidR="00621980">
          <w:rPr>
            <w:noProof/>
            <w:webHidden/>
          </w:rPr>
          <w:fldChar w:fldCharType="separate"/>
        </w:r>
        <w:r w:rsidR="00D17FB0">
          <w:rPr>
            <w:noProof/>
            <w:webHidden/>
          </w:rPr>
          <w:t>7</w:t>
        </w:r>
        <w:r w:rsidR="00621980">
          <w:rPr>
            <w:noProof/>
            <w:webHidden/>
          </w:rPr>
          <w:fldChar w:fldCharType="end"/>
        </w:r>
      </w:hyperlink>
    </w:p>
    <w:p w14:paraId="11828CC0" w14:textId="2AD87EFA" w:rsidR="00621980" w:rsidRDefault="002105C1">
      <w:pPr>
        <w:pStyle w:val="TOC1"/>
        <w:tabs>
          <w:tab w:val="right" w:leader="dot" w:pos="9016"/>
        </w:tabs>
        <w:rPr>
          <w:rFonts w:eastAsiaTheme="minorEastAsia" w:cstheme="minorBidi"/>
          <w:b w:val="0"/>
          <w:bCs w:val="0"/>
          <w:noProof/>
          <w:sz w:val="22"/>
          <w:szCs w:val="22"/>
          <w:lang w:val="en-AU"/>
        </w:rPr>
      </w:pPr>
      <w:hyperlink w:anchor="_Toc467668947" w:history="1">
        <w:r w:rsidR="00621980" w:rsidRPr="00D8084B">
          <w:rPr>
            <w:rStyle w:val="Hyperlink"/>
            <w:noProof/>
            <w:lang w:val="en-AU" w:bidi="x-none"/>
            <w14:scene3d>
              <w14:camera w14:prst="orthographicFront"/>
              <w14:lightRig w14:rig="threePt" w14:dir="t">
                <w14:rot w14:lat="0" w14:lon="0" w14:rev="0"/>
              </w14:lightRig>
            </w14:scene3d>
          </w:rPr>
          <w:t>2.</w:t>
        </w:r>
        <w:r w:rsidR="00621980">
          <w:rPr>
            <w:rFonts w:eastAsiaTheme="minorEastAsia" w:cstheme="minorBidi"/>
            <w:b w:val="0"/>
            <w:bCs w:val="0"/>
            <w:noProof/>
            <w:sz w:val="22"/>
            <w:szCs w:val="22"/>
            <w:lang w:val="en-AU"/>
          </w:rPr>
          <w:tab/>
        </w:r>
        <w:r w:rsidR="00621980" w:rsidRPr="00D8084B">
          <w:rPr>
            <w:rStyle w:val="Hyperlink"/>
            <w:noProof/>
            <w:lang w:val="en-AU"/>
          </w:rPr>
          <w:t>About the Medicare Benefits Schedule (MBS) Review</w:t>
        </w:r>
        <w:r w:rsidR="00621980">
          <w:rPr>
            <w:noProof/>
            <w:webHidden/>
          </w:rPr>
          <w:tab/>
        </w:r>
        <w:r w:rsidR="00621980">
          <w:rPr>
            <w:noProof/>
            <w:webHidden/>
          </w:rPr>
          <w:fldChar w:fldCharType="begin"/>
        </w:r>
        <w:r w:rsidR="00621980">
          <w:rPr>
            <w:noProof/>
            <w:webHidden/>
          </w:rPr>
          <w:instrText xml:space="preserve"> PAGEREF _Toc467668947 \h </w:instrText>
        </w:r>
        <w:r w:rsidR="00621980">
          <w:rPr>
            <w:noProof/>
            <w:webHidden/>
          </w:rPr>
        </w:r>
        <w:r w:rsidR="00621980">
          <w:rPr>
            <w:noProof/>
            <w:webHidden/>
          </w:rPr>
          <w:fldChar w:fldCharType="separate"/>
        </w:r>
        <w:r w:rsidR="00D17FB0">
          <w:rPr>
            <w:noProof/>
            <w:webHidden/>
          </w:rPr>
          <w:t>9</w:t>
        </w:r>
        <w:r w:rsidR="00621980">
          <w:rPr>
            <w:noProof/>
            <w:webHidden/>
          </w:rPr>
          <w:fldChar w:fldCharType="end"/>
        </w:r>
      </w:hyperlink>
    </w:p>
    <w:p w14:paraId="585E6196" w14:textId="6CDE5F21" w:rsidR="00621980" w:rsidRDefault="002105C1">
      <w:pPr>
        <w:pStyle w:val="TOC2"/>
        <w:rPr>
          <w:rFonts w:eastAsiaTheme="minorEastAsia" w:cstheme="minorBidi"/>
          <w:i w:val="0"/>
          <w:iCs w:val="0"/>
          <w:noProof/>
          <w:sz w:val="22"/>
          <w:szCs w:val="22"/>
          <w:lang w:val="en-AU"/>
        </w:rPr>
      </w:pPr>
      <w:hyperlink w:anchor="_Toc467668948" w:history="1">
        <w:r w:rsidR="00621980" w:rsidRPr="00D8084B">
          <w:rPr>
            <w:rStyle w:val="Hyperlink"/>
            <w:noProof/>
            <w:lang w:val="en-AU"/>
          </w:rPr>
          <w:t>2.1</w:t>
        </w:r>
        <w:r w:rsidR="00621980">
          <w:rPr>
            <w:rFonts w:eastAsiaTheme="minorEastAsia" w:cstheme="minorBidi"/>
            <w:i w:val="0"/>
            <w:iCs w:val="0"/>
            <w:noProof/>
            <w:sz w:val="22"/>
            <w:szCs w:val="22"/>
            <w:lang w:val="en-AU"/>
          </w:rPr>
          <w:tab/>
        </w:r>
        <w:r w:rsidR="00621980" w:rsidRPr="00D8084B">
          <w:rPr>
            <w:rStyle w:val="Hyperlink"/>
            <w:noProof/>
            <w:lang w:val="en-AU"/>
          </w:rPr>
          <w:t>Medicare and the MBS</w:t>
        </w:r>
        <w:r w:rsidR="00621980">
          <w:rPr>
            <w:noProof/>
            <w:webHidden/>
          </w:rPr>
          <w:tab/>
        </w:r>
        <w:r w:rsidR="00621980">
          <w:rPr>
            <w:noProof/>
            <w:webHidden/>
          </w:rPr>
          <w:fldChar w:fldCharType="begin"/>
        </w:r>
        <w:r w:rsidR="00621980">
          <w:rPr>
            <w:noProof/>
            <w:webHidden/>
          </w:rPr>
          <w:instrText xml:space="preserve"> PAGEREF _Toc467668948 \h </w:instrText>
        </w:r>
        <w:r w:rsidR="00621980">
          <w:rPr>
            <w:noProof/>
            <w:webHidden/>
          </w:rPr>
        </w:r>
        <w:r w:rsidR="00621980">
          <w:rPr>
            <w:noProof/>
            <w:webHidden/>
          </w:rPr>
          <w:fldChar w:fldCharType="separate"/>
        </w:r>
        <w:r w:rsidR="00D17FB0">
          <w:rPr>
            <w:noProof/>
            <w:webHidden/>
          </w:rPr>
          <w:t>9</w:t>
        </w:r>
        <w:r w:rsidR="00621980">
          <w:rPr>
            <w:noProof/>
            <w:webHidden/>
          </w:rPr>
          <w:fldChar w:fldCharType="end"/>
        </w:r>
      </w:hyperlink>
    </w:p>
    <w:p w14:paraId="37D2AE67" w14:textId="1E38B8E7" w:rsidR="00621980" w:rsidRDefault="002105C1">
      <w:pPr>
        <w:pStyle w:val="TOC2"/>
        <w:rPr>
          <w:rFonts w:eastAsiaTheme="minorEastAsia" w:cstheme="minorBidi"/>
          <w:i w:val="0"/>
          <w:iCs w:val="0"/>
          <w:noProof/>
          <w:sz w:val="22"/>
          <w:szCs w:val="22"/>
          <w:lang w:val="en-AU"/>
        </w:rPr>
      </w:pPr>
      <w:hyperlink w:anchor="_Toc467668949" w:history="1">
        <w:r w:rsidR="00621980" w:rsidRPr="00D8084B">
          <w:rPr>
            <w:rStyle w:val="Hyperlink"/>
            <w:noProof/>
            <w:lang w:val="en-AU"/>
          </w:rPr>
          <w:t>2.2</w:t>
        </w:r>
        <w:r w:rsidR="00621980">
          <w:rPr>
            <w:rFonts w:eastAsiaTheme="minorEastAsia" w:cstheme="minorBidi"/>
            <w:i w:val="0"/>
            <w:iCs w:val="0"/>
            <w:noProof/>
            <w:sz w:val="22"/>
            <w:szCs w:val="22"/>
            <w:lang w:val="en-AU"/>
          </w:rPr>
          <w:tab/>
        </w:r>
        <w:r w:rsidR="00621980" w:rsidRPr="00D8084B">
          <w:rPr>
            <w:rStyle w:val="Hyperlink"/>
            <w:noProof/>
            <w:lang w:val="en-AU"/>
          </w:rPr>
          <w:t>The MBS Review Taskforce</w:t>
        </w:r>
        <w:r w:rsidR="00621980">
          <w:rPr>
            <w:noProof/>
            <w:webHidden/>
          </w:rPr>
          <w:tab/>
        </w:r>
        <w:r w:rsidR="00621980">
          <w:rPr>
            <w:noProof/>
            <w:webHidden/>
          </w:rPr>
          <w:fldChar w:fldCharType="begin"/>
        </w:r>
        <w:r w:rsidR="00621980">
          <w:rPr>
            <w:noProof/>
            <w:webHidden/>
          </w:rPr>
          <w:instrText xml:space="preserve"> PAGEREF _Toc467668949 \h </w:instrText>
        </w:r>
        <w:r w:rsidR="00621980">
          <w:rPr>
            <w:noProof/>
            <w:webHidden/>
          </w:rPr>
        </w:r>
        <w:r w:rsidR="00621980">
          <w:rPr>
            <w:noProof/>
            <w:webHidden/>
          </w:rPr>
          <w:fldChar w:fldCharType="separate"/>
        </w:r>
        <w:r w:rsidR="00D17FB0">
          <w:rPr>
            <w:noProof/>
            <w:webHidden/>
          </w:rPr>
          <w:t>9</w:t>
        </w:r>
        <w:r w:rsidR="00621980">
          <w:rPr>
            <w:noProof/>
            <w:webHidden/>
          </w:rPr>
          <w:fldChar w:fldCharType="end"/>
        </w:r>
      </w:hyperlink>
    </w:p>
    <w:p w14:paraId="28798960" w14:textId="66E054C3" w:rsidR="00621980" w:rsidRDefault="002105C1">
      <w:pPr>
        <w:pStyle w:val="TOC2"/>
        <w:rPr>
          <w:rFonts w:eastAsiaTheme="minorEastAsia" w:cstheme="minorBidi"/>
          <w:i w:val="0"/>
          <w:iCs w:val="0"/>
          <w:noProof/>
          <w:sz w:val="22"/>
          <w:szCs w:val="22"/>
          <w:lang w:val="en-AU"/>
        </w:rPr>
      </w:pPr>
      <w:hyperlink w:anchor="_Toc467668950" w:history="1">
        <w:r w:rsidR="00621980" w:rsidRPr="00D8084B">
          <w:rPr>
            <w:rStyle w:val="Hyperlink"/>
            <w:noProof/>
            <w:lang w:val="en-AU"/>
          </w:rPr>
          <w:t>2.3</w:t>
        </w:r>
        <w:r w:rsidR="00621980">
          <w:rPr>
            <w:rFonts w:eastAsiaTheme="minorEastAsia" w:cstheme="minorBidi"/>
            <w:i w:val="0"/>
            <w:iCs w:val="0"/>
            <w:noProof/>
            <w:sz w:val="22"/>
            <w:szCs w:val="22"/>
            <w:lang w:val="en-AU"/>
          </w:rPr>
          <w:tab/>
        </w:r>
        <w:r w:rsidR="00621980" w:rsidRPr="00D8084B">
          <w:rPr>
            <w:rStyle w:val="Hyperlink"/>
            <w:noProof/>
            <w:lang w:val="en-AU"/>
          </w:rPr>
          <w:t>The Taskforce’s approach</w:t>
        </w:r>
        <w:r w:rsidR="00621980">
          <w:rPr>
            <w:noProof/>
            <w:webHidden/>
          </w:rPr>
          <w:tab/>
        </w:r>
        <w:r w:rsidR="00621980">
          <w:rPr>
            <w:noProof/>
            <w:webHidden/>
          </w:rPr>
          <w:fldChar w:fldCharType="begin"/>
        </w:r>
        <w:r w:rsidR="00621980">
          <w:rPr>
            <w:noProof/>
            <w:webHidden/>
          </w:rPr>
          <w:instrText xml:space="preserve"> PAGEREF _Toc467668950 \h </w:instrText>
        </w:r>
        <w:r w:rsidR="00621980">
          <w:rPr>
            <w:noProof/>
            <w:webHidden/>
          </w:rPr>
        </w:r>
        <w:r w:rsidR="00621980">
          <w:rPr>
            <w:noProof/>
            <w:webHidden/>
          </w:rPr>
          <w:fldChar w:fldCharType="separate"/>
        </w:r>
        <w:r w:rsidR="00D17FB0">
          <w:rPr>
            <w:noProof/>
            <w:webHidden/>
          </w:rPr>
          <w:t>10</w:t>
        </w:r>
        <w:r w:rsidR="00621980">
          <w:rPr>
            <w:noProof/>
            <w:webHidden/>
          </w:rPr>
          <w:fldChar w:fldCharType="end"/>
        </w:r>
      </w:hyperlink>
    </w:p>
    <w:p w14:paraId="5997E730" w14:textId="4BA2A76B" w:rsidR="00621980" w:rsidRDefault="002105C1">
      <w:pPr>
        <w:pStyle w:val="TOC1"/>
        <w:tabs>
          <w:tab w:val="right" w:leader="dot" w:pos="9016"/>
        </w:tabs>
        <w:rPr>
          <w:rFonts w:eastAsiaTheme="minorEastAsia" w:cstheme="minorBidi"/>
          <w:b w:val="0"/>
          <w:bCs w:val="0"/>
          <w:noProof/>
          <w:sz w:val="22"/>
          <w:szCs w:val="22"/>
          <w:lang w:val="en-AU"/>
        </w:rPr>
      </w:pPr>
      <w:hyperlink w:anchor="_Toc467668951" w:history="1">
        <w:r w:rsidR="00621980" w:rsidRPr="00D8084B">
          <w:rPr>
            <w:rStyle w:val="Hyperlink"/>
            <w:noProof/>
            <w:lang w:val="en-AU" w:bidi="x-none"/>
            <w14:scene3d>
              <w14:camera w14:prst="orthographicFront"/>
              <w14:lightRig w14:rig="threePt" w14:dir="t">
                <w14:rot w14:lat="0" w14:lon="0" w14:rev="0"/>
              </w14:lightRig>
            </w14:scene3d>
          </w:rPr>
          <w:t>3.</w:t>
        </w:r>
        <w:r w:rsidR="00621980">
          <w:rPr>
            <w:rFonts w:eastAsiaTheme="minorEastAsia" w:cstheme="minorBidi"/>
            <w:b w:val="0"/>
            <w:bCs w:val="0"/>
            <w:noProof/>
            <w:sz w:val="22"/>
            <w:szCs w:val="22"/>
            <w:lang w:val="en-AU"/>
          </w:rPr>
          <w:tab/>
        </w:r>
        <w:r w:rsidR="00621980" w:rsidRPr="00D8084B">
          <w:rPr>
            <w:rStyle w:val="Hyperlink"/>
            <w:noProof/>
            <w:lang w:val="en-AU"/>
          </w:rPr>
          <w:t>About the Renal Clinical Committee</w:t>
        </w:r>
        <w:r w:rsidR="00621980">
          <w:rPr>
            <w:noProof/>
            <w:webHidden/>
          </w:rPr>
          <w:tab/>
        </w:r>
        <w:r w:rsidR="00621980">
          <w:rPr>
            <w:noProof/>
            <w:webHidden/>
          </w:rPr>
          <w:fldChar w:fldCharType="begin"/>
        </w:r>
        <w:r w:rsidR="00621980">
          <w:rPr>
            <w:noProof/>
            <w:webHidden/>
          </w:rPr>
          <w:instrText xml:space="preserve"> PAGEREF _Toc467668951 \h </w:instrText>
        </w:r>
        <w:r w:rsidR="00621980">
          <w:rPr>
            <w:noProof/>
            <w:webHidden/>
          </w:rPr>
        </w:r>
        <w:r w:rsidR="00621980">
          <w:rPr>
            <w:noProof/>
            <w:webHidden/>
          </w:rPr>
          <w:fldChar w:fldCharType="separate"/>
        </w:r>
        <w:r w:rsidR="00D17FB0">
          <w:rPr>
            <w:noProof/>
            <w:webHidden/>
          </w:rPr>
          <w:t>11</w:t>
        </w:r>
        <w:r w:rsidR="00621980">
          <w:rPr>
            <w:noProof/>
            <w:webHidden/>
          </w:rPr>
          <w:fldChar w:fldCharType="end"/>
        </w:r>
      </w:hyperlink>
    </w:p>
    <w:p w14:paraId="338D08EF" w14:textId="51C1B34D" w:rsidR="00621980" w:rsidRDefault="002105C1">
      <w:pPr>
        <w:pStyle w:val="TOC2"/>
        <w:rPr>
          <w:rFonts w:eastAsiaTheme="minorEastAsia" w:cstheme="minorBidi"/>
          <w:i w:val="0"/>
          <w:iCs w:val="0"/>
          <w:noProof/>
          <w:sz w:val="22"/>
          <w:szCs w:val="22"/>
          <w:lang w:val="en-AU"/>
        </w:rPr>
      </w:pPr>
      <w:hyperlink w:anchor="_Toc467668952" w:history="1">
        <w:r w:rsidR="00621980" w:rsidRPr="00D8084B">
          <w:rPr>
            <w:rStyle w:val="Hyperlink"/>
            <w:noProof/>
            <w:lang w:val="en-AU"/>
          </w:rPr>
          <w:t>3.1</w:t>
        </w:r>
        <w:r w:rsidR="00621980">
          <w:rPr>
            <w:rFonts w:eastAsiaTheme="minorEastAsia" w:cstheme="minorBidi"/>
            <w:i w:val="0"/>
            <w:iCs w:val="0"/>
            <w:noProof/>
            <w:sz w:val="22"/>
            <w:szCs w:val="22"/>
            <w:lang w:val="en-AU"/>
          </w:rPr>
          <w:tab/>
        </w:r>
        <w:r w:rsidR="00621980" w:rsidRPr="00D8084B">
          <w:rPr>
            <w:rStyle w:val="Hyperlink"/>
            <w:noProof/>
            <w:lang w:val="en-AU"/>
          </w:rPr>
          <w:t>Committee members</w:t>
        </w:r>
        <w:r w:rsidR="00621980">
          <w:rPr>
            <w:noProof/>
            <w:webHidden/>
          </w:rPr>
          <w:tab/>
        </w:r>
        <w:r w:rsidR="00621980">
          <w:rPr>
            <w:noProof/>
            <w:webHidden/>
          </w:rPr>
          <w:fldChar w:fldCharType="begin"/>
        </w:r>
        <w:r w:rsidR="00621980">
          <w:rPr>
            <w:noProof/>
            <w:webHidden/>
          </w:rPr>
          <w:instrText xml:space="preserve"> PAGEREF _Toc467668952 \h </w:instrText>
        </w:r>
        <w:r w:rsidR="00621980">
          <w:rPr>
            <w:noProof/>
            <w:webHidden/>
          </w:rPr>
        </w:r>
        <w:r w:rsidR="00621980">
          <w:rPr>
            <w:noProof/>
            <w:webHidden/>
          </w:rPr>
          <w:fldChar w:fldCharType="separate"/>
        </w:r>
        <w:r w:rsidR="00D17FB0">
          <w:rPr>
            <w:noProof/>
            <w:webHidden/>
          </w:rPr>
          <w:t>11</w:t>
        </w:r>
        <w:r w:rsidR="00621980">
          <w:rPr>
            <w:noProof/>
            <w:webHidden/>
          </w:rPr>
          <w:fldChar w:fldCharType="end"/>
        </w:r>
      </w:hyperlink>
    </w:p>
    <w:p w14:paraId="449C9343" w14:textId="53D09E62" w:rsidR="00621980" w:rsidRDefault="002105C1">
      <w:pPr>
        <w:pStyle w:val="TOC2"/>
        <w:rPr>
          <w:rFonts w:eastAsiaTheme="minorEastAsia" w:cstheme="minorBidi"/>
          <w:i w:val="0"/>
          <w:iCs w:val="0"/>
          <w:noProof/>
          <w:sz w:val="22"/>
          <w:szCs w:val="22"/>
          <w:lang w:val="en-AU"/>
        </w:rPr>
      </w:pPr>
      <w:hyperlink w:anchor="_Toc467668953" w:history="1">
        <w:r w:rsidR="00621980" w:rsidRPr="00D8084B">
          <w:rPr>
            <w:rStyle w:val="Hyperlink"/>
            <w:noProof/>
            <w:lang w:val="en-AU"/>
          </w:rPr>
          <w:t>3.2</w:t>
        </w:r>
        <w:r w:rsidR="00621980">
          <w:rPr>
            <w:rFonts w:eastAsiaTheme="minorEastAsia" w:cstheme="minorBidi"/>
            <w:i w:val="0"/>
            <w:iCs w:val="0"/>
            <w:noProof/>
            <w:sz w:val="22"/>
            <w:szCs w:val="22"/>
            <w:lang w:val="en-AU"/>
          </w:rPr>
          <w:tab/>
        </w:r>
        <w:r w:rsidR="00621980" w:rsidRPr="00D8084B">
          <w:rPr>
            <w:rStyle w:val="Hyperlink"/>
            <w:noProof/>
            <w:lang w:val="en-AU"/>
          </w:rPr>
          <w:t>Areas of responsibility of the Committee</w:t>
        </w:r>
        <w:r w:rsidR="00621980">
          <w:rPr>
            <w:noProof/>
            <w:webHidden/>
          </w:rPr>
          <w:tab/>
        </w:r>
        <w:r w:rsidR="00621980">
          <w:rPr>
            <w:noProof/>
            <w:webHidden/>
          </w:rPr>
          <w:fldChar w:fldCharType="begin"/>
        </w:r>
        <w:r w:rsidR="00621980">
          <w:rPr>
            <w:noProof/>
            <w:webHidden/>
          </w:rPr>
          <w:instrText xml:space="preserve"> PAGEREF _Toc467668953 \h </w:instrText>
        </w:r>
        <w:r w:rsidR="00621980">
          <w:rPr>
            <w:noProof/>
            <w:webHidden/>
          </w:rPr>
        </w:r>
        <w:r w:rsidR="00621980">
          <w:rPr>
            <w:noProof/>
            <w:webHidden/>
          </w:rPr>
          <w:fldChar w:fldCharType="separate"/>
        </w:r>
        <w:r w:rsidR="00D17FB0">
          <w:rPr>
            <w:noProof/>
            <w:webHidden/>
          </w:rPr>
          <w:t>13</w:t>
        </w:r>
        <w:r w:rsidR="00621980">
          <w:rPr>
            <w:noProof/>
            <w:webHidden/>
          </w:rPr>
          <w:fldChar w:fldCharType="end"/>
        </w:r>
      </w:hyperlink>
    </w:p>
    <w:p w14:paraId="45CA5465" w14:textId="43F1652A" w:rsidR="00621980" w:rsidRDefault="002105C1">
      <w:pPr>
        <w:pStyle w:val="TOC2"/>
        <w:rPr>
          <w:rFonts w:eastAsiaTheme="minorEastAsia" w:cstheme="minorBidi"/>
          <w:i w:val="0"/>
          <w:iCs w:val="0"/>
          <w:noProof/>
          <w:sz w:val="22"/>
          <w:szCs w:val="22"/>
          <w:lang w:val="en-AU"/>
        </w:rPr>
      </w:pPr>
      <w:hyperlink w:anchor="_Toc467668954" w:history="1">
        <w:r w:rsidR="00621980" w:rsidRPr="00D8084B">
          <w:rPr>
            <w:rStyle w:val="Hyperlink"/>
            <w:noProof/>
            <w:lang w:val="en-AU"/>
          </w:rPr>
          <w:t>3.3</w:t>
        </w:r>
        <w:r w:rsidR="00621980">
          <w:rPr>
            <w:rFonts w:eastAsiaTheme="minorEastAsia" w:cstheme="minorBidi"/>
            <w:i w:val="0"/>
            <w:iCs w:val="0"/>
            <w:noProof/>
            <w:sz w:val="22"/>
            <w:szCs w:val="22"/>
            <w:lang w:val="en-AU"/>
          </w:rPr>
          <w:tab/>
        </w:r>
        <w:r w:rsidR="00621980" w:rsidRPr="00D8084B">
          <w:rPr>
            <w:rStyle w:val="Hyperlink"/>
            <w:noProof/>
            <w:lang w:val="en-AU"/>
          </w:rPr>
          <w:t>Summary of the Committee’s review approach</w:t>
        </w:r>
        <w:r w:rsidR="00621980">
          <w:rPr>
            <w:noProof/>
            <w:webHidden/>
          </w:rPr>
          <w:tab/>
        </w:r>
        <w:r w:rsidR="00621980">
          <w:rPr>
            <w:noProof/>
            <w:webHidden/>
          </w:rPr>
          <w:fldChar w:fldCharType="begin"/>
        </w:r>
        <w:r w:rsidR="00621980">
          <w:rPr>
            <w:noProof/>
            <w:webHidden/>
          </w:rPr>
          <w:instrText xml:space="preserve"> PAGEREF _Toc467668954 \h </w:instrText>
        </w:r>
        <w:r w:rsidR="00621980">
          <w:rPr>
            <w:noProof/>
            <w:webHidden/>
          </w:rPr>
        </w:r>
        <w:r w:rsidR="00621980">
          <w:rPr>
            <w:noProof/>
            <w:webHidden/>
          </w:rPr>
          <w:fldChar w:fldCharType="separate"/>
        </w:r>
        <w:r w:rsidR="00D17FB0">
          <w:rPr>
            <w:noProof/>
            <w:webHidden/>
          </w:rPr>
          <w:t>14</w:t>
        </w:r>
        <w:r w:rsidR="00621980">
          <w:rPr>
            <w:noProof/>
            <w:webHidden/>
          </w:rPr>
          <w:fldChar w:fldCharType="end"/>
        </w:r>
      </w:hyperlink>
    </w:p>
    <w:p w14:paraId="7E148579" w14:textId="356DF9CE" w:rsidR="00621980" w:rsidRDefault="002105C1">
      <w:pPr>
        <w:pStyle w:val="TOC1"/>
        <w:tabs>
          <w:tab w:val="right" w:leader="dot" w:pos="9016"/>
        </w:tabs>
        <w:rPr>
          <w:rFonts w:eastAsiaTheme="minorEastAsia" w:cstheme="minorBidi"/>
          <w:b w:val="0"/>
          <w:bCs w:val="0"/>
          <w:noProof/>
          <w:sz w:val="22"/>
          <w:szCs w:val="22"/>
          <w:lang w:val="en-AU"/>
        </w:rPr>
      </w:pPr>
      <w:hyperlink w:anchor="_Toc467668955" w:history="1">
        <w:r w:rsidR="00621980" w:rsidRPr="00D8084B">
          <w:rPr>
            <w:rStyle w:val="Hyperlink"/>
            <w:noProof/>
            <w:lang w:val="en-AU" w:bidi="x-none"/>
            <w14:scene3d>
              <w14:camera w14:prst="orthographicFront"/>
              <w14:lightRig w14:rig="threePt" w14:dir="t">
                <w14:rot w14:lat="0" w14:lon="0" w14:rev="0"/>
              </w14:lightRig>
            </w14:scene3d>
          </w:rPr>
          <w:t>4.</w:t>
        </w:r>
        <w:r w:rsidR="00621980">
          <w:rPr>
            <w:rFonts w:eastAsiaTheme="minorEastAsia" w:cstheme="minorBidi"/>
            <w:b w:val="0"/>
            <w:bCs w:val="0"/>
            <w:noProof/>
            <w:sz w:val="22"/>
            <w:szCs w:val="22"/>
            <w:lang w:val="en-AU"/>
          </w:rPr>
          <w:tab/>
        </w:r>
        <w:r w:rsidR="00621980" w:rsidRPr="00D8084B">
          <w:rPr>
            <w:rStyle w:val="Hyperlink"/>
            <w:noProof/>
            <w:lang w:val="en-AU"/>
          </w:rPr>
          <w:t>Recommendations for consultation</w:t>
        </w:r>
        <w:r w:rsidR="00621980">
          <w:rPr>
            <w:noProof/>
            <w:webHidden/>
          </w:rPr>
          <w:tab/>
        </w:r>
        <w:r w:rsidR="00621980">
          <w:rPr>
            <w:noProof/>
            <w:webHidden/>
          </w:rPr>
          <w:fldChar w:fldCharType="begin"/>
        </w:r>
        <w:r w:rsidR="00621980">
          <w:rPr>
            <w:noProof/>
            <w:webHidden/>
          </w:rPr>
          <w:instrText xml:space="preserve"> PAGEREF _Toc467668955 \h </w:instrText>
        </w:r>
        <w:r w:rsidR="00621980">
          <w:rPr>
            <w:noProof/>
            <w:webHidden/>
          </w:rPr>
        </w:r>
        <w:r w:rsidR="00621980">
          <w:rPr>
            <w:noProof/>
            <w:webHidden/>
          </w:rPr>
          <w:fldChar w:fldCharType="separate"/>
        </w:r>
        <w:r w:rsidR="00D17FB0">
          <w:rPr>
            <w:noProof/>
            <w:webHidden/>
          </w:rPr>
          <w:t>15</w:t>
        </w:r>
        <w:r w:rsidR="00621980">
          <w:rPr>
            <w:noProof/>
            <w:webHidden/>
          </w:rPr>
          <w:fldChar w:fldCharType="end"/>
        </w:r>
      </w:hyperlink>
    </w:p>
    <w:p w14:paraId="74516A8A" w14:textId="6024B2EF" w:rsidR="00621980" w:rsidRDefault="002105C1">
      <w:pPr>
        <w:pStyle w:val="TOC2"/>
        <w:rPr>
          <w:rFonts w:eastAsiaTheme="minorEastAsia" w:cstheme="minorBidi"/>
          <w:i w:val="0"/>
          <w:iCs w:val="0"/>
          <w:noProof/>
          <w:sz w:val="22"/>
          <w:szCs w:val="22"/>
          <w:lang w:val="en-AU"/>
        </w:rPr>
      </w:pPr>
      <w:hyperlink w:anchor="_Toc467668956" w:history="1">
        <w:r w:rsidR="00621980" w:rsidRPr="00D8084B">
          <w:rPr>
            <w:rStyle w:val="Hyperlink"/>
            <w:noProof/>
            <w:lang w:val="en-AU"/>
          </w:rPr>
          <w:t>4.1</w:t>
        </w:r>
        <w:r w:rsidR="00621980">
          <w:rPr>
            <w:rFonts w:eastAsiaTheme="minorEastAsia" w:cstheme="minorBidi"/>
            <w:i w:val="0"/>
            <w:iCs w:val="0"/>
            <w:noProof/>
            <w:sz w:val="22"/>
            <w:szCs w:val="22"/>
            <w:lang w:val="en-AU"/>
          </w:rPr>
          <w:tab/>
        </w:r>
        <w:r w:rsidR="00621980" w:rsidRPr="00D8084B">
          <w:rPr>
            <w:rStyle w:val="Hyperlink"/>
            <w:noProof/>
            <w:lang w:val="en-AU"/>
          </w:rPr>
          <w:t>Very remote dialysis item</w:t>
        </w:r>
        <w:r w:rsidR="00621980">
          <w:rPr>
            <w:noProof/>
            <w:webHidden/>
          </w:rPr>
          <w:tab/>
        </w:r>
        <w:r w:rsidR="00621980">
          <w:rPr>
            <w:noProof/>
            <w:webHidden/>
          </w:rPr>
          <w:fldChar w:fldCharType="begin"/>
        </w:r>
        <w:r w:rsidR="00621980">
          <w:rPr>
            <w:noProof/>
            <w:webHidden/>
          </w:rPr>
          <w:instrText xml:space="preserve"> PAGEREF _Toc467668956 \h </w:instrText>
        </w:r>
        <w:r w:rsidR="00621980">
          <w:rPr>
            <w:noProof/>
            <w:webHidden/>
          </w:rPr>
        </w:r>
        <w:r w:rsidR="00621980">
          <w:rPr>
            <w:noProof/>
            <w:webHidden/>
          </w:rPr>
          <w:fldChar w:fldCharType="separate"/>
        </w:r>
        <w:r w:rsidR="00D17FB0">
          <w:rPr>
            <w:noProof/>
            <w:webHidden/>
          </w:rPr>
          <w:t>15</w:t>
        </w:r>
        <w:r w:rsidR="00621980">
          <w:rPr>
            <w:noProof/>
            <w:webHidden/>
          </w:rPr>
          <w:fldChar w:fldCharType="end"/>
        </w:r>
      </w:hyperlink>
    </w:p>
    <w:p w14:paraId="72712C70" w14:textId="1BAADCFF" w:rsidR="00621980" w:rsidRDefault="002105C1">
      <w:pPr>
        <w:pStyle w:val="TOC2"/>
        <w:rPr>
          <w:rFonts w:eastAsiaTheme="minorEastAsia" w:cstheme="minorBidi"/>
          <w:i w:val="0"/>
          <w:iCs w:val="0"/>
          <w:noProof/>
          <w:sz w:val="22"/>
          <w:szCs w:val="22"/>
          <w:lang w:val="en-AU"/>
        </w:rPr>
      </w:pPr>
      <w:hyperlink w:anchor="_Toc467668957" w:history="1">
        <w:r w:rsidR="00621980" w:rsidRPr="00D8084B">
          <w:rPr>
            <w:rStyle w:val="Hyperlink"/>
            <w:noProof/>
            <w:lang w:val="en-AU"/>
          </w:rPr>
          <w:t>4.2</w:t>
        </w:r>
        <w:r w:rsidR="00621980">
          <w:rPr>
            <w:rFonts w:eastAsiaTheme="minorEastAsia" w:cstheme="minorBidi"/>
            <w:i w:val="0"/>
            <w:iCs w:val="0"/>
            <w:noProof/>
            <w:sz w:val="22"/>
            <w:szCs w:val="22"/>
            <w:lang w:val="en-AU"/>
          </w:rPr>
          <w:tab/>
        </w:r>
        <w:r w:rsidR="00621980" w:rsidRPr="00D8084B">
          <w:rPr>
            <w:rStyle w:val="Hyperlink"/>
            <w:noProof/>
            <w:lang w:val="en-AU"/>
          </w:rPr>
          <w:t>Medical supervision of dialysis items: Items 13100 and 13103</w:t>
        </w:r>
        <w:r w:rsidR="00621980">
          <w:rPr>
            <w:noProof/>
            <w:webHidden/>
          </w:rPr>
          <w:tab/>
        </w:r>
        <w:r w:rsidR="00621980">
          <w:rPr>
            <w:noProof/>
            <w:webHidden/>
          </w:rPr>
          <w:fldChar w:fldCharType="begin"/>
        </w:r>
        <w:r w:rsidR="00621980">
          <w:rPr>
            <w:noProof/>
            <w:webHidden/>
          </w:rPr>
          <w:instrText xml:space="preserve"> PAGEREF _Toc467668957 \h </w:instrText>
        </w:r>
        <w:r w:rsidR="00621980">
          <w:rPr>
            <w:noProof/>
            <w:webHidden/>
          </w:rPr>
        </w:r>
        <w:r w:rsidR="00621980">
          <w:rPr>
            <w:noProof/>
            <w:webHidden/>
          </w:rPr>
          <w:fldChar w:fldCharType="separate"/>
        </w:r>
        <w:r w:rsidR="00D17FB0">
          <w:rPr>
            <w:noProof/>
            <w:webHidden/>
          </w:rPr>
          <w:t>18</w:t>
        </w:r>
        <w:r w:rsidR="00621980">
          <w:rPr>
            <w:noProof/>
            <w:webHidden/>
          </w:rPr>
          <w:fldChar w:fldCharType="end"/>
        </w:r>
      </w:hyperlink>
    </w:p>
    <w:p w14:paraId="7AC2ABB6" w14:textId="0D68E201" w:rsidR="00621980" w:rsidRDefault="002105C1">
      <w:pPr>
        <w:pStyle w:val="TOC2"/>
        <w:rPr>
          <w:rFonts w:eastAsiaTheme="minorEastAsia" w:cstheme="minorBidi"/>
          <w:i w:val="0"/>
          <w:iCs w:val="0"/>
          <w:noProof/>
          <w:sz w:val="22"/>
          <w:szCs w:val="22"/>
          <w:lang w:val="en-AU"/>
        </w:rPr>
      </w:pPr>
      <w:hyperlink w:anchor="_Toc467668958" w:history="1">
        <w:r w:rsidR="00621980" w:rsidRPr="00D8084B">
          <w:rPr>
            <w:rStyle w:val="Hyperlink"/>
            <w:noProof/>
            <w:lang w:val="en-AU"/>
          </w:rPr>
          <w:t>4.3</w:t>
        </w:r>
        <w:r w:rsidR="00621980">
          <w:rPr>
            <w:rFonts w:eastAsiaTheme="minorEastAsia" w:cstheme="minorBidi"/>
            <w:i w:val="0"/>
            <w:iCs w:val="0"/>
            <w:noProof/>
            <w:sz w:val="22"/>
            <w:szCs w:val="22"/>
            <w:lang w:val="en-AU"/>
          </w:rPr>
          <w:tab/>
        </w:r>
        <w:r w:rsidR="00621980" w:rsidRPr="00D8084B">
          <w:rPr>
            <w:rStyle w:val="Hyperlink"/>
            <w:noProof/>
            <w:lang w:val="en-AU"/>
          </w:rPr>
          <w:t>Arteriovenous shunt: Item 13106</w:t>
        </w:r>
        <w:r w:rsidR="00621980">
          <w:rPr>
            <w:noProof/>
            <w:webHidden/>
          </w:rPr>
          <w:tab/>
        </w:r>
        <w:r w:rsidR="00621980">
          <w:rPr>
            <w:noProof/>
            <w:webHidden/>
          </w:rPr>
          <w:fldChar w:fldCharType="begin"/>
        </w:r>
        <w:r w:rsidR="00621980">
          <w:rPr>
            <w:noProof/>
            <w:webHidden/>
          </w:rPr>
          <w:instrText xml:space="preserve"> PAGEREF _Toc467668958 \h </w:instrText>
        </w:r>
        <w:r w:rsidR="00621980">
          <w:rPr>
            <w:noProof/>
            <w:webHidden/>
          </w:rPr>
        </w:r>
        <w:r w:rsidR="00621980">
          <w:rPr>
            <w:noProof/>
            <w:webHidden/>
          </w:rPr>
          <w:fldChar w:fldCharType="separate"/>
        </w:r>
        <w:r w:rsidR="00D17FB0">
          <w:rPr>
            <w:noProof/>
            <w:webHidden/>
          </w:rPr>
          <w:t>25</w:t>
        </w:r>
        <w:r w:rsidR="00621980">
          <w:rPr>
            <w:noProof/>
            <w:webHidden/>
          </w:rPr>
          <w:fldChar w:fldCharType="end"/>
        </w:r>
      </w:hyperlink>
    </w:p>
    <w:p w14:paraId="19425C08" w14:textId="6A4A1BE6" w:rsidR="00621980" w:rsidRDefault="002105C1">
      <w:pPr>
        <w:pStyle w:val="TOC2"/>
        <w:rPr>
          <w:rFonts w:eastAsiaTheme="minorEastAsia" w:cstheme="minorBidi"/>
          <w:i w:val="0"/>
          <w:iCs w:val="0"/>
          <w:noProof/>
          <w:sz w:val="22"/>
          <w:szCs w:val="22"/>
          <w:lang w:val="en-AU"/>
        </w:rPr>
      </w:pPr>
      <w:hyperlink w:anchor="_Toc467668959" w:history="1">
        <w:r w:rsidR="00621980" w:rsidRPr="00D8084B">
          <w:rPr>
            <w:rStyle w:val="Hyperlink"/>
            <w:noProof/>
            <w:lang w:val="en-AU"/>
          </w:rPr>
          <w:t>4.4</w:t>
        </w:r>
        <w:r w:rsidR="00621980">
          <w:rPr>
            <w:rFonts w:eastAsiaTheme="minorEastAsia" w:cstheme="minorBidi"/>
            <w:i w:val="0"/>
            <w:iCs w:val="0"/>
            <w:noProof/>
            <w:sz w:val="22"/>
            <w:szCs w:val="22"/>
            <w:lang w:val="en-AU"/>
          </w:rPr>
          <w:tab/>
        </w:r>
        <w:r w:rsidR="00621980" w:rsidRPr="00D8084B">
          <w:rPr>
            <w:rStyle w:val="Hyperlink"/>
            <w:noProof/>
            <w:lang w:val="en-AU"/>
          </w:rPr>
          <w:t>Insertion of temporary catheter: Item 13112</w:t>
        </w:r>
        <w:r w:rsidR="00621980">
          <w:rPr>
            <w:noProof/>
            <w:webHidden/>
          </w:rPr>
          <w:tab/>
        </w:r>
        <w:r w:rsidR="00621980">
          <w:rPr>
            <w:noProof/>
            <w:webHidden/>
          </w:rPr>
          <w:fldChar w:fldCharType="begin"/>
        </w:r>
        <w:r w:rsidR="00621980">
          <w:rPr>
            <w:noProof/>
            <w:webHidden/>
          </w:rPr>
          <w:instrText xml:space="preserve"> PAGEREF _Toc467668959 \h </w:instrText>
        </w:r>
        <w:r w:rsidR="00621980">
          <w:rPr>
            <w:noProof/>
            <w:webHidden/>
          </w:rPr>
        </w:r>
        <w:r w:rsidR="00621980">
          <w:rPr>
            <w:noProof/>
            <w:webHidden/>
          </w:rPr>
          <w:fldChar w:fldCharType="separate"/>
        </w:r>
        <w:r w:rsidR="00D17FB0">
          <w:rPr>
            <w:noProof/>
            <w:webHidden/>
          </w:rPr>
          <w:t>25</w:t>
        </w:r>
        <w:r w:rsidR="00621980">
          <w:rPr>
            <w:noProof/>
            <w:webHidden/>
          </w:rPr>
          <w:fldChar w:fldCharType="end"/>
        </w:r>
      </w:hyperlink>
    </w:p>
    <w:p w14:paraId="21D15C93" w14:textId="51BE055C" w:rsidR="00621980" w:rsidRDefault="002105C1">
      <w:pPr>
        <w:pStyle w:val="TOC2"/>
        <w:rPr>
          <w:rFonts w:eastAsiaTheme="minorEastAsia" w:cstheme="minorBidi"/>
          <w:i w:val="0"/>
          <w:iCs w:val="0"/>
          <w:noProof/>
          <w:sz w:val="22"/>
          <w:szCs w:val="22"/>
          <w:lang w:val="en-AU"/>
        </w:rPr>
      </w:pPr>
      <w:hyperlink w:anchor="_Toc467668960" w:history="1">
        <w:r w:rsidR="00621980" w:rsidRPr="00D8084B">
          <w:rPr>
            <w:rStyle w:val="Hyperlink"/>
            <w:noProof/>
            <w:lang w:val="en-AU"/>
          </w:rPr>
          <w:t>4.5</w:t>
        </w:r>
        <w:r w:rsidR="00621980">
          <w:rPr>
            <w:rFonts w:eastAsiaTheme="minorEastAsia" w:cstheme="minorBidi"/>
            <w:i w:val="0"/>
            <w:iCs w:val="0"/>
            <w:noProof/>
            <w:sz w:val="22"/>
            <w:szCs w:val="22"/>
            <w:lang w:val="en-AU"/>
          </w:rPr>
          <w:tab/>
        </w:r>
        <w:r w:rsidR="00621980" w:rsidRPr="00D8084B">
          <w:rPr>
            <w:rStyle w:val="Hyperlink"/>
            <w:noProof/>
            <w:lang w:val="en-AU"/>
          </w:rPr>
          <w:t>Indwelling peritoneal catheter for dialysis: Items 13109 and 13110</w:t>
        </w:r>
        <w:r w:rsidR="00621980">
          <w:rPr>
            <w:noProof/>
            <w:webHidden/>
          </w:rPr>
          <w:tab/>
        </w:r>
        <w:r w:rsidR="00621980">
          <w:rPr>
            <w:noProof/>
            <w:webHidden/>
          </w:rPr>
          <w:fldChar w:fldCharType="begin"/>
        </w:r>
        <w:r w:rsidR="00621980">
          <w:rPr>
            <w:noProof/>
            <w:webHidden/>
          </w:rPr>
          <w:instrText xml:space="preserve"> PAGEREF _Toc467668960 \h </w:instrText>
        </w:r>
        <w:r w:rsidR="00621980">
          <w:rPr>
            <w:noProof/>
            <w:webHidden/>
          </w:rPr>
        </w:r>
        <w:r w:rsidR="00621980">
          <w:rPr>
            <w:noProof/>
            <w:webHidden/>
          </w:rPr>
          <w:fldChar w:fldCharType="separate"/>
        </w:r>
        <w:r w:rsidR="00D17FB0">
          <w:rPr>
            <w:noProof/>
            <w:webHidden/>
          </w:rPr>
          <w:t>26</w:t>
        </w:r>
        <w:r w:rsidR="00621980">
          <w:rPr>
            <w:noProof/>
            <w:webHidden/>
          </w:rPr>
          <w:fldChar w:fldCharType="end"/>
        </w:r>
      </w:hyperlink>
    </w:p>
    <w:p w14:paraId="77D939AF" w14:textId="1DE11D19" w:rsidR="00621980" w:rsidRDefault="002105C1">
      <w:pPr>
        <w:pStyle w:val="TOC2"/>
        <w:rPr>
          <w:rFonts w:eastAsiaTheme="minorEastAsia" w:cstheme="minorBidi"/>
          <w:i w:val="0"/>
          <w:iCs w:val="0"/>
          <w:noProof/>
          <w:sz w:val="22"/>
          <w:szCs w:val="22"/>
          <w:lang w:val="en-AU"/>
        </w:rPr>
      </w:pPr>
      <w:hyperlink w:anchor="_Toc467668961" w:history="1">
        <w:r w:rsidR="00621980" w:rsidRPr="00D8084B">
          <w:rPr>
            <w:rStyle w:val="Hyperlink"/>
            <w:noProof/>
            <w:lang w:val="en-AU"/>
          </w:rPr>
          <w:t>4.6</w:t>
        </w:r>
        <w:r w:rsidR="00621980">
          <w:rPr>
            <w:rFonts w:eastAsiaTheme="minorEastAsia" w:cstheme="minorBidi"/>
            <w:i w:val="0"/>
            <w:iCs w:val="0"/>
            <w:noProof/>
            <w:sz w:val="22"/>
            <w:szCs w:val="22"/>
            <w:lang w:val="en-AU"/>
          </w:rPr>
          <w:tab/>
        </w:r>
        <w:r w:rsidR="00621980" w:rsidRPr="00D8084B">
          <w:rPr>
            <w:rStyle w:val="Hyperlink"/>
            <w:noProof/>
            <w:lang w:val="en-AU"/>
          </w:rPr>
          <w:t>Paediatric–adult transition</w:t>
        </w:r>
        <w:r w:rsidR="00621980">
          <w:rPr>
            <w:noProof/>
            <w:webHidden/>
          </w:rPr>
          <w:tab/>
        </w:r>
        <w:r w:rsidR="00621980">
          <w:rPr>
            <w:noProof/>
            <w:webHidden/>
          </w:rPr>
          <w:fldChar w:fldCharType="begin"/>
        </w:r>
        <w:r w:rsidR="00621980">
          <w:rPr>
            <w:noProof/>
            <w:webHidden/>
          </w:rPr>
          <w:instrText xml:space="preserve"> PAGEREF _Toc467668961 \h </w:instrText>
        </w:r>
        <w:r w:rsidR="00621980">
          <w:rPr>
            <w:noProof/>
            <w:webHidden/>
          </w:rPr>
        </w:r>
        <w:r w:rsidR="00621980">
          <w:rPr>
            <w:noProof/>
            <w:webHidden/>
          </w:rPr>
          <w:fldChar w:fldCharType="separate"/>
        </w:r>
        <w:r w:rsidR="00D17FB0">
          <w:rPr>
            <w:noProof/>
            <w:webHidden/>
          </w:rPr>
          <w:t>27</w:t>
        </w:r>
        <w:r w:rsidR="00621980">
          <w:rPr>
            <w:noProof/>
            <w:webHidden/>
          </w:rPr>
          <w:fldChar w:fldCharType="end"/>
        </w:r>
      </w:hyperlink>
    </w:p>
    <w:p w14:paraId="6386D6F3" w14:textId="2C1986A9" w:rsidR="00621980" w:rsidRDefault="002105C1">
      <w:pPr>
        <w:pStyle w:val="TOC2"/>
        <w:rPr>
          <w:rFonts w:eastAsiaTheme="minorEastAsia" w:cstheme="minorBidi"/>
          <w:i w:val="0"/>
          <w:iCs w:val="0"/>
          <w:noProof/>
          <w:sz w:val="22"/>
          <w:szCs w:val="22"/>
          <w:lang w:val="en-AU"/>
        </w:rPr>
      </w:pPr>
      <w:hyperlink w:anchor="_Toc467668962" w:history="1">
        <w:r w:rsidR="00621980" w:rsidRPr="00D8084B">
          <w:rPr>
            <w:rStyle w:val="Hyperlink"/>
            <w:noProof/>
            <w:lang w:val="en-AU"/>
          </w:rPr>
          <w:t>4.7</w:t>
        </w:r>
        <w:r w:rsidR="00621980">
          <w:rPr>
            <w:rFonts w:eastAsiaTheme="minorEastAsia" w:cstheme="minorBidi"/>
            <w:i w:val="0"/>
            <w:iCs w:val="0"/>
            <w:noProof/>
            <w:sz w:val="22"/>
            <w:szCs w:val="22"/>
            <w:lang w:val="en-AU"/>
          </w:rPr>
          <w:tab/>
        </w:r>
        <w:r w:rsidR="00621980" w:rsidRPr="00D8084B">
          <w:rPr>
            <w:rStyle w:val="Hyperlink"/>
            <w:noProof/>
            <w:lang w:val="en-AU"/>
          </w:rPr>
          <w:t>Stakeholder impact statement</w:t>
        </w:r>
        <w:r w:rsidR="00621980">
          <w:rPr>
            <w:noProof/>
            <w:webHidden/>
          </w:rPr>
          <w:tab/>
        </w:r>
        <w:r w:rsidR="00621980">
          <w:rPr>
            <w:noProof/>
            <w:webHidden/>
          </w:rPr>
          <w:fldChar w:fldCharType="begin"/>
        </w:r>
        <w:r w:rsidR="00621980">
          <w:rPr>
            <w:noProof/>
            <w:webHidden/>
          </w:rPr>
          <w:instrText xml:space="preserve"> PAGEREF _Toc467668962 \h </w:instrText>
        </w:r>
        <w:r w:rsidR="00621980">
          <w:rPr>
            <w:noProof/>
            <w:webHidden/>
          </w:rPr>
        </w:r>
        <w:r w:rsidR="00621980">
          <w:rPr>
            <w:noProof/>
            <w:webHidden/>
          </w:rPr>
          <w:fldChar w:fldCharType="separate"/>
        </w:r>
        <w:r w:rsidR="00D17FB0">
          <w:rPr>
            <w:noProof/>
            <w:webHidden/>
          </w:rPr>
          <w:t>29</w:t>
        </w:r>
        <w:r w:rsidR="00621980">
          <w:rPr>
            <w:noProof/>
            <w:webHidden/>
          </w:rPr>
          <w:fldChar w:fldCharType="end"/>
        </w:r>
      </w:hyperlink>
    </w:p>
    <w:p w14:paraId="46F1032A" w14:textId="125E5835" w:rsidR="00621980" w:rsidRDefault="002105C1">
      <w:pPr>
        <w:pStyle w:val="TOC1"/>
        <w:tabs>
          <w:tab w:val="right" w:leader="dot" w:pos="9016"/>
        </w:tabs>
        <w:rPr>
          <w:rFonts w:eastAsiaTheme="minorEastAsia" w:cstheme="minorBidi"/>
          <w:b w:val="0"/>
          <w:bCs w:val="0"/>
          <w:noProof/>
          <w:sz w:val="22"/>
          <w:szCs w:val="22"/>
          <w:lang w:val="en-AU"/>
        </w:rPr>
      </w:pPr>
      <w:hyperlink w:anchor="_Toc467668963" w:history="1">
        <w:r w:rsidR="00621980" w:rsidRPr="00D8084B">
          <w:rPr>
            <w:rStyle w:val="Hyperlink"/>
            <w:noProof/>
            <w:lang w:val="en-AU" w:bidi="x-none"/>
            <w14:scene3d>
              <w14:camera w14:prst="orthographicFront"/>
              <w14:lightRig w14:rig="threePt" w14:dir="t">
                <w14:rot w14:lat="0" w14:lon="0" w14:rev="0"/>
              </w14:lightRig>
            </w14:scene3d>
          </w:rPr>
          <w:t>5.</w:t>
        </w:r>
        <w:r w:rsidR="00621980">
          <w:rPr>
            <w:rFonts w:eastAsiaTheme="minorEastAsia" w:cstheme="minorBidi"/>
            <w:b w:val="0"/>
            <w:bCs w:val="0"/>
            <w:noProof/>
            <w:sz w:val="22"/>
            <w:szCs w:val="22"/>
            <w:lang w:val="en-AU"/>
          </w:rPr>
          <w:tab/>
        </w:r>
        <w:r w:rsidR="00621980" w:rsidRPr="00D8084B">
          <w:rPr>
            <w:rStyle w:val="Hyperlink"/>
            <w:noProof/>
            <w:lang w:val="en-AU"/>
          </w:rPr>
          <w:t>Recommendations to other committees</w:t>
        </w:r>
        <w:r w:rsidR="00621980">
          <w:rPr>
            <w:noProof/>
            <w:webHidden/>
          </w:rPr>
          <w:tab/>
        </w:r>
        <w:r w:rsidR="00621980">
          <w:rPr>
            <w:noProof/>
            <w:webHidden/>
          </w:rPr>
          <w:fldChar w:fldCharType="begin"/>
        </w:r>
        <w:r w:rsidR="00621980">
          <w:rPr>
            <w:noProof/>
            <w:webHidden/>
          </w:rPr>
          <w:instrText xml:space="preserve"> PAGEREF _Toc467668963 \h </w:instrText>
        </w:r>
        <w:r w:rsidR="00621980">
          <w:rPr>
            <w:noProof/>
            <w:webHidden/>
          </w:rPr>
        </w:r>
        <w:r w:rsidR="00621980">
          <w:rPr>
            <w:noProof/>
            <w:webHidden/>
          </w:rPr>
          <w:fldChar w:fldCharType="separate"/>
        </w:r>
        <w:r w:rsidR="00D17FB0">
          <w:rPr>
            <w:noProof/>
            <w:webHidden/>
          </w:rPr>
          <w:t>31</w:t>
        </w:r>
        <w:r w:rsidR="00621980">
          <w:rPr>
            <w:noProof/>
            <w:webHidden/>
          </w:rPr>
          <w:fldChar w:fldCharType="end"/>
        </w:r>
      </w:hyperlink>
    </w:p>
    <w:p w14:paraId="271348C3" w14:textId="3F250B6C" w:rsidR="00621980" w:rsidRDefault="002105C1">
      <w:pPr>
        <w:pStyle w:val="TOC2"/>
        <w:rPr>
          <w:rFonts w:eastAsiaTheme="minorEastAsia" w:cstheme="minorBidi"/>
          <w:i w:val="0"/>
          <w:iCs w:val="0"/>
          <w:noProof/>
          <w:sz w:val="22"/>
          <w:szCs w:val="22"/>
          <w:lang w:val="en-AU"/>
        </w:rPr>
      </w:pPr>
      <w:hyperlink w:anchor="_Toc467668964" w:history="1">
        <w:r w:rsidR="00621980" w:rsidRPr="00D8084B">
          <w:rPr>
            <w:rStyle w:val="Hyperlink"/>
            <w:noProof/>
            <w:lang w:val="en-AU"/>
          </w:rPr>
          <w:t>5.1</w:t>
        </w:r>
        <w:r w:rsidR="00621980">
          <w:rPr>
            <w:rFonts w:eastAsiaTheme="minorEastAsia" w:cstheme="minorBidi"/>
            <w:i w:val="0"/>
            <w:iCs w:val="0"/>
            <w:noProof/>
            <w:sz w:val="22"/>
            <w:szCs w:val="22"/>
            <w:lang w:val="en-AU"/>
          </w:rPr>
          <w:tab/>
        </w:r>
        <w:r w:rsidR="00621980" w:rsidRPr="00D8084B">
          <w:rPr>
            <w:rStyle w:val="Hyperlink"/>
            <w:noProof/>
            <w:lang w:val="en-AU"/>
          </w:rPr>
          <w:t>Recommendation to the Consultation Services Clinical Committee</w:t>
        </w:r>
        <w:r w:rsidR="00621980">
          <w:rPr>
            <w:noProof/>
            <w:webHidden/>
          </w:rPr>
          <w:tab/>
        </w:r>
        <w:r w:rsidR="00621980">
          <w:rPr>
            <w:noProof/>
            <w:webHidden/>
          </w:rPr>
          <w:fldChar w:fldCharType="begin"/>
        </w:r>
        <w:r w:rsidR="00621980">
          <w:rPr>
            <w:noProof/>
            <w:webHidden/>
          </w:rPr>
          <w:instrText xml:space="preserve"> PAGEREF _Toc467668964 \h </w:instrText>
        </w:r>
        <w:r w:rsidR="00621980">
          <w:rPr>
            <w:noProof/>
            <w:webHidden/>
          </w:rPr>
        </w:r>
        <w:r w:rsidR="00621980">
          <w:rPr>
            <w:noProof/>
            <w:webHidden/>
          </w:rPr>
          <w:fldChar w:fldCharType="separate"/>
        </w:r>
        <w:r w:rsidR="00D17FB0">
          <w:rPr>
            <w:noProof/>
            <w:webHidden/>
          </w:rPr>
          <w:t>31</w:t>
        </w:r>
        <w:r w:rsidR="00621980">
          <w:rPr>
            <w:noProof/>
            <w:webHidden/>
          </w:rPr>
          <w:fldChar w:fldCharType="end"/>
        </w:r>
      </w:hyperlink>
    </w:p>
    <w:p w14:paraId="29DB26E6" w14:textId="6593F92B" w:rsidR="00621980" w:rsidRDefault="002105C1">
      <w:pPr>
        <w:pStyle w:val="TOC3"/>
        <w:tabs>
          <w:tab w:val="left" w:pos="1474"/>
        </w:tabs>
        <w:rPr>
          <w:rFonts w:eastAsiaTheme="minorEastAsia" w:cstheme="minorBidi"/>
          <w:noProof/>
          <w:sz w:val="22"/>
          <w:szCs w:val="22"/>
          <w:lang w:val="en-AU"/>
        </w:rPr>
      </w:pPr>
      <w:hyperlink w:anchor="_Toc467668965" w:history="1">
        <w:r w:rsidR="00621980" w:rsidRPr="00D8084B">
          <w:rPr>
            <w:rStyle w:val="Hyperlink"/>
            <w:noProof/>
            <w:lang w:val="en-AU"/>
          </w:rPr>
          <w:t>5.1.1</w:t>
        </w:r>
        <w:r w:rsidR="00621980">
          <w:rPr>
            <w:rFonts w:eastAsiaTheme="minorEastAsia" w:cstheme="minorBidi"/>
            <w:noProof/>
            <w:sz w:val="22"/>
            <w:szCs w:val="22"/>
            <w:lang w:val="en-AU"/>
          </w:rPr>
          <w:tab/>
        </w:r>
        <w:r w:rsidR="00621980" w:rsidRPr="00D8084B">
          <w:rPr>
            <w:rStyle w:val="Hyperlink"/>
            <w:noProof/>
            <w:lang w:val="en-AU"/>
          </w:rPr>
          <w:t>Healthy donor consults</w:t>
        </w:r>
        <w:r w:rsidR="00621980">
          <w:rPr>
            <w:noProof/>
            <w:webHidden/>
          </w:rPr>
          <w:tab/>
        </w:r>
        <w:r w:rsidR="00621980">
          <w:rPr>
            <w:noProof/>
            <w:webHidden/>
          </w:rPr>
          <w:fldChar w:fldCharType="begin"/>
        </w:r>
        <w:r w:rsidR="00621980">
          <w:rPr>
            <w:noProof/>
            <w:webHidden/>
          </w:rPr>
          <w:instrText xml:space="preserve"> PAGEREF _Toc467668965 \h </w:instrText>
        </w:r>
        <w:r w:rsidR="00621980">
          <w:rPr>
            <w:noProof/>
            <w:webHidden/>
          </w:rPr>
        </w:r>
        <w:r w:rsidR="00621980">
          <w:rPr>
            <w:noProof/>
            <w:webHidden/>
          </w:rPr>
          <w:fldChar w:fldCharType="separate"/>
        </w:r>
        <w:r w:rsidR="00D17FB0">
          <w:rPr>
            <w:noProof/>
            <w:webHidden/>
          </w:rPr>
          <w:t>31</w:t>
        </w:r>
        <w:r w:rsidR="00621980">
          <w:rPr>
            <w:noProof/>
            <w:webHidden/>
          </w:rPr>
          <w:fldChar w:fldCharType="end"/>
        </w:r>
      </w:hyperlink>
    </w:p>
    <w:p w14:paraId="57701906" w14:textId="17F541A2" w:rsidR="00621980" w:rsidRDefault="002105C1">
      <w:pPr>
        <w:pStyle w:val="TOC3"/>
        <w:tabs>
          <w:tab w:val="left" w:pos="1474"/>
        </w:tabs>
        <w:rPr>
          <w:rFonts w:eastAsiaTheme="minorEastAsia" w:cstheme="minorBidi"/>
          <w:noProof/>
          <w:sz w:val="22"/>
          <w:szCs w:val="22"/>
          <w:lang w:val="en-AU"/>
        </w:rPr>
      </w:pPr>
      <w:hyperlink w:anchor="_Toc467668966" w:history="1">
        <w:r w:rsidR="00621980" w:rsidRPr="00D8084B">
          <w:rPr>
            <w:rStyle w:val="Hyperlink"/>
            <w:noProof/>
            <w:lang w:val="en-AU"/>
          </w:rPr>
          <w:t>5.1.2</w:t>
        </w:r>
        <w:r w:rsidR="00621980">
          <w:rPr>
            <w:rFonts w:eastAsiaTheme="minorEastAsia" w:cstheme="minorBidi"/>
            <w:noProof/>
            <w:sz w:val="22"/>
            <w:szCs w:val="22"/>
            <w:lang w:val="en-AU"/>
          </w:rPr>
          <w:tab/>
        </w:r>
        <w:r w:rsidR="00621980" w:rsidRPr="00D8084B">
          <w:rPr>
            <w:rStyle w:val="Hyperlink"/>
            <w:noProof/>
            <w:lang w:val="en-AU"/>
          </w:rPr>
          <w:t>Claiming specialist attendances</w:t>
        </w:r>
        <w:r w:rsidR="00621980">
          <w:rPr>
            <w:noProof/>
            <w:webHidden/>
          </w:rPr>
          <w:tab/>
        </w:r>
        <w:r w:rsidR="00621980">
          <w:rPr>
            <w:noProof/>
            <w:webHidden/>
          </w:rPr>
          <w:fldChar w:fldCharType="begin"/>
        </w:r>
        <w:r w:rsidR="00621980">
          <w:rPr>
            <w:noProof/>
            <w:webHidden/>
          </w:rPr>
          <w:instrText xml:space="preserve"> PAGEREF _Toc467668966 \h </w:instrText>
        </w:r>
        <w:r w:rsidR="00621980">
          <w:rPr>
            <w:noProof/>
            <w:webHidden/>
          </w:rPr>
        </w:r>
        <w:r w:rsidR="00621980">
          <w:rPr>
            <w:noProof/>
            <w:webHidden/>
          </w:rPr>
          <w:fldChar w:fldCharType="separate"/>
        </w:r>
        <w:r w:rsidR="00D17FB0">
          <w:rPr>
            <w:noProof/>
            <w:webHidden/>
          </w:rPr>
          <w:t>33</w:t>
        </w:r>
        <w:r w:rsidR="00621980">
          <w:rPr>
            <w:noProof/>
            <w:webHidden/>
          </w:rPr>
          <w:fldChar w:fldCharType="end"/>
        </w:r>
      </w:hyperlink>
    </w:p>
    <w:p w14:paraId="027CE25C" w14:textId="5602EE3C" w:rsidR="00621980" w:rsidRDefault="002105C1">
      <w:pPr>
        <w:pStyle w:val="TOC2"/>
        <w:rPr>
          <w:rFonts w:eastAsiaTheme="minorEastAsia" w:cstheme="minorBidi"/>
          <w:i w:val="0"/>
          <w:iCs w:val="0"/>
          <w:noProof/>
          <w:sz w:val="22"/>
          <w:szCs w:val="22"/>
          <w:lang w:val="en-AU"/>
        </w:rPr>
      </w:pPr>
      <w:hyperlink w:anchor="_Toc467668967" w:history="1">
        <w:r w:rsidR="00621980" w:rsidRPr="00D8084B">
          <w:rPr>
            <w:rStyle w:val="Hyperlink"/>
            <w:noProof/>
            <w:lang w:val="en-AU"/>
          </w:rPr>
          <w:t>5.2</w:t>
        </w:r>
        <w:r w:rsidR="00621980">
          <w:rPr>
            <w:rFonts w:eastAsiaTheme="minorEastAsia" w:cstheme="minorBidi"/>
            <w:i w:val="0"/>
            <w:iCs w:val="0"/>
            <w:noProof/>
            <w:sz w:val="22"/>
            <w:szCs w:val="22"/>
            <w:lang w:val="en-AU"/>
          </w:rPr>
          <w:tab/>
        </w:r>
        <w:r w:rsidR="00621980" w:rsidRPr="00D8084B">
          <w:rPr>
            <w:rStyle w:val="Hyperlink"/>
            <w:noProof/>
            <w:lang w:val="en-AU"/>
          </w:rPr>
          <w:t>Recommendations to the Nurse Practitioner and Participating Midwife Clinical Committee</w:t>
        </w:r>
        <w:r w:rsidR="00621980">
          <w:rPr>
            <w:noProof/>
            <w:webHidden/>
          </w:rPr>
          <w:tab/>
        </w:r>
        <w:r w:rsidR="00621980">
          <w:rPr>
            <w:noProof/>
            <w:webHidden/>
          </w:rPr>
          <w:fldChar w:fldCharType="begin"/>
        </w:r>
        <w:r w:rsidR="00621980">
          <w:rPr>
            <w:noProof/>
            <w:webHidden/>
          </w:rPr>
          <w:instrText xml:space="preserve"> PAGEREF _Toc467668967 \h </w:instrText>
        </w:r>
        <w:r w:rsidR="00621980">
          <w:rPr>
            <w:noProof/>
            <w:webHidden/>
          </w:rPr>
        </w:r>
        <w:r w:rsidR="00621980">
          <w:rPr>
            <w:noProof/>
            <w:webHidden/>
          </w:rPr>
          <w:fldChar w:fldCharType="separate"/>
        </w:r>
        <w:r w:rsidR="00D17FB0">
          <w:rPr>
            <w:noProof/>
            <w:webHidden/>
          </w:rPr>
          <w:t>34</w:t>
        </w:r>
        <w:r w:rsidR="00621980">
          <w:rPr>
            <w:noProof/>
            <w:webHidden/>
          </w:rPr>
          <w:fldChar w:fldCharType="end"/>
        </w:r>
      </w:hyperlink>
    </w:p>
    <w:p w14:paraId="0C049B79" w14:textId="775F9116" w:rsidR="00621980" w:rsidRDefault="002105C1">
      <w:pPr>
        <w:pStyle w:val="TOC2"/>
        <w:rPr>
          <w:rFonts w:eastAsiaTheme="minorEastAsia" w:cstheme="minorBidi"/>
          <w:i w:val="0"/>
          <w:iCs w:val="0"/>
          <w:noProof/>
          <w:sz w:val="22"/>
          <w:szCs w:val="22"/>
          <w:lang w:val="en-AU"/>
        </w:rPr>
      </w:pPr>
      <w:hyperlink w:anchor="_Toc467668968" w:history="1">
        <w:r w:rsidR="00621980" w:rsidRPr="00D8084B">
          <w:rPr>
            <w:rStyle w:val="Hyperlink"/>
            <w:noProof/>
            <w:lang w:val="en-AU"/>
          </w:rPr>
          <w:t>5.3</w:t>
        </w:r>
        <w:r w:rsidR="00621980">
          <w:rPr>
            <w:rFonts w:eastAsiaTheme="minorEastAsia" w:cstheme="minorBidi"/>
            <w:i w:val="0"/>
            <w:iCs w:val="0"/>
            <w:noProof/>
            <w:sz w:val="22"/>
            <w:szCs w:val="22"/>
            <w:lang w:val="en-AU"/>
          </w:rPr>
          <w:tab/>
        </w:r>
        <w:r w:rsidR="00621980" w:rsidRPr="00D8084B">
          <w:rPr>
            <w:rStyle w:val="Hyperlink"/>
            <w:noProof/>
            <w:lang w:val="en-AU"/>
          </w:rPr>
          <w:t>Recommendations to the Urology Clinical Committee</w:t>
        </w:r>
        <w:r w:rsidR="00621980">
          <w:rPr>
            <w:noProof/>
            <w:webHidden/>
          </w:rPr>
          <w:tab/>
        </w:r>
        <w:r w:rsidR="00621980">
          <w:rPr>
            <w:noProof/>
            <w:webHidden/>
          </w:rPr>
          <w:fldChar w:fldCharType="begin"/>
        </w:r>
        <w:r w:rsidR="00621980">
          <w:rPr>
            <w:noProof/>
            <w:webHidden/>
          </w:rPr>
          <w:instrText xml:space="preserve"> PAGEREF _Toc467668968 \h </w:instrText>
        </w:r>
        <w:r w:rsidR="00621980">
          <w:rPr>
            <w:noProof/>
            <w:webHidden/>
          </w:rPr>
        </w:r>
        <w:r w:rsidR="00621980">
          <w:rPr>
            <w:noProof/>
            <w:webHidden/>
          </w:rPr>
          <w:fldChar w:fldCharType="separate"/>
        </w:r>
        <w:r w:rsidR="00D17FB0">
          <w:rPr>
            <w:noProof/>
            <w:webHidden/>
          </w:rPr>
          <w:t>35</w:t>
        </w:r>
        <w:r w:rsidR="00621980">
          <w:rPr>
            <w:noProof/>
            <w:webHidden/>
          </w:rPr>
          <w:fldChar w:fldCharType="end"/>
        </w:r>
      </w:hyperlink>
    </w:p>
    <w:p w14:paraId="27CD1F57" w14:textId="50FF14B0" w:rsidR="00621980" w:rsidRDefault="002105C1">
      <w:pPr>
        <w:pStyle w:val="TOC3"/>
        <w:tabs>
          <w:tab w:val="left" w:pos="1474"/>
        </w:tabs>
        <w:rPr>
          <w:rFonts w:eastAsiaTheme="minorEastAsia" w:cstheme="minorBidi"/>
          <w:noProof/>
          <w:sz w:val="22"/>
          <w:szCs w:val="22"/>
          <w:lang w:val="en-AU"/>
        </w:rPr>
      </w:pPr>
      <w:hyperlink w:anchor="_Toc467668969" w:history="1">
        <w:r w:rsidR="00621980" w:rsidRPr="00D8084B">
          <w:rPr>
            <w:rStyle w:val="Hyperlink"/>
            <w:noProof/>
            <w:lang w:val="en-AU"/>
          </w:rPr>
          <w:t>5.3.1</w:t>
        </w:r>
        <w:r w:rsidR="00621980">
          <w:rPr>
            <w:rFonts w:eastAsiaTheme="minorEastAsia" w:cstheme="minorBidi"/>
            <w:noProof/>
            <w:sz w:val="22"/>
            <w:szCs w:val="22"/>
            <w:lang w:val="en-AU"/>
          </w:rPr>
          <w:tab/>
        </w:r>
        <w:r w:rsidR="00621980" w:rsidRPr="00D8084B">
          <w:rPr>
            <w:rStyle w:val="Hyperlink"/>
            <w:noProof/>
            <w:lang w:val="en-AU"/>
          </w:rPr>
          <w:t>Living donor nephrectomy</w:t>
        </w:r>
        <w:r w:rsidR="00621980">
          <w:rPr>
            <w:noProof/>
            <w:webHidden/>
          </w:rPr>
          <w:tab/>
        </w:r>
        <w:r w:rsidR="00621980">
          <w:rPr>
            <w:noProof/>
            <w:webHidden/>
          </w:rPr>
          <w:fldChar w:fldCharType="begin"/>
        </w:r>
        <w:r w:rsidR="00621980">
          <w:rPr>
            <w:noProof/>
            <w:webHidden/>
          </w:rPr>
          <w:instrText xml:space="preserve"> PAGEREF _Toc467668969 \h </w:instrText>
        </w:r>
        <w:r w:rsidR="00621980">
          <w:rPr>
            <w:noProof/>
            <w:webHidden/>
          </w:rPr>
        </w:r>
        <w:r w:rsidR="00621980">
          <w:rPr>
            <w:noProof/>
            <w:webHidden/>
          </w:rPr>
          <w:fldChar w:fldCharType="separate"/>
        </w:r>
        <w:r w:rsidR="00D17FB0">
          <w:rPr>
            <w:noProof/>
            <w:webHidden/>
          </w:rPr>
          <w:t>35</w:t>
        </w:r>
        <w:r w:rsidR="00621980">
          <w:rPr>
            <w:noProof/>
            <w:webHidden/>
          </w:rPr>
          <w:fldChar w:fldCharType="end"/>
        </w:r>
      </w:hyperlink>
    </w:p>
    <w:p w14:paraId="033827CA" w14:textId="22805ABB" w:rsidR="00621980" w:rsidRDefault="002105C1">
      <w:pPr>
        <w:pStyle w:val="TOC3"/>
        <w:tabs>
          <w:tab w:val="left" w:pos="1474"/>
        </w:tabs>
        <w:rPr>
          <w:rFonts w:eastAsiaTheme="minorEastAsia" w:cstheme="minorBidi"/>
          <w:noProof/>
          <w:sz w:val="22"/>
          <w:szCs w:val="22"/>
          <w:lang w:val="en-AU"/>
        </w:rPr>
      </w:pPr>
      <w:hyperlink w:anchor="_Toc467668970" w:history="1">
        <w:r w:rsidR="00621980" w:rsidRPr="00D8084B">
          <w:rPr>
            <w:rStyle w:val="Hyperlink"/>
            <w:noProof/>
            <w:lang w:val="en-AU"/>
          </w:rPr>
          <w:t>5.3.2</w:t>
        </w:r>
        <w:r w:rsidR="00621980">
          <w:rPr>
            <w:rFonts w:eastAsiaTheme="minorEastAsia" w:cstheme="minorBidi"/>
            <w:noProof/>
            <w:sz w:val="22"/>
            <w:szCs w:val="22"/>
            <w:lang w:val="en-AU"/>
          </w:rPr>
          <w:tab/>
        </w:r>
        <w:r w:rsidR="00621980" w:rsidRPr="00D8084B">
          <w:rPr>
            <w:rStyle w:val="Hyperlink"/>
            <w:noProof/>
            <w:lang w:val="en-AU"/>
          </w:rPr>
          <w:t>Renal biopsy</w:t>
        </w:r>
        <w:r w:rsidR="00621980">
          <w:rPr>
            <w:noProof/>
            <w:webHidden/>
          </w:rPr>
          <w:tab/>
        </w:r>
        <w:r w:rsidR="00621980">
          <w:rPr>
            <w:noProof/>
            <w:webHidden/>
          </w:rPr>
          <w:fldChar w:fldCharType="begin"/>
        </w:r>
        <w:r w:rsidR="00621980">
          <w:rPr>
            <w:noProof/>
            <w:webHidden/>
          </w:rPr>
          <w:instrText xml:space="preserve"> PAGEREF _Toc467668970 \h </w:instrText>
        </w:r>
        <w:r w:rsidR="00621980">
          <w:rPr>
            <w:noProof/>
            <w:webHidden/>
          </w:rPr>
        </w:r>
        <w:r w:rsidR="00621980">
          <w:rPr>
            <w:noProof/>
            <w:webHidden/>
          </w:rPr>
          <w:fldChar w:fldCharType="separate"/>
        </w:r>
        <w:r w:rsidR="00D17FB0">
          <w:rPr>
            <w:noProof/>
            <w:webHidden/>
          </w:rPr>
          <w:t>36</w:t>
        </w:r>
        <w:r w:rsidR="00621980">
          <w:rPr>
            <w:noProof/>
            <w:webHidden/>
          </w:rPr>
          <w:fldChar w:fldCharType="end"/>
        </w:r>
      </w:hyperlink>
    </w:p>
    <w:p w14:paraId="1C5B16C9" w14:textId="086D5515" w:rsidR="00621980" w:rsidRDefault="002105C1">
      <w:pPr>
        <w:pStyle w:val="TOC2"/>
        <w:rPr>
          <w:rFonts w:eastAsiaTheme="minorEastAsia" w:cstheme="minorBidi"/>
          <w:i w:val="0"/>
          <w:iCs w:val="0"/>
          <w:noProof/>
          <w:sz w:val="22"/>
          <w:szCs w:val="22"/>
          <w:lang w:val="en-AU"/>
        </w:rPr>
      </w:pPr>
      <w:hyperlink w:anchor="_Toc467668971" w:history="1">
        <w:r w:rsidR="00621980" w:rsidRPr="00D8084B">
          <w:rPr>
            <w:rStyle w:val="Hyperlink"/>
            <w:noProof/>
            <w:lang w:val="en-AU"/>
          </w:rPr>
          <w:t>5.4</w:t>
        </w:r>
        <w:r w:rsidR="00621980">
          <w:rPr>
            <w:rFonts w:eastAsiaTheme="minorEastAsia" w:cstheme="minorBidi"/>
            <w:i w:val="0"/>
            <w:iCs w:val="0"/>
            <w:noProof/>
            <w:sz w:val="22"/>
            <w:szCs w:val="22"/>
            <w:lang w:val="en-AU"/>
          </w:rPr>
          <w:tab/>
        </w:r>
        <w:r w:rsidR="00621980" w:rsidRPr="00D8084B">
          <w:rPr>
            <w:rStyle w:val="Hyperlink"/>
            <w:noProof/>
            <w:lang w:val="en-AU"/>
          </w:rPr>
          <w:t>Recommendations to the Aboriginal and Torres Strait Islander and General Practice and Primary Care Clinical Committees</w:t>
        </w:r>
        <w:r w:rsidR="00621980">
          <w:rPr>
            <w:noProof/>
            <w:webHidden/>
          </w:rPr>
          <w:tab/>
        </w:r>
        <w:r w:rsidR="00621980">
          <w:rPr>
            <w:noProof/>
            <w:webHidden/>
          </w:rPr>
          <w:fldChar w:fldCharType="begin"/>
        </w:r>
        <w:r w:rsidR="00621980">
          <w:rPr>
            <w:noProof/>
            <w:webHidden/>
          </w:rPr>
          <w:instrText xml:space="preserve"> PAGEREF _Toc467668971 \h </w:instrText>
        </w:r>
        <w:r w:rsidR="00621980">
          <w:rPr>
            <w:noProof/>
            <w:webHidden/>
          </w:rPr>
        </w:r>
        <w:r w:rsidR="00621980">
          <w:rPr>
            <w:noProof/>
            <w:webHidden/>
          </w:rPr>
          <w:fldChar w:fldCharType="separate"/>
        </w:r>
        <w:r w:rsidR="00D17FB0">
          <w:rPr>
            <w:noProof/>
            <w:webHidden/>
          </w:rPr>
          <w:t>37</w:t>
        </w:r>
        <w:r w:rsidR="00621980">
          <w:rPr>
            <w:noProof/>
            <w:webHidden/>
          </w:rPr>
          <w:fldChar w:fldCharType="end"/>
        </w:r>
      </w:hyperlink>
    </w:p>
    <w:p w14:paraId="6D85E729" w14:textId="08D8640C" w:rsidR="00621980" w:rsidRDefault="002105C1">
      <w:pPr>
        <w:pStyle w:val="TOC1"/>
        <w:tabs>
          <w:tab w:val="right" w:leader="dot" w:pos="9016"/>
        </w:tabs>
        <w:rPr>
          <w:rFonts w:eastAsiaTheme="minorEastAsia" w:cstheme="minorBidi"/>
          <w:b w:val="0"/>
          <w:bCs w:val="0"/>
          <w:noProof/>
          <w:sz w:val="22"/>
          <w:szCs w:val="22"/>
          <w:lang w:val="en-AU"/>
        </w:rPr>
      </w:pPr>
      <w:hyperlink w:anchor="_Toc467668972" w:history="1">
        <w:r w:rsidR="00621980" w:rsidRPr="00D8084B">
          <w:rPr>
            <w:rStyle w:val="Hyperlink"/>
            <w:noProof/>
            <w:lang w:val="en-AU" w:bidi="x-none"/>
            <w14:scene3d>
              <w14:camera w14:prst="orthographicFront"/>
              <w14:lightRig w14:rig="threePt" w14:dir="t">
                <w14:rot w14:lat="0" w14:lon="0" w14:rev="0"/>
              </w14:lightRig>
            </w14:scene3d>
          </w:rPr>
          <w:t>6.</w:t>
        </w:r>
        <w:r w:rsidR="00621980">
          <w:rPr>
            <w:rFonts w:eastAsiaTheme="minorEastAsia" w:cstheme="minorBidi"/>
            <w:b w:val="0"/>
            <w:bCs w:val="0"/>
            <w:noProof/>
            <w:sz w:val="22"/>
            <w:szCs w:val="22"/>
            <w:lang w:val="en-AU"/>
          </w:rPr>
          <w:tab/>
        </w:r>
        <w:r w:rsidR="00621980" w:rsidRPr="00D8084B">
          <w:rPr>
            <w:rStyle w:val="Hyperlink"/>
            <w:noProof/>
            <w:lang w:val="en-AU"/>
          </w:rPr>
          <w:t>References</w:t>
        </w:r>
        <w:r w:rsidR="00621980">
          <w:rPr>
            <w:noProof/>
            <w:webHidden/>
          </w:rPr>
          <w:tab/>
        </w:r>
        <w:r w:rsidR="00621980">
          <w:rPr>
            <w:noProof/>
            <w:webHidden/>
          </w:rPr>
          <w:fldChar w:fldCharType="begin"/>
        </w:r>
        <w:r w:rsidR="00621980">
          <w:rPr>
            <w:noProof/>
            <w:webHidden/>
          </w:rPr>
          <w:instrText xml:space="preserve"> PAGEREF _Toc467668972 \h </w:instrText>
        </w:r>
        <w:r w:rsidR="00621980">
          <w:rPr>
            <w:noProof/>
            <w:webHidden/>
          </w:rPr>
        </w:r>
        <w:r w:rsidR="00621980">
          <w:rPr>
            <w:noProof/>
            <w:webHidden/>
          </w:rPr>
          <w:fldChar w:fldCharType="separate"/>
        </w:r>
        <w:r w:rsidR="00D17FB0">
          <w:rPr>
            <w:noProof/>
            <w:webHidden/>
          </w:rPr>
          <w:t>39</w:t>
        </w:r>
        <w:r w:rsidR="00621980">
          <w:rPr>
            <w:noProof/>
            <w:webHidden/>
          </w:rPr>
          <w:fldChar w:fldCharType="end"/>
        </w:r>
      </w:hyperlink>
    </w:p>
    <w:p w14:paraId="450209B1" w14:textId="666A25E3" w:rsidR="00621980" w:rsidRDefault="002105C1">
      <w:pPr>
        <w:pStyle w:val="TOC1"/>
        <w:tabs>
          <w:tab w:val="left" w:pos="1474"/>
          <w:tab w:val="right" w:leader="dot" w:pos="9016"/>
        </w:tabs>
        <w:rPr>
          <w:rFonts w:eastAsiaTheme="minorEastAsia" w:cstheme="minorBidi"/>
          <w:b w:val="0"/>
          <w:bCs w:val="0"/>
          <w:noProof/>
          <w:sz w:val="22"/>
          <w:szCs w:val="22"/>
          <w:lang w:val="en-AU"/>
        </w:rPr>
      </w:pPr>
      <w:hyperlink w:anchor="_Toc467668973" w:history="1">
        <w:r w:rsidR="00621980" w:rsidRPr="00D8084B">
          <w:rPr>
            <w:rStyle w:val="Hyperlink"/>
            <w:noProof/>
          </w:rPr>
          <w:t>Appendix A -</w:t>
        </w:r>
        <w:r w:rsidR="00621980">
          <w:rPr>
            <w:rFonts w:eastAsiaTheme="minorEastAsia" w:cstheme="minorBidi"/>
            <w:b w:val="0"/>
            <w:bCs w:val="0"/>
            <w:noProof/>
            <w:sz w:val="22"/>
            <w:szCs w:val="22"/>
            <w:lang w:val="en-AU"/>
          </w:rPr>
          <w:tab/>
        </w:r>
        <w:r w:rsidR="00621980" w:rsidRPr="00D8084B">
          <w:rPr>
            <w:rStyle w:val="Hyperlink"/>
            <w:noProof/>
          </w:rPr>
          <w:t>Assigned items: recommendations list</w:t>
        </w:r>
        <w:r w:rsidR="00621980">
          <w:rPr>
            <w:noProof/>
            <w:webHidden/>
          </w:rPr>
          <w:tab/>
        </w:r>
        <w:r w:rsidR="00621980">
          <w:rPr>
            <w:noProof/>
            <w:webHidden/>
          </w:rPr>
          <w:fldChar w:fldCharType="begin"/>
        </w:r>
        <w:r w:rsidR="00621980">
          <w:rPr>
            <w:noProof/>
            <w:webHidden/>
          </w:rPr>
          <w:instrText xml:space="preserve"> PAGEREF _Toc467668973 \h </w:instrText>
        </w:r>
        <w:r w:rsidR="00621980">
          <w:rPr>
            <w:noProof/>
            <w:webHidden/>
          </w:rPr>
        </w:r>
        <w:r w:rsidR="00621980">
          <w:rPr>
            <w:noProof/>
            <w:webHidden/>
          </w:rPr>
          <w:fldChar w:fldCharType="separate"/>
        </w:r>
        <w:r w:rsidR="00D17FB0">
          <w:rPr>
            <w:noProof/>
            <w:webHidden/>
          </w:rPr>
          <w:t>43</w:t>
        </w:r>
        <w:r w:rsidR="00621980">
          <w:rPr>
            <w:noProof/>
            <w:webHidden/>
          </w:rPr>
          <w:fldChar w:fldCharType="end"/>
        </w:r>
      </w:hyperlink>
    </w:p>
    <w:p w14:paraId="7A3A9BD8" w14:textId="530E65BF" w:rsidR="00621980" w:rsidRDefault="002105C1">
      <w:pPr>
        <w:pStyle w:val="TOC1"/>
        <w:tabs>
          <w:tab w:val="left" w:pos="1474"/>
          <w:tab w:val="right" w:leader="dot" w:pos="9016"/>
        </w:tabs>
        <w:rPr>
          <w:rFonts w:eastAsiaTheme="minorEastAsia" w:cstheme="minorBidi"/>
          <w:b w:val="0"/>
          <w:bCs w:val="0"/>
          <w:noProof/>
          <w:sz w:val="22"/>
          <w:szCs w:val="22"/>
          <w:lang w:val="en-AU"/>
        </w:rPr>
      </w:pPr>
      <w:hyperlink w:anchor="_Toc467668974" w:history="1">
        <w:r w:rsidR="00621980" w:rsidRPr="00D8084B">
          <w:rPr>
            <w:rStyle w:val="Hyperlink"/>
            <w:noProof/>
          </w:rPr>
          <w:t>Appendix B -</w:t>
        </w:r>
        <w:r w:rsidR="00621980">
          <w:rPr>
            <w:rFonts w:eastAsiaTheme="minorEastAsia" w:cstheme="minorBidi"/>
            <w:b w:val="0"/>
            <w:bCs w:val="0"/>
            <w:noProof/>
            <w:sz w:val="22"/>
            <w:szCs w:val="22"/>
            <w:lang w:val="en-AU"/>
          </w:rPr>
          <w:tab/>
        </w:r>
        <w:r w:rsidR="00621980" w:rsidRPr="00D8084B">
          <w:rPr>
            <w:rStyle w:val="Hyperlink"/>
            <w:noProof/>
          </w:rPr>
          <w:t>Additional items: recommendations list</w:t>
        </w:r>
        <w:r w:rsidR="00621980">
          <w:rPr>
            <w:noProof/>
            <w:webHidden/>
          </w:rPr>
          <w:tab/>
        </w:r>
        <w:r w:rsidR="00621980">
          <w:rPr>
            <w:noProof/>
            <w:webHidden/>
          </w:rPr>
          <w:fldChar w:fldCharType="begin"/>
        </w:r>
        <w:r w:rsidR="00621980">
          <w:rPr>
            <w:noProof/>
            <w:webHidden/>
          </w:rPr>
          <w:instrText xml:space="preserve"> PAGEREF _Toc467668974 \h </w:instrText>
        </w:r>
        <w:r w:rsidR="00621980">
          <w:rPr>
            <w:noProof/>
            <w:webHidden/>
          </w:rPr>
        </w:r>
        <w:r w:rsidR="00621980">
          <w:rPr>
            <w:noProof/>
            <w:webHidden/>
          </w:rPr>
          <w:fldChar w:fldCharType="separate"/>
        </w:r>
        <w:r w:rsidR="00D17FB0">
          <w:rPr>
            <w:noProof/>
            <w:webHidden/>
          </w:rPr>
          <w:t>44</w:t>
        </w:r>
        <w:r w:rsidR="00621980">
          <w:rPr>
            <w:noProof/>
            <w:webHidden/>
          </w:rPr>
          <w:fldChar w:fldCharType="end"/>
        </w:r>
      </w:hyperlink>
    </w:p>
    <w:p w14:paraId="3579B7CA" w14:textId="54C6B00D" w:rsidR="00621980" w:rsidRDefault="002105C1">
      <w:pPr>
        <w:pStyle w:val="TOC1"/>
        <w:tabs>
          <w:tab w:val="left" w:pos="1474"/>
          <w:tab w:val="right" w:leader="dot" w:pos="9016"/>
        </w:tabs>
        <w:rPr>
          <w:rFonts w:eastAsiaTheme="minorEastAsia" w:cstheme="minorBidi"/>
          <w:b w:val="0"/>
          <w:bCs w:val="0"/>
          <w:noProof/>
          <w:sz w:val="22"/>
          <w:szCs w:val="22"/>
          <w:lang w:val="en-AU"/>
        </w:rPr>
      </w:pPr>
      <w:hyperlink w:anchor="_Toc467668975" w:history="1">
        <w:r w:rsidR="00621980" w:rsidRPr="00D8084B">
          <w:rPr>
            <w:rStyle w:val="Hyperlink"/>
            <w:noProof/>
          </w:rPr>
          <w:t>Appendix C -</w:t>
        </w:r>
        <w:r w:rsidR="00621980">
          <w:rPr>
            <w:rFonts w:eastAsiaTheme="minorEastAsia" w:cstheme="minorBidi"/>
            <w:b w:val="0"/>
            <w:bCs w:val="0"/>
            <w:noProof/>
            <w:sz w:val="22"/>
            <w:szCs w:val="22"/>
            <w:lang w:val="en-AU"/>
          </w:rPr>
          <w:tab/>
        </w:r>
        <w:r w:rsidR="00621980" w:rsidRPr="00D8084B">
          <w:rPr>
            <w:rStyle w:val="Hyperlink"/>
            <w:noProof/>
          </w:rPr>
          <w:t>Current Australian paediatric–adult renal transition models</w:t>
        </w:r>
        <w:r w:rsidR="00621980">
          <w:rPr>
            <w:noProof/>
            <w:webHidden/>
          </w:rPr>
          <w:tab/>
        </w:r>
        <w:r w:rsidR="00621980">
          <w:rPr>
            <w:noProof/>
            <w:webHidden/>
          </w:rPr>
          <w:fldChar w:fldCharType="begin"/>
        </w:r>
        <w:r w:rsidR="00621980">
          <w:rPr>
            <w:noProof/>
            <w:webHidden/>
          </w:rPr>
          <w:instrText xml:space="preserve"> PAGEREF _Toc467668975 \h </w:instrText>
        </w:r>
        <w:r w:rsidR="00621980">
          <w:rPr>
            <w:noProof/>
            <w:webHidden/>
          </w:rPr>
        </w:r>
        <w:r w:rsidR="00621980">
          <w:rPr>
            <w:noProof/>
            <w:webHidden/>
          </w:rPr>
          <w:fldChar w:fldCharType="separate"/>
        </w:r>
        <w:r w:rsidR="00D17FB0">
          <w:rPr>
            <w:noProof/>
            <w:webHidden/>
          </w:rPr>
          <w:t>46</w:t>
        </w:r>
        <w:r w:rsidR="00621980">
          <w:rPr>
            <w:noProof/>
            <w:webHidden/>
          </w:rPr>
          <w:fldChar w:fldCharType="end"/>
        </w:r>
      </w:hyperlink>
    </w:p>
    <w:p w14:paraId="198C7FB3" w14:textId="30957F2D" w:rsidR="00621980" w:rsidRDefault="002105C1">
      <w:pPr>
        <w:pStyle w:val="TOC1"/>
        <w:tabs>
          <w:tab w:val="left" w:pos="1474"/>
          <w:tab w:val="right" w:leader="dot" w:pos="9016"/>
        </w:tabs>
        <w:rPr>
          <w:rFonts w:eastAsiaTheme="minorEastAsia" w:cstheme="minorBidi"/>
          <w:b w:val="0"/>
          <w:bCs w:val="0"/>
          <w:noProof/>
          <w:sz w:val="22"/>
          <w:szCs w:val="22"/>
          <w:lang w:val="en-AU"/>
        </w:rPr>
      </w:pPr>
      <w:hyperlink w:anchor="_Toc467668976" w:history="1">
        <w:r w:rsidR="00621980" w:rsidRPr="00D8084B">
          <w:rPr>
            <w:rStyle w:val="Hyperlink"/>
            <w:noProof/>
          </w:rPr>
          <w:t>Appendix D -</w:t>
        </w:r>
        <w:r w:rsidR="00621980">
          <w:rPr>
            <w:rFonts w:eastAsiaTheme="minorEastAsia" w:cstheme="minorBidi"/>
            <w:b w:val="0"/>
            <w:bCs w:val="0"/>
            <w:noProof/>
            <w:sz w:val="22"/>
            <w:szCs w:val="22"/>
            <w:lang w:val="en-AU"/>
          </w:rPr>
          <w:tab/>
        </w:r>
        <w:r w:rsidR="00621980" w:rsidRPr="00D8084B">
          <w:rPr>
            <w:rStyle w:val="Hyperlink"/>
            <w:noProof/>
          </w:rPr>
          <w:t>Summary for consumers</w:t>
        </w:r>
        <w:r w:rsidR="00621980">
          <w:rPr>
            <w:noProof/>
            <w:webHidden/>
          </w:rPr>
          <w:tab/>
        </w:r>
        <w:r w:rsidR="00621980">
          <w:rPr>
            <w:noProof/>
            <w:webHidden/>
          </w:rPr>
          <w:fldChar w:fldCharType="begin"/>
        </w:r>
        <w:r w:rsidR="00621980">
          <w:rPr>
            <w:noProof/>
            <w:webHidden/>
          </w:rPr>
          <w:instrText xml:space="preserve"> PAGEREF _Toc467668976 \h </w:instrText>
        </w:r>
        <w:r w:rsidR="00621980">
          <w:rPr>
            <w:noProof/>
            <w:webHidden/>
          </w:rPr>
        </w:r>
        <w:r w:rsidR="00621980">
          <w:rPr>
            <w:noProof/>
            <w:webHidden/>
          </w:rPr>
          <w:fldChar w:fldCharType="separate"/>
        </w:r>
        <w:r w:rsidR="00D17FB0">
          <w:rPr>
            <w:noProof/>
            <w:webHidden/>
          </w:rPr>
          <w:t>47</w:t>
        </w:r>
        <w:r w:rsidR="00621980">
          <w:rPr>
            <w:noProof/>
            <w:webHidden/>
          </w:rPr>
          <w:fldChar w:fldCharType="end"/>
        </w:r>
      </w:hyperlink>
    </w:p>
    <w:p w14:paraId="3E0BBC29" w14:textId="1E9575BC" w:rsidR="00621980" w:rsidRDefault="002105C1">
      <w:pPr>
        <w:pStyle w:val="TOC1"/>
        <w:tabs>
          <w:tab w:val="left" w:pos="1474"/>
          <w:tab w:val="right" w:leader="dot" w:pos="9016"/>
        </w:tabs>
        <w:rPr>
          <w:rFonts w:eastAsiaTheme="minorEastAsia" w:cstheme="minorBidi"/>
          <w:b w:val="0"/>
          <w:bCs w:val="0"/>
          <w:noProof/>
          <w:sz w:val="22"/>
          <w:szCs w:val="22"/>
          <w:lang w:val="en-AU"/>
        </w:rPr>
      </w:pPr>
      <w:hyperlink w:anchor="_Toc467668977" w:history="1">
        <w:r w:rsidR="00621980" w:rsidRPr="00D8084B">
          <w:rPr>
            <w:rStyle w:val="Hyperlink"/>
            <w:noProof/>
          </w:rPr>
          <w:t>Appendix E -</w:t>
        </w:r>
        <w:r w:rsidR="00621980">
          <w:rPr>
            <w:rFonts w:eastAsiaTheme="minorEastAsia" w:cstheme="minorBidi"/>
            <w:b w:val="0"/>
            <w:bCs w:val="0"/>
            <w:noProof/>
            <w:sz w:val="22"/>
            <w:szCs w:val="22"/>
            <w:lang w:val="en-AU"/>
          </w:rPr>
          <w:tab/>
        </w:r>
        <w:r w:rsidR="00621980" w:rsidRPr="00D8084B">
          <w:rPr>
            <w:rStyle w:val="Hyperlink"/>
            <w:noProof/>
          </w:rPr>
          <w:t>Glossary</w:t>
        </w:r>
        <w:r w:rsidR="00621980">
          <w:rPr>
            <w:noProof/>
            <w:webHidden/>
          </w:rPr>
          <w:tab/>
        </w:r>
        <w:r w:rsidR="00621980">
          <w:rPr>
            <w:noProof/>
            <w:webHidden/>
          </w:rPr>
          <w:fldChar w:fldCharType="begin"/>
        </w:r>
        <w:r w:rsidR="00621980">
          <w:rPr>
            <w:noProof/>
            <w:webHidden/>
          </w:rPr>
          <w:instrText xml:space="preserve"> PAGEREF _Toc467668977 \h </w:instrText>
        </w:r>
        <w:r w:rsidR="00621980">
          <w:rPr>
            <w:noProof/>
            <w:webHidden/>
          </w:rPr>
        </w:r>
        <w:r w:rsidR="00621980">
          <w:rPr>
            <w:noProof/>
            <w:webHidden/>
          </w:rPr>
          <w:fldChar w:fldCharType="separate"/>
        </w:r>
        <w:r w:rsidR="00D17FB0">
          <w:rPr>
            <w:noProof/>
            <w:webHidden/>
          </w:rPr>
          <w:t>50</w:t>
        </w:r>
        <w:r w:rsidR="00621980">
          <w:rPr>
            <w:noProof/>
            <w:webHidden/>
          </w:rPr>
          <w:fldChar w:fldCharType="end"/>
        </w:r>
      </w:hyperlink>
    </w:p>
    <w:p w14:paraId="5AD68E1D" w14:textId="338F93EA" w:rsidR="00836B2A" w:rsidRPr="00FC1976" w:rsidRDefault="00A5097F" w:rsidP="00082595">
      <w:pPr>
        <w:rPr>
          <w:b/>
          <w:color w:val="01653F"/>
          <w:sz w:val="32"/>
          <w:lang w:val="en-AU"/>
        </w:rPr>
      </w:pPr>
      <w:r w:rsidRPr="00FC1976">
        <w:rPr>
          <w:lang w:val="en-AU"/>
        </w:rPr>
        <w:fldChar w:fldCharType="end"/>
      </w:r>
      <w:r w:rsidR="00836B2A" w:rsidRPr="00FC1976">
        <w:rPr>
          <w:b/>
          <w:color w:val="01653F"/>
          <w:sz w:val="32"/>
          <w:lang w:val="en-AU"/>
        </w:rPr>
        <w:t>Tables</w:t>
      </w:r>
    </w:p>
    <w:p w14:paraId="7416DBED" w14:textId="19C4F450" w:rsidR="00794FE8" w:rsidRDefault="004177E1">
      <w:pPr>
        <w:pStyle w:val="TableofFigures"/>
        <w:tabs>
          <w:tab w:val="right" w:leader="dot" w:pos="9016"/>
        </w:tabs>
        <w:rPr>
          <w:rFonts w:eastAsiaTheme="minorEastAsia" w:cstheme="minorBidi"/>
          <w:bCs w:val="0"/>
          <w:noProof/>
          <w:sz w:val="22"/>
          <w:szCs w:val="22"/>
          <w:lang w:val="en-AU"/>
        </w:rPr>
      </w:pPr>
      <w:r w:rsidRPr="00FC1976">
        <w:rPr>
          <w:lang w:val="en-AU"/>
        </w:rPr>
        <w:fldChar w:fldCharType="begin"/>
      </w:r>
      <w:r w:rsidRPr="00FC1976">
        <w:rPr>
          <w:lang w:val="en-AU"/>
        </w:rPr>
        <w:instrText xml:space="preserve"> TOC \h \z \c "Table" </w:instrText>
      </w:r>
      <w:r w:rsidRPr="00FC1976">
        <w:rPr>
          <w:lang w:val="en-AU"/>
        </w:rPr>
        <w:fldChar w:fldCharType="separate"/>
      </w:r>
      <w:hyperlink w:anchor="_Toc463984888" w:history="1">
        <w:r w:rsidR="00794FE8" w:rsidRPr="00D70F44">
          <w:rPr>
            <w:rStyle w:val="Hyperlink"/>
            <w:noProof/>
            <w:lang w:val="en-AU"/>
          </w:rPr>
          <w:t>Table 1. Committee members</w:t>
        </w:r>
        <w:r w:rsidR="00794FE8">
          <w:rPr>
            <w:noProof/>
            <w:webHidden/>
          </w:rPr>
          <w:tab/>
        </w:r>
        <w:r w:rsidR="00794FE8">
          <w:rPr>
            <w:noProof/>
            <w:webHidden/>
          </w:rPr>
          <w:fldChar w:fldCharType="begin"/>
        </w:r>
        <w:r w:rsidR="00794FE8">
          <w:rPr>
            <w:noProof/>
            <w:webHidden/>
          </w:rPr>
          <w:instrText xml:space="preserve"> PAGEREF _Toc463984888 \h </w:instrText>
        </w:r>
        <w:r w:rsidR="00794FE8">
          <w:rPr>
            <w:noProof/>
            <w:webHidden/>
          </w:rPr>
        </w:r>
        <w:r w:rsidR="00794FE8">
          <w:rPr>
            <w:noProof/>
            <w:webHidden/>
          </w:rPr>
          <w:fldChar w:fldCharType="separate"/>
        </w:r>
        <w:r w:rsidR="00D17FB0">
          <w:rPr>
            <w:noProof/>
            <w:webHidden/>
          </w:rPr>
          <w:t>11</w:t>
        </w:r>
        <w:r w:rsidR="00794FE8">
          <w:rPr>
            <w:noProof/>
            <w:webHidden/>
          </w:rPr>
          <w:fldChar w:fldCharType="end"/>
        </w:r>
      </w:hyperlink>
    </w:p>
    <w:p w14:paraId="2C001ACB" w14:textId="4E0F37A6" w:rsidR="00794FE8" w:rsidRDefault="002105C1">
      <w:pPr>
        <w:pStyle w:val="TableofFigures"/>
        <w:tabs>
          <w:tab w:val="right" w:leader="dot" w:pos="9016"/>
        </w:tabs>
        <w:rPr>
          <w:rFonts w:eastAsiaTheme="minorEastAsia" w:cstheme="minorBidi"/>
          <w:bCs w:val="0"/>
          <w:noProof/>
          <w:sz w:val="22"/>
          <w:szCs w:val="22"/>
          <w:lang w:val="en-AU"/>
        </w:rPr>
      </w:pPr>
      <w:hyperlink w:anchor="_Toc463984889" w:history="1">
        <w:r w:rsidR="00794FE8" w:rsidRPr="00D70F44">
          <w:rPr>
            <w:rStyle w:val="Hyperlink"/>
            <w:noProof/>
            <w:lang w:val="en-AU"/>
          </w:rPr>
          <w:t>Table 2: Indigenous population and remoteness by state (ABS data, June 2011)</w:t>
        </w:r>
        <w:r w:rsidR="00794FE8">
          <w:rPr>
            <w:noProof/>
            <w:webHidden/>
          </w:rPr>
          <w:tab/>
        </w:r>
        <w:r w:rsidR="00794FE8">
          <w:rPr>
            <w:noProof/>
            <w:webHidden/>
          </w:rPr>
          <w:fldChar w:fldCharType="begin"/>
        </w:r>
        <w:r w:rsidR="00794FE8">
          <w:rPr>
            <w:noProof/>
            <w:webHidden/>
          </w:rPr>
          <w:instrText xml:space="preserve"> PAGEREF _Toc463984889 \h </w:instrText>
        </w:r>
        <w:r w:rsidR="00794FE8">
          <w:rPr>
            <w:noProof/>
            <w:webHidden/>
          </w:rPr>
        </w:r>
        <w:r w:rsidR="00794FE8">
          <w:rPr>
            <w:noProof/>
            <w:webHidden/>
          </w:rPr>
          <w:fldChar w:fldCharType="separate"/>
        </w:r>
        <w:r w:rsidR="00D17FB0">
          <w:rPr>
            <w:noProof/>
            <w:webHidden/>
          </w:rPr>
          <w:t>16</w:t>
        </w:r>
        <w:r w:rsidR="00794FE8">
          <w:rPr>
            <w:noProof/>
            <w:webHidden/>
          </w:rPr>
          <w:fldChar w:fldCharType="end"/>
        </w:r>
      </w:hyperlink>
    </w:p>
    <w:p w14:paraId="1B10B5CA" w14:textId="1F4F255C" w:rsidR="00794FE8" w:rsidRDefault="002105C1">
      <w:pPr>
        <w:pStyle w:val="TableofFigures"/>
        <w:tabs>
          <w:tab w:val="right" w:leader="dot" w:pos="9016"/>
        </w:tabs>
        <w:rPr>
          <w:rFonts w:eastAsiaTheme="minorEastAsia" w:cstheme="minorBidi"/>
          <w:bCs w:val="0"/>
          <w:noProof/>
          <w:sz w:val="22"/>
          <w:szCs w:val="22"/>
          <w:lang w:val="en-AU"/>
        </w:rPr>
      </w:pPr>
      <w:hyperlink w:anchor="_Toc463984890" w:history="1">
        <w:r w:rsidR="00794FE8" w:rsidRPr="00D70F44">
          <w:rPr>
            <w:rStyle w:val="Hyperlink"/>
            <w:noProof/>
            <w:lang w:val="en-AU"/>
          </w:rPr>
          <w:t>Table 3: Item introduction table for items 13100 and 13103</w:t>
        </w:r>
        <w:r w:rsidR="00794FE8">
          <w:rPr>
            <w:noProof/>
            <w:webHidden/>
          </w:rPr>
          <w:tab/>
        </w:r>
        <w:r w:rsidR="00794FE8">
          <w:rPr>
            <w:noProof/>
            <w:webHidden/>
          </w:rPr>
          <w:fldChar w:fldCharType="begin"/>
        </w:r>
        <w:r w:rsidR="00794FE8">
          <w:rPr>
            <w:noProof/>
            <w:webHidden/>
          </w:rPr>
          <w:instrText xml:space="preserve"> PAGEREF _Toc463984890 \h </w:instrText>
        </w:r>
        <w:r w:rsidR="00794FE8">
          <w:rPr>
            <w:noProof/>
            <w:webHidden/>
          </w:rPr>
        </w:r>
        <w:r w:rsidR="00794FE8">
          <w:rPr>
            <w:noProof/>
            <w:webHidden/>
          </w:rPr>
          <w:fldChar w:fldCharType="separate"/>
        </w:r>
        <w:r w:rsidR="00D17FB0">
          <w:rPr>
            <w:noProof/>
            <w:webHidden/>
          </w:rPr>
          <w:t>18</w:t>
        </w:r>
        <w:r w:rsidR="00794FE8">
          <w:rPr>
            <w:noProof/>
            <w:webHidden/>
          </w:rPr>
          <w:fldChar w:fldCharType="end"/>
        </w:r>
      </w:hyperlink>
    </w:p>
    <w:p w14:paraId="6B1ACA44" w14:textId="00B121F9" w:rsidR="00794FE8" w:rsidRDefault="002105C1">
      <w:pPr>
        <w:pStyle w:val="TableofFigures"/>
        <w:tabs>
          <w:tab w:val="right" w:leader="dot" w:pos="9016"/>
        </w:tabs>
        <w:rPr>
          <w:rFonts w:eastAsiaTheme="minorEastAsia" w:cstheme="minorBidi"/>
          <w:bCs w:val="0"/>
          <w:noProof/>
          <w:sz w:val="22"/>
          <w:szCs w:val="22"/>
          <w:lang w:val="en-AU"/>
        </w:rPr>
      </w:pPr>
      <w:hyperlink w:anchor="_Toc463984891" w:history="1">
        <w:r w:rsidR="00794FE8" w:rsidRPr="00D70F44">
          <w:rPr>
            <w:rStyle w:val="Hyperlink"/>
            <w:noProof/>
            <w:lang w:val="en-AU"/>
          </w:rPr>
          <w:t>Table 4: Item introduction table for item 13106</w:t>
        </w:r>
        <w:r w:rsidR="00794FE8">
          <w:rPr>
            <w:noProof/>
            <w:webHidden/>
          </w:rPr>
          <w:tab/>
        </w:r>
        <w:r w:rsidR="00794FE8">
          <w:rPr>
            <w:noProof/>
            <w:webHidden/>
          </w:rPr>
          <w:fldChar w:fldCharType="begin"/>
        </w:r>
        <w:r w:rsidR="00794FE8">
          <w:rPr>
            <w:noProof/>
            <w:webHidden/>
          </w:rPr>
          <w:instrText xml:space="preserve"> PAGEREF _Toc463984891 \h </w:instrText>
        </w:r>
        <w:r w:rsidR="00794FE8">
          <w:rPr>
            <w:noProof/>
            <w:webHidden/>
          </w:rPr>
        </w:r>
        <w:r w:rsidR="00794FE8">
          <w:rPr>
            <w:noProof/>
            <w:webHidden/>
          </w:rPr>
          <w:fldChar w:fldCharType="separate"/>
        </w:r>
        <w:r w:rsidR="00D17FB0">
          <w:rPr>
            <w:noProof/>
            <w:webHidden/>
          </w:rPr>
          <w:t>25</w:t>
        </w:r>
        <w:r w:rsidR="00794FE8">
          <w:rPr>
            <w:noProof/>
            <w:webHidden/>
          </w:rPr>
          <w:fldChar w:fldCharType="end"/>
        </w:r>
      </w:hyperlink>
    </w:p>
    <w:p w14:paraId="7DCE8245" w14:textId="56F0317F" w:rsidR="00794FE8" w:rsidRDefault="002105C1">
      <w:pPr>
        <w:pStyle w:val="TableofFigures"/>
        <w:tabs>
          <w:tab w:val="right" w:leader="dot" w:pos="9016"/>
        </w:tabs>
        <w:rPr>
          <w:rFonts w:eastAsiaTheme="minorEastAsia" w:cstheme="minorBidi"/>
          <w:bCs w:val="0"/>
          <w:noProof/>
          <w:sz w:val="22"/>
          <w:szCs w:val="22"/>
          <w:lang w:val="en-AU"/>
        </w:rPr>
      </w:pPr>
      <w:hyperlink w:anchor="_Toc463984892" w:history="1">
        <w:r w:rsidR="00794FE8" w:rsidRPr="00D70F44">
          <w:rPr>
            <w:rStyle w:val="Hyperlink"/>
            <w:noProof/>
            <w:lang w:val="en-AU"/>
          </w:rPr>
          <w:t>Table 5: Item introduction table for item 13112</w:t>
        </w:r>
        <w:r w:rsidR="00794FE8">
          <w:rPr>
            <w:noProof/>
            <w:webHidden/>
          </w:rPr>
          <w:tab/>
        </w:r>
        <w:r w:rsidR="00794FE8">
          <w:rPr>
            <w:noProof/>
            <w:webHidden/>
          </w:rPr>
          <w:fldChar w:fldCharType="begin"/>
        </w:r>
        <w:r w:rsidR="00794FE8">
          <w:rPr>
            <w:noProof/>
            <w:webHidden/>
          </w:rPr>
          <w:instrText xml:space="preserve"> PAGEREF _Toc463984892 \h </w:instrText>
        </w:r>
        <w:r w:rsidR="00794FE8">
          <w:rPr>
            <w:noProof/>
            <w:webHidden/>
          </w:rPr>
        </w:r>
        <w:r w:rsidR="00794FE8">
          <w:rPr>
            <w:noProof/>
            <w:webHidden/>
          </w:rPr>
          <w:fldChar w:fldCharType="separate"/>
        </w:r>
        <w:r w:rsidR="00D17FB0">
          <w:rPr>
            <w:noProof/>
            <w:webHidden/>
          </w:rPr>
          <w:t>25</w:t>
        </w:r>
        <w:r w:rsidR="00794FE8">
          <w:rPr>
            <w:noProof/>
            <w:webHidden/>
          </w:rPr>
          <w:fldChar w:fldCharType="end"/>
        </w:r>
      </w:hyperlink>
    </w:p>
    <w:p w14:paraId="76687CBC" w14:textId="5B3EDCEF" w:rsidR="00794FE8" w:rsidRDefault="002105C1">
      <w:pPr>
        <w:pStyle w:val="TableofFigures"/>
        <w:tabs>
          <w:tab w:val="right" w:leader="dot" w:pos="9016"/>
        </w:tabs>
        <w:rPr>
          <w:rFonts w:eastAsiaTheme="minorEastAsia" w:cstheme="minorBidi"/>
          <w:bCs w:val="0"/>
          <w:noProof/>
          <w:sz w:val="22"/>
          <w:szCs w:val="22"/>
          <w:lang w:val="en-AU"/>
        </w:rPr>
      </w:pPr>
      <w:hyperlink w:anchor="_Toc463984893" w:history="1">
        <w:r w:rsidR="00794FE8" w:rsidRPr="00D70F44">
          <w:rPr>
            <w:rStyle w:val="Hyperlink"/>
            <w:noProof/>
            <w:lang w:val="en-AU"/>
          </w:rPr>
          <w:t>Table 6: Item introduction table for items 13109 and 13110</w:t>
        </w:r>
        <w:r w:rsidR="00794FE8">
          <w:rPr>
            <w:noProof/>
            <w:webHidden/>
          </w:rPr>
          <w:tab/>
        </w:r>
        <w:r w:rsidR="00794FE8">
          <w:rPr>
            <w:noProof/>
            <w:webHidden/>
          </w:rPr>
          <w:fldChar w:fldCharType="begin"/>
        </w:r>
        <w:r w:rsidR="00794FE8">
          <w:rPr>
            <w:noProof/>
            <w:webHidden/>
          </w:rPr>
          <w:instrText xml:space="preserve"> PAGEREF _Toc463984893 \h </w:instrText>
        </w:r>
        <w:r w:rsidR="00794FE8">
          <w:rPr>
            <w:noProof/>
            <w:webHidden/>
          </w:rPr>
        </w:r>
        <w:r w:rsidR="00794FE8">
          <w:rPr>
            <w:noProof/>
            <w:webHidden/>
          </w:rPr>
          <w:fldChar w:fldCharType="separate"/>
        </w:r>
        <w:r w:rsidR="00D17FB0">
          <w:rPr>
            <w:noProof/>
            <w:webHidden/>
          </w:rPr>
          <w:t>26</w:t>
        </w:r>
        <w:r w:rsidR="00794FE8">
          <w:rPr>
            <w:noProof/>
            <w:webHidden/>
          </w:rPr>
          <w:fldChar w:fldCharType="end"/>
        </w:r>
      </w:hyperlink>
    </w:p>
    <w:p w14:paraId="21863940" w14:textId="652A5130" w:rsidR="00794FE8" w:rsidRDefault="002105C1">
      <w:pPr>
        <w:pStyle w:val="TableofFigures"/>
        <w:tabs>
          <w:tab w:val="right" w:leader="dot" w:pos="9016"/>
        </w:tabs>
        <w:rPr>
          <w:rFonts w:eastAsiaTheme="minorEastAsia" w:cstheme="minorBidi"/>
          <w:bCs w:val="0"/>
          <w:noProof/>
          <w:sz w:val="22"/>
          <w:szCs w:val="22"/>
          <w:lang w:val="en-AU"/>
        </w:rPr>
      </w:pPr>
      <w:hyperlink w:anchor="_Toc463984894" w:history="1">
        <w:r w:rsidR="00794FE8" w:rsidRPr="00D70F44">
          <w:rPr>
            <w:rStyle w:val="Hyperlink"/>
            <w:noProof/>
            <w:lang w:val="en-AU"/>
          </w:rPr>
          <w:t>Table 7: Item introduction table for items 132 and 133</w:t>
        </w:r>
        <w:r w:rsidR="00794FE8">
          <w:rPr>
            <w:noProof/>
            <w:webHidden/>
          </w:rPr>
          <w:tab/>
        </w:r>
        <w:r w:rsidR="00794FE8">
          <w:rPr>
            <w:noProof/>
            <w:webHidden/>
          </w:rPr>
          <w:fldChar w:fldCharType="begin"/>
        </w:r>
        <w:r w:rsidR="00794FE8">
          <w:rPr>
            <w:noProof/>
            <w:webHidden/>
          </w:rPr>
          <w:instrText xml:space="preserve"> PAGEREF _Toc463984894 \h </w:instrText>
        </w:r>
        <w:r w:rsidR="00794FE8">
          <w:rPr>
            <w:noProof/>
            <w:webHidden/>
          </w:rPr>
        </w:r>
        <w:r w:rsidR="00794FE8">
          <w:rPr>
            <w:noProof/>
            <w:webHidden/>
          </w:rPr>
          <w:fldChar w:fldCharType="separate"/>
        </w:r>
        <w:r w:rsidR="00D17FB0">
          <w:rPr>
            <w:noProof/>
            <w:webHidden/>
          </w:rPr>
          <w:t>31</w:t>
        </w:r>
        <w:r w:rsidR="00794FE8">
          <w:rPr>
            <w:noProof/>
            <w:webHidden/>
          </w:rPr>
          <w:fldChar w:fldCharType="end"/>
        </w:r>
      </w:hyperlink>
    </w:p>
    <w:p w14:paraId="354F16F4" w14:textId="088630C2" w:rsidR="00794FE8" w:rsidRDefault="002105C1">
      <w:pPr>
        <w:pStyle w:val="TableofFigures"/>
        <w:tabs>
          <w:tab w:val="right" w:leader="dot" w:pos="9016"/>
        </w:tabs>
        <w:rPr>
          <w:rFonts w:eastAsiaTheme="minorEastAsia" w:cstheme="minorBidi"/>
          <w:bCs w:val="0"/>
          <w:noProof/>
          <w:sz w:val="22"/>
          <w:szCs w:val="22"/>
          <w:lang w:val="en-AU"/>
        </w:rPr>
      </w:pPr>
      <w:hyperlink w:anchor="_Toc463984895" w:history="1">
        <w:r w:rsidR="00794FE8" w:rsidRPr="00D70F44">
          <w:rPr>
            <w:rStyle w:val="Hyperlink"/>
            <w:noProof/>
            <w:lang w:val="en-AU"/>
          </w:rPr>
          <w:t>Table 8: Item introduction table for item 36561</w:t>
        </w:r>
        <w:r w:rsidR="00794FE8">
          <w:rPr>
            <w:noProof/>
            <w:webHidden/>
          </w:rPr>
          <w:tab/>
        </w:r>
        <w:r w:rsidR="00794FE8">
          <w:rPr>
            <w:noProof/>
            <w:webHidden/>
          </w:rPr>
          <w:fldChar w:fldCharType="begin"/>
        </w:r>
        <w:r w:rsidR="00794FE8">
          <w:rPr>
            <w:noProof/>
            <w:webHidden/>
          </w:rPr>
          <w:instrText xml:space="preserve"> PAGEREF _Toc463984895 \h </w:instrText>
        </w:r>
        <w:r w:rsidR="00794FE8">
          <w:rPr>
            <w:noProof/>
            <w:webHidden/>
          </w:rPr>
        </w:r>
        <w:r w:rsidR="00794FE8">
          <w:rPr>
            <w:noProof/>
            <w:webHidden/>
          </w:rPr>
          <w:fldChar w:fldCharType="separate"/>
        </w:r>
        <w:r w:rsidR="00D17FB0">
          <w:rPr>
            <w:noProof/>
            <w:webHidden/>
          </w:rPr>
          <w:t>36</w:t>
        </w:r>
        <w:r w:rsidR="00794FE8">
          <w:rPr>
            <w:noProof/>
            <w:webHidden/>
          </w:rPr>
          <w:fldChar w:fldCharType="end"/>
        </w:r>
      </w:hyperlink>
    </w:p>
    <w:p w14:paraId="36306C27" w14:textId="40369A00" w:rsidR="00794FE8" w:rsidRDefault="002105C1">
      <w:pPr>
        <w:pStyle w:val="TableofFigures"/>
        <w:tabs>
          <w:tab w:val="right" w:leader="dot" w:pos="9016"/>
        </w:tabs>
        <w:rPr>
          <w:rFonts w:eastAsiaTheme="minorEastAsia" w:cstheme="minorBidi"/>
          <w:bCs w:val="0"/>
          <w:noProof/>
          <w:sz w:val="22"/>
          <w:szCs w:val="22"/>
          <w:lang w:val="en-AU"/>
        </w:rPr>
      </w:pPr>
      <w:hyperlink w:anchor="_Toc463984896" w:history="1">
        <w:r w:rsidR="00794FE8" w:rsidRPr="00D70F44">
          <w:rPr>
            <w:rStyle w:val="Hyperlink"/>
            <w:noProof/>
            <w:lang w:val="en-AU"/>
          </w:rPr>
          <w:t>Table 9: A comparison table of items 701, 703, 705 and 707 and the relevant clinical guidelines</w:t>
        </w:r>
        <w:r w:rsidR="00794FE8">
          <w:rPr>
            <w:noProof/>
            <w:webHidden/>
          </w:rPr>
          <w:tab/>
        </w:r>
        <w:r w:rsidR="00794FE8">
          <w:rPr>
            <w:noProof/>
            <w:webHidden/>
          </w:rPr>
          <w:fldChar w:fldCharType="begin"/>
        </w:r>
        <w:r w:rsidR="00794FE8">
          <w:rPr>
            <w:noProof/>
            <w:webHidden/>
          </w:rPr>
          <w:instrText xml:space="preserve"> PAGEREF _Toc463984896 \h </w:instrText>
        </w:r>
        <w:r w:rsidR="00794FE8">
          <w:rPr>
            <w:noProof/>
            <w:webHidden/>
          </w:rPr>
        </w:r>
        <w:r w:rsidR="00794FE8">
          <w:rPr>
            <w:noProof/>
            <w:webHidden/>
          </w:rPr>
          <w:fldChar w:fldCharType="separate"/>
        </w:r>
        <w:r w:rsidR="00D17FB0">
          <w:rPr>
            <w:noProof/>
            <w:webHidden/>
          </w:rPr>
          <w:t>38</w:t>
        </w:r>
        <w:r w:rsidR="00794FE8">
          <w:rPr>
            <w:noProof/>
            <w:webHidden/>
          </w:rPr>
          <w:fldChar w:fldCharType="end"/>
        </w:r>
      </w:hyperlink>
    </w:p>
    <w:p w14:paraId="1538A918" w14:textId="593A7B0D" w:rsidR="00836B2A" w:rsidRPr="00FC1976" w:rsidRDefault="004177E1" w:rsidP="00082595">
      <w:pPr>
        <w:rPr>
          <w:b/>
          <w:color w:val="01653F"/>
          <w:sz w:val="32"/>
          <w:lang w:val="en-AU"/>
        </w:rPr>
      </w:pPr>
      <w:r w:rsidRPr="00FC1976">
        <w:rPr>
          <w:lang w:val="en-AU"/>
        </w:rPr>
        <w:fldChar w:fldCharType="end"/>
      </w:r>
      <w:r w:rsidR="00836B2A" w:rsidRPr="00FC1976">
        <w:rPr>
          <w:b/>
          <w:color w:val="01653F"/>
          <w:sz w:val="32"/>
          <w:lang w:val="en-AU"/>
        </w:rPr>
        <w:t xml:space="preserve">Figures </w:t>
      </w:r>
    </w:p>
    <w:p w14:paraId="39BBB817" w14:textId="791477F6" w:rsidR="00794FE8" w:rsidRDefault="004D68DE">
      <w:pPr>
        <w:pStyle w:val="TableofFigures"/>
        <w:tabs>
          <w:tab w:val="right" w:leader="dot" w:pos="9016"/>
        </w:tabs>
        <w:rPr>
          <w:rFonts w:eastAsiaTheme="minorEastAsia" w:cstheme="minorBidi"/>
          <w:bCs w:val="0"/>
          <w:noProof/>
          <w:sz w:val="22"/>
          <w:szCs w:val="22"/>
          <w:lang w:val="en-AU"/>
        </w:rPr>
      </w:pPr>
      <w:r w:rsidRPr="00FC1976">
        <w:rPr>
          <w:bCs w:val="0"/>
          <w:lang w:val="en-AU"/>
        </w:rPr>
        <w:fldChar w:fldCharType="begin"/>
      </w:r>
      <w:r w:rsidRPr="00FC1976">
        <w:rPr>
          <w:bCs w:val="0"/>
          <w:lang w:val="en-AU"/>
        </w:rPr>
        <w:instrText xml:space="preserve"> TOC \h \z \c "Figure" </w:instrText>
      </w:r>
      <w:r w:rsidRPr="00FC1976">
        <w:rPr>
          <w:bCs w:val="0"/>
          <w:lang w:val="en-AU"/>
        </w:rPr>
        <w:fldChar w:fldCharType="separate"/>
      </w:r>
      <w:hyperlink w:anchor="_Toc463984897" w:history="1">
        <w:r w:rsidR="00794FE8" w:rsidRPr="00B97EF2">
          <w:rPr>
            <w:rStyle w:val="Hyperlink"/>
            <w:noProof/>
            <w:lang w:val="en-AU"/>
          </w:rPr>
          <w:t>Figure 1: Prioritisation matrix</w:t>
        </w:r>
        <w:r w:rsidR="00794FE8">
          <w:rPr>
            <w:noProof/>
            <w:webHidden/>
          </w:rPr>
          <w:tab/>
        </w:r>
        <w:r w:rsidR="00794FE8">
          <w:rPr>
            <w:noProof/>
            <w:webHidden/>
          </w:rPr>
          <w:fldChar w:fldCharType="begin"/>
        </w:r>
        <w:r w:rsidR="00794FE8">
          <w:rPr>
            <w:noProof/>
            <w:webHidden/>
          </w:rPr>
          <w:instrText xml:space="preserve"> PAGEREF _Toc463984897 \h </w:instrText>
        </w:r>
        <w:r w:rsidR="00794FE8">
          <w:rPr>
            <w:noProof/>
            <w:webHidden/>
          </w:rPr>
        </w:r>
        <w:r w:rsidR="00794FE8">
          <w:rPr>
            <w:noProof/>
            <w:webHidden/>
          </w:rPr>
          <w:fldChar w:fldCharType="separate"/>
        </w:r>
        <w:r w:rsidR="00D17FB0">
          <w:rPr>
            <w:noProof/>
            <w:webHidden/>
          </w:rPr>
          <w:t>11</w:t>
        </w:r>
        <w:r w:rsidR="00794FE8">
          <w:rPr>
            <w:noProof/>
            <w:webHidden/>
          </w:rPr>
          <w:fldChar w:fldCharType="end"/>
        </w:r>
      </w:hyperlink>
    </w:p>
    <w:p w14:paraId="719210EF" w14:textId="591CE93C" w:rsidR="00794FE8" w:rsidRDefault="002105C1">
      <w:pPr>
        <w:pStyle w:val="TableofFigures"/>
        <w:tabs>
          <w:tab w:val="right" w:leader="dot" w:pos="9016"/>
        </w:tabs>
        <w:rPr>
          <w:rFonts w:eastAsiaTheme="minorEastAsia" w:cstheme="minorBidi"/>
          <w:bCs w:val="0"/>
          <w:noProof/>
          <w:sz w:val="22"/>
          <w:szCs w:val="22"/>
          <w:lang w:val="en-AU"/>
        </w:rPr>
      </w:pPr>
      <w:hyperlink w:anchor="_Toc463984898" w:history="1">
        <w:r w:rsidR="00794FE8" w:rsidRPr="00B97EF2">
          <w:rPr>
            <w:rStyle w:val="Hyperlink"/>
            <w:noProof/>
            <w:lang w:val="en-AU"/>
          </w:rPr>
          <w:t>Figure 2: Drivers of growth</w:t>
        </w:r>
        <w:r w:rsidR="00794FE8">
          <w:rPr>
            <w:noProof/>
            <w:webHidden/>
          </w:rPr>
          <w:tab/>
        </w:r>
        <w:r w:rsidR="00794FE8">
          <w:rPr>
            <w:noProof/>
            <w:webHidden/>
          </w:rPr>
          <w:fldChar w:fldCharType="begin"/>
        </w:r>
        <w:r w:rsidR="00794FE8">
          <w:rPr>
            <w:noProof/>
            <w:webHidden/>
          </w:rPr>
          <w:instrText xml:space="preserve"> PAGEREF _Toc463984898 \h </w:instrText>
        </w:r>
        <w:r w:rsidR="00794FE8">
          <w:rPr>
            <w:noProof/>
            <w:webHidden/>
          </w:rPr>
        </w:r>
        <w:r w:rsidR="00794FE8">
          <w:rPr>
            <w:noProof/>
            <w:webHidden/>
          </w:rPr>
          <w:fldChar w:fldCharType="separate"/>
        </w:r>
        <w:r w:rsidR="00D17FB0">
          <w:rPr>
            <w:noProof/>
            <w:webHidden/>
          </w:rPr>
          <w:t>13</w:t>
        </w:r>
        <w:r w:rsidR="00794FE8">
          <w:rPr>
            <w:noProof/>
            <w:webHidden/>
          </w:rPr>
          <w:fldChar w:fldCharType="end"/>
        </w:r>
      </w:hyperlink>
    </w:p>
    <w:p w14:paraId="0BA0A514" w14:textId="5606F2C6" w:rsidR="00794FE8" w:rsidRDefault="002105C1">
      <w:pPr>
        <w:pStyle w:val="TableofFigures"/>
        <w:tabs>
          <w:tab w:val="right" w:leader="dot" w:pos="9016"/>
        </w:tabs>
        <w:rPr>
          <w:rFonts w:eastAsiaTheme="minorEastAsia" w:cstheme="minorBidi"/>
          <w:bCs w:val="0"/>
          <w:noProof/>
          <w:sz w:val="22"/>
          <w:szCs w:val="22"/>
          <w:lang w:val="en-AU"/>
        </w:rPr>
      </w:pPr>
      <w:hyperlink w:anchor="_Toc463984899" w:history="1">
        <w:r w:rsidR="00794FE8" w:rsidRPr="00B97EF2">
          <w:rPr>
            <w:rStyle w:val="Hyperlink"/>
            <w:noProof/>
            <w:lang w:val="en-AU"/>
          </w:rPr>
          <w:t>Figure 3: Renal items by service volume</w:t>
        </w:r>
        <w:r w:rsidR="00794FE8">
          <w:rPr>
            <w:noProof/>
            <w:webHidden/>
          </w:rPr>
          <w:tab/>
        </w:r>
        <w:r w:rsidR="00794FE8">
          <w:rPr>
            <w:noProof/>
            <w:webHidden/>
          </w:rPr>
          <w:fldChar w:fldCharType="begin"/>
        </w:r>
        <w:r w:rsidR="00794FE8">
          <w:rPr>
            <w:noProof/>
            <w:webHidden/>
          </w:rPr>
          <w:instrText xml:space="preserve"> PAGEREF _Toc463984899 \h </w:instrText>
        </w:r>
        <w:r w:rsidR="00794FE8">
          <w:rPr>
            <w:noProof/>
            <w:webHidden/>
          </w:rPr>
        </w:r>
        <w:r w:rsidR="00794FE8">
          <w:rPr>
            <w:noProof/>
            <w:webHidden/>
          </w:rPr>
          <w:fldChar w:fldCharType="separate"/>
        </w:r>
        <w:r w:rsidR="00D17FB0">
          <w:rPr>
            <w:noProof/>
            <w:webHidden/>
          </w:rPr>
          <w:t>13</w:t>
        </w:r>
        <w:r w:rsidR="00794FE8">
          <w:rPr>
            <w:noProof/>
            <w:webHidden/>
          </w:rPr>
          <w:fldChar w:fldCharType="end"/>
        </w:r>
      </w:hyperlink>
    </w:p>
    <w:p w14:paraId="2CE9944F" w14:textId="0694E66B" w:rsidR="00794FE8" w:rsidRDefault="002105C1">
      <w:pPr>
        <w:pStyle w:val="TableofFigures"/>
        <w:tabs>
          <w:tab w:val="right" w:leader="dot" w:pos="9016"/>
        </w:tabs>
        <w:rPr>
          <w:rFonts w:eastAsiaTheme="minorEastAsia" w:cstheme="minorBidi"/>
          <w:bCs w:val="0"/>
          <w:noProof/>
          <w:sz w:val="22"/>
          <w:szCs w:val="22"/>
          <w:lang w:val="en-AU"/>
        </w:rPr>
      </w:pPr>
      <w:hyperlink w:anchor="_Toc463984900" w:history="1">
        <w:r w:rsidR="00794FE8" w:rsidRPr="00B97EF2">
          <w:rPr>
            <w:rStyle w:val="Hyperlink"/>
            <w:noProof/>
            <w:lang w:val="en-AU"/>
          </w:rPr>
          <w:t>Figure 4: Dialysis and consult claim frequency per week</w:t>
        </w:r>
        <w:r w:rsidR="00794FE8">
          <w:rPr>
            <w:noProof/>
            <w:webHidden/>
          </w:rPr>
          <w:tab/>
        </w:r>
        <w:r w:rsidR="00794FE8">
          <w:rPr>
            <w:noProof/>
            <w:webHidden/>
          </w:rPr>
          <w:fldChar w:fldCharType="begin"/>
        </w:r>
        <w:r w:rsidR="00794FE8">
          <w:rPr>
            <w:noProof/>
            <w:webHidden/>
          </w:rPr>
          <w:instrText xml:space="preserve"> PAGEREF _Toc463984900 \h </w:instrText>
        </w:r>
        <w:r w:rsidR="00794FE8">
          <w:rPr>
            <w:noProof/>
            <w:webHidden/>
          </w:rPr>
        </w:r>
        <w:r w:rsidR="00794FE8">
          <w:rPr>
            <w:noProof/>
            <w:webHidden/>
          </w:rPr>
          <w:fldChar w:fldCharType="separate"/>
        </w:r>
        <w:r w:rsidR="00D17FB0">
          <w:rPr>
            <w:noProof/>
            <w:webHidden/>
          </w:rPr>
          <w:t>21</w:t>
        </w:r>
        <w:r w:rsidR="00794FE8">
          <w:rPr>
            <w:noProof/>
            <w:webHidden/>
          </w:rPr>
          <w:fldChar w:fldCharType="end"/>
        </w:r>
      </w:hyperlink>
    </w:p>
    <w:p w14:paraId="17EB5C57" w14:textId="6C7F1A9D" w:rsidR="00794FE8" w:rsidRDefault="002105C1">
      <w:pPr>
        <w:pStyle w:val="TableofFigures"/>
        <w:tabs>
          <w:tab w:val="right" w:leader="dot" w:pos="9016"/>
        </w:tabs>
        <w:rPr>
          <w:rFonts w:eastAsiaTheme="minorEastAsia" w:cstheme="minorBidi"/>
          <w:bCs w:val="0"/>
          <w:noProof/>
          <w:sz w:val="22"/>
          <w:szCs w:val="22"/>
          <w:lang w:val="en-AU"/>
        </w:rPr>
      </w:pPr>
      <w:hyperlink w:anchor="_Toc463984901" w:history="1">
        <w:r w:rsidR="00794FE8" w:rsidRPr="00B97EF2">
          <w:rPr>
            <w:rStyle w:val="Hyperlink"/>
            <w:noProof/>
          </w:rPr>
          <w:t>Figure 5</w:t>
        </w:r>
        <w:r w:rsidR="00794FE8" w:rsidRPr="00B97EF2">
          <w:rPr>
            <w:rStyle w:val="Hyperlink"/>
            <w:noProof/>
            <w:lang w:val="en-AU"/>
          </w:rPr>
          <w:t>: Average time between graft failure and re-transplantation</w:t>
        </w:r>
        <w:r w:rsidR="00794FE8">
          <w:rPr>
            <w:noProof/>
            <w:webHidden/>
          </w:rPr>
          <w:tab/>
        </w:r>
        <w:r w:rsidR="00794FE8">
          <w:rPr>
            <w:noProof/>
            <w:webHidden/>
          </w:rPr>
          <w:fldChar w:fldCharType="begin"/>
        </w:r>
        <w:r w:rsidR="00794FE8">
          <w:rPr>
            <w:noProof/>
            <w:webHidden/>
          </w:rPr>
          <w:instrText xml:space="preserve"> PAGEREF _Toc463984901 \h </w:instrText>
        </w:r>
        <w:r w:rsidR="00794FE8">
          <w:rPr>
            <w:noProof/>
            <w:webHidden/>
          </w:rPr>
        </w:r>
        <w:r w:rsidR="00794FE8">
          <w:rPr>
            <w:noProof/>
            <w:webHidden/>
          </w:rPr>
          <w:fldChar w:fldCharType="separate"/>
        </w:r>
        <w:r w:rsidR="00D17FB0">
          <w:rPr>
            <w:noProof/>
            <w:webHidden/>
          </w:rPr>
          <w:t>29</w:t>
        </w:r>
        <w:r w:rsidR="00794FE8">
          <w:rPr>
            <w:noProof/>
            <w:webHidden/>
          </w:rPr>
          <w:fldChar w:fldCharType="end"/>
        </w:r>
      </w:hyperlink>
    </w:p>
    <w:p w14:paraId="3B422D94" w14:textId="77777777" w:rsidR="00967A01" w:rsidRPr="00FC1976" w:rsidRDefault="004D68DE" w:rsidP="00082595">
      <w:pPr>
        <w:rPr>
          <w:lang w:val="en-AU"/>
        </w:rPr>
      </w:pPr>
      <w:r w:rsidRPr="00FC1976">
        <w:rPr>
          <w:bCs/>
          <w:sz w:val="20"/>
          <w:szCs w:val="20"/>
          <w:lang w:val="en-AU"/>
        </w:rPr>
        <w:fldChar w:fldCharType="end"/>
      </w:r>
      <w:r w:rsidR="004B4971" w:rsidRPr="00FC1976">
        <w:rPr>
          <w:lang w:val="en-AU"/>
        </w:rPr>
        <w:br w:type="page"/>
      </w:r>
    </w:p>
    <w:p w14:paraId="74DB548A" w14:textId="77777777" w:rsidR="00512F2C" w:rsidRPr="00FC1976" w:rsidRDefault="00262127" w:rsidP="00D10783">
      <w:pPr>
        <w:pStyle w:val="Heading1"/>
        <w:rPr>
          <w:rStyle w:val="IntenseEmphasis"/>
          <w:b/>
          <w:bCs/>
          <w:i w:val="0"/>
          <w:iCs w:val="0"/>
          <w:color w:val="01653F"/>
          <w:sz w:val="36"/>
          <w:szCs w:val="36"/>
          <w:lang w:val="en-AU"/>
        </w:rPr>
      </w:pPr>
      <w:bookmarkStart w:id="2" w:name="_Toc456045422"/>
      <w:bookmarkStart w:id="3" w:name="_Toc467668942"/>
      <w:bookmarkEnd w:id="1"/>
      <w:r w:rsidRPr="00FC1976">
        <w:t xml:space="preserve">Executive </w:t>
      </w:r>
      <w:r w:rsidR="00AF345C">
        <w:t>s</w:t>
      </w:r>
      <w:r w:rsidRPr="00FC1976">
        <w:t>ummary</w:t>
      </w:r>
      <w:bookmarkEnd w:id="2"/>
      <w:bookmarkEnd w:id="3"/>
    </w:p>
    <w:p w14:paraId="1D4720CE" w14:textId="77777777" w:rsidR="003131D1" w:rsidRPr="00B0157E" w:rsidRDefault="003131D1" w:rsidP="003131D1">
      <w:pPr>
        <w:rPr>
          <w:lang w:val="en-AU"/>
        </w:rPr>
      </w:pPr>
      <w:r w:rsidRPr="00B0157E">
        <w:rPr>
          <w:lang w:val="en-AU"/>
        </w:rPr>
        <w:t xml:space="preserve">The Medicare Benefits Schedule (MBS) Review Taskforce (the Taskforce) is undertaking a program of work that considers how more than 5,700 items on the MBS can be aligned with contemporary clinical evidence and practice </w:t>
      </w:r>
      <w:r>
        <w:rPr>
          <w:lang w:val="en-AU"/>
        </w:rPr>
        <w:t xml:space="preserve">and </w:t>
      </w:r>
      <w:r w:rsidRPr="00B0157E">
        <w:rPr>
          <w:lang w:val="en-AU"/>
        </w:rPr>
        <w:t>improve</w:t>
      </w:r>
      <w:r>
        <w:rPr>
          <w:lang w:val="en-AU"/>
        </w:rPr>
        <w:t>s</w:t>
      </w:r>
      <w:r w:rsidRPr="00B0157E">
        <w:rPr>
          <w:lang w:val="en-AU"/>
        </w:rPr>
        <w:t xml:space="preserve"> health outcomes for patients. The Taskforce </w:t>
      </w:r>
      <w:r>
        <w:rPr>
          <w:lang w:val="en-AU"/>
        </w:rPr>
        <w:t xml:space="preserve">will </w:t>
      </w:r>
      <w:r w:rsidRPr="00B0157E">
        <w:rPr>
          <w:lang w:val="en-AU"/>
        </w:rPr>
        <w:t xml:space="preserve">also seek to identify any services that may be unnecessary, outdated or potentially unsafe. </w:t>
      </w:r>
    </w:p>
    <w:p w14:paraId="4CC23D40" w14:textId="77777777" w:rsidR="003131D1" w:rsidRPr="00B0157E" w:rsidRDefault="003131D1" w:rsidP="003131D1">
      <w:pPr>
        <w:rPr>
          <w:lang w:val="en-AU"/>
        </w:rPr>
      </w:pPr>
      <w:r w:rsidRPr="00B0157E">
        <w:rPr>
          <w:lang w:val="en-AU"/>
        </w:rPr>
        <w:t>The Taskforce is committed to providing recommendations to the Minister</w:t>
      </w:r>
      <w:r>
        <w:rPr>
          <w:lang w:val="en-AU"/>
        </w:rPr>
        <w:t xml:space="preserve"> for Health </w:t>
      </w:r>
      <w:r w:rsidRPr="00B0157E">
        <w:rPr>
          <w:lang w:val="en-AU"/>
        </w:rPr>
        <w:t xml:space="preserve">that will allow the MBS to deliver on </w:t>
      </w:r>
      <w:r>
        <w:rPr>
          <w:lang w:val="en-AU"/>
        </w:rPr>
        <w:t xml:space="preserve">each of </w:t>
      </w:r>
      <w:r w:rsidRPr="00B0157E">
        <w:rPr>
          <w:lang w:val="en-AU"/>
        </w:rPr>
        <w:t>the</w:t>
      </w:r>
      <w:r>
        <w:rPr>
          <w:lang w:val="en-AU"/>
        </w:rPr>
        <w:t>se</w:t>
      </w:r>
      <w:r w:rsidRPr="00B0157E">
        <w:rPr>
          <w:lang w:val="en-AU"/>
        </w:rPr>
        <w:t xml:space="preserve"> </w:t>
      </w:r>
      <w:r>
        <w:rPr>
          <w:lang w:val="en-AU"/>
        </w:rPr>
        <w:t>four</w:t>
      </w:r>
      <w:r w:rsidRPr="00B0157E">
        <w:rPr>
          <w:lang w:val="en-AU"/>
        </w:rPr>
        <w:t xml:space="preserve"> key goals:</w:t>
      </w:r>
    </w:p>
    <w:p w14:paraId="52B4A5DA" w14:textId="77777777" w:rsidR="003131D1" w:rsidRPr="00B0157E" w:rsidRDefault="003131D1" w:rsidP="003131D1">
      <w:pPr>
        <w:pStyle w:val="01squarebullet"/>
        <w:numPr>
          <w:ilvl w:val="0"/>
          <w:numId w:val="27"/>
        </w:numPr>
        <w:rPr>
          <w:lang w:val="en-AU"/>
        </w:rPr>
      </w:pPr>
      <w:r w:rsidRPr="00B0157E">
        <w:rPr>
          <w:lang w:val="en-AU"/>
        </w:rPr>
        <w:t>Affordable and universal access.</w:t>
      </w:r>
    </w:p>
    <w:p w14:paraId="774B81B8" w14:textId="77777777" w:rsidR="003131D1" w:rsidRPr="00B0157E" w:rsidRDefault="003131D1" w:rsidP="003131D1">
      <w:pPr>
        <w:pStyle w:val="01squarebullet"/>
        <w:numPr>
          <w:ilvl w:val="0"/>
          <w:numId w:val="27"/>
        </w:numPr>
        <w:rPr>
          <w:lang w:val="en-AU"/>
        </w:rPr>
      </w:pPr>
      <w:r w:rsidRPr="00B0157E">
        <w:rPr>
          <w:lang w:val="en-AU"/>
        </w:rPr>
        <w:t>Best-practice health services.</w:t>
      </w:r>
    </w:p>
    <w:p w14:paraId="26BC74C5" w14:textId="77777777" w:rsidR="003131D1" w:rsidRPr="00B0157E" w:rsidRDefault="003131D1" w:rsidP="003131D1">
      <w:pPr>
        <w:pStyle w:val="01squarebullet"/>
        <w:numPr>
          <w:ilvl w:val="0"/>
          <w:numId w:val="27"/>
        </w:numPr>
        <w:rPr>
          <w:lang w:val="en-AU"/>
        </w:rPr>
      </w:pPr>
      <w:r w:rsidRPr="00B0157E">
        <w:rPr>
          <w:lang w:val="en-AU"/>
        </w:rPr>
        <w:t>Value for the individual patient.</w:t>
      </w:r>
    </w:p>
    <w:p w14:paraId="26D86609" w14:textId="77777777" w:rsidR="003131D1" w:rsidRPr="00B0157E" w:rsidRDefault="003131D1" w:rsidP="003131D1">
      <w:pPr>
        <w:pStyle w:val="01squarebullet"/>
        <w:numPr>
          <w:ilvl w:val="0"/>
          <w:numId w:val="27"/>
        </w:numPr>
        <w:rPr>
          <w:lang w:val="en-AU"/>
        </w:rPr>
      </w:pPr>
      <w:r w:rsidRPr="00B0157E">
        <w:rPr>
          <w:lang w:val="en-AU"/>
        </w:rPr>
        <w:t>Value for the health system.</w:t>
      </w:r>
    </w:p>
    <w:p w14:paraId="56CF3126" w14:textId="77777777" w:rsidR="003131D1" w:rsidRPr="00A56FA9" w:rsidRDefault="003131D1" w:rsidP="003131D1">
      <w:pPr>
        <w:rPr>
          <w:lang w:val="en-AU"/>
        </w:rPr>
      </w:pPr>
      <w:r w:rsidRPr="00A56FA9">
        <w:rPr>
          <w:lang w:val="en-AU"/>
        </w:rPr>
        <w:t>The Taskforce has endorsed a methodology whereby the necessary clinical review of MBS items is</w:t>
      </w:r>
      <w:r>
        <w:rPr>
          <w:lang w:val="en-AU"/>
        </w:rPr>
        <w:t xml:space="preserve"> </w:t>
      </w:r>
      <w:r w:rsidRPr="00A56FA9">
        <w:rPr>
          <w:lang w:val="en-AU"/>
        </w:rPr>
        <w:t>undertaken by Clinical Committees and Working Groups. The Taskforce has asked the Clinical</w:t>
      </w:r>
      <w:r>
        <w:rPr>
          <w:lang w:val="en-AU"/>
        </w:rPr>
        <w:t xml:space="preserve"> </w:t>
      </w:r>
      <w:r w:rsidRPr="00A56FA9">
        <w:rPr>
          <w:lang w:val="en-AU"/>
        </w:rPr>
        <w:t>Committees to undertake the following tasks:</w:t>
      </w:r>
    </w:p>
    <w:p w14:paraId="659D5C63" w14:textId="77777777" w:rsidR="003131D1" w:rsidRPr="00B46A6E" w:rsidRDefault="003131D1" w:rsidP="003131D1">
      <w:pPr>
        <w:pStyle w:val="ListParagraph"/>
        <w:numPr>
          <w:ilvl w:val="0"/>
          <w:numId w:val="28"/>
        </w:numPr>
        <w:spacing w:before="180"/>
        <w:rPr>
          <w:lang w:val="en-AU"/>
        </w:rPr>
      </w:pPr>
      <w:r w:rsidRPr="00B46A6E">
        <w:rPr>
          <w:lang w:val="en-AU"/>
        </w:rPr>
        <w:t>Consider whether there are MBS items that are obsolete and should be removed from the MBS.</w:t>
      </w:r>
    </w:p>
    <w:p w14:paraId="60EE3D25" w14:textId="77777777" w:rsidR="003131D1" w:rsidRPr="00B46A6E" w:rsidRDefault="003131D1" w:rsidP="003131D1">
      <w:pPr>
        <w:pStyle w:val="ListParagraph"/>
        <w:numPr>
          <w:ilvl w:val="0"/>
          <w:numId w:val="28"/>
        </w:numPr>
        <w:spacing w:before="180"/>
        <w:rPr>
          <w:lang w:val="en-AU"/>
        </w:rPr>
      </w:pPr>
      <w:r w:rsidRPr="00B46A6E">
        <w:rPr>
          <w:lang w:val="en-AU"/>
        </w:rPr>
        <w:t>Consider identified priority reviews of selected MBS services.</w:t>
      </w:r>
    </w:p>
    <w:p w14:paraId="2EACA5F6" w14:textId="77777777" w:rsidR="003131D1" w:rsidRPr="00B46A6E" w:rsidRDefault="003131D1" w:rsidP="003131D1">
      <w:pPr>
        <w:pStyle w:val="ListParagraph"/>
        <w:numPr>
          <w:ilvl w:val="0"/>
          <w:numId w:val="28"/>
        </w:numPr>
        <w:spacing w:before="180"/>
        <w:rPr>
          <w:lang w:val="en-AU"/>
        </w:rPr>
      </w:pPr>
      <w:r w:rsidRPr="00B46A6E">
        <w:rPr>
          <w:lang w:val="en-AU"/>
        </w:rPr>
        <w:t>Develop a program of work to consider the balance of MBS services within its remit and items</w:t>
      </w:r>
      <w:r>
        <w:rPr>
          <w:lang w:val="en-AU"/>
        </w:rPr>
        <w:t xml:space="preserve"> </w:t>
      </w:r>
      <w:r w:rsidRPr="00B46A6E">
        <w:rPr>
          <w:lang w:val="en-AU"/>
        </w:rPr>
        <w:t>assigned to the Committee.</w:t>
      </w:r>
    </w:p>
    <w:p w14:paraId="306788F6" w14:textId="77777777" w:rsidR="003131D1" w:rsidRPr="00B46A6E" w:rsidRDefault="003131D1" w:rsidP="003131D1">
      <w:pPr>
        <w:pStyle w:val="ListParagraph"/>
        <w:numPr>
          <w:ilvl w:val="0"/>
          <w:numId w:val="28"/>
        </w:numPr>
        <w:spacing w:before="180"/>
        <w:rPr>
          <w:lang w:val="en-AU"/>
        </w:rPr>
      </w:pPr>
      <w:r w:rsidRPr="00B46A6E">
        <w:rPr>
          <w:lang w:val="en-AU"/>
        </w:rPr>
        <w:t>Advise the Taskforce on relevant general MBS issues identified by the Committee in the course</w:t>
      </w:r>
      <w:r>
        <w:rPr>
          <w:lang w:val="en-AU"/>
        </w:rPr>
        <w:t xml:space="preserve"> </w:t>
      </w:r>
      <w:r w:rsidRPr="00B46A6E">
        <w:rPr>
          <w:lang w:val="en-AU"/>
        </w:rPr>
        <w:t>of its deliberations.</w:t>
      </w:r>
    </w:p>
    <w:p w14:paraId="0EFE20DC" w14:textId="77777777" w:rsidR="003131D1" w:rsidRPr="00A56FA9" w:rsidRDefault="003131D1" w:rsidP="003131D1">
      <w:pPr>
        <w:rPr>
          <w:lang w:val="en-AU"/>
        </w:rPr>
      </w:pPr>
      <w:r w:rsidRPr="00A56FA9">
        <w:rPr>
          <w:lang w:val="en-AU"/>
        </w:rPr>
        <w:t>The recommendations from the Clinical Committees are released for stakeholder consultation. The</w:t>
      </w:r>
      <w:r>
        <w:rPr>
          <w:lang w:val="en-AU"/>
        </w:rPr>
        <w:t xml:space="preserve"> </w:t>
      </w:r>
      <w:r w:rsidRPr="00A56FA9">
        <w:rPr>
          <w:lang w:val="en-AU"/>
        </w:rPr>
        <w:t>Clinical Committees will consider feedback from stakeholders and then provide recommendations to</w:t>
      </w:r>
      <w:r>
        <w:rPr>
          <w:lang w:val="en-AU"/>
        </w:rPr>
        <w:t xml:space="preserve"> </w:t>
      </w:r>
      <w:r w:rsidRPr="00A56FA9">
        <w:rPr>
          <w:lang w:val="en-AU"/>
        </w:rPr>
        <w:t>the Taskforce in a Review Report. The Taskforce will consider the Review Report from Clinical</w:t>
      </w:r>
      <w:r>
        <w:rPr>
          <w:lang w:val="en-AU"/>
        </w:rPr>
        <w:t xml:space="preserve"> </w:t>
      </w:r>
      <w:r w:rsidRPr="00A56FA9">
        <w:rPr>
          <w:lang w:val="en-AU"/>
        </w:rPr>
        <w:t xml:space="preserve">Committees and stakeholder feedback before making recommendations to the Minister </w:t>
      </w:r>
      <w:r>
        <w:rPr>
          <w:lang w:val="en-AU"/>
        </w:rPr>
        <w:t xml:space="preserve">for Health, </w:t>
      </w:r>
      <w:r w:rsidRPr="00A56FA9">
        <w:rPr>
          <w:lang w:val="en-AU"/>
        </w:rPr>
        <w:t>for</w:t>
      </w:r>
      <w:r>
        <w:rPr>
          <w:lang w:val="en-AU"/>
        </w:rPr>
        <w:t xml:space="preserve"> </w:t>
      </w:r>
      <w:r w:rsidRPr="00A56FA9">
        <w:rPr>
          <w:lang w:val="en-AU"/>
        </w:rPr>
        <w:t>consideration by Government.</w:t>
      </w:r>
    </w:p>
    <w:p w14:paraId="463F4315" w14:textId="77777777" w:rsidR="000C674E" w:rsidRPr="00FC1976" w:rsidRDefault="000C674E" w:rsidP="003131D1">
      <w:pPr>
        <w:pStyle w:val="Heading2"/>
      </w:pPr>
      <w:bookmarkStart w:id="4" w:name="_Toc467668943"/>
      <w:r w:rsidRPr="00FC1976">
        <w:t>MBS Review process</w:t>
      </w:r>
      <w:bookmarkEnd w:id="4"/>
      <w:r w:rsidRPr="00FC1976">
        <w:t xml:space="preserve"> </w:t>
      </w:r>
    </w:p>
    <w:p w14:paraId="03FD4816" w14:textId="5DF5A530" w:rsidR="000C674E" w:rsidRPr="00FC1976" w:rsidRDefault="000C674E" w:rsidP="005541B4">
      <w:pPr>
        <w:widowControl w:val="0"/>
        <w:autoSpaceDE w:val="0"/>
        <w:autoSpaceDN w:val="0"/>
        <w:adjustRightInd w:val="0"/>
        <w:spacing w:after="0"/>
        <w:rPr>
          <w:lang w:val="en-AU"/>
        </w:rPr>
      </w:pPr>
      <w:r w:rsidRPr="00FC1976">
        <w:rPr>
          <w:lang w:val="en-AU"/>
        </w:rPr>
        <w:t xml:space="preserve">The Taskforce has endorsed a process whereby the necessary clinical review of MBS items is undertaken by </w:t>
      </w:r>
      <w:r w:rsidR="007D479F">
        <w:rPr>
          <w:lang w:val="en-AU"/>
        </w:rPr>
        <w:t>Clinical Committee</w:t>
      </w:r>
      <w:r w:rsidRPr="00FC1976">
        <w:rPr>
          <w:lang w:val="en-AU"/>
        </w:rPr>
        <w:t xml:space="preserve">s and </w:t>
      </w:r>
      <w:r w:rsidR="007D479F">
        <w:rPr>
          <w:lang w:val="en-AU"/>
        </w:rPr>
        <w:t>Working Group</w:t>
      </w:r>
      <w:r w:rsidRPr="00FC1976">
        <w:rPr>
          <w:lang w:val="en-AU"/>
        </w:rPr>
        <w:t xml:space="preserve">s. The Taskforce asked all committees in the second tranche of the </w:t>
      </w:r>
      <w:r w:rsidR="00E54055">
        <w:rPr>
          <w:lang w:val="en-AU"/>
        </w:rPr>
        <w:t>R</w:t>
      </w:r>
      <w:r w:rsidRPr="00FC1976">
        <w:rPr>
          <w:lang w:val="en-AU"/>
        </w:rPr>
        <w:t xml:space="preserve">eview process to review MBS items using a framework based on </w:t>
      </w:r>
      <w:r w:rsidR="005D46A7">
        <w:rPr>
          <w:lang w:val="en-AU"/>
        </w:rPr>
        <w:t>A</w:t>
      </w:r>
      <w:r w:rsidRPr="00FC1976">
        <w:rPr>
          <w:lang w:val="en-AU"/>
        </w:rPr>
        <w:t xml:space="preserve">ppropriate </w:t>
      </w:r>
      <w:r w:rsidR="005D46A7">
        <w:rPr>
          <w:lang w:val="en-AU"/>
        </w:rPr>
        <w:t>U</w:t>
      </w:r>
      <w:r w:rsidRPr="00FC1976">
        <w:rPr>
          <w:lang w:val="en-AU"/>
        </w:rPr>
        <w:t xml:space="preserve">se </w:t>
      </w:r>
      <w:r w:rsidR="005D46A7">
        <w:rPr>
          <w:lang w:val="en-AU"/>
        </w:rPr>
        <w:t>C</w:t>
      </w:r>
      <w:r w:rsidRPr="00FC1976">
        <w:rPr>
          <w:lang w:val="en-AU"/>
        </w:rPr>
        <w:t>riteria</w:t>
      </w:r>
      <w:r w:rsidR="00394F20" w:rsidRPr="00FC1976">
        <w:rPr>
          <w:lang w:val="en-AU"/>
        </w:rPr>
        <w:t xml:space="preserve"> </w:t>
      </w:r>
      <w:r w:rsidR="005D46A7">
        <w:rPr>
          <w:lang w:val="en-AU"/>
        </w:rPr>
        <w:t>accepted by the Taskforce</w:t>
      </w:r>
      <w:r w:rsidR="005541B4" w:rsidRPr="00FC1976">
        <w:rPr>
          <w:lang w:val="en-AU"/>
        </w:rPr>
        <w:fldChar w:fldCharType="begin" w:fldLock="1"/>
      </w:r>
      <w:r w:rsidR="0099742A">
        <w:rPr>
          <w:lang w:val="en-AU"/>
        </w:rPr>
        <w:instrText>ADDIN CSL_CITATION { "citationItems" : [ { "id" : "ITEM-1", "itemData" : { "author" : [ { "dropping-particle" : "", "family" : "Elshaug", "given" : "Adam (Menzies Centre for Health Policy)", "non-dropping-particle" : "", "parse-names" : false, "suffix" : "" } ], "id" : "ITEM-1", "issued" : { "date-parts" : [ [ "2016" ] ] }, "title" : "Appropriate Use Criteria", "type" : "report" }, "uris" : [ "http://www.mendeley.com/documents/?uuid=02c9b92e-0c6c-4ffc-94a1-60122668e3e1" ] } ], "mendeley" : { "formattedCitation" : "(1)", "plainTextFormattedCitation" : "(1)", "previouslyFormattedCitation" : "(1)" }, "properties" : { "noteIndex" : 0 }, "schema" : "https://github.com/citation-style-language/schema/raw/master/csl-citation.json" }</w:instrText>
      </w:r>
      <w:r w:rsidR="005541B4" w:rsidRPr="00FC1976">
        <w:rPr>
          <w:lang w:val="en-AU"/>
        </w:rPr>
        <w:fldChar w:fldCharType="separate"/>
      </w:r>
      <w:r w:rsidR="005541B4" w:rsidRPr="00FC1976">
        <w:rPr>
          <w:noProof/>
          <w:lang w:val="en-AU"/>
        </w:rPr>
        <w:t>(1)</w:t>
      </w:r>
      <w:r w:rsidR="005541B4" w:rsidRPr="00FC1976">
        <w:rPr>
          <w:lang w:val="en-AU"/>
        </w:rPr>
        <w:fldChar w:fldCharType="end"/>
      </w:r>
      <w:r w:rsidR="00394F20">
        <w:rPr>
          <w:lang w:val="en-AU"/>
        </w:rPr>
        <w:t>.</w:t>
      </w:r>
      <w:r w:rsidRPr="00FC1976">
        <w:rPr>
          <w:lang w:val="en-AU"/>
        </w:rPr>
        <w:t xml:space="preserve"> This framework includes the following steps: (i) review data and literature relevant to the items under consideration; (ii) identify MBS items that are potentially obsolete, are of questionable clinical value, are misused and/or pose a risk to patient safety; and (iii) develop and refine recommendations for these items, based on the literature and relevant data, in consultation with relevant stakeholders. In complex cases, full appropriate use criteria were developed for an item’s descriptor and explanatory notes. All second-tranche committees involved in this </w:t>
      </w:r>
      <w:r w:rsidR="00E54055">
        <w:rPr>
          <w:lang w:val="en-AU"/>
        </w:rPr>
        <w:t>Review</w:t>
      </w:r>
      <w:r w:rsidRPr="00FC1976">
        <w:rPr>
          <w:lang w:val="en-AU"/>
        </w:rPr>
        <w:t xml:space="preserve"> adopted this framework, which is outlined in more detail in Section </w:t>
      </w:r>
      <w:r w:rsidR="007E4981">
        <w:rPr>
          <w:lang w:val="en-AU"/>
        </w:rPr>
        <w:t>2</w:t>
      </w:r>
      <w:r w:rsidRPr="00FC1976">
        <w:rPr>
          <w:lang w:val="en-AU"/>
        </w:rPr>
        <w:t>.</w:t>
      </w:r>
      <w:r w:rsidR="007015ED">
        <w:rPr>
          <w:lang w:val="en-AU"/>
        </w:rPr>
        <w:t>3</w:t>
      </w:r>
      <w:r w:rsidR="003854A9" w:rsidRPr="00FC1976">
        <w:rPr>
          <w:lang w:val="en-AU"/>
        </w:rPr>
        <w:t>.</w:t>
      </w:r>
    </w:p>
    <w:p w14:paraId="26C32419" w14:textId="44533B61" w:rsidR="000C674E" w:rsidRPr="00FC1976" w:rsidRDefault="000C674E" w:rsidP="00082595">
      <w:pPr>
        <w:rPr>
          <w:lang w:val="en-AU"/>
        </w:rPr>
      </w:pPr>
      <w:r w:rsidRPr="00FC1976">
        <w:rPr>
          <w:lang w:val="en-AU"/>
        </w:rPr>
        <w:t xml:space="preserve">The recommendations from the </w:t>
      </w:r>
      <w:r w:rsidR="007D479F">
        <w:rPr>
          <w:lang w:val="en-AU"/>
        </w:rPr>
        <w:t>Clinical Committee</w:t>
      </w:r>
      <w:r w:rsidRPr="00FC1976">
        <w:rPr>
          <w:lang w:val="en-AU"/>
        </w:rPr>
        <w:t xml:space="preserve">s will be released for stakeholder consultation. The </w:t>
      </w:r>
      <w:r w:rsidR="007D479F">
        <w:rPr>
          <w:lang w:val="en-AU"/>
        </w:rPr>
        <w:t>Clinical Committee</w:t>
      </w:r>
      <w:r w:rsidRPr="00FC1976">
        <w:rPr>
          <w:lang w:val="en-AU"/>
        </w:rPr>
        <w:t xml:space="preserve">s will consider feedback from stakeholders and then provide recommendations to the Taskforce in </w:t>
      </w:r>
      <w:r w:rsidR="00E54055">
        <w:rPr>
          <w:lang w:val="en-AU"/>
        </w:rPr>
        <w:t>Review</w:t>
      </w:r>
      <w:r w:rsidRPr="00FC1976">
        <w:rPr>
          <w:lang w:val="en-AU"/>
        </w:rPr>
        <w:t xml:space="preserve"> reports. The Taskforce will consider the </w:t>
      </w:r>
      <w:r w:rsidR="00E54055">
        <w:rPr>
          <w:lang w:val="en-AU"/>
        </w:rPr>
        <w:t>Review</w:t>
      </w:r>
      <w:r w:rsidRPr="00FC1976">
        <w:rPr>
          <w:lang w:val="en-AU"/>
        </w:rPr>
        <w:t xml:space="preserve"> reports from </w:t>
      </w:r>
      <w:r w:rsidR="007D479F">
        <w:rPr>
          <w:lang w:val="en-AU"/>
        </w:rPr>
        <w:t>Clinical Committee</w:t>
      </w:r>
      <w:r w:rsidRPr="00FC1976">
        <w:rPr>
          <w:lang w:val="en-AU"/>
        </w:rPr>
        <w:t>s</w:t>
      </w:r>
      <w:r w:rsidR="00D54B53">
        <w:rPr>
          <w:lang w:val="en-AU"/>
        </w:rPr>
        <w:t>, along with</w:t>
      </w:r>
      <w:r w:rsidRPr="00FC1976">
        <w:rPr>
          <w:lang w:val="en-AU"/>
        </w:rPr>
        <w:t xml:space="preserve"> stakeholder feedback</w:t>
      </w:r>
      <w:r w:rsidR="00087FDA">
        <w:rPr>
          <w:lang w:val="en-AU"/>
        </w:rPr>
        <w:t>,</w:t>
      </w:r>
      <w:r w:rsidRPr="00FC1976">
        <w:rPr>
          <w:lang w:val="en-AU"/>
        </w:rPr>
        <w:t xml:space="preserve"> before making recommendations to the </w:t>
      </w:r>
      <w:r w:rsidR="007D479F">
        <w:rPr>
          <w:lang w:val="en-AU"/>
        </w:rPr>
        <w:t xml:space="preserve">Minister for Health </w:t>
      </w:r>
      <w:r w:rsidRPr="00FC1976">
        <w:rPr>
          <w:lang w:val="en-AU"/>
        </w:rPr>
        <w:t xml:space="preserve">for consideration by the Government. </w:t>
      </w:r>
    </w:p>
    <w:p w14:paraId="274C9E16" w14:textId="77777777" w:rsidR="00512F2C" w:rsidRPr="007B3FE5" w:rsidRDefault="00390750" w:rsidP="003131D1">
      <w:pPr>
        <w:pStyle w:val="Heading2"/>
      </w:pPr>
      <w:bookmarkStart w:id="5" w:name="_Toc467668944"/>
      <w:r w:rsidRPr="00FC1976">
        <w:t xml:space="preserve">The </w:t>
      </w:r>
      <w:r w:rsidR="00D7479A" w:rsidRPr="00FC1976">
        <w:t>Ren</w:t>
      </w:r>
      <w:r w:rsidR="00D7479A" w:rsidRPr="007B3FE5">
        <w:t>al</w:t>
      </w:r>
      <w:r w:rsidRPr="007B3FE5">
        <w:t xml:space="preserve"> Cli</w:t>
      </w:r>
      <w:r w:rsidR="003607B2" w:rsidRPr="007B3FE5">
        <w:t>nical Committee</w:t>
      </w:r>
      <w:bookmarkEnd w:id="5"/>
    </w:p>
    <w:p w14:paraId="41598503" w14:textId="77777777" w:rsidR="000C674E" w:rsidRPr="007B3FE5" w:rsidRDefault="000C674E" w:rsidP="00082595">
      <w:pPr>
        <w:rPr>
          <w:lang w:val="en-AU"/>
        </w:rPr>
      </w:pPr>
      <w:r w:rsidRPr="007B3FE5">
        <w:rPr>
          <w:lang w:val="en-AU"/>
        </w:rPr>
        <w:t xml:space="preserve">The </w:t>
      </w:r>
      <w:r w:rsidR="005F4B34" w:rsidRPr="007B3FE5">
        <w:rPr>
          <w:lang w:val="en-AU"/>
        </w:rPr>
        <w:t>Renal</w:t>
      </w:r>
      <w:r w:rsidRPr="007B3FE5">
        <w:rPr>
          <w:lang w:val="en-AU"/>
        </w:rPr>
        <w:t xml:space="preserve"> Clinical Committee (the Committee) was established in April 2016 to make recommendations to the Taskforce regarding MBS items in its area of responsibility, based on rapid evidence review and clinical expertise. The Taskforce asked the Committee to review renal-related items. </w:t>
      </w:r>
    </w:p>
    <w:p w14:paraId="2250A7D2" w14:textId="77777777" w:rsidR="0074549B" w:rsidRPr="007B3FE5" w:rsidRDefault="00371DD4" w:rsidP="00082595">
      <w:pPr>
        <w:rPr>
          <w:lang w:val="en-AU"/>
        </w:rPr>
      </w:pPr>
      <w:r w:rsidRPr="007B3FE5">
        <w:rPr>
          <w:lang w:val="en-AU"/>
        </w:rPr>
        <w:t xml:space="preserve">The Committee was assigned </w:t>
      </w:r>
      <w:r w:rsidR="00BD1B17" w:rsidRPr="007B3FE5">
        <w:rPr>
          <w:lang w:val="en-AU"/>
        </w:rPr>
        <w:t>seven</w:t>
      </w:r>
      <w:r w:rsidRPr="007B3FE5">
        <w:rPr>
          <w:lang w:val="en-AU"/>
        </w:rPr>
        <w:t xml:space="preserve"> items to review, all relating to initiation and supervision of haemodialysis and peritoneal dialysis. </w:t>
      </w:r>
      <w:r w:rsidR="00676EDC" w:rsidRPr="007B3FE5">
        <w:rPr>
          <w:lang w:val="en-AU"/>
        </w:rPr>
        <w:t xml:space="preserve">In 2014/15 these items combined provided for 97,864 services and </w:t>
      </w:r>
      <w:r w:rsidR="0074549B" w:rsidRPr="007B3FE5">
        <w:rPr>
          <w:lang w:val="en-AU"/>
        </w:rPr>
        <w:t xml:space="preserve">$6.8 million in benefits. The average growth in services is 5.8 per cent per year, though item 13103 for supervision of dialysis accounts for 78 per cent of services and is growing at 8.1 per cent per year. </w:t>
      </w:r>
      <w:r w:rsidR="003933DB" w:rsidRPr="007B3FE5">
        <w:rPr>
          <w:lang w:val="en-AU"/>
        </w:rPr>
        <w:t xml:space="preserve">There were 12,000 patients on dialysis in Australia in 2014/15, of which approximately 4,400 received dialysis supervision services under the MBS. </w:t>
      </w:r>
      <w:r w:rsidR="00996176" w:rsidRPr="007B3FE5">
        <w:rPr>
          <w:lang w:val="en-AU"/>
        </w:rPr>
        <w:t>There are an estimated 3,600 patients currently receiving home dialysis of which, 73 per cent (n=2,663) claimed supervision (item 13104 planning and management of home dialysis) under the MBS</w:t>
      </w:r>
      <w:r w:rsidR="0099742A" w:rsidRPr="007B3FE5">
        <w:rPr>
          <w:lang w:val="en-AU"/>
        </w:rPr>
        <w:fldChar w:fldCharType="begin" w:fldLock="1"/>
      </w:r>
      <w:r w:rsidR="00B409DB" w:rsidRPr="007B3FE5">
        <w:rPr>
          <w:lang w:val="en-AU"/>
        </w:rPr>
        <w:instrText>ADDIN CSL_CITATION { "citationItems" : [ { "id" : "ITEM-1", "itemData" : { "author" : [ { "dropping-particle" : "", "family" : "MBS", "given" : "", "non-dropping-particle" : "", "parse-names" : false, "suffix" : "" } ], "id" : "ITEM-1", "issued" : { "date-parts" : [ [ "0" ] ] }, "title" : "MBS Data", "type" : "article" }, "uris" : [ "http://www.mendeley.com/documents/?uuid=f29a4196-9992-4e2e-ba94-94150e4899c6" ] }, { "id" : "ITEM-2", "itemData" : { "author" : [ { "dropping-particle" : "", "family" : "ANZDATA Registry", "given" : "", "non-dropping-particle" : "", "parse-names" : false, "suffix" : "" } ], "id" : "ITEM-2", "issued" : { "date-parts" : [ [ "2016" ] ] }, "publisher-place" : "Adelaide", "title" : "38th Annual ANZDATA Report", "type" : "report" }, "uris" : [ "http://www.mendeley.com/documents/?uuid=a3c01c88-f62c-40f0-b496-4957c5d0c745" ] } ], "mendeley" : { "formattedCitation" : "(2,3)", "plainTextFormattedCitation" : "(2,3)", "previouslyFormattedCitation" : "(2,3)" }, "properties" : { "noteIndex" : 0 }, "schema" : "https://github.com/citation-style-language/schema/raw/master/csl-citation.json" }</w:instrText>
      </w:r>
      <w:r w:rsidR="0099742A" w:rsidRPr="007B3FE5">
        <w:rPr>
          <w:lang w:val="en-AU"/>
        </w:rPr>
        <w:fldChar w:fldCharType="separate"/>
      </w:r>
      <w:r w:rsidR="0099742A" w:rsidRPr="007B3FE5">
        <w:rPr>
          <w:noProof/>
          <w:lang w:val="en-AU"/>
        </w:rPr>
        <w:t>(2,3)</w:t>
      </w:r>
      <w:r w:rsidR="0099742A" w:rsidRPr="007B3FE5">
        <w:rPr>
          <w:lang w:val="en-AU"/>
        </w:rPr>
        <w:fldChar w:fldCharType="end"/>
      </w:r>
      <w:r w:rsidR="00996176" w:rsidRPr="007B3FE5">
        <w:rPr>
          <w:lang w:val="en-AU"/>
        </w:rPr>
        <w:t>.</w:t>
      </w:r>
    </w:p>
    <w:p w14:paraId="0B42F411" w14:textId="77777777" w:rsidR="00371DD4" w:rsidRPr="00FC1976" w:rsidRDefault="00371DD4" w:rsidP="00082595">
      <w:pPr>
        <w:rPr>
          <w:lang w:val="en-AU"/>
        </w:rPr>
      </w:pPr>
      <w:r w:rsidRPr="007B3FE5">
        <w:rPr>
          <w:lang w:val="en-AU"/>
        </w:rPr>
        <w:t xml:space="preserve">All recommendations relating to these items are included in this report for consultation. The Committee also provided input on items that will be referred to their primary reviewing </w:t>
      </w:r>
      <w:r w:rsidR="007D479F">
        <w:rPr>
          <w:lang w:val="en-AU"/>
        </w:rPr>
        <w:t>Clinical Committee</w:t>
      </w:r>
      <w:r w:rsidRPr="007B3FE5">
        <w:rPr>
          <w:lang w:val="en-AU"/>
        </w:rPr>
        <w:t xml:space="preserve"> to assist with their recommendations for consultation.</w:t>
      </w:r>
      <w:r w:rsidRPr="00FC1976">
        <w:rPr>
          <w:lang w:val="en-AU"/>
        </w:rPr>
        <w:t xml:space="preserve"> </w:t>
      </w:r>
    </w:p>
    <w:p w14:paraId="2299DC50" w14:textId="77777777" w:rsidR="003B30E4" w:rsidRPr="00FC1976" w:rsidRDefault="003B30E4" w:rsidP="00082595">
      <w:pPr>
        <w:rPr>
          <w:lang w:val="en-AU"/>
        </w:rPr>
      </w:pPr>
      <w:r w:rsidRPr="00FC1976">
        <w:rPr>
          <w:lang w:val="en-AU"/>
        </w:rPr>
        <w:t xml:space="preserve">An inclusive set of stakeholders is now engaged in consultation on the recommendations outlined in this report. Following this period of consultation, the recommendations will be finalised and presented to the Taskforce. The Taskforce will consider the report and stakeholder feedback before making recommendations to the </w:t>
      </w:r>
      <w:r w:rsidR="007D479F">
        <w:rPr>
          <w:lang w:val="en-AU"/>
        </w:rPr>
        <w:t xml:space="preserve">Minister for Health </w:t>
      </w:r>
      <w:r w:rsidRPr="00FC1976">
        <w:rPr>
          <w:lang w:val="en-AU"/>
        </w:rPr>
        <w:t xml:space="preserve">for consideration by the Government. </w:t>
      </w:r>
    </w:p>
    <w:p w14:paraId="03A59C05" w14:textId="77777777" w:rsidR="00C72869" w:rsidRPr="00FC1976" w:rsidRDefault="005E7DDE" w:rsidP="003131D1">
      <w:pPr>
        <w:pStyle w:val="Heading2"/>
      </w:pPr>
      <w:bookmarkStart w:id="6" w:name="_Toc467668945"/>
      <w:r w:rsidRPr="00FC1976">
        <w:t>R</w:t>
      </w:r>
      <w:r w:rsidR="004963B8" w:rsidRPr="00FC1976">
        <w:t>ecommendati</w:t>
      </w:r>
      <w:r w:rsidR="004963B8" w:rsidRPr="003131D1">
        <w:t>o</w:t>
      </w:r>
      <w:r w:rsidR="004963B8" w:rsidRPr="00FC1976">
        <w:t>ns</w:t>
      </w:r>
      <w:bookmarkEnd w:id="6"/>
    </w:p>
    <w:p w14:paraId="035F0CB7" w14:textId="3146B5BD" w:rsidR="005E7DDE" w:rsidRPr="00F46F00" w:rsidRDefault="005E7DDE" w:rsidP="00F46F00">
      <w:r w:rsidRPr="00F63F53">
        <w:rPr>
          <w:lang w:val="en-AU"/>
        </w:rPr>
        <w:t xml:space="preserve">The Committee has highlighted its most important recommendations below. The complete recommendations (and the accompanying rationales) for all items can be found in Section </w:t>
      </w:r>
      <w:r w:rsidR="007E4981" w:rsidRPr="00F63F53">
        <w:rPr>
          <w:lang w:val="en-AU"/>
        </w:rPr>
        <w:t>4</w:t>
      </w:r>
      <w:r w:rsidR="003B30E4" w:rsidRPr="00F63F53">
        <w:rPr>
          <w:lang w:val="en-AU"/>
        </w:rPr>
        <w:t>.</w:t>
      </w:r>
      <w:r w:rsidR="00416C03" w:rsidRPr="00F63F53">
        <w:rPr>
          <w:lang w:val="en-AU"/>
        </w:rPr>
        <w:t xml:space="preserve"> Recommendations developed for referral to other committee</w:t>
      </w:r>
      <w:r w:rsidR="000060B8" w:rsidRPr="00F63F53">
        <w:rPr>
          <w:lang w:val="en-AU"/>
        </w:rPr>
        <w:t>s</w:t>
      </w:r>
      <w:r w:rsidR="00416C03" w:rsidRPr="00F63F53">
        <w:rPr>
          <w:lang w:val="en-AU"/>
        </w:rPr>
        <w:t xml:space="preserve"> are </w:t>
      </w:r>
      <w:r w:rsidR="00B62E1F" w:rsidRPr="00F63F53">
        <w:rPr>
          <w:lang w:val="en-AU"/>
        </w:rPr>
        <w:t>presented</w:t>
      </w:r>
      <w:r w:rsidR="00416C03" w:rsidRPr="00F63F53">
        <w:rPr>
          <w:lang w:val="en-AU"/>
        </w:rPr>
        <w:t xml:space="preserve"> in Section </w:t>
      </w:r>
      <w:r w:rsidR="007E4981" w:rsidRPr="00F63F53">
        <w:rPr>
          <w:lang w:val="en-AU"/>
        </w:rPr>
        <w:t>5</w:t>
      </w:r>
      <w:r w:rsidR="00416C03" w:rsidRPr="00F63F53">
        <w:rPr>
          <w:lang w:val="en-AU"/>
        </w:rPr>
        <w:t>.</w:t>
      </w:r>
      <w:r w:rsidR="003B30E4" w:rsidRPr="00F63F53">
        <w:rPr>
          <w:lang w:val="en-AU"/>
        </w:rPr>
        <w:t xml:space="preserve"> A complete list of items, </w:t>
      </w:r>
      <w:r w:rsidR="000012D6" w:rsidRPr="00F63F53">
        <w:rPr>
          <w:lang w:val="en-AU"/>
        </w:rPr>
        <w:t xml:space="preserve">including </w:t>
      </w:r>
      <w:r w:rsidR="003B30E4" w:rsidRPr="00F63F53">
        <w:rPr>
          <w:lang w:val="en-AU"/>
        </w:rPr>
        <w:t xml:space="preserve">the nature of the recommendations and the page number </w:t>
      </w:r>
      <w:r w:rsidR="0076302F" w:rsidRPr="00F63F53">
        <w:rPr>
          <w:lang w:val="en-AU"/>
        </w:rPr>
        <w:t>for each</w:t>
      </w:r>
      <w:r w:rsidR="003B30E4" w:rsidRPr="00F63F53">
        <w:rPr>
          <w:lang w:val="en-AU"/>
        </w:rPr>
        <w:t xml:space="preserve"> recommendation</w:t>
      </w:r>
      <w:r w:rsidR="00FF742B" w:rsidRPr="00F63F53">
        <w:rPr>
          <w:lang w:val="en-AU"/>
        </w:rPr>
        <w:t>,</w:t>
      </w:r>
      <w:r w:rsidR="003B30E4" w:rsidRPr="00F63F53">
        <w:rPr>
          <w:lang w:val="en-AU"/>
        </w:rPr>
        <w:t xml:space="preserve"> can be found in Appendices A and B (in table summary form</w:t>
      </w:r>
      <w:r w:rsidR="003B30E4" w:rsidRPr="00F46F00">
        <w:t>).</w:t>
      </w:r>
    </w:p>
    <w:p w14:paraId="707771FD" w14:textId="77777777" w:rsidR="005E7DDE" w:rsidRPr="00713B0C" w:rsidRDefault="005E7DDE" w:rsidP="0099332F">
      <w:pPr>
        <w:pStyle w:val="H3"/>
      </w:pPr>
      <w:r w:rsidRPr="00713B0C">
        <w:t xml:space="preserve">Recommendations </w:t>
      </w:r>
      <w:r w:rsidR="009864CC" w:rsidRPr="00713B0C">
        <w:t xml:space="preserve">for </w:t>
      </w:r>
      <w:r w:rsidR="003B30E4" w:rsidRPr="00713B0C">
        <w:t>c</w:t>
      </w:r>
      <w:r w:rsidR="009864CC" w:rsidRPr="00713B0C">
        <w:t>onsultation</w:t>
      </w:r>
    </w:p>
    <w:p w14:paraId="315CE8E1" w14:textId="77777777" w:rsidR="00531348" w:rsidRPr="00FC1976" w:rsidRDefault="005E7DDE" w:rsidP="00713B0C">
      <w:pPr>
        <w:rPr>
          <w:lang w:val="en-AU"/>
        </w:rPr>
      </w:pPr>
      <w:r w:rsidRPr="00FC1976">
        <w:rPr>
          <w:lang w:val="en-AU"/>
        </w:rPr>
        <w:t>The Committee’s provisional recommendations for stakeholder consultation are that</w:t>
      </w:r>
      <w:r w:rsidR="00AC6C75" w:rsidRPr="00FC1976">
        <w:rPr>
          <w:lang w:val="en-AU"/>
        </w:rPr>
        <w:t xml:space="preserve"> </w:t>
      </w:r>
      <w:r w:rsidR="00AE12E7" w:rsidRPr="00FC1976">
        <w:rPr>
          <w:lang w:val="en-AU"/>
        </w:rPr>
        <w:t>a new item should be created</w:t>
      </w:r>
      <w:r w:rsidR="00FB150F" w:rsidRPr="00FC1976">
        <w:rPr>
          <w:lang w:val="en-AU"/>
        </w:rPr>
        <w:t xml:space="preserve"> </w:t>
      </w:r>
      <w:r w:rsidR="00AE12E7" w:rsidRPr="00FC1976">
        <w:rPr>
          <w:lang w:val="en-AU"/>
        </w:rPr>
        <w:t xml:space="preserve">for dialysis in very remote areas, two </w:t>
      </w:r>
      <w:r w:rsidR="00BD1B17" w:rsidRPr="00FC1976">
        <w:rPr>
          <w:lang w:val="en-AU"/>
        </w:rPr>
        <w:t xml:space="preserve">renal dialysis </w:t>
      </w:r>
      <w:r w:rsidR="00386155" w:rsidRPr="00FC1976">
        <w:rPr>
          <w:lang w:val="en-AU"/>
        </w:rPr>
        <w:t xml:space="preserve">items should be restructured into a </w:t>
      </w:r>
      <w:r w:rsidR="00D67730">
        <w:rPr>
          <w:lang w:val="en-AU"/>
        </w:rPr>
        <w:t xml:space="preserve">single </w:t>
      </w:r>
      <w:r w:rsidR="00386155" w:rsidRPr="00FC1976">
        <w:rPr>
          <w:lang w:val="en-AU"/>
        </w:rPr>
        <w:t xml:space="preserve">weekly </w:t>
      </w:r>
      <w:r w:rsidR="00D67730">
        <w:rPr>
          <w:lang w:val="en-AU"/>
        </w:rPr>
        <w:t>item</w:t>
      </w:r>
      <w:r w:rsidR="00386155" w:rsidRPr="00FC1976">
        <w:rPr>
          <w:lang w:val="en-AU"/>
        </w:rPr>
        <w:t>,</w:t>
      </w:r>
      <w:r w:rsidRPr="00FC1976">
        <w:rPr>
          <w:lang w:val="en-AU"/>
        </w:rPr>
        <w:t xml:space="preserve"> </w:t>
      </w:r>
      <w:r w:rsidR="00AC6C75" w:rsidRPr="00FC1976">
        <w:rPr>
          <w:lang w:val="en-AU"/>
        </w:rPr>
        <w:t>two</w:t>
      </w:r>
      <w:r w:rsidRPr="00FC1976">
        <w:rPr>
          <w:lang w:val="en-AU"/>
        </w:rPr>
        <w:t xml:space="preserve"> items should be deleted from the MBS,</w:t>
      </w:r>
      <w:r w:rsidR="00AE12E7" w:rsidRPr="00FC1976">
        <w:rPr>
          <w:lang w:val="en-AU"/>
        </w:rPr>
        <w:t xml:space="preserve"> and </w:t>
      </w:r>
      <w:r w:rsidR="00602596" w:rsidRPr="00FC1976">
        <w:rPr>
          <w:lang w:val="en-AU"/>
        </w:rPr>
        <w:t>one</w:t>
      </w:r>
      <w:r w:rsidR="00AE12E7" w:rsidRPr="00FC1976">
        <w:rPr>
          <w:lang w:val="en-AU"/>
        </w:rPr>
        <w:t xml:space="preserve"> item should </w:t>
      </w:r>
      <w:r w:rsidR="00897F0B" w:rsidRPr="00FC1976">
        <w:rPr>
          <w:lang w:val="en-AU"/>
        </w:rPr>
        <w:t>remain unchanged</w:t>
      </w:r>
      <w:r w:rsidR="00AE12E7" w:rsidRPr="00FC1976">
        <w:rPr>
          <w:lang w:val="en-AU"/>
        </w:rPr>
        <w:t xml:space="preserve">. </w:t>
      </w:r>
      <w:r w:rsidRPr="00FC1976">
        <w:rPr>
          <w:lang w:val="en-AU"/>
        </w:rPr>
        <w:t>The</w:t>
      </w:r>
      <w:r w:rsidR="00897F0B" w:rsidRPr="00FC1976">
        <w:rPr>
          <w:lang w:val="en-AU"/>
        </w:rPr>
        <w:t>se</w:t>
      </w:r>
      <w:r w:rsidRPr="00FC1976">
        <w:rPr>
          <w:lang w:val="en-AU"/>
        </w:rPr>
        <w:t xml:space="preserve"> changes focus on </w:t>
      </w:r>
      <w:r w:rsidR="00AE12E7" w:rsidRPr="00FC1976">
        <w:rPr>
          <w:lang w:val="en-AU"/>
        </w:rPr>
        <w:t>increasing access</w:t>
      </w:r>
      <w:r w:rsidR="00531348" w:rsidRPr="00FC1976">
        <w:rPr>
          <w:lang w:val="en-AU"/>
        </w:rPr>
        <w:t xml:space="preserve"> to medical services,</w:t>
      </w:r>
      <w:r w:rsidR="00AE12E7" w:rsidRPr="00FC1976">
        <w:rPr>
          <w:lang w:val="en-AU"/>
        </w:rPr>
        <w:t xml:space="preserve"> </w:t>
      </w:r>
      <w:r w:rsidRPr="00FC1976">
        <w:rPr>
          <w:lang w:val="en-AU"/>
        </w:rPr>
        <w:t>encouraging best practice and simplifying the MBS to improve patient care by (i) consolidating item numbers</w:t>
      </w:r>
      <w:r w:rsidR="0082672C">
        <w:rPr>
          <w:lang w:val="en-AU"/>
        </w:rPr>
        <w:t>;</w:t>
      </w:r>
      <w:r w:rsidRPr="00FC1976">
        <w:rPr>
          <w:lang w:val="en-AU"/>
        </w:rPr>
        <w:t xml:space="preserve"> (ii) improving the clarity of descriptors (with support from explanatory notes)</w:t>
      </w:r>
      <w:r w:rsidR="00890445">
        <w:rPr>
          <w:lang w:val="en-AU"/>
        </w:rPr>
        <w:t>;</w:t>
      </w:r>
      <w:r w:rsidRPr="00FC1976">
        <w:rPr>
          <w:lang w:val="en-AU"/>
        </w:rPr>
        <w:t xml:space="preserve"> and (iii) providing clinical guidance for appropriate use through explanatory notes. The most important recommendations are summarised below.</w:t>
      </w:r>
    </w:p>
    <w:p w14:paraId="545EBDDA" w14:textId="77777777" w:rsidR="002D12B1" w:rsidRPr="00FC1976" w:rsidRDefault="002D12B1" w:rsidP="00713B0C">
      <w:pPr>
        <w:pStyle w:val="NormalBulleted"/>
        <w:rPr>
          <w:lang w:val="en-AU"/>
        </w:rPr>
      </w:pPr>
      <w:r w:rsidRPr="00FC1976">
        <w:rPr>
          <w:b/>
          <w:lang w:val="en-AU"/>
        </w:rPr>
        <w:t>Very remote dialysis item</w:t>
      </w:r>
      <w:r w:rsidR="00541D72" w:rsidRPr="00FC1976">
        <w:rPr>
          <w:b/>
          <w:lang w:val="en-AU"/>
        </w:rPr>
        <w:t>.</w:t>
      </w:r>
      <w:r w:rsidRPr="00FC1976">
        <w:rPr>
          <w:lang w:val="en-AU"/>
        </w:rPr>
        <w:t xml:space="preserve"> Address </w:t>
      </w:r>
      <w:r w:rsidR="00AA116E" w:rsidRPr="00FC1976">
        <w:rPr>
          <w:lang w:val="en-AU"/>
        </w:rPr>
        <w:t xml:space="preserve">the </w:t>
      </w:r>
      <w:r w:rsidRPr="00FC1976">
        <w:rPr>
          <w:lang w:val="en-AU"/>
        </w:rPr>
        <w:t xml:space="preserve">access gap by creating </w:t>
      </w:r>
      <w:r w:rsidR="003A6E84" w:rsidRPr="00FC1976">
        <w:rPr>
          <w:lang w:val="en-AU"/>
        </w:rPr>
        <w:t xml:space="preserve">an </w:t>
      </w:r>
      <w:r w:rsidRPr="00FC1976">
        <w:rPr>
          <w:lang w:val="en-AU"/>
        </w:rPr>
        <w:t>item to fund</w:t>
      </w:r>
      <w:r w:rsidR="002E3F72" w:rsidRPr="00FC1976">
        <w:rPr>
          <w:lang w:val="en-AU"/>
        </w:rPr>
        <w:t xml:space="preserve"> the</w:t>
      </w:r>
      <w:r w:rsidRPr="00FC1976">
        <w:rPr>
          <w:lang w:val="en-AU"/>
        </w:rPr>
        <w:t xml:space="preserve"> provision of dialysis in very remote areas, including nurse supervision. </w:t>
      </w:r>
      <w:r w:rsidR="007064A1" w:rsidRPr="00FC1976">
        <w:rPr>
          <w:lang w:val="en-AU"/>
        </w:rPr>
        <w:t>At present</w:t>
      </w:r>
      <w:r w:rsidR="00897F0B" w:rsidRPr="00FC1976">
        <w:rPr>
          <w:lang w:val="en-AU"/>
        </w:rPr>
        <w:t>,</w:t>
      </w:r>
      <w:r w:rsidRPr="00FC1976">
        <w:rPr>
          <w:lang w:val="en-AU"/>
        </w:rPr>
        <w:t xml:space="preserve"> most </w:t>
      </w:r>
      <w:r w:rsidR="00050514" w:rsidRPr="00FC1976">
        <w:rPr>
          <w:lang w:val="en-AU"/>
        </w:rPr>
        <w:t>I</w:t>
      </w:r>
      <w:r w:rsidRPr="00FC1976">
        <w:rPr>
          <w:lang w:val="en-AU"/>
        </w:rPr>
        <w:t>ndigenous patients from very remote areas are forced to relocate for dialysis services</w:t>
      </w:r>
      <w:r w:rsidR="00BF061A">
        <w:rPr>
          <w:lang w:val="en-AU"/>
        </w:rPr>
        <w:t xml:space="preserve"> </w:t>
      </w:r>
      <w:r w:rsidR="00AF4E35" w:rsidRPr="00FC1976">
        <w:rPr>
          <w:lang w:val="en-AU"/>
        </w:rPr>
        <w:fldChar w:fldCharType="begin" w:fldLock="1"/>
      </w:r>
      <w:r w:rsidR="00B409DB">
        <w:rPr>
          <w:lang w:val="en-AU"/>
        </w:rPr>
        <w:instrText>ADDIN CSL_CITATION { "citationItems" : [ { "id" : "ITEM-1", "itemData" : { "DOI" : "10.1111/j.1753-6405.2007.00111.x", "ISSN" : "1326-0200", "PMID" : "17931287", "abstract" : "OBJECTIVE To determine temporal trends of incidence of treated end-stage kidney disease in Indigenous Australians and the extent to which these patients had to move from their home community to access renal replacement therapy. METHODS Data for 1993-2001, regarding place of residence before starting renal replacement therapy, were analysed to give accurate incidence for 1,194 Indigenous treated end-stage kidney disease patients. We calculated indirectly standardised incidence ratios of treated end-stage kidney disease by State and Territory. We surveyed treating renal units about which Indigenous patients relocated to access therapy from 1999 to 2001. RESULTS The incidence of treated end-stage kidney disease among Indigenous Australians is high and rising; however, the rate of increase is lower than has been previously reported. The Northern Territory (NT) and Queensland have the most new Indigenous treated end-stage kidney disease cases. The highest standardised incidence ratio was in the NT (17.0), followed by Western Australia (WA) (11.9). From 1999 to 2001, half of the 476 Indigenous patients starting therapy had to relocate to access treatment. CONCLUSIONS The incidence of end-stage kidney disease among Indigenous Australians continues to rise. However, significant gaps in knowledge remain about the burden of early chronic kidney disease and whether many Indigenous patients with end-stage kidney disease still choose not to receive renal replacement therapy. The need to relocate to access treatment has a strong negative impact on individuals, families and entire communities.", "author" : [ { "dropping-particle" : "", "family" : "Preston-Thomas", "given" : "Annie", "non-dropping-particle" : "", "parse-names" : false, "suffix" : "" }, { "dropping-particle" : "", "family" : "Cass", "given" : "Alan", "non-dropping-particle" : "", "parse-names" : false, "suffix" : "" }, { "dropping-particle" : "", "family" : "O'Rourke", "given" : "Peter", "non-dropping-particle" : "", "parse-names" : false, "suffix" : "" } ], "container-title" : "Australian and New Zealand journal of public health", "id" : "ITEM-1", "issue" : "5", "issued" : { "date-parts" : [ [ "2007", "10" ] ] }, "page" : "419-21", "title" : "Trends in the incidence of treated end-stage kidney disease among Indigenous Australians and access to treatment.", "type" : "article-journal", "volume" : "31" }, "uris" : [ "http://www.mendeley.com/documents/?uuid=f22515d8-3f23-31b5-89f2-bbe11672f702" ] } ], "mendeley" : { "formattedCitation" : "(4)", "plainTextFormattedCitation" : "(4)", "previouslyFormattedCitation" : "(4)" }, "properties" : { "noteIndex" : 0 }, "schema" : "https://github.com/citation-style-language/schema/raw/master/csl-citation.json" }</w:instrText>
      </w:r>
      <w:r w:rsidR="00AF4E35" w:rsidRPr="00FC1976">
        <w:rPr>
          <w:lang w:val="en-AU"/>
        </w:rPr>
        <w:fldChar w:fldCharType="separate"/>
      </w:r>
      <w:r w:rsidR="0099742A" w:rsidRPr="0099742A">
        <w:rPr>
          <w:noProof/>
          <w:lang w:val="en-AU"/>
        </w:rPr>
        <w:t>(4)</w:t>
      </w:r>
      <w:r w:rsidR="00AF4E35" w:rsidRPr="00FC1976">
        <w:rPr>
          <w:lang w:val="en-AU"/>
        </w:rPr>
        <w:fldChar w:fldCharType="end"/>
      </w:r>
      <w:r w:rsidR="00BF061A">
        <w:rPr>
          <w:lang w:val="en-AU"/>
        </w:rPr>
        <w:t>.</w:t>
      </w:r>
      <w:r w:rsidRPr="00FC1976">
        <w:rPr>
          <w:lang w:val="en-AU"/>
        </w:rPr>
        <w:t xml:space="preserve"> Th</w:t>
      </w:r>
      <w:r w:rsidR="00FC6392" w:rsidRPr="00FC1976">
        <w:rPr>
          <w:lang w:val="en-AU"/>
        </w:rPr>
        <w:t xml:space="preserve">e proposed item would help </w:t>
      </w:r>
      <w:r w:rsidR="0003004C" w:rsidRPr="00FC1976">
        <w:rPr>
          <w:lang w:val="en-AU"/>
        </w:rPr>
        <w:t xml:space="preserve">to </w:t>
      </w:r>
      <w:r w:rsidR="00FC6392" w:rsidRPr="00FC1976">
        <w:rPr>
          <w:lang w:val="en-AU"/>
        </w:rPr>
        <w:t>address this problem by funding the ongoing costs of providing dialysis in very remote areas.</w:t>
      </w:r>
    </w:p>
    <w:p w14:paraId="51A6444A" w14:textId="77777777" w:rsidR="00FC6392" w:rsidRPr="00FC1976" w:rsidRDefault="0049272D" w:rsidP="00713B0C">
      <w:pPr>
        <w:pStyle w:val="NormalBulleted"/>
        <w:rPr>
          <w:lang w:val="en-AU"/>
        </w:rPr>
      </w:pPr>
      <w:r w:rsidRPr="00FC1976">
        <w:rPr>
          <w:b/>
          <w:lang w:val="en-AU"/>
        </w:rPr>
        <w:t xml:space="preserve">Weekly dialysis </w:t>
      </w:r>
      <w:r w:rsidR="00D67730">
        <w:rPr>
          <w:b/>
          <w:lang w:val="en-AU"/>
        </w:rPr>
        <w:t xml:space="preserve">supervision </w:t>
      </w:r>
      <w:r w:rsidR="00FC6392" w:rsidRPr="00FC1976">
        <w:rPr>
          <w:b/>
          <w:lang w:val="en-AU"/>
        </w:rPr>
        <w:t>item</w:t>
      </w:r>
      <w:r w:rsidR="00541D72" w:rsidRPr="00FC1976">
        <w:rPr>
          <w:b/>
          <w:lang w:val="en-AU"/>
        </w:rPr>
        <w:t>.</w:t>
      </w:r>
      <w:r w:rsidR="002D12B1" w:rsidRPr="00FC1976">
        <w:rPr>
          <w:lang w:val="en-AU"/>
        </w:rPr>
        <w:t xml:space="preserve"> Create a </w:t>
      </w:r>
      <w:r w:rsidR="00D67730">
        <w:rPr>
          <w:lang w:val="en-AU"/>
        </w:rPr>
        <w:t xml:space="preserve">consolidated </w:t>
      </w:r>
      <w:r w:rsidR="002D12B1" w:rsidRPr="00FC1976">
        <w:rPr>
          <w:lang w:val="en-AU"/>
        </w:rPr>
        <w:t xml:space="preserve">weekly payment to replace items 13100 and 13103. </w:t>
      </w:r>
      <w:r w:rsidR="00FB410A" w:rsidRPr="00FC1976">
        <w:rPr>
          <w:lang w:val="en-AU"/>
        </w:rPr>
        <w:t>This</w:t>
      </w:r>
      <w:r w:rsidR="00FC6392" w:rsidRPr="00FC1976">
        <w:rPr>
          <w:lang w:val="en-AU"/>
        </w:rPr>
        <w:t xml:space="preserve"> would reduce variability in </w:t>
      </w:r>
      <w:r w:rsidR="00890445">
        <w:rPr>
          <w:lang w:val="en-AU"/>
        </w:rPr>
        <w:t xml:space="preserve">the </w:t>
      </w:r>
      <w:r w:rsidR="00FC6392" w:rsidRPr="00FC1976">
        <w:rPr>
          <w:lang w:val="en-AU"/>
        </w:rPr>
        <w:t xml:space="preserve">billing </w:t>
      </w:r>
      <w:r w:rsidR="002B5EDE" w:rsidRPr="00FC1976">
        <w:rPr>
          <w:lang w:val="en-AU"/>
        </w:rPr>
        <w:t xml:space="preserve">of </w:t>
      </w:r>
      <w:r w:rsidR="00FC6392" w:rsidRPr="00FC1976">
        <w:rPr>
          <w:lang w:val="en-AU"/>
        </w:rPr>
        <w:t xml:space="preserve">items, </w:t>
      </w:r>
      <w:r w:rsidR="00897F0B" w:rsidRPr="00FC1976">
        <w:rPr>
          <w:lang w:val="en-AU"/>
        </w:rPr>
        <w:t xml:space="preserve">encourage best-practice care </w:t>
      </w:r>
      <w:r w:rsidR="00FC6392" w:rsidRPr="00FC1976">
        <w:rPr>
          <w:lang w:val="en-AU"/>
        </w:rPr>
        <w:t xml:space="preserve">and remove incentives to </w:t>
      </w:r>
      <w:r w:rsidR="0075372F" w:rsidRPr="00FC1976">
        <w:rPr>
          <w:lang w:val="en-AU"/>
        </w:rPr>
        <w:t>over</w:t>
      </w:r>
      <w:r w:rsidR="00897F0B" w:rsidRPr="00FC1976">
        <w:rPr>
          <w:lang w:val="en-AU"/>
        </w:rPr>
        <w:t>-</w:t>
      </w:r>
      <w:r w:rsidR="0075372F" w:rsidRPr="00FC1976">
        <w:rPr>
          <w:lang w:val="en-AU"/>
        </w:rPr>
        <w:t>service</w:t>
      </w:r>
      <w:r w:rsidR="00FC6392" w:rsidRPr="00FC1976">
        <w:rPr>
          <w:lang w:val="en-AU"/>
        </w:rPr>
        <w:t xml:space="preserve"> patients. </w:t>
      </w:r>
      <w:r w:rsidR="009057B1">
        <w:rPr>
          <w:lang w:val="en-AU"/>
        </w:rPr>
        <w:t xml:space="preserve">Consultations and supervision of dialysis in the routine care of a patient on in-centre dialysis would be included. This item </w:t>
      </w:r>
      <w:r w:rsidR="00FC6392" w:rsidRPr="00FC1976">
        <w:rPr>
          <w:lang w:val="en-AU"/>
        </w:rPr>
        <w:t xml:space="preserve">would be introduced </w:t>
      </w:r>
      <w:r w:rsidR="00D67730">
        <w:rPr>
          <w:lang w:val="en-AU"/>
        </w:rPr>
        <w:t>with a provisional MBS fee and an economic review after 12 months to ensure cost neutrality</w:t>
      </w:r>
      <w:r w:rsidR="00FC6392" w:rsidRPr="00FC1976">
        <w:rPr>
          <w:lang w:val="en-AU"/>
        </w:rPr>
        <w:t>.</w:t>
      </w:r>
    </w:p>
    <w:p w14:paraId="72969A87" w14:textId="77777777" w:rsidR="00D1731A" w:rsidRPr="00CA3B44" w:rsidRDefault="007F35DA" w:rsidP="00713B0C">
      <w:pPr>
        <w:pStyle w:val="NormalBulleted"/>
      </w:pPr>
      <w:r w:rsidRPr="00FC1976">
        <w:rPr>
          <w:b/>
        </w:rPr>
        <w:t>Paed</w:t>
      </w:r>
      <w:r w:rsidR="00663CA3" w:rsidRPr="00FC1976">
        <w:rPr>
          <w:b/>
        </w:rPr>
        <w:t>iatric</w:t>
      </w:r>
      <w:r w:rsidR="00B74056" w:rsidRPr="00FC1976">
        <w:rPr>
          <w:b/>
        </w:rPr>
        <w:t>–a</w:t>
      </w:r>
      <w:r w:rsidRPr="00FC1976">
        <w:rPr>
          <w:b/>
        </w:rPr>
        <w:t>dul</w:t>
      </w:r>
      <w:r w:rsidR="00663CA3" w:rsidRPr="00FC1976">
        <w:rPr>
          <w:b/>
        </w:rPr>
        <w:t>t</w:t>
      </w:r>
      <w:r w:rsidR="00897F0B" w:rsidRPr="00FC1976">
        <w:rPr>
          <w:b/>
        </w:rPr>
        <w:t xml:space="preserve"> transition</w:t>
      </w:r>
      <w:r w:rsidR="00541D72" w:rsidRPr="00FC1976">
        <w:rPr>
          <w:b/>
        </w:rPr>
        <w:t>.</w:t>
      </w:r>
      <w:r w:rsidRPr="00FC1976">
        <w:t xml:space="preserve"> </w:t>
      </w:r>
      <w:r w:rsidR="002F734A" w:rsidRPr="00FC1976">
        <w:t>Consider</w:t>
      </w:r>
      <w:r w:rsidRPr="00FC1976">
        <w:t xml:space="preserve"> </w:t>
      </w:r>
      <w:r w:rsidR="00897F0B" w:rsidRPr="00FC1976">
        <w:t xml:space="preserve">measures </w:t>
      </w:r>
      <w:r w:rsidR="00670579" w:rsidRPr="00FC1976">
        <w:t xml:space="preserve">to </w:t>
      </w:r>
      <w:r w:rsidR="00D1731A" w:rsidRPr="00FC1976">
        <w:t xml:space="preserve">better address </w:t>
      </w:r>
      <w:r w:rsidR="00745138" w:rsidRPr="00FC1976">
        <w:t xml:space="preserve">the </w:t>
      </w:r>
      <w:r w:rsidR="00D1731A" w:rsidRPr="00FC1976">
        <w:t xml:space="preserve">transition from paediatric to adult </w:t>
      </w:r>
      <w:r w:rsidR="0075372F" w:rsidRPr="00FC1976">
        <w:t>services for patients with complex kidney disease,</w:t>
      </w:r>
      <w:r w:rsidR="00D1731A" w:rsidRPr="00FC1976">
        <w:t xml:space="preserve"> </w:t>
      </w:r>
      <w:r w:rsidR="0075372F" w:rsidRPr="00FC1976">
        <w:t>particularly</w:t>
      </w:r>
      <w:r w:rsidR="00D1731A" w:rsidRPr="00FC1976">
        <w:t xml:space="preserve"> the significant allograft loss </w:t>
      </w:r>
      <w:r w:rsidR="002B0616" w:rsidRPr="00FC1976">
        <w:t xml:space="preserve">that </w:t>
      </w:r>
      <w:r w:rsidR="00D1731A" w:rsidRPr="00FC1976">
        <w:t>occu</w:t>
      </w:r>
      <w:r w:rsidR="002B0616" w:rsidRPr="00FC1976">
        <w:t>rs</w:t>
      </w:r>
      <w:r w:rsidR="00D1731A" w:rsidRPr="00FC1976">
        <w:t xml:space="preserve"> during this period</w:t>
      </w:r>
      <w:r w:rsidR="0075372F" w:rsidRPr="00FC1976">
        <w:t>.</w:t>
      </w:r>
      <w:r w:rsidR="00D1731A" w:rsidRPr="00FC1976">
        <w:t xml:space="preserve"> </w:t>
      </w:r>
      <w:r w:rsidR="00CA3B44">
        <w:t xml:space="preserve">This recommendation will be considered by the Taskforce and if endorsed, the issue will </w:t>
      </w:r>
      <w:r w:rsidR="00CA3B44" w:rsidRPr="00CA3B44">
        <w:rPr>
          <w:lang w:val="en-AU"/>
        </w:rPr>
        <w:t>be referred to an appropriate government or inter-governmental body or group, such as the Council of Australian Governments.</w:t>
      </w:r>
    </w:p>
    <w:p w14:paraId="16B33078" w14:textId="77777777" w:rsidR="000208B5" w:rsidRPr="00713B0C" w:rsidRDefault="00D1731A" w:rsidP="007F5198">
      <w:pPr>
        <w:pStyle w:val="H3"/>
      </w:pPr>
      <w:r w:rsidRPr="00713B0C">
        <w:t>R</w:t>
      </w:r>
      <w:r w:rsidR="000208B5" w:rsidRPr="00713B0C">
        <w:t xml:space="preserve">ecommendations for referral to other </w:t>
      </w:r>
      <w:r w:rsidR="0046198B" w:rsidRPr="00713B0C">
        <w:t>c</w:t>
      </w:r>
      <w:r w:rsidR="000208B5" w:rsidRPr="00713B0C">
        <w:t>ommittees</w:t>
      </w:r>
    </w:p>
    <w:p w14:paraId="73573625" w14:textId="7131BB54" w:rsidR="009469F4" w:rsidRPr="00FC1976" w:rsidRDefault="009469F4" w:rsidP="00082595">
      <w:pPr>
        <w:rPr>
          <w:lang w:val="en-AU"/>
        </w:rPr>
      </w:pPr>
      <w:r w:rsidRPr="00FC1976">
        <w:rPr>
          <w:lang w:val="en-AU"/>
        </w:rPr>
        <w:t xml:space="preserve">The Committee’s provisional recommendations for the consideration </w:t>
      </w:r>
      <w:r w:rsidR="0075372F" w:rsidRPr="00FC1976">
        <w:rPr>
          <w:lang w:val="en-AU"/>
        </w:rPr>
        <w:t xml:space="preserve">of other </w:t>
      </w:r>
      <w:r w:rsidR="007D479F">
        <w:rPr>
          <w:lang w:val="en-AU"/>
        </w:rPr>
        <w:t>Clinical Committee</w:t>
      </w:r>
      <w:r w:rsidR="0075372F" w:rsidRPr="00FC1976">
        <w:rPr>
          <w:lang w:val="en-AU"/>
        </w:rPr>
        <w:t xml:space="preserve">s </w:t>
      </w:r>
      <w:r w:rsidRPr="00FC1976">
        <w:rPr>
          <w:lang w:val="en-AU"/>
        </w:rPr>
        <w:t xml:space="preserve">concern items that were assigned by the Taskforce to the Urology Clinical Committee (UCC), </w:t>
      </w:r>
      <w:r w:rsidR="00296034" w:rsidRPr="00FC1976">
        <w:rPr>
          <w:lang w:val="en-AU"/>
        </w:rPr>
        <w:t xml:space="preserve">the </w:t>
      </w:r>
      <w:r w:rsidRPr="00FC1976">
        <w:rPr>
          <w:lang w:val="en-AU"/>
        </w:rPr>
        <w:t xml:space="preserve">Nurse Practitioner and </w:t>
      </w:r>
      <w:r w:rsidR="00621980">
        <w:rPr>
          <w:lang w:val="en-AU"/>
        </w:rPr>
        <w:t xml:space="preserve">Participating </w:t>
      </w:r>
      <w:r w:rsidRPr="00FC1976">
        <w:rPr>
          <w:lang w:val="en-AU"/>
        </w:rPr>
        <w:t>Midwife Clinical Committee (NP&amp;</w:t>
      </w:r>
      <w:r w:rsidR="00621980">
        <w:rPr>
          <w:lang w:val="en-AU"/>
        </w:rPr>
        <w:t>P</w:t>
      </w:r>
      <w:r w:rsidR="00F45ED5" w:rsidRPr="00FC1976">
        <w:rPr>
          <w:lang w:val="en-AU"/>
        </w:rPr>
        <w:t>M</w:t>
      </w:r>
      <w:r w:rsidRPr="00FC1976">
        <w:rPr>
          <w:lang w:val="en-AU"/>
        </w:rPr>
        <w:t xml:space="preserve">CC), </w:t>
      </w:r>
      <w:r w:rsidR="007245FE" w:rsidRPr="00FC1976">
        <w:rPr>
          <w:lang w:val="en-AU"/>
        </w:rPr>
        <w:t xml:space="preserve">the </w:t>
      </w:r>
      <w:r w:rsidR="00A340C6" w:rsidRPr="00FC1976">
        <w:rPr>
          <w:lang w:val="en-AU"/>
        </w:rPr>
        <w:t>Aboriginal and Torres Strait Islander</w:t>
      </w:r>
      <w:r w:rsidRPr="00FC1976">
        <w:rPr>
          <w:lang w:val="en-AU"/>
        </w:rPr>
        <w:t xml:space="preserve"> Clinical Committee (</w:t>
      </w:r>
      <w:r w:rsidR="006413B4" w:rsidRPr="00FC1976">
        <w:rPr>
          <w:lang w:val="en-AU"/>
        </w:rPr>
        <w:t>ATSICC</w:t>
      </w:r>
      <w:r w:rsidRPr="00FC1976">
        <w:rPr>
          <w:lang w:val="en-AU"/>
        </w:rPr>
        <w:t xml:space="preserve">), </w:t>
      </w:r>
      <w:r w:rsidR="00D3447F" w:rsidRPr="00FC1976">
        <w:rPr>
          <w:lang w:val="en-AU"/>
        </w:rPr>
        <w:t xml:space="preserve">the </w:t>
      </w:r>
      <w:r w:rsidR="00621980">
        <w:rPr>
          <w:lang w:val="en-AU"/>
        </w:rPr>
        <w:t xml:space="preserve">General Practice and </w:t>
      </w:r>
      <w:r w:rsidRPr="00FC1976">
        <w:rPr>
          <w:lang w:val="en-AU"/>
        </w:rPr>
        <w:t xml:space="preserve">Primary </w:t>
      </w:r>
      <w:r w:rsidR="00A340C6" w:rsidRPr="00FC1976">
        <w:rPr>
          <w:lang w:val="en-AU"/>
        </w:rPr>
        <w:t>Care</w:t>
      </w:r>
      <w:r w:rsidRPr="00FC1976">
        <w:rPr>
          <w:lang w:val="en-AU"/>
        </w:rPr>
        <w:t xml:space="preserve"> Clinical Committee (</w:t>
      </w:r>
      <w:r w:rsidR="00621980">
        <w:rPr>
          <w:lang w:val="en-AU"/>
        </w:rPr>
        <w:t>GP</w:t>
      </w:r>
      <w:r w:rsidRPr="00FC1976">
        <w:rPr>
          <w:lang w:val="en-AU"/>
        </w:rPr>
        <w:t>P</w:t>
      </w:r>
      <w:r w:rsidR="00A340C6" w:rsidRPr="00FC1976">
        <w:rPr>
          <w:lang w:val="en-AU"/>
        </w:rPr>
        <w:t>C</w:t>
      </w:r>
      <w:r w:rsidRPr="00FC1976">
        <w:rPr>
          <w:lang w:val="en-AU"/>
        </w:rPr>
        <w:t xml:space="preserve">CC) and </w:t>
      </w:r>
      <w:r w:rsidR="0004465B" w:rsidRPr="00FC1976">
        <w:rPr>
          <w:lang w:val="en-AU"/>
        </w:rPr>
        <w:t xml:space="preserve">the </w:t>
      </w:r>
      <w:r w:rsidR="00621980">
        <w:rPr>
          <w:lang w:val="en-AU"/>
        </w:rPr>
        <w:t>Consultation Services Clinical Committee (CS</w:t>
      </w:r>
      <w:r w:rsidRPr="00FC1976">
        <w:rPr>
          <w:lang w:val="en-AU"/>
        </w:rPr>
        <w:t>CC)</w:t>
      </w:r>
      <w:r w:rsidR="00FB150F" w:rsidRPr="00FC1976">
        <w:rPr>
          <w:lang w:val="en-AU"/>
        </w:rPr>
        <w:t xml:space="preserve"> </w:t>
      </w:r>
      <w:r w:rsidRPr="00FC1976">
        <w:rPr>
          <w:lang w:val="en-AU"/>
        </w:rPr>
        <w:t>for primary review. The most important recommendations are summarised below</w:t>
      </w:r>
      <w:r w:rsidR="00B57ABE" w:rsidRPr="00FC1976">
        <w:rPr>
          <w:lang w:val="en-AU"/>
        </w:rPr>
        <w:t>.</w:t>
      </w:r>
    </w:p>
    <w:p w14:paraId="73C51F60" w14:textId="77777777" w:rsidR="009469F4" w:rsidRPr="00FC1976" w:rsidRDefault="009469F4" w:rsidP="00E15A50">
      <w:pPr>
        <w:pStyle w:val="01squarebullet"/>
        <w:rPr>
          <w:lang w:val="en-AU"/>
        </w:rPr>
      </w:pPr>
      <w:r w:rsidRPr="00FC1976">
        <w:rPr>
          <w:b/>
          <w:bCs/>
          <w:lang w:val="en-AU"/>
        </w:rPr>
        <w:t xml:space="preserve">Specialist </w:t>
      </w:r>
      <w:r w:rsidR="004174FD" w:rsidRPr="00FC1976">
        <w:rPr>
          <w:b/>
          <w:bCs/>
          <w:lang w:val="en-AU"/>
        </w:rPr>
        <w:t>a</w:t>
      </w:r>
      <w:r w:rsidRPr="00FC1976">
        <w:rPr>
          <w:b/>
          <w:bCs/>
          <w:lang w:val="en-AU"/>
        </w:rPr>
        <w:t xml:space="preserve">ttendances </w:t>
      </w:r>
      <w:r w:rsidR="004174FD" w:rsidRPr="00FC1976">
        <w:rPr>
          <w:b/>
          <w:bCs/>
          <w:lang w:val="en-AU"/>
        </w:rPr>
        <w:t>c</w:t>
      </w:r>
      <w:r w:rsidRPr="00FC1976">
        <w:rPr>
          <w:b/>
          <w:bCs/>
          <w:lang w:val="en-AU"/>
        </w:rPr>
        <w:t>laim</w:t>
      </w:r>
      <w:r w:rsidR="00541D72" w:rsidRPr="00FC1976">
        <w:rPr>
          <w:b/>
          <w:bCs/>
          <w:lang w:val="en-AU"/>
        </w:rPr>
        <w:t>.</w:t>
      </w:r>
      <w:r w:rsidRPr="00FC1976">
        <w:rPr>
          <w:b/>
          <w:bCs/>
          <w:lang w:val="en-AU"/>
        </w:rPr>
        <w:t xml:space="preserve"> </w:t>
      </w:r>
      <w:r w:rsidR="005E373B" w:rsidRPr="00FC1976">
        <w:rPr>
          <w:lang w:val="en-AU"/>
        </w:rPr>
        <w:t>Amend</w:t>
      </w:r>
      <w:r w:rsidRPr="00FC1976">
        <w:rPr>
          <w:lang w:val="en-AU"/>
        </w:rPr>
        <w:t xml:space="preserve"> the General Rules for Professional Attendances</w:t>
      </w:r>
      <w:r w:rsidR="00AA7A63" w:rsidRPr="00FC1976">
        <w:rPr>
          <w:lang w:val="en-AU"/>
        </w:rPr>
        <w:t xml:space="preserve"> items</w:t>
      </w:r>
      <w:r w:rsidRPr="00FC1976">
        <w:rPr>
          <w:lang w:val="en-AU"/>
        </w:rPr>
        <w:t xml:space="preserve"> to prevent medical practitioners from claiming specialist attendances for the supervision of dialysis. </w:t>
      </w:r>
      <w:r w:rsidR="00894B77" w:rsidRPr="00FC1976">
        <w:rPr>
          <w:lang w:val="en-AU"/>
        </w:rPr>
        <w:t xml:space="preserve">It was noted that some providers </w:t>
      </w:r>
      <w:r w:rsidR="00181145">
        <w:rPr>
          <w:lang w:val="en-AU"/>
        </w:rPr>
        <w:t xml:space="preserve">currently </w:t>
      </w:r>
      <w:r w:rsidR="00894B77" w:rsidRPr="00FC1976">
        <w:rPr>
          <w:lang w:val="en-AU"/>
        </w:rPr>
        <w:t>claim consults (</w:t>
      </w:r>
      <w:r w:rsidR="007B4C06">
        <w:rPr>
          <w:lang w:val="en-AU"/>
        </w:rPr>
        <w:t xml:space="preserve">item </w:t>
      </w:r>
      <w:r w:rsidR="00894B77" w:rsidRPr="00FC1976">
        <w:rPr>
          <w:lang w:val="en-AU"/>
        </w:rPr>
        <w:t>116) in place of the dedicated dialysis supervision item (13103). This results in a lack of transparency in MBS data and is not the intent of the items. The exception is when a consultation is performed for non-routine management in consulting rooms, or when admission to hospital is required due to deterioration in a patient’s condition or for non-kidney related reasons</w:t>
      </w:r>
      <w:r w:rsidR="00A82D0D" w:rsidRPr="00FC1976">
        <w:rPr>
          <w:lang w:val="en-AU"/>
        </w:rPr>
        <w:t>.</w:t>
      </w:r>
    </w:p>
    <w:p w14:paraId="6C51A27A" w14:textId="77777777" w:rsidR="00847B72" w:rsidRPr="00FC1976" w:rsidRDefault="00847B72" w:rsidP="00847B72">
      <w:pPr>
        <w:pStyle w:val="01squarebullet"/>
        <w:rPr>
          <w:lang w:val="en-AU"/>
        </w:rPr>
      </w:pPr>
      <w:r w:rsidRPr="00FC1976">
        <w:rPr>
          <w:b/>
          <w:lang w:val="en-AU"/>
        </w:rPr>
        <w:t>Nephrology nurse practitioners.</w:t>
      </w:r>
      <w:r w:rsidRPr="00FC1976">
        <w:rPr>
          <w:lang w:val="en-AU"/>
        </w:rPr>
        <w:t xml:space="preserve"> The </w:t>
      </w:r>
      <w:r w:rsidR="001D01C2">
        <w:rPr>
          <w:lang w:val="en-AU"/>
        </w:rPr>
        <w:t>Committee</w:t>
      </w:r>
      <w:r w:rsidR="001D01C2" w:rsidRPr="00FC1976">
        <w:rPr>
          <w:lang w:val="en-AU"/>
        </w:rPr>
        <w:t xml:space="preserve"> </w:t>
      </w:r>
      <w:r w:rsidRPr="00FC1976">
        <w:rPr>
          <w:lang w:val="en-AU"/>
        </w:rPr>
        <w:t>recommends that the NP&amp;MCC consider ways to recognise and remunerate the services provided by nephrology and chronic disease nurse practitioners, particularly in rural and remote areas.</w:t>
      </w:r>
    </w:p>
    <w:p w14:paraId="12D32539" w14:textId="77777777" w:rsidR="00847B72" w:rsidRPr="00FC1976" w:rsidRDefault="00847B72" w:rsidP="00847B72">
      <w:pPr>
        <w:pStyle w:val="01squarebullet"/>
        <w:rPr>
          <w:lang w:val="en-AU"/>
        </w:rPr>
      </w:pPr>
      <w:r w:rsidRPr="00FC1976">
        <w:rPr>
          <w:b/>
          <w:lang w:val="en-AU"/>
        </w:rPr>
        <w:t>Live donor nephrectomy.</w:t>
      </w:r>
      <w:r w:rsidRPr="00FC1976">
        <w:rPr>
          <w:lang w:val="en-AU"/>
        </w:rPr>
        <w:t xml:space="preserve"> Create a new item for living donor nephrectomy to acknowledge that live donor nephrectomy is a complex operation, and to address the absence of a dedicated item for the procedure.</w:t>
      </w:r>
    </w:p>
    <w:p w14:paraId="4947BBC5" w14:textId="77777777" w:rsidR="00847B72" w:rsidRPr="00FC1976" w:rsidRDefault="00847B72" w:rsidP="00847B72">
      <w:pPr>
        <w:pStyle w:val="01squarebullet"/>
        <w:rPr>
          <w:lang w:val="en-AU"/>
        </w:rPr>
      </w:pPr>
      <w:r w:rsidRPr="00FC1976">
        <w:rPr>
          <w:b/>
          <w:lang w:val="en-AU"/>
        </w:rPr>
        <w:t>Renal biopsy.</w:t>
      </w:r>
      <w:r w:rsidRPr="00FC1976">
        <w:rPr>
          <w:lang w:val="en-AU"/>
        </w:rPr>
        <w:t xml:space="preserve"> Update </w:t>
      </w:r>
      <w:r w:rsidR="001A1D53">
        <w:rPr>
          <w:lang w:val="en-AU"/>
        </w:rPr>
        <w:t xml:space="preserve">the item </w:t>
      </w:r>
      <w:r w:rsidRPr="00FC1976">
        <w:rPr>
          <w:lang w:val="en-AU"/>
        </w:rPr>
        <w:t>descriptor to require ultrasound guidance</w:t>
      </w:r>
      <w:r w:rsidR="00A0631E">
        <w:rPr>
          <w:lang w:val="en-AU"/>
        </w:rPr>
        <w:t>,</w:t>
      </w:r>
      <w:r w:rsidRPr="00FC1976">
        <w:rPr>
          <w:lang w:val="en-AU"/>
        </w:rPr>
        <w:t xml:space="preserve"> which </w:t>
      </w:r>
      <w:r w:rsidR="00D36D79">
        <w:rPr>
          <w:lang w:val="en-AU"/>
        </w:rPr>
        <w:t>reflects</w:t>
      </w:r>
      <w:r w:rsidRPr="00FC1976">
        <w:rPr>
          <w:lang w:val="en-AU"/>
        </w:rPr>
        <w:t xml:space="preserve"> contemporary best practice.</w:t>
      </w:r>
    </w:p>
    <w:p w14:paraId="5FFB5A05" w14:textId="77777777" w:rsidR="00847B72" w:rsidRPr="00FC1976" w:rsidRDefault="00847B72" w:rsidP="00847B72">
      <w:pPr>
        <w:pStyle w:val="01squarebullet"/>
        <w:rPr>
          <w:lang w:val="en-AU"/>
        </w:rPr>
      </w:pPr>
      <w:r w:rsidRPr="00FC1976">
        <w:rPr>
          <w:b/>
          <w:lang w:val="en-AU"/>
        </w:rPr>
        <w:t>Health assessments.</w:t>
      </w:r>
      <w:r w:rsidRPr="00FC1976">
        <w:rPr>
          <w:lang w:val="en-AU"/>
        </w:rPr>
        <w:t xml:space="preserve"> Recommend that the health assessment items be reviewed by the PCCC to close gaps </w:t>
      </w:r>
      <w:r w:rsidR="00612ECD">
        <w:rPr>
          <w:lang w:val="en-AU"/>
        </w:rPr>
        <w:t>that</w:t>
      </w:r>
      <w:r w:rsidR="00612ECD" w:rsidRPr="00FC1976">
        <w:rPr>
          <w:lang w:val="en-AU"/>
        </w:rPr>
        <w:t xml:space="preserve"> </w:t>
      </w:r>
      <w:r w:rsidRPr="00FC1976">
        <w:rPr>
          <w:lang w:val="en-AU"/>
        </w:rPr>
        <w:t>may result in high</w:t>
      </w:r>
      <w:r w:rsidR="00612ECD">
        <w:rPr>
          <w:lang w:val="en-AU"/>
        </w:rPr>
        <w:t>-</w:t>
      </w:r>
      <w:r w:rsidRPr="00FC1976">
        <w:rPr>
          <w:lang w:val="en-AU"/>
        </w:rPr>
        <w:t>risk patients being ineligible for assessments</w:t>
      </w:r>
      <w:r w:rsidR="004B0455">
        <w:rPr>
          <w:lang w:val="en-AU"/>
        </w:rPr>
        <w:t>,</w:t>
      </w:r>
      <w:r w:rsidRPr="00FC1976">
        <w:rPr>
          <w:lang w:val="en-AU"/>
        </w:rPr>
        <w:t xml:space="preserve"> and </w:t>
      </w:r>
      <w:r w:rsidR="004B0455">
        <w:rPr>
          <w:lang w:val="en-AU"/>
        </w:rPr>
        <w:t xml:space="preserve">to </w:t>
      </w:r>
      <w:r w:rsidRPr="00FC1976">
        <w:rPr>
          <w:lang w:val="en-AU"/>
        </w:rPr>
        <w:t xml:space="preserve">ensure that all items are </w:t>
      </w:r>
      <w:r w:rsidR="00253728">
        <w:rPr>
          <w:lang w:val="en-AU"/>
        </w:rPr>
        <w:t>align</w:t>
      </w:r>
      <w:r w:rsidRPr="00FC1976">
        <w:rPr>
          <w:lang w:val="en-AU"/>
        </w:rPr>
        <w:t xml:space="preserve"> with</w:t>
      </w:r>
      <w:r w:rsidR="00111A50">
        <w:rPr>
          <w:lang w:val="en-AU"/>
        </w:rPr>
        <w:t xml:space="preserve"> best practice.</w:t>
      </w:r>
    </w:p>
    <w:p w14:paraId="48B94968" w14:textId="482421BE" w:rsidR="009E294F" w:rsidRPr="00FC1976" w:rsidRDefault="007F6331" w:rsidP="003131D1">
      <w:pPr>
        <w:pStyle w:val="Heading2"/>
      </w:pPr>
      <w:bookmarkStart w:id="7" w:name="_Toc467668946"/>
      <w:r>
        <w:t>Consumer Engagement</w:t>
      </w:r>
      <w:bookmarkEnd w:id="7"/>
    </w:p>
    <w:p w14:paraId="265CD46F" w14:textId="77777777" w:rsidR="003C6EEF" w:rsidRPr="004803B4" w:rsidRDefault="003C6EEF" w:rsidP="003C6EEF">
      <w:r>
        <w:t>The Committee</w:t>
      </w:r>
      <w:r w:rsidRPr="004803B4">
        <w:t xml:space="preserve"> believes it is important to find out from consumers if they will be helped or disadvantaged by the recommendations – and how, and why.</w:t>
      </w:r>
      <w:r>
        <w:t xml:space="preserve"> </w:t>
      </w:r>
      <w:r w:rsidRPr="004803B4">
        <w:t xml:space="preserve">Following </w:t>
      </w:r>
      <w:r>
        <w:t>the public consultation the Committee</w:t>
      </w:r>
      <w:r w:rsidRPr="004803B4">
        <w:t xml:space="preserve"> will assess the advice from consumers and decide whether any changes are needed to the recommendations</w:t>
      </w:r>
      <w:r>
        <w:t>. The Committee</w:t>
      </w:r>
      <w:r w:rsidRPr="004803B4">
        <w:t xml:space="preserve"> will then send the recommendations to the Taskforce.</w:t>
      </w:r>
      <w:r>
        <w:t xml:space="preserve"> </w:t>
      </w:r>
      <w:r w:rsidRPr="004803B4">
        <w:t>The Taskforce will consider the recommendations as well as the information provided by consumers in order to make sure that all the important concerns are addressed.</w:t>
      </w:r>
      <w:r>
        <w:t xml:space="preserve"> </w:t>
      </w:r>
      <w:r w:rsidRPr="004803B4">
        <w:t>The Taskforce will then provide the recommendation to government.</w:t>
      </w:r>
    </w:p>
    <w:p w14:paraId="07420196" w14:textId="1E1D5FA5" w:rsidR="00146280" w:rsidRPr="00146280" w:rsidRDefault="00146280" w:rsidP="00146280">
      <w:pPr>
        <w:rPr>
          <w:lang w:val="en-AU"/>
        </w:rPr>
      </w:pPr>
      <w:r w:rsidRPr="00146280">
        <w:rPr>
          <w:lang w:val="en-AU"/>
        </w:rPr>
        <w:t>The Committee has brought together practitioners with experience and commitment to the care of people with renal conditions</w:t>
      </w:r>
      <w:r w:rsidR="00580CB5">
        <w:rPr>
          <w:lang w:val="en-AU"/>
        </w:rPr>
        <w:t xml:space="preserve"> and a consumer representative</w:t>
      </w:r>
      <w:r w:rsidRPr="00146280">
        <w:rPr>
          <w:lang w:val="en-AU"/>
        </w:rPr>
        <w:t>. This committee has examined how well the current descriptions of Medicare items match current clinical practice to meet the need of Australians with kidney diseases.</w:t>
      </w:r>
    </w:p>
    <w:p w14:paraId="0A439310" w14:textId="263A6C6A" w:rsidR="00146280" w:rsidRPr="00146280" w:rsidRDefault="00146280" w:rsidP="00146280">
      <w:pPr>
        <w:rPr>
          <w:lang w:val="en-AU"/>
        </w:rPr>
      </w:pPr>
      <w:r w:rsidRPr="00146280">
        <w:rPr>
          <w:lang w:val="en-AU"/>
        </w:rPr>
        <w:t xml:space="preserve">A part of the work </w:t>
      </w:r>
      <w:r w:rsidR="003C6EEF">
        <w:rPr>
          <w:lang w:val="en-AU"/>
        </w:rPr>
        <w:t xml:space="preserve">of the Committee </w:t>
      </w:r>
      <w:r w:rsidRPr="00146280">
        <w:rPr>
          <w:lang w:val="en-AU"/>
        </w:rPr>
        <w:t xml:space="preserve">has involved making the descriptions of items more accurate, so that payment data can help track the patterns of care across the country. Some items are no longer used because techniques for dialysis have changed since they were originally described and these items have been recommended to be deleted. </w:t>
      </w:r>
    </w:p>
    <w:p w14:paraId="5D6D8FCC" w14:textId="4A79125C" w:rsidR="00146280" w:rsidRPr="00146280" w:rsidRDefault="00146280" w:rsidP="00146280">
      <w:pPr>
        <w:rPr>
          <w:lang w:val="en-AU"/>
        </w:rPr>
      </w:pPr>
      <w:r w:rsidRPr="00146280">
        <w:rPr>
          <w:lang w:val="en-AU"/>
        </w:rPr>
        <w:t xml:space="preserve">The </w:t>
      </w:r>
      <w:r w:rsidR="00E54055">
        <w:rPr>
          <w:lang w:val="en-AU"/>
        </w:rPr>
        <w:t>Review</w:t>
      </w:r>
      <w:r w:rsidRPr="00146280">
        <w:rPr>
          <w:lang w:val="en-AU"/>
        </w:rPr>
        <w:t xml:space="preserve"> has also given the chance to more accurately describe the complexity and time required for the care of potential kidney donors, the needs of young people moving from care in children’s hospitals to adult hospitals, and the care needed for people needing health assessment. The </w:t>
      </w:r>
      <w:r w:rsidR="00E54055">
        <w:rPr>
          <w:lang w:val="en-AU"/>
        </w:rPr>
        <w:t>Review</w:t>
      </w:r>
      <w:r w:rsidRPr="00146280">
        <w:rPr>
          <w:lang w:val="en-AU"/>
        </w:rPr>
        <w:t xml:space="preserve"> has also recommended a new item to fund dialysis in very remote parts of the country which will significantly improve access to patients in these areas.</w:t>
      </w:r>
    </w:p>
    <w:p w14:paraId="4F326DC9" w14:textId="77777777" w:rsidR="00146280" w:rsidRPr="00146280" w:rsidRDefault="00146280" w:rsidP="00146280">
      <w:pPr>
        <w:rPr>
          <w:lang w:val="en-AU"/>
        </w:rPr>
      </w:pPr>
      <w:r w:rsidRPr="00146280">
        <w:rPr>
          <w:lang w:val="en-AU"/>
        </w:rPr>
        <w:t>Recommendations fall into three categories with different next steps.</w:t>
      </w:r>
    </w:p>
    <w:p w14:paraId="5CAA8857" w14:textId="77777777" w:rsidR="007B6241" w:rsidRPr="007B6241" w:rsidRDefault="00146280" w:rsidP="007B6241">
      <w:pPr>
        <w:pStyle w:val="01squarebullet"/>
      </w:pPr>
      <w:r w:rsidRPr="007B6241">
        <w:rPr>
          <w:b/>
        </w:rPr>
        <w:t>Recommendations to the Taskforce</w:t>
      </w:r>
      <w:r w:rsidRPr="007B6241">
        <w:t xml:space="preserve">. These will be considered by the Taskforce along with submissions from public consultation. The Taskforce will then decide if these should be endorsed and recommended to the Government. The Government will then decide which recommendations to implement and the Department of Health and other relevant agencies will work to implement them. This process may take </w:t>
      </w:r>
      <w:r w:rsidR="007B6241" w:rsidRPr="007B6241">
        <w:t>some time.</w:t>
      </w:r>
    </w:p>
    <w:p w14:paraId="153D6705" w14:textId="77777777" w:rsidR="007B6241" w:rsidRPr="007B6241" w:rsidRDefault="007B6241" w:rsidP="007B6241">
      <w:pPr>
        <w:pStyle w:val="01squarebullet"/>
        <w:rPr>
          <w:lang w:val="en-AU"/>
        </w:rPr>
      </w:pPr>
      <w:r w:rsidRPr="007B6241">
        <w:rPr>
          <w:b/>
          <w:lang w:val="en-AU"/>
        </w:rPr>
        <w:t>Recommendations to other Clinical Committees.</w:t>
      </w:r>
      <w:r>
        <w:rPr>
          <w:lang w:val="en-AU"/>
        </w:rPr>
        <w:t xml:space="preserve"> These are areas where the Committee has made recommendations that are within the scope of another Clinical Committee. They will consider this advice and make a recommendation to the Taskforce. The Taskforce will be aware of the views of </w:t>
      </w:r>
      <w:r w:rsidR="009F2B86">
        <w:rPr>
          <w:lang w:val="en-AU"/>
        </w:rPr>
        <w:t>both committees when deciding what recommendation to make to Government. These recommendations may take longer to be implemented as the timeline depends on the timing of the other Clinical Committees.</w:t>
      </w:r>
    </w:p>
    <w:p w14:paraId="6FA5F67E" w14:textId="77777777" w:rsidR="00146280" w:rsidRPr="007B6241" w:rsidRDefault="007B6241" w:rsidP="007B6241">
      <w:pPr>
        <w:pStyle w:val="01squarebullet"/>
        <w:rPr>
          <w:lang w:val="en-AU"/>
        </w:rPr>
      </w:pPr>
      <w:r w:rsidRPr="007B6241">
        <w:rPr>
          <w:b/>
          <w:lang w:val="en-AU"/>
        </w:rPr>
        <w:t>Recommendations beyond the MBS.</w:t>
      </w:r>
      <w:r>
        <w:rPr>
          <w:lang w:val="en-AU"/>
        </w:rPr>
        <w:t xml:space="preserve"> The Paed</w:t>
      </w:r>
      <w:r w:rsidR="00794FE8">
        <w:rPr>
          <w:lang w:val="en-AU"/>
        </w:rPr>
        <w:t>iatric</w:t>
      </w:r>
      <w:r>
        <w:rPr>
          <w:lang w:val="en-AU"/>
        </w:rPr>
        <w:t>-adult</w:t>
      </w:r>
      <w:r w:rsidR="00794FE8">
        <w:rPr>
          <w:lang w:val="en-AU"/>
        </w:rPr>
        <w:t xml:space="preserve"> transition</w:t>
      </w:r>
      <w:r>
        <w:rPr>
          <w:lang w:val="en-AU"/>
        </w:rPr>
        <w:t xml:space="preserve"> recommendation is complex and reaches beyond the MBS. This will be considered by the Taskforce with any submissions from consultation and if endorsed, the Taskforce will recommend that this be considered by the appropriate body or group.</w:t>
      </w:r>
      <w:r w:rsidR="009F2B86">
        <w:rPr>
          <w:lang w:val="en-AU"/>
        </w:rPr>
        <w:t xml:space="preserve"> This timeline is unknown, as the recipient group is unclear, however members of the Committee will work with the Department to ensure the recommendation is considered.</w:t>
      </w:r>
    </w:p>
    <w:p w14:paraId="4CEE2B25" w14:textId="6B1E86DB" w:rsidR="002310DB" w:rsidRPr="00FC1976" w:rsidRDefault="00146280" w:rsidP="00794FE8">
      <w:pPr>
        <w:rPr>
          <w:lang w:val="en-AU"/>
        </w:rPr>
      </w:pPr>
      <w:r w:rsidRPr="00146280">
        <w:rPr>
          <w:lang w:val="en-AU"/>
        </w:rPr>
        <w:t xml:space="preserve">There is a list of all the items in plain English </w:t>
      </w:r>
      <w:r w:rsidR="00915D28">
        <w:rPr>
          <w:lang w:val="en-AU"/>
        </w:rPr>
        <w:t xml:space="preserve">in </w:t>
      </w:r>
      <w:r w:rsidR="00915D28">
        <w:rPr>
          <w:lang w:val="en-AU"/>
        </w:rPr>
        <w:fldChar w:fldCharType="begin"/>
      </w:r>
      <w:r w:rsidR="00915D28">
        <w:rPr>
          <w:lang w:val="en-AU"/>
        </w:rPr>
        <w:instrText xml:space="preserve"> REF _Ref462783365 \r \h </w:instrText>
      </w:r>
      <w:r w:rsidR="00915D28">
        <w:rPr>
          <w:lang w:val="en-AU"/>
        </w:rPr>
      </w:r>
      <w:r w:rsidR="00915D28">
        <w:rPr>
          <w:lang w:val="en-AU"/>
        </w:rPr>
        <w:fldChar w:fldCharType="separate"/>
      </w:r>
      <w:r w:rsidR="00D17FB0">
        <w:rPr>
          <w:lang w:val="en-AU"/>
        </w:rPr>
        <w:t xml:space="preserve">Appendix D - </w:t>
      </w:r>
      <w:r w:rsidR="00915D28">
        <w:rPr>
          <w:lang w:val="en-AU"/>
        </w:rPr>
        <w:fldChar w:fldCharType="end"/>
      </w:r>
      <w:r w:rsidR="00915D28">
        <w:rPr>
          <w:lang w:val="en-AU"/>
        </w:rPr>
        <w:t xml:space="preserve"> Consumer Summary Table.</w:t>
      </w:r>
    </w:p>
    <w:p w14:paraId="7F323C6D" w14:textId="77777777" w:rsidR="009F0E90" w:rsidRPr="00B0157E" w:rsidRDefault="009F0E90" w:rsidP="00EE7BD8">
      <w:pPr>
        <w:pStyle w:val="Heading1"/>
        <w:pageBreakBefore/>
        <w:ind w:left="431" w:hanging="431"/>
        <w:rPr>
          <w:lang w:val="en-AU"/>
        </w:rPr>
      </w:pPr>
      <w:bookmarkStart w:id="8" w:name="_Toc457411123"/>
      <w:bookmarkStart w:id="9" w:name="_Toc458774409"/>
      <w:bookmarkStart w:id="10" w:name="_Toc459973078"/>
      <w:bookmarkStart w:id="11" w:name="_Toc460228386"/>
      <w:bookmarkStart w:id="12" w:name="_Toc467668947"/>
      <w:bookmarkStart w:id="13" w:name="_Toc456045424"/>
      <w:bookmarkStart w:id="14" w:name="_Toc459996804"/>
      <w:bookmarkStart w:id="15" w:name="_Toc458166992"/>
      <w:r w:rsidRPr="00B0157E">
        <w:rPr>
          <w:lang w:val="en-AU"/>
        </w:rPr>
        <w:t>About the Medicare Benefits Schedule (MBS) Review</w:t>
      </w:r>
      <w:bookmarkEnd w:id="8"/>
      <w:bookmarkEnd w:id="9"/>
      <w:bookmarkEnd w:id="10"/>
      <w:bookmarkEnd w:id="11"/>
      <w:bookmarkEnd w:id="12"/>
    </w:p>
    <w:p w14:paraId="45451D01" w14:textId="77777777" w:rsidR="003B30E4" w:rsidRPr="00FC1976" w:rsidRDefault="003B30E4" w:rsidP="005076E4">
      <w:pPr>
        <w:pStyle w:val="Heading2"/>
        <w:rPr>
          <w:lang w:val="en-AU"/>
        </w:rPr>
      </w:pPr>
      <w:bookmarkStart w:id="16" w:name="_Toc456045425"/>
      <w:bookmarkStart w:id="17" w:name="_Toc457463614"/>
      <w:bookmarkStart w:id="18" w:name="_Toc459996805"/>
      <w:bookmarkStart w:id="19" w:name="_Toc458166993"/>
      <w:bookmarkStart w:id="20" w:name="_Toc467668948"/>
      <w:bookmarkStart w:id="21" w:name="_Toc456045427"/>
      <w:bookmarkEnd w:id="13"/>
      <w:bookmarkEnd w:id="14"/>
      <w:bookmarkEnd w:id="15"/>
      <w:r w:rsidRPr="00FC1976">
        <w:rPr>
          <w:lang w:val="en-AU"/>
        </w:rPr>
        <w:t>Medicare and the MBS</w:t>
      </w:r>
      <w:bookmarkEnd w:id="16"/>
      <w:bookmarkEnd w:id="17"/>
      <w:bookmarkEnd w:id="18"/>
      <w:bookmarkEnd w:id="19"/>
      <w:bookmarkEnd w:id="20"/>
    </w:p>
    <w:p w14:paraId="07768F80" w14:textId="77777777" w:rsidR="003B30E4" w:rsidRPr="00FC1976" w:rsidRDefault="003B30E4" w:rsidP="007F5198">
      <w:pPr>
        <w:pStyle w:val="H3"/>
      </w:pPr>
      <w:r w:rsidRPr="00FC1976">
        <w:t>What is Medicare?</w:t>
      </w:r>
    </w:p>
    <w:p w14:paraId="6A6BD6B2" w14:textId="77777777" w:rsidR="003B30E4" w:rsidRPr="00FC1976" w:rsidRDefault="003B30E4" w:rsidP="00082595">
      <w:pPr>
        <w:rPr>
          <w:rFonts w:eastAsiaTheme="minorHAnsi"/>
          <w:b/>
          <w:lang w:val="en-AU" w:eastAsia="en-US"/>
        </w:rPr>
      </w:pPr>
      <w:r w:rsidRPr="00FC1976">
        <w:rPr>
          <w:lang w:val="en-AU" w:eastAsia="en-US"/>
        </w:rPr>
        <w:t xml:space="preserve">Medicare is Australia’s universal health scheme, which enables all Australian residents (and some overseas visitors) to have access to a wide range of health services and medicines at little or no cost. </w:t>
      </w:r>
      <w:r w:rsidRPr="00FC1976">
        <w:rPr>
          <w:lang w:val="en-AU"/>
        </w:rPr>
        <w:t>Introduced in 1984, Medicare has three components: free public hospital services for public patients; subsidised drugs covered by the Pharmaceutical Benefits Scheme (PBS); and subsidised health professional services listed on the Medicare Benefits Schedule (MBS).</w:t>
      </w:r>
    </w:p>
    <w:p w14:paraId="46186985" w14:textId="77777777" w:rsidR="003B30E4" w:rsidRPr="00FC1976" w:rsidRDefault="003B30E4" w:rsidP="007F5198">
      <w:pPr>
        <w:pStyle w:val="H3"/>
      </w:pPr>
      <w:r w:rsidRPr="00FC1976">
        <w:t>What is the MBS?</w:t>
      </w:r>
    </w:p>
    <w:p w14:paraId="3194DAA6" w14:textId="77777777" w:rsidR="003B30E4" w:rsidRPr="00FC1976" w:rsidRDefault="003B30E4" w:rsidP="00082595">
      <w:pPr>
        <w:rPr>
          <w:lang w:val="en-AU" w:eastAsia="en-US"/>
        </w:rPr>
      </w:pPr>
      <w:r w:rsidRPr="00FC1976">
        <w:rPr>
          <w:lang w:val="en-AU" w:eastAsia="en-US"/>
        </w:rPr>
        <w:t xml:space="preserve">The MBS is a listing of the health professional services subsidised by the Australian Government. There are over 5,700 MBS items, which provide benefits to patients for a comprehensive range of services including consultations, diagnostic tests and operations. </w:t>
      </w:r>
    </w:p>
    <w:p w14:paraId="3694E926" w14:textId="77777777" w:rsidR="003B30E4" w:rsidRPr="00FC1976" w:rsidRDefault="003B30E4" w:rsidP="005076E4">
      <w:pPr>
        <w:pStyle w:val="Heading2"/>
        <w:rPr>
          <w:lang w:val="en-AU"/>
        </w:rPr>
      </w:pPr>
      <w:bookmarkStart w:id="22" w:name="_Toc456045426"/>
      <w:bookmarkStart w:id="23" w:name="_Toc457463615"/>
      <w:bookmarkStart w:id="24" w:name="_Toc459996806"/>
      <w:bookmarkStart w:id="25" w:name="_Toc458166994"/>
      <w:bookmarkStart w:id="26" w:name="_Toc467668949"/>
      <w:r w:rsidRPr="00FC1976">
        <w:rPr>
          <w:lang w:val="en-AU"/>
        </w:rPr>
        <w:t>The MBS Review Taskforce</w:t>
      </w:r>
      <w:bookmarkEnd w:id="22"/>
      <w:bookmarkEnd w:id="23"/>
      <w:bookmarkEnd w:id="24"/>
      <w:bookmarkEnd w:id="25"/>
      <w:bookmarkEnd w:id="26"/>
    </w:p>
    <w:p w14:paraId="09C11E4A" w14:textId="77777777" w:rsidR="003B30E4" w:rsidRPr="00FC1976" w:rsidRDefault="003B30E4" w:rsidP="007F5198">
      <w:pPr>
        <w:pStyle w:val="H3"/>
      </w:pPr>
      <w:r w:rsidRPr="00FC1976">
        <w:t>What is the MBS Review Taskforce?</w:t>
      </w:r>
    </w:p>
    <w:p w14:paraId="50B3BB4C" w14:textId="7C62AD4C" w:rsidR="003B30E4" w:rsidRPr="00FC1976" w:rsidRDefault="003B30E4" w:rsidP="00082595">
      <w:pPr>
        <w:rPr>
          <w:lang w:val="en-AU"/>
        </w:rPr>
      </w:pPr>
      <w:r w:rsidRPr="00FC1976">
        <w:rPr>
          <w:lang w:val="en-AU" w:eastAsia="en-US"/>
        </w:rPr>
        <w:t>The Government established a</w:t>
      </w:r>
      <w:r w:rsidR="004333AA">
        <w:rPr>
          <w:lang w:val="en-AU" w:eastAsia="en-US"/>
        </w:rPr>
        <w:t xml:space="preserve">n </w:t>
      </w:r>
      <w:r w:rsidRPr="00FC1976">
        <w:rPr>
          <w:lang w:val="en-AU" w:eastAsia="en-US"/>
        </w:rPr>
        <w:t xml:space="preserve">MBS Review Taskforce (the Taskforce) to review all of the 5,700 MBS items to ensure </w:t>
      </w:r>
      <w:r w:rsidR="007716D6">
        <w:rPr>
          <w:lang w:val="en-AU" w:eastAsia="en-US"/>
        </w:rPr>
        <w:t xml:space="preserve">that </w:t>
      </w:r>
      <w:r w:rsidRPr="00FC1976">
        <w:rPr>
          <w:lang w:val="en-AU" w:eastAsia="en-US"/>
        </w:rPr>
        <w:t>they align with contemporary clinical evidence and practice, and to improve health outcomes for patients.</w:t>
      </w:r>
      <w:r w:rsidRPr="00FC1976">
        <w:rPr>
          <w:lang w:val="en-AU"/>
        </w:rPr>
        <w:t xml:space="preserve"> The </w:t>
      </w:r>
      <w:r w:rsidR="00E54055">
        <w:rPr>
          <w:lang w:val="en-AU"/>
        </w:rPr>
        <w:t>Review</w:t>
      </w:r>
      <w:r w:rsidRPr="00FC1976">
        <w:rPr>
          <w:lang w:val="en-AU"/>
        </w:rPr>
        <w:t xml:space="preserve"> is clinician-led, and there are no targets for savings attached to the </w:t>
      </w:r>
      <w:r w:rsidR="00E54055">
        <w:rPr>
          <w:lang w:val="en-AU"/>
        </w:rPr>
        <w:t>Review</w:t>
      </w:r>
      <w:r w:rsidRPr="00FC1976">
        <w:rPr>
          <w:lang w:val="en-AU"/>
        </w:rPr>
        <w:t xml:space="preserve">. Following stakeholder </w:t>
      </w:r>
      <w:r w:rsidR="00E54055">
        <w:rPr>
          <w:lang w:val="en-AU"/>
        </w:rPr>
        <w:t>feedback</w:t>
      </w:r>
      <w:r w:rsidRPr="00FC1976">
        <w:rPr>
          <w:lang w:val="en-AU"/>
        </w:rPr>
        <w:t xml:space="preserve">, the Taskforce will present its recommendations to the </w:t>
      </w:r>
      <w:r w:rsidR="007D479F">
        <w:rPr>
          <w:lang w:val="en-AU"/>
        </w:rPr>
        <w:t xml:space="preserve">Minister for Health </w:t>
      </w:r>
      <w:r w:rsidRPr="00FC1976">
        <w:rPr>
          <w:lang w:val="en-AU"/>
        </w:rPr>
        <w:t xml:space="preserve">for consideration by the Government. </w:t>
      </w:r>
    </w:p>
    <w:p w14:paraId="1A253837" w14:textId="77777777" w:rsidR="003B30E4" w:rsidRPr="00FC1976" w:rsidRDefault="003B30E4" w:rsidP="007F5198">
      <w:pPr>
        <w:pStyle w:val="H3"/>
      </w:pPr>
      <w:r w:rsidRPr="00FC1976">
        <w:t>What are the goals of the Taskforce?</w:t>
      </w:r>
    </w:p>
    <w:p w14:paraId="20EA5526" w14:textId="77777777" w:rsidR="003B30E4" w:rsidRPr="00FC1976" w:rsidRDefault="003B30E4" w:rsidP="00082595">
      <w:pPr>
        <w:rPr>
          <w:lang w:val="en-AU"/>
        </w:rPr>
      </w:pPr>
      <w:r w:rsidRPr="00FC1976">
        <w:rPr>
          <w:lang w:val="en-AU"/>
        </w:rPr>
        <w:t xml:space="preserve">The Taskforce is committed to providing recommendations to the </w:t>
      </w:r>
      <w:r w:rsidR="007D479F">
        <w:rPr>
          <w:lang w:val="en-AU"/>
        </w:rPr>
        <w:t xml:space="preserve">Minister for Health </w:t>
      </w:r>
      <w:r w:rsidRPr="00FC1976">
        <w:rPr>
          <w:lang w:val="en-AU"/>
        </w:rPr>
        <w:t>that will allow the MBS to deliver on each of these four goals:</w:t>
      </w:r>
    </w:p>
    <w:p w14:paraId="58D14B00" w14:textId="77777777" w:rsidR="003B30E4" w:rsidRPr="00FC1976" w:rsidRDefault="003B30E4" w:rsidP="00E15A50">
      <w:pPr>
        <w:pStyle w:val="01squarebullet"/>
        <w:rPr>
          <w:lang w:val="en-AU"/>
        </w:rPr>
      </w:pPr>
      <w:r w:rsidRPr="00FC1976">
        <w:rPr>
          <w:b/>
          <w:lang w:val="en-AU"/>
        </w:rPr>
        <w:t>Affordable and universal access.</w:t>
      </w:r>
      <w:r w:rsidRPr="00FC1976">
        <w:rPr>
          <w:lang w:val="en-AU"/>
        </w:rPr>
        <w:t xml:space="preserve"> 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14:paraId="703721AE" w14:textId="24942FDA" w:rsidR="003B30E4" w:rsidRPr="00FC1976" w:rsidRDefault="003B30E4" w:rsidP="00E15A50">
      <w:pPr>
        <w:pStyle w:val="01squarebullet"/>
        <w:rPr>
          <w:lang w:val="en-AU"/>
        </w:rPr>
      </w:pPr>
      <w:r w:rsidRPr="00FC1976">
        <w:rPr>
          <w:b/>
          <w:lang w:val="en-AU"/>
        </w:rPr>
        <w:t>Best-practice health services.</w:t>
      </w:r>
      <w:r w:rsidRPr="00FC1976">
        <w:rPr>
          <w:lang w:val="en-AU"/>
        </w:rPr>
        <w:t xml:space="preserve"> One of the core objectives of the </w:t>
      </w:r>
      <w:r w:rsidR="00E54055">
        <w:rPr>
          <w:lang w:val="en-AU"/>
        </w:rPr>
        <w:t>Review</w:t>
      </w:r>
      <w:r w:rsidRPr="00FC1976">
        <w:rPr>
          <w:lang w:val="en-AU"/>
        </w:rPr>
        <w:t xml:space="preserve">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majority of existing MBS items pre-date this process and have never been reviewed.</w:t>
      </w:r>
    </w:p>
    <w:p w14:paraId="0E13F285" w14:textId="67AFD8FF" w:rsidR="003B30E4" w:rsidRPr="00FC1976" w:rsidRDefault="003B30E4" w:rsidP="00E15A50">
      <w:pPr>
        <w:pStyle w:val="01squarebullet"/>
        <w:rPr>
          <w:lang w:val="en-AU"/>
        </w:rPr>
      </w:pPr>
      <w:r w:rsidRPr="00FC1976">
        <w:rPr>
          <w:b/>
          <w:lang w:val="en-AU"/>
        </w:rPr>
        <w:t xml:space="preserve">Value for the individual patient. </w:t>
      </w:r>
      <w:r w:rsidRPr="00FC1976">
        <w:rPr>
          <w:lang w:val="en-AU"/>
        </w:rPr>
        <w:t xml:space="preserve">Another core objective of the </w:t>
      </w:r>
      <w:r w:rsidR="00E54055">
        <w:rPr>
          <w:lang w:val="en-AU"/>
        </w:rPr>
        <w:t>Review</w:t>
      </w:r>
      <w:r w:rsidRPr="00FC1976">
        <w:rPr>
          <w:lang w:val="en-AU"/>
        </w:rPr>
        <w:t xml:space="preserve"> is to maintain an MBS that supports the delivery of services that are appropriate to the patient’s needs, provide real clinical value and do not expose the patient to unnecessary risk or expense.</w:t>
      </w:r>
    </w:p>
    <w:p w14:paraId="2E4B97C8" w14:textId="77777777" w:rsidR="003B30E4" w:rsidRPr="00FC1976" w:rsidRDefault="003B30E4" w:rsidP="00E15A50">
      <w:pPr>
        <w:pStyle w:val="01squarebullet"/>
        <w:rPr>
          <w:lang w:val="en-AU"/>
        </w:rPr>
      </w:pPr>
      <w:r w:rsidRPr="00FC1976">
        <w:rPr>
          <w:b/>
          <w:lang w:val="en-AU"/>
        </w:rPr>
        <w:t xml:space="preserve">Value for the health system. </w:t>
      </w:r>
      <w:r w:rsidRPr="00FC1976">
        <w:rPr>
          <w:lang w:val="en-AU"/>
        </w:rPr>
        <w:t xml:space="preserve">Achieving the above elements will go a long way towards achieving improved value for the health system overall. Reducing the volume of services that provide little or no clinical benefit will enable resources to be redirected to new and existing services that have proven benefits but are underused, particularly for patients who cannot readily access </w:t>
      </w:r>
      <w:r w:rsidR="007D7083">
        <w:rPr>
          <w:lang w:val="en-AU"/>
        </w:rPr>
        <w:t>these</w:t>
      </w:r>
      <w:r w:rsidR="007D7083" w:rsidRPr="00FC1976">
        <w:rPr>
          <w:lang w:val="en-AU"/>
        </w:rPr>
        <w:t xml:space="preserve"> </w:t>
      </w:r>
      <w:r w:rsidRPr="00FC1976">
        <w:rPr>
          <w:lang w:val="en-AU"/>
        </w:rPr>
        <w:t>services.</w:t>
      </w:r>
    </w:p>
    <w:p w14:paraId="250AA7BA" w14:textId="77777777" w:rsidR="003B30E4" w:rsidRPr="00FC1976" w:rsidRDefault="003B30E4" w:rsidP="005076E4">
      <w:pPr>
        <w:pStyle w:val="Heading2"/>
        <w:rPr>
          <w:lang w:val="en-AU"/>
        </w:rPr>
      </w:pPr>
      <w:bookmarkStart w:id="27" w:name="_Toc457463616"/>
      <w:bookmarkStart w:id="28" w:name="_Toc459996807"/>
      <w:bookmarkStart w:id="29" w:name="_Toc458166995"/>
      <w:bookmarkStart w:id="30" w:name="_Toc467668950"/>
      <w:bookmarkStart w:id="31" w:name="_Toc456045428"/>
      <w:bookmarkEnd w:id="21"/>
      <w:r w:rsidRPr="00FC1976">
        <w:rPr>
          <w:lang w:val="en-AU"/>
        </w:rPr>
        <w:t>The Taskforce’s approach</w:t>
      </w:r>
      <w:bookmarkEnd w:id="27"/>
      <w:bookmarkEnd w:id="28"/>
      <w:bookmarkEnd w:id="29"/>
      <w:bookmarkEnd w:id="30"/>
    </w:p>
    <w:p w14:paraId="24D15CC5" w14:textId="79B34704" w:rsidR="003B30E4" w:rsidRPr="00FC1976" w:rsidRDefault="003B30E4" w:rsidP="00082595">
      <w:pPr>
        <w:rPr>
          <w:lang w:val="en-AU"/>
        </w:rPr>
      </w:pPr>
      <w:r w:rsidRPr="00FC1976">
        <w:rPr>
          <w:lang w:val="en-AU"/>
        </w:rPr>
        <w:t xml:space="preserve">The Taskforce is reviewing existing MBS items, with a primary focus on ensuring that individual items and usage meet the definition of best practice. Within the Taskforce’s brief, there is considerable scope to review and </w:t>
      </w:r>
      <w:r w:rsidR="00D03EBD" w:rsidRPr="00FC1976">
        <w:rPr>
          <w:lang w:val="en-AU"/>
        </w:rPr>
        <w:t xml:space="preserve">provide </w:t>
      </w:r>
      <w:r w:rsidRPr="00FC1976">
        <w:rPr>
          <w:lang w:val="en-AU"/>
        </w:rPr>
        <w:t>advi</w:t>
      </w:r>
      <w:r w:rsidR="00D03EBD" w:rsidRPr="00FC1976">
        <w:rPr>
          <w:lang w:val="en-AU"/>
        </w:rPr>
        <w:t>c</w:t>
      </w:r>
      <w:r w:rsidRPr="00FC1976">
        <w:rPr>
          <w:lang w:val="en-AU"/>
        </w:rPr>
        <w:t xml:space="preserve">e on all aspects that would contribute to a modern, transparent and responsive system. This includes not only making recommendations about adding new items or services to the MBS, but also about an MBS structure that could better accommodate changing health service models. 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w:t>
      </w:r>
      <w:r w:rsidR="00E54055">
        <w:rPr>
          <w:lang w:val="en-AU"/>
        </w:rPr>
        <w:t>Review</w:t>
      </w:r>
      <w:r w:rsidRPr="00FC1976">
        <w:rPr>
          <w:lang w:val="en-AU"/>
        </w:rPr>
        <w:t xml:space="preserve"> has concluded.</w:t>
      </w:r>
    </w:p>
    <w:p w14:paraId="0EE0AF03" w14:textId="77777777" w:rsidR="003B30E4" w:rsidRPr="00FC1976" w:rsidRDefault="003B30E4" w:rsidP="00082595">
      <w:pPr>
        <w:rPr>
          <w:lang w:val="en-AU"/>
        </w:rPr>
      </w:pPr>
      <w:r w:rsidRPr="00FC1976">
        <w:rPr>
          <w:lang w:val="en-AU"/>
        </w:rPr>
        <w:t xml:space="preserve">As the MBS Review is to be clinician-led, the Taskforce decided that </w:t>
      </w:r>
      <w:r w:rsidR="007D479F">
        <w:rPr>
          <w:lang w:val="en-AU"/>
        </w:rPr>
        <w:t>Clinical Committee</w:t>
      </w:r>
      <w:r w:rsidR="00680028">
        <w:rPr>
          <w:lang w:val="en-AU"/>
        </w:rPr>
        <w:t xml:space="preserve">s should conduct </w:t>
      </w:r>
      <w:r w:rsidRPr="00FC1976">
        <w:rPr>
          <w:lang w:val="en-AU"/>
        </w:rPr>
        <w:t xml:space="preserve">the detailed review of MBS items. The committees are broad-based in their membership, and members have been appointed in </w:t>
      </w:r>
      <w:r w:rsidR="00122F79">
        <w:rPr>
          <w:lang w:val="en-AU"/>
        </w:rPr>
        <w:t>an</w:t>
      </w:r>
      <w:r w:rsidR="00122F79" w:rsidRPr="00FC1976">
        <w:rPr>
          <w:lang w:val="en-AU"/>
        </w:rPr>
        <w:t xml:space="preserve"> </w:t>
      </w:r>
      <w:r w:rsidRPr="00FC1976">
        <w:rPr>
          <w:lang w:val="en-AU"/>
        </w:rPr>
        <w:t xml:space="preserve">individual capacity, rather than as representatives of any organisation. </w:t>
      </w:r>
    </w:p>
    <w:p w14:paraId="5CA6B777" w14:textId="51360AC1" w:rsidR="003B30E4" w:rsidRPr="00FC1976" w:rsidRDefault="003B30E4" w:rsidP="00082595">
      <w:pPr>
        <w:rPr>
          <w:lang w:val="en-AU"/>
        </w:rPr>
      </w:pPr>
      <w:r w:rsidRPr="00FC1976">
        <w:rPr>
          <w:lang w:val="en-AU"/>
        </w:rPr>
        <w:t xml:space="preserve">The Taskforce asked all committees in the second tranche of the </w:t>
      </w:r>
      <w:r w:rsidR="00E54055">
        <w:rPr>
          <w:lang w:val="en-AU"/>
        </w:rPr>
        <w:t>Review</w:t>
      </w:r>
      <w:r w:rsidRPr="00FC1976">
        <w:rPr>
          <w:lang w:val="en-AU"/>
        </w:rPr>
        <w:t xml:space="preserve"> process to review MBS items using a framework based on </w:t>
      </w:r>
      <w:r w:rsidR="00E54055">
        <w:rPr>
          <w:lang w:val="en-AU"/>
        </w:rPr>
        <w:t>A</w:t>
      </w:r>
      <w:r w:rsidRPr="00FC1976">
        <w:rPr>
          <w:lang w:val="en-AU"/>
        </w:rPr>
        <w:t xml:space="preserve">ppropriate </w:t>
      </w:r>
      <w:r w:rsidR="00E54055">
        <w:rPr>
          <w:lang w:val="en-AU"/>
        </w:rPr>
        <w:t>U</w:t>
      </w:r>
      <w:r w:rsidRPr="00FC1976">
        <w:rPr>
          <w:lang w:val="en-AU"/>
        </w:rPr>
        <w:t xml:space="preserve">se </w:t>
      </w:r>
      <w:r w:rsidR="00E54055">
        <w:rPr>
          <w:lang w:val="en-AU"/>
        </w:rPr>
        <w:t>C</w:t>
      </w:r>
      <w:r w:rsidRPr="00FC1976">
        <w:rPr>
          <w:lang w:val="en-AU"/>
        </w:rPr>
        <w:t>riteria</w:t>
      </w:r>
      <w:r w:rsidR="00784E75">
        <w:rPr>
          <w:lang w:val="en-AU"/>
        </w:rPr>
        <w:t xml:space="preserve"> </w:t>
      </w:r>
      <w:r w:rsidR="00E54055">
        <w:rPr>
          <w:lang w:val="en-AU"/>
        </w:rPr>
        <w:t>accepted by the Taskforce</w:t>
      </w:r>
      <w:r w:rsidRPr="00FC1976">
        <w:rPr>
          <w:lang w:val="en-AU"/>
        </w:rPr>
        <w:fldChar w:fldCharType="begin" w:fldLock="1"/>
      </w:r>
      <w:r w:rsidR="0099742A">
        <w:rPr>
          <w:lang w:val="en-AU"/>
        </w:rPr>
        <w:instrText>ADDIN CSL_CITATION { "citationItems" : [ { "id" : "ITEM-1", "itemData" : { "author" : [ { "dropping-particle" : "", "family" : "Elshaug", "given" : "Adam (Menzies Centre for Health Policy)", "non-dropping-particle" : "", "parse-names" : false, "suffix" : "" } ], "id" : "ITEM-1", "issued" : { "date-parts" : [ [ "2016" ] ] }, "title" : "Appropriate Use Criteria", "type" : "report" }, "uris" : [ "http://www.mendeley.com/documents/?uuid=02c9b92e-0c6c-4ffc-94a1-60122668e3e1" ] } ], "mendeley" : { "formattedCitation" : "(1)", "plainTextFormattedCitation" : "(1)", "previouslyFormattedCitation" : "(1)" }, "properties" : { "noteIndex" : 0 }, "schema" : "https://github.com/citation-style-language/schema/raw/master/csl-citation.json" }</w:instrText>
      </w:r>
      <w:r w:rsidRPr="00FC1976">
        <w:rPr>
          <w:lang w:val="en-AU"/>
        </w:rPr>
        <w:fldChar w:fldCharType="separate"/>
      </w:r>
      <w:r w:rsidR="005541B4" w:rsidRPr="00FC1976">
        <w:rPr>
          <w:noProof/>
          <w:lang w:val="en-AU"/>
        </w:rPr>
        <w:t>(1)</w:t>
      </w:r>
      <w:r w:rsidRPr="00FC1976">
        <w:rPr>
          <w:lang w:val="en-AU"/>
        </w:rPr>
        <w:fldChar w:fldCharType="end"/>
      </w:r>
      <w:r w:rsidR="00784E75">
        <w:rPr>
          <w:lang w:val="en-AU"/>
        </w:rPr>
        <w:t>.</w:t>
      </w:r>
      <w:r w:rsidRPr="00FC1976">
        <w:rPr>
          <w:lang w:val="en-AU"/>
        </w:rPr>
        <w:t xml:space="preserve"> The framework consists of seven steps:</w:t>
      </w:r>
    </w:p>
    <w:p w14:paraId="02D944F9" w14:textId="77777777" w:rsidR="003B30E4" w:rsidRPr="00FC1976" w:rsidRDefault="003B30E4" w:rsidP="00DB15BF">
      <w:pPr>
        <w:pStyle w:val="01squarebullet"/>
        <w:numPr>
          <w:ilvl w:val="0"/>
          <w:numId w:val="13"/>
        </w:numPr>
        <w:rPr>
          <w:lang w:val="en-AU"/>
        </w:rPr>
      </w:pPr>
      <w:r w:rsidRPr="00FC1976">
        <w:rPr>
          <w:lang w:val="en-AU"/>
        </w:rPr>
        <w:t xml:space="preserve">Develop an initial fact base for all items under consideration, drawing on the relevant data and literature. </w:t>
      </w:r>
    </w:p>
    <w:p w14:paraId="6437B7C8" w14:textId="77777777" w:rsidR="003B30E4" w:rsidRPr="00FC1976" w:rsidRDefault="003B30E4" w:rsidP="00DB15BF">
      <w:pPr>
        <w:pStyle w:val="01squarebullet"/>
        <w:numPr>
          <w:ilvl w:val="0"/>
          <w:numId w:val="13"/>
        </w:numPr>
        <w:rPr>
          <w:lang w:val="en-AU"/>
        </w:rPr>
      </w:pPr>
      <w:r w:rsidRPr="00FC1976">
        <w:rPr>
          <w:lang w:val="en-AU"/>
        </w:rPr>
        <w:t>Identify items that are obsolete, are of questionable clinical value, are misused and/or pose a risk to patient safety. This step includes prioritising items as “priority 1</w:t>
      </w:r>
      <w:r w:rsidR="00784E75">
        <w:rPr>
          <w:lang w:val="en-AU"/>
        </w:rPr>
        <w:t>,</w:t>
      </w:r>
      <w:r w:rsidRPr="00FC1976">
        <w:rPr>
          <w:lang w:val="en-AU"/>
        </w:rPr>
        <w:t>” “priority 2” or “priority 3,” using a prioritisation methodology (described in more detail below).</w:t>
      </w:r>
    </w:p>
    <w:p w14:paraId="48925DC2" w14:textId="77777777" w:rsidR="003B30E4" w:rsidRPr="00FC1976" w:rsidRDefault="003B30E4" w:rsidP="00DB15BF">
      <w:pPr>
        <w:pStyle w:val="01squarebullet"/>
        <w:numPr>
          <w:ilvl w:val="0"/>
          <w:numId w:val="13"/>
        </w:numPr>
        <w:rPr>
          <w:lang w:val="en-AU"/>
        </w:rPr>
      </w:pPr>
      <w:r w:rsidRPr="00FC1976">
        <w:rPr>
          <w:lang w:val="en-AU"/>
        </w:rPr>
        <w:t xml:space="preserve">Identify any issues, develop hypotheses for recommendations and create a work plan (including establishing </w:t>
      </w:r>
      <w:r w:rsidR="007D479F">
        <w:rPr>
          <w:lang w:val="en-AU"/>
        </w:rPr>
        <w:t>Working Group</w:t>
      </w:r>
      <w:r w:rsidRPr="00FC1976">
        <w:rPr>
          <w:lang w:val="en-AU"/>
        </w:rPr>
        <w:t>s, when required) to arrive at recommendations for each item.</w:t>
      </w:r>
    </w:p>
    <w:p w14:paraId="3223ADC0" w14:textId="77777777" w:rsidR="003B30E4" w:rsidRPr="00FC1976" w:rsidRDefault="003B30E4" w:rsidP="00DB15BF">
      <w:pPr>
        <w:pStyle w:val="01squarebullet"/>
        <w:numPr>
          <w:ilvl w:val="0"/>
          <w:numId w:val="13"/>
        </w:numPr>
        <w:rPr>
          <w:lang w:val="en-AU"/>
        </w:rPr>
      </w:pPr>
      <w:r w:rsidRPr="00FC1976">
        <w:rPr>
          <w:lang w:val="en-AU"/>
        </w:rPr>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t>
      </w:r>
      <w:r w:rsidR="007D479F">
        <w:rPr>
          <w:lang w:val="en-AU"/>
        </w:rPr>
        <w:t>Working Group</w:t>
      </w:r>
      <w:r w:rsidRPr="00FC1976">
        <w:rPr>
          <w:lang w:val="en-AU"/>
        </w:rPr>
        <w:t>s, and relevant colleagues or colleges. For complex cases, full appropriate use criteria were developed for the item’s explanatory notes.</w:t>
      </w:r>
    </w:p>
    <w:p w14:paraId="1DCD6329" w14:textId="77777777" w:rsidR="003B30E4" w:rsidRPr="00FC1976" w:rsidRDefault="003B30E4" w:rsidP="00DB15BF">
      <w:pPr>
        <w:pStyle w:val="01squarebullet"/>
        <w:numPr>
          <w:ilvl w:val="0"/>
          <w:numId w:val="13"/>
        </w:numPr>
        <w:rPr>
          <w:lang w:val="en-AU"/>
        </w:rPr>
      </w:pPr>
      <w:r w:rsidRPr="00FC1976">
        <w:rPr>
          <w:lang w:val="en-AU"/>
        </w:rPr>
        <w:t xml:space="preserve">Review </w:t>
      </w:r>
      <w:r w:rsidR="000205C1">
        <w:rPr>
          <w:lang w:val="en-AU"/>
        </w:rPr>
        <w:t xml:space="preserve">the </w:t>
      </w:r>
      <w:r w:rsidRPr="00FC1976">
        <w:rPr>
          <w:lang w:val="en-AU"/>
        </w:rPr>
        <w:t>provisional recommendations and the accompanying rationales, and gather further evidence as required.</w:t>
      </w:r>
    </w:p>
    <w:p w14:paraId="6B61EF83" w14:textId="77777777" w:rsidR="003B30E4" w:rsidRPr="00FC1976" w:rsidRDefault="003B30E4" w:rsidP="00DB15BF">
      <w:pPr>
        <w:pStyle w:val="01squarebullet"/>
        <w:numPr>
          <w:ilvl w:val="0"/>
          <w:numId w:val="13"/>
        </w:numPr>
        <w:rPr>
          <w:lang w:val="en-AU"/>
        </w:rPr>
      </w:pPr>
      <w:r w:rsidRPr="00FC1976">
        <w:rPr>
          <w:lang w:val="en-AU"/>
        </w:rPr>
        <w:t xml:space="preserve">Finalise </w:t>
      </w:r>
      <w:r w:rsidR="0060245F">
        <w:rPr>
          <w:lang w:val="en-AU"/>
        </w:rPr>
        <w:t xml:space="preserve">the </w:t>
      </w:r>
      <w:r w:rsidRPr="00FC1976">
        <w:rPr>
          <w:lang w:val="en-AU"/>
        </w:rPr>
        <w:t>recommendations in preparation for broader stakeholder consultation.</w:t>
      </w:r>
    </w:p>
    <w:p w14:paraId="272E69B4" w14:textId="4B2F7007" w:rsidR="003B30E4" w:rsidRPr="00FC1976" w:rsidRDefault="003B30E4" w:rsidP="00DB15BF">
      <w:pPr>
        <w:pStyle w:val="01squarebullet"/>
        <w:numPr>
          <w:ilvl w:val="0"/>
          <w:numId w:val="13"/>
        </w:numPr>
        <w:rPr>
          <w:lang w:val="en-AU"/>
        </w:rPr>
      </w:pPr>
      <w:r w:rsidRPr="00FC1976">
        <w:rPr>
          <w:lang w:val="en-AU"/>
        </w:rPr>
        <w:t xml:space="preserve">Incorporate feedback gathered during stakeholder consultation and finalise the </w:t>
      </w:r>
      <w:r w:rsidR="00E54055">
        <w:rPr>
          <w:lang w:val="en-AU"/>
        </w:rPr>
        <w:t>Review</w:t>
      </w:r>
      <w:r w:rsidRPr="00FC1976">
        <w:rPr>
          <w:lang w:val="en-AU"/>
        </w:rPr>
        <w:t xml:space="preserve"> report, which provides recommendations for the Taskforce. </w:t>
      </w:r>
    </w:p>
    <w:p w14:paraId="3A99F4A2" w14:textId="4845C4BB" w:rsidR="003B30E4" w:rsidRPr="00FC1976" w:rsidRDefault="003B30E4" w:rsidP="00082595">
      <w:pPr>
        <w:rPr>
          <w:lang w:val="en-AU"/>
        </w:rPr>
      </w:pPr>
      <w:r w:rsidRPr="00FC1976">
        <w:rPr>
          <w:lang w:val="en-AU"/>
        </w:rPr>
        <w:t xml:space="preserve">All MBS items </w:t>
      </w:r>
      <w:r w:rsidR="005E7CE3" w:rsidRPr="00FC1976">
        <w:rPr>
          <w:rFonts w:cs="Arial"/>
          <w:lang w:val="en-AU"/>
        </w:rPr>
        <w:t>will be</w:t>
      </w:r>
      <w:r w:rsidRPr="00FC1976">
        <w:rPr>
          <w:lang w:val="en-AU"/>
        </w:rPr>
        <w:t xml:space="preserve"> reviewed during the course of the MBS Review. However, given the breadth of and timeframe for the </w:t>
      </w:r>
      <w:r w:rsidR="00E54055">
        <w:rPr>
          <w:lang w:val="en-AU"/>
        </w:rPr>
        <w:t>Review</w:t>
      </w:r>
      <w:r w:rsidRPr="00FC1976">
        <w:rPr>
          <w:lang w:val="en-AU"/>
        </w:rPr>
        <w:t xml:space="preserve">, each </w:t>
      </w:r>
      <w:r w:rsidR="007D479F">
        <w:rPr>
          <w:lang w:val="en-AU"/>
        </w:rPr>
        <w:t>Clinical Committee</w:t>
      </w:r>
      <w:r w:rsidRPr="00FC1976">
        <w:rPr>
          <w:lang w:val="en-AU"/>
        </w:rPr>
        <w:t xml:space="preserve"> had to develop a work plan and assign priorities, keeping in mind the objectives of the </w:t>
      </w:r>
      <w:r w:rsidR="00E54055">
        <w:rPr>
          <w:lang w:val="en-AU"/>
        </w:rPr>
        <w:t>Review</w:t>
      </w:r>
      <w:r w:rsidRPr="00FC1976">
        <w:rPr>
          <w:lang w:val="en-AU"/>
        </w:rPr>
        <w:t>. Committees used a robust prioritisation methodology to focus their attention and resources on the most important items requiring review. This was determined based on a combination of two standard metrics, derived from the appropriate use criteria</w:t>
      </w:r>
      <w:r w:rsidR="008518EC" w:rsidRPr="00FC1976">
        <w:rPr>
          <w:lang w:val="en-AU"/>
        </w:rPr>
        <w:t xml:space="preserve"> </w:t>
      </w:r>
      <w:r w:rsidRPr="00FC1976">
        <w:rPr>
          <w:lang w:val="en-AU"/>
        </w:rPr>
        <w:fldChar w:fldCharType="begin" w:fldLock="1"/>
      </w:r>
      <w:r w:rsidR="0099742A">
        <w:rPr>
          <w:lang w:val="en-AU"/>
        </w:rPr>
        <w:instrText>ADDIN CSL_CITATION { "citationItems" : [ { "id" : "ITEM-1", "itemData" : { "author" : [ { "dropping-particle" : "", "family" : "Elshaug", "given" : "Adam (Menzies Centre for Health Policy)", "non-dropping-particle" : "", "parse-names" : false, "suffix" : "" } ], "id" : "ITEM-1", "issued" : { "date-parts" : [ [ "2016" ] ] }, "title" : "Appropriate Use Criteria", "type" : "report" }, "uris" : [ "http://www.mendeley.com/documents/?uuid=02c9b92e-0c6c-4ffc-94a1-60122668e3e1" ] } ], "mendeley" : { "formattedCitation" : "(1)", "plainTextFormattedCitation" : "(1)", "previouslyFormattedCitation" : "(1)" }, "properties" : { "noteIndex" : 0 }, "schema" : "https://github.com/citation-style-language/schema/raw/master/csl-citation.json" }</w:instrText>
      </w:r>
      <w:r w:rsidRPr="00FC1976">
        <w:rPr>
          <w:lang w:val="en-AU"/>
        </w:rPr>
        <w:fldChar w:fldCharType="separate"/>
      </w:r>
      <w:r w:rsidR="005541B4" w:rsidRPr="00FC1976">
        <w:rPr>
          <w:noProof/>
          <w:lang w:val="en-AU"/>
        </w:rPr>
        <w:t>(1)</w:t>
      </w:r>
      <w:r w:rsidRPr="00FC1976">
        <w:rPr>
          <w:lang w:val="en-AU"/>
        </w:rPr>
        <w:fldChar w:fldCharType="end"/>
      </w:r>
      <w:r w:rsidRPr="00FC1976">
        <w:rPr>
          <w:lang w:val="en-AU"/>
        </w:rPr>
        <w:t>:</w:t>
      </w:r>
    </w:p>
    <w:p w14:paraId="3F4AC750" w14:textId="77777777" w:rsidR="003B30E4" w:rsidRPr="00FC1976" w:rsidRDefault="003B30E4" w:rsidP="005076E4">
      <w:pPr>
        <w:pStyle w:val="NormalBulleted"/>
        <w:rPr>
          <w:lang w:val="en-AU"/>
        </w:rPr>
      </w:pPr>
      <w:r w:rsidRPr="00FC1976">
        <w:rPr>
          <w:lang w:val="en-AU"/>
        </w:rPr>
        <w:t>Service volume</w:t>
      </w:r>
      <w:r w:rsidR="007B5034">
        <w:rPr>
          <w:lang w:val="en-AU"/>
        </w:rPr>
        <w:t>.</w:t>
      </w:r>
    </w:p>
    <w:p w14:paraId="32CD2773" w14:textId="77777777" w:rsidR="003B30E4" w:rsidRPr="00FC1976" w:rsidRDefault="003B30E4" w:rsidP="007D245F">
      <w:pPr>
        <w:pStyle w:val="NormalBulleted"/>
        <w:spacing w:line="240" w:lineRule="auto"/>
        <w:rPr>
          <w:lang w:val="en-AU"/>
        </w:rPr>
      </w:pPr>
      <w:r w:rsidRPr="00FC1976">
        <w:rPr>
          <w:lang w:val="en-AU"/>
        </w:rPr>
        <w:t>The likelihood that the item need</w:t>
      </w:r>
      <w:r w:rsidR="007D245F">
        <w:rPr>
          <w:lang w:val="en-AU"/>
        </w:rPr>
        <w:t>ed</w:t>
      </w:r>
      <w:r w:rsidRPr="00FC1976">
        <w:rPr>
          <w:lang w:val="en-AU"/>
        </w:rPr>
        <w:t xml:space="preserve"> to be revised, determined by indicators such as identified safety concerns, geographic or temporal variation, delivery irregularity, the potential misuse of indications or other concerns raised by the Committee (such as inappropriate co-claiming).</w:t>
      </w:r>
    </w:p>
    <w:p w14:paraId="036F2306" w14:textId="1E34B48E" w:rsidR="003B30E4" w:rsidRPr="00FC1976" w:rsidRDefault="003B30E4" w:rsidP="00082595">
      <w:pPr>
        <w:rPr>
          <w:lang w:val="en-AU"/>
        </w:rPr>
      </w:pPr>
      <w:r w:rsidRPr="00FC1976">
        <w:rPr>
          <w:lang w:val="en-AU"/>
        </w:rPr>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r w:rsidR="004D68DE" w:rsidRPr="00FC1976">
        <w:rPr>
          <w:rFonts w:cs="Arial"/>
          <w:lang w:val="en-AU"/>
        </w:rPr>
        <w:fldChar w:fldCharType="begin"/>
      </w:r>
      <w:r w:rsidR="004D68DE" w:rsidRPr="00FC1976">
        <w:rPr>
          <w:lang w:val="en-AU"/>
        </w:rPr>
        <w:instrText xml:space="preserve"> REF _Ref459985112 \h </w:instrText>
      </w:r>
      <w:r w:rsidR="004D68DE" w:rsidRPr="00FC1976">
        <w:rPr>
          <w:rFonts w:cs="Arial"/>
          <w:lang w:val="en-AU"/>
        </w:rPr>
      </w:r>
      <w:r w:rsidR="004D68DE" w:rsidRPr="00FC1976">
        <w:rPr>
          <w:rFonts w:cs="Arial"/>
          <w:lang w:val="en-AU"/>
        </w:rPr>
        <w:fldChar w:fldCharType="separate"/>
      </w:r>
      <w:r w:rsidR="00D17FB0" w:rsidRPr="00FC1976">
        <w:rPr>
          <w:lang w:val="en-AU"/>
        </w:rPr>
        <w:t xml:space="preserve">Figure </w:t>
      </w:r>
      <w:r w:rsidR="00D17FB0">
        <w:rPr>
          <w:noProof/>
          <w:lang w:val="en-AU"/>
        </w:rPr>
        <w:t>1</w:t>
      </w:r>
      <w:r w:rsidR="004D68DE" w:rsidRPr="00FC1976">
        <w:rPr>
          <w:rFonts w:cs="Arial"/>
          <w:lang w:val="en-AU"/>
        </w:rPr>
        <w:fldChar w:fldCharType="end"/>
      </w:r>
      <w:r w:rsidRPr="00FC1976">
        <w:rPr>
          <w:rFonts w:cs="Arial"/>
          <w:lang w:val="en-AU"/>
        </w:rPr>
        <w:t>).</w:t>
      </w:r>
      <w:r w:rsidRPr="00FC1976">
        <w:rPr>
          <w:lang w:val="en-AU"/>
        </w:rPr>
        <w:t xml:space="preserve"> The Committee used this priority ranking to organise its review of item numbers and apportion the amount of time spent on each item. </w:t>
      </w:r>
    </w:p>
    <w:p w14:paraId="599F5227" w14:textId="3BDD0A8F" w:rsidR="003B30E4" w:rsidRPr="00FC1976" w:rsidRDefault="00836B2A" w:rsidP="00082595">
      <w:pPr>
        <w:pStyle w:val="Caption"/>
        <w:rPr>
          <w:lang w:val="en-AU"/>
        </w:rPr>
      </w:pPr>
      <w:bookmarkStart w:id="32" w:name="_Toc459891304"/>
      <w:bookmarkStart w:id="33" w:name="_Toc458167034"/>
      <w:bookmarkStart w:id="34" w:name="_Ref459985112"/>
      <w:bookmarkStart w:id="35" w:name="_Toc459996843"/>
      <w:bookmarkStart w:id="36" w:name="_Toc459985370"/>
      <w:bookmarkStart w:id="37" w:name="_Toc463984897"/>
      <w:r w:rsidRPr="00FC1976">
        <w:rPr>
          <w:lang w:val="en-AU"/>
        </w:rPr>
        <w:t xml:space="preserve">Figure </w:t>
      </w:r>
      <w:r w:rsidR="00746E7D" w:rsidRPr="00FC1976">
        <w:rPr>
          <w:lang w:val="en-AU"/>
        </w:rPr>
        <w:fldChar w:fldCharType="begin"/>
      </w:r>
      <w:r w:rsidR="00746E7D" w:rsidRPr="00FC1976">
        <w:rPr>
          <w:lang w:val="en-AU"/>
        </w:rPr>
        <w:instrText xml:space="preserve"> SEQ Figure \* ARABIC </w:instrText>
      </w:r>
      <w:r w:rsidR="00746E7D" w:rsidRPr="00FC1976">
        <w:rPr>
          <w:lang w:val="en-AU"/>
        </w:rPr>
        <w:fldChar w:fldCharType="separate"/>
      </w:r>
      <w:r w:rsidR="00D17FB0">
        <w:rPr>
          <w:noProof/>
          <w:lang w:val="en-AU"/>
        </w:rPr>
        <w:t>1</w:t>
      </w:r>
      <w:bookmarkEnd w:id="32"/>
      <w:bookmarkEnd w:id="33"/>
      <w:r w:rsidR="00746E7D" w:rsidRPr="00FC1976">
        <w:rPr>
          <w:lang w:val="en-AU"/>
        </w:rPr>
        <w:fldChar w:fldCharType="end"/>
      </w:r>
      <w:bookmarkEnd w:id="34"/>
      <w:r w:rsidR="004D68DE" w:rsidRPr="00FC1976">
        <w:rPr>
          <w:lang w:val="en-AU"/>
        </w:rPr>
        <w:t>: Prioritisation matrix</w:t>
      </w:r>
      <w:bookmarkEnd w:id="35"/>
      <w:bookmarkEnd w:id="36"/>
      <w:bookmarkEnd w:id="37"/>
    </w:p>
    <w:p w14:paraId="06B4C03B" w14:textId="77777777" w:rsidR="00D0416D" w:rsidRPr="00FC1976" w:rsidRDefault="00D0416D" w:rsidP="00EE7BD8">
      <w:pPr>
        <w:rPr>
          <w:lang w:val="en-AU"/>
        </w:rPr>
      </w:pPr>
      <w:r>
        <w:rPr>
          <w:lang w:val="en-AU"/>
        </w:rPr>
        <w:t xml:space="preserve"> </w:t>
      </w:r>
      <w:r w:rsidRPr="00EE7BD8">
        <w:rPr>
          <w:noProof/>
          <w:lang w:val="en-AU"/>
        </w:rPr>
        <w:drawing>
          <wp:inline distT="0" distB="0" distL="0" distR="0" wp14:anchorId="5F3F565F" wp14:editId="02115F77">
            <wp:extent cx="4475480" cy="3368675"/>
            <wp:effectExtent l="0" t="0" r="1270" b="3175"/>
            <wp:docPr id="8" name="Picture 8"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p>
    <w:p w14:paraId="1269933D" w14:textId="77777777" w:rsidR="003B30E4" w:rsidRPr="00FC1976" w:rsidRDefault="003B30E4" w:rsidP="008855E4">
      <w:pPr>
        <w:pStyle w:val="Heading1"/>
        <w:rPr>
          <w:lang w:val="en-AU"/>
        </w:rPr>
      </w:pPr>
      <w:bookmarkStart w:id="38" w:name="_Toc457463617"/>
      <w:bookmarkStart w:id="39" w:name="_Toc459996808"/>
      <w:bookmarkStart w:id="40" w:name="_Toc458166996"/>
      <w:bookmarkStart w:id="41" w:name="_Toc467668951"/>
      <w:bookmarkStart w:id="42" w:name="_Toc456045429"/>
      <w:bookmarkEnd w:id="31"/>
      <w:r w:rsidRPr="00FC1976">
        <w:rPr>
          <w:lang w:val="en-AU"/>
        </w:rPr>
        <w:t xml:space="preserve">About the </w:t>
      </w:r>
      <w:r w:rsidR="002301EA">
        <w:rPr>
          <w:lang w:val="en-AU"/>
        </w:rPr>
        <w:t xml:space="preserve">Renal Clinical </w:t>
      </w:r>
      <w:r w:rsidRPr="00FC1976">
        <w:rPr>
          <w:lang w:val="en-AU"/>
        </w:rPr>
        <w:t>Committee</w:t>
      </w:r>
      <w:bookmarkEnd w:id="38"/>
      <w:bookmarkEnd w:id="39"/>
      <w:bookmarkEnd w:id="40"/>
      <w:bookmarkEnd w:id="41"/>
    </w:p>
    <w:p w14:paraId="77423AA9" w14:textId="4348820E" w:rsidR="003B30E4" w:rsidRPr="00FC1976" w:rsidRDefault="003B30E4" w:rsidP="00082595">
      <w:pPr>
        <w:rPr>
          <w:lang w:val="en-AU"/>
        </w:rPr>
      </w:pPr>
      <w:r w:rsidRPr="00FC1976">
        <w:rPr>
          <w:lang w:val="en-AU"/>
        </w:rPr>
        <w:t xml:space="preserve">The Renal Clinical Committee (the Committee) is part of the second tranche of </w:t>
      </w:r>
      <w:r w:rsidR="007D479F">
        <w:rPr>
          <w:lang w:val="en-AU"/>
        </w:rPr>
        <w:t>Clinical Committee</w:t>
      </w:r>
      <w:r w:rsidRPr="00FC1976">
        <w:rPr>
          <w:lang w:val="en-AU"/>
        </w:rPr>
        <w:t xml:space="preserve">s. It was established in April 2016 to make recommendations to the Taskforce on MBS items within its remit, based on rapid evidence review and clinical expertise. The Taskforce asked the Committee to review </w:t>
      </w:r>
      <w:r w:rsidR="000831B4" w:rsidRPr="00FC1976">
        <w:rPr>
          <w:lang w:val="en-AU"/>
        </w:rPr>
        <w:t>renal</w:t>
      </w:r>
      <w:r w:rsidRPr="00FC1976">
        <w:rPr>
          <w:lang w:val="en-AU"/>
        </w:rPr>
        <w:t xml:space="preserve">-related MBS items. </w:t>
      </w:r>
    </w:p>
    <w:p w14:paraId="42D16BBE" w14:textId="6F954779" w:rsidR="003B30E4" w:rsidRPr="00FC1976" w:rsidRDefault="003B30E4" w:rsidP="00082595">
      <w:pPr>
        <w:rPr>
          <w:lang w:val="en-AU"/>
        </w:rPr>
      </w:pPr>
      <w:r w:rsidRPr="00FC1976">
        <w:rPr>
          <w:lang w:val="en-AU"/>
        </w:rPr>
        <w:t>The Committee consists of 1</w:t>
      </w:r>
      <w:r w:rsidR="00EA4A29" w:rsidRPr="00FC1976">
        <w:rPr>
          <w:lang w:val="en-AU"/>
        </w:rPr>
        <w:t>6</w:t>
      </w:r>
      <w:r w:rsidRPr="00FC1976">
        <w:rPr>
          <w:lang w:val="en-AU"/>
        </w:rPr>
        <w:t xml:space="preserve"> members, whose names, positions/organisations </w:t>
      </w:r>
      <w:r w:rsidR="0075794E">
        <w:rPr>
          <w:lang w:val="en-AU"/>
        </w:rPr>
        <w:t xml:space="preserve">and </w:t>
      </w:r>
      <w:r w:rsidRPr="00FC1976">
        <w:rPr>
          <w:lang w:val="en-AU"/>
        </w:rPr>
        <w:t xml:space="preserve">declared conflicts of interest are listed in Section </w:t>
      </w:r>
      <w:r w:rsidR="007E4981">
        <w:rPr>
          <w:lang w:val="en-AU"/>
        </w:rPr>
        <w:fldChar w:fldCharType="begin"/>
      </w:r>
      <w:r w:rsidR="007E4981">
        <w:rPr>
          <w:lang w:val="en-AU"/>
        </w:rPr>
        <w:instrText xml:space="preserve"> REF _Ref466964262 \r \h </w:instrText>
      </w:r>
      <w:r w:rsidR="007E4981">
        <w:rPr>
          <w:lang w:val="en-AU"/>
        </w:rPr>
      </w:r>
      <w:r w:rsidR="007E4981">
        <w:rPr>
          <w:lang w:val="en-AU"/>
        </w:rPr>
        <w:fldChar w:fldCharType="separate"/>
      </w:r>
      <w:r w:rsidR="00D17FB0">
        <w:rPr>
          <w:lang w:val="en-AU"/>
        </w:rPr>
        <w:t>3.1</w:t>
      </w:r>
      <w:r w:rsidR="007E4981">
        <w:rPr>
          <w:lang w:val="en-AU"/>
        </w:rPr>
        <w:fldChar w:fldCharType="end"/>
      </w:r>
      <w:r w:rsidRPr="00FC1976">
        <w:rPr>
          <w:lang w:val="en-AU"/>
        </w:rPr>
        <w:t xml:space="preserve">. All members of the Taskforce, </w:t>
      </w:r>
      <w:r w:rsidR="007D479F">
        <w:rPr>
          <w:lang w:val="en-AU"/>
        </w:rPr>
        <w:t>Clinical Committee</w:t>
      </w:r>
      <w:r w:rsidRPr="00FC1976">
        <w:rPr>
          <w:lang w:val="en-AU"/>
        </w:rPr>
        <w:t xml:space="preserve">s and </w:t>
      </w:r>
      <w:r w:rsidR="007D479F">
        <w:rPr>
          <w:lang w:val="en-AU"/>
        </w:rPr>
        <w:t>Working Group</w:t>
      </w:r>
      <w:r w:rsidRPr="00FC1976">
        <w:rPr>
          <w:lang w:val="en-AU"/>
        </w:rPr>
        <w:t xml:space="preserve">s </w:t>
      </w:r>
      <w:r w:rsidR="003954DF">
        <w:rPr>
          <w:lang w:val="en-AU"/>
        </w:rPr>
        <w:t>were</w:t>
      </w:r>
      <w:r w:rsidR="003954DF" w:rsidRPr="00FC1976">
        <w:rPr>
          <w:lang w:val="en-AU"/>
        </w:rPr>
        <w:t xml:space="preserve"> </w:t>
      </w:r>
      <w:r w:rsidRPr="00FC1976">
        <w:rPr>
          <w:lang w:val="en-AU"/>
        </w:rPr>
        <w:t>asked to declare any conflicts of interest at the start of their involvement and</w:t>
      </w:r>
      <w:r w:rsidR="005E7F27">
        <w:rPr>
          <w:lang w:val="en-AU"/>
        </w:rPr>
        <w:t xml:space="preserve"> are</w:t>
      </w:r>
      <w:r w:rsidRPr="00FC1976">
        <w:rPr>
          <w:lang w:val="en-AU"/>
        </w:rPr>
        <w:t xml:space="preserve"> reminded to update their declarations periodically.</w:t>
      </w:r>
    </w:p>
    <w:p w14:paraId="771F25B9" w14:textId="77777777" w:rsidR="00026792" w:rsidRPr="00FC1976" w:rsidRDefault="00026792" w:rsidP="005076E4">
      <w:pPr>
        <w:pStyle w:val="Heading2"/>
        <w:rPr>
          <w:lang w:val="en-AU"/>
        </w:rPr>
      </w:pPr>
      <w:bookmarkStart w:id="43" w:name="_Toc459996809"/>
      <w:bookmarkStart w:id="44" w:name="_Toc458166997"/>
      <w:bookmarkStart w:id="45" w:name="_Ref466964262"/>
      <w:bookmarkStart w:id="46" w:name="_Ref466964264"/>
      <w:bookmarkStart w:id="47" w:name="_Toc467668952"/>
      <w:r w:rsidRPr="00FC1976">
        <w:rPr>
          <w:lang w:val="en-AU"/>
        </w:rPr>
        <w:t xml:space="preserve">Committee </w:t>
      </w:r>
      <w:r w:rsidR="00DC1A87" w:rsidRPr="00FC1976">
        <w:rPr>
          <w:lang w:val="en-AU"/>
        </w:rPr>
        <w:t>m</w:t>
      </w:r>
      <w:r w:rsidRPr="00FC1976">
        <w:rPr>
          <w:lang w:val="en-AU"/>
        </w:rPr>
        <w:t>embers</w:t>
      </w:r>
      <w:bookmarkEnd w:id="42"/>
      <w:bookmarkEnd w:id="43"/>
      <w:bookmarkEnd w:id="44"/>
      <w:bookmarkEnd w:id="45"/>
      <w:bookmarkEnd w:id="46"/>
      <w:bookmarkEnd w:id="47"/>
    </w:p>
    <w:p w14:paraId="00F711E9" w14:textId="2FFA147B" w:rsidR="006F6F5B" w:rsidRPr="00FC1976" w:rsidRDefault="006F6F5B" w:rsidP="00082595">
      <w:pPr>
        <w:pStyle w:val="Caption"/>
        <w:rPr>
          <w:lang w:val="en-AU"/>
        </w:rPr>
      </w:pPr>
      <w:bookmarkStart w:id="48" w:name="_Toc458167025"/>
      <w:bookmarkStart w:id="49" w:name="_Toc459971207"/>
      <w:bookmarkStart w:id="50" w:name="_Toc459996834"/>
      <w:bookmarkStart w:id="51" w:name="_Toc459891295"/>
      <w:bookmarkStart w:id="52" w:name="_Toc463984888"/>
      <w:r w:rsidRPr="00FC1976">
        <w:rPr>
          <w:lang w:val="en-AU"/>
        </w:rPr>
        <w:t xml:space="preserve">Table </w:t>
      </w:r>
      <w:r w:rsidR="002A3C45" w:rsidRPr="00FC1976">
        <w:rPr>
          <w:lang w:val="en-AU"/>
        </w:rPr>
        <w:fldChar w:fldCharType="begin"/>
      </w:r>
      <w:r w:rsidR="002A3C45" w:rsidRPr="00FC1976">
        <w:rPr>
          <w:lang w:val="en-AU"/>
        </w:rPr>
        <w:instrText xml:space="preserve"> SEQ Table \* ARABIC </w:instrText>
      </w:r>
      <w:r w:rsidR="002A3C45" w:rsidRPr="00FC1976">
        <w:rPr>
          <w:lang w:val="en-AU"/>
        </w:rPr>
        <w:fldChar w:fldCharType="separate"/>
      </w:r>
      <w:r w:rsidR="00D17FB0">
        <w:rPr>
          <w:noProof/>
          <w:lang w:val="en-AU"/>
        </w:rPr>
        <w:t>1</w:t>
      </w:r>
      <w:r w:rsidR="002A3C45" w:rsidRPr="00FC1976">
        <w:rPr>
          <w:lang w:val="en-AU"/>
        </w:rPr>
        <w:fldChar w:fldCharType="end"/>
      </w:r>
      <w:r w:rsidRPr="00FC1976">
        <w:rPr>
          <w:lang w:val="en-AU"/>
        </w:rPr>
        <w:t>.</w:t>
      </w:r>
      <w:r w:rsidR="0088028F" w:rsidRPr="00FC1976">
        <w:rPr>
          <w:lang w:val="en-AU"/>
        </w:rPr>
        <w:t xml:space="preserve"> Committee members</w:t>
      </w:r>
      <w:bookmarkEnd w:id="48"/>
      <w:bookmarkEnd w:id="49"/>
      <w:bookmarkEnd w:id="50"/>
      <w:bookmarkEnd w:id="51"/>
      <w:bookmarkEnd w:id="5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 lists the Committee members for the Renal Medicine Clinical Committee. The table shows that there are no conflict of interest from all the members."/>
      </w:tblPr>
      <w:tblGrid>
        <w:gridCol w:w="1554"/>
        <w:gridCol w:w="4820"/>
        <w:gridCol w:w="2642"/>
      </w:tblGrid>
      <w:tr w:rsidR="00C15476" w:rsidRPr="00FC1976" w14:paraId="40144FF2" w14:textId="77777777" w:rsidTr="00B6486B">
        <w:trPr>
          <w:tblHeader/>
        </w:trPr>
        <w:tc>
          <w:tcPr>
            <w:tcW w:w="862" w:type="pct"/>
            <w:shd w:val="clear" w:color="auto" w:fill="F2F2F2" w:themeFill="background1" w:themeFillShade="F2"/>
            <w:vAlign w:val="bottom"/>
          </w:tcPr>
          <w:p w14:paraId="2176DA1C" w14:textId="77777777" w:rsidR="00C15476" w:rsidRPr="00FC1976" w:rsidRDefault="00C15476" w:rsidP="005E1809">
            <w:pPr>
              <w:pStyle w:val="01Tableheaderrow"/>
              <w:rPr>
                <w:lang w:val="en-AU"/>
              </w:rPr>
            </w:pPr>
            <w:r w:rsidRPr="00FC1976">
              <w:rPr>
                <w:lang w:val="en-AU"/>
              </w:rPr>
              <w:t>Name</w:t>
            </w:r>
          </w:p>
        </w:tc>
        <w:tc>
          <w:tcPr>
            <w:tcW w:w="2673" w:type="pct"/>
            <w:shd w:val="clear" w:color="auto" w:fill="F2F2F2" w:themeFill="background1" w:themeFillShade="F2"/>
            <w:vAlign w:val="bottom"/>
          </w:tcPr>
          <w:p w14:paraId="679A1C11" w14:textId="77777777" w:rsidR="00C15476" w:rsidRPr="00FC1976" w:rsidRDefault="00C15476" w:rsidP="005E1809">
            <w:pPr>
              <w:pStyle w:val="01Tableheaderrow"/>
              <w:rPr>
                <w:lang w:val="en-AU"/>
              </w:rPr>
            </w:pPr>
            <w:r w:rsidRPr="00FC1976">
              <w:rPr>
                <w:lang w:val="en-AU"/>
              </w:rPr>
              <w:t>Position/Organisation</w:t>
            </w:r>
          </w:p>
        </w:tc>
        <w:tc>
          <w:tcPr>
            <w:tcW w:w="1465" w:type="pct"/>
            <w:shd w:val="clear" w:color="auto" w:fill="F2F2F2" w:themeFill="background1" w:themeFillShade="F2"/>
            <w:vAlign w:val="bottom"/>
          </w:tcPr>
          <w:p w14:paraId="1E33B0DA" w14:textId="77777777" w:rsidR="00C15476" w:rsidRPr="00FC1976" w:rsidRDefault="00C15476" w:rsidP="005E1809">
            <w:pPr>
              <w:pStyle w:val="01Tableheaderrow"/>
              <w:rPr>
                <w:lang w:val="en-AU"/>
              </w:rPr>
            </w:pPr>
            <w:r w:rsidRPr="00FC1976">
              <w:rPr>
                <w:lang w:val="en-AU"/>
              </w:rPr>
              <w:t>Declared conflict of interest</w:t>
            </w:r>
          </w:p>
        </w:tc>
      </w:tr>
      <w:tr w:rsidR="00C15476" w:rsidRPr="00FC1976" w14:paraId="097739AC" w14:textId="77777777" w:rsidTr="00B6486B">
        <w:tc>
          <w:tcPr>
            <w:tcW w:w="862" w:type="pct"/>
          </w:tcPr>
          <w:p w14:paraId="664BCBF5" w14:textId="77777777" w:rsidR="00C15476" w:rsidRPr="00FC1976" w:rsidRDefault="00C15476" w:rsidP="005E1809">
            <w:pPr>
              <w:pStyle w:val="02Tabletext"/>
              <w:rPr>
                <w:lang w:val="en-AU"/>
              </w:rPr>
            </w:pPr>
            <w:r w:rsidRPr="00FC1976">
              <w:rPr>
                <w:lang w:val="en-AU"/>
              </w:rPr>
              <w:t>Professor Alan Cass (Chair)</w:t>
            </w:r>
          </w:p>
        </w:tc>
        <w:tc>
          <w:tcPr>
            <w:tcW w:w="2673" w:type="pct"/>
          </w:tcPr>
          <w:p w14:paraId="04DC5611" w14:textId="77777777" w:rsidR="00C15476" w:rsidRPr="00FC1976" w:rsidRDefault="00C15476" w:rsidP="005E1809">
            <w:pPr>
              <w:pStyle w:val="02Tabletext"/>
              <w:rPr>
                <w:lang w:val="en-AU"/>
              </w:rPr>
            </w:pPr>
            <w:r w:rsidRPr="00FC1976">
              <w:rPr>
                <w:lang w:val="en-AU"/>
              </w:rPr>
              <w:t>Director, Menzies School of Health Research</w:t>
            </w:r>
          </w:p>
          <w:p w14:paraId="13DE7869" w14:textId="77777777" w:rsidR="00C15476" w:rsidRPr="00FC1976" w:rsidRDefault="00C15476" w:rsidP="005E1809">
            <w:pPr>
              <w:pStyle w:val="02Tabletext"/>
              <w:rPr>
                <w:lang w:val="en-AU"/>
              </w:rPr>
            </w:pPr>
            <w:r w:rsidRPr="00FC1976">
              <w:rPr>
                <w:lang w:val="en-AU"/>
              </w:rPr>
              <w:t>Director, Top End Area Health Services</w:t>
            </w:r>
          </w:p>
          <w:p w14:paraId="58BE0A64" w14:textId="77777777" w:rsidR="00C15476" w:rsidRPr="00FC1976" w:rsidRDefault="00C15476" w:rsidP="005E1809">
            <w:pPr>
              <w:pStyle w:val="02Tabletext"/>
              <w:rPr>
                <w:lang w:val="en-AU"/>
              </w:rPr>
            </w:pPr>
            <w:r w:rsidRPr="00FC1976">
              <w:rPr>
                <w:lang w:val="en-AU"/>
              </w:rPr>
              <w:t>President, ANZ Society of Nephrology</w:t>
            </w:r>
          </w:p>
        </w:tc>
        <w:tc>
          <w:tcPr>
            <w:tcW w:w="1465" w:type="pct"/>
          </w:tcPr>
          <w:p w14:paraId="0DA18BA7" w14:textId="77777777" w:rsidR="00C15476" w:rsidRPr="00FC1976" w:rsidRDefault="00C15476" w:rsidP="005E1809">
            <w:pPr>
              <w:pStyle w:val="02Tabletext"/>
              <w:rPr>
                <w:lang w:val="en-AU"/>
              </w:rPr>
            </w:pPr>
            <w:r w:rsidRPr="00FC1976">
              <w:rPr>
                <w:lang w:val="en-AU"/>
              </w:rPr>
              <w:t>None</w:t>
            </w:r>
          </w:p>
        </w:tc>
      </w:tr>
      <w:tr w:rsidR="00C15476" w:rsidRPr="00FC1976" w14:paraId="302DBC7D" w14:textId="77777777" w:rsidTr="00B6486B">
        <w:tc>
          <w:tcPr>
            <w:tcW w:w="862" w:type="pct"/>
          </w:tcPr>
          <w:p w14:paraId="3DEC3135" w14:textId="77777777" w:rsidR="00C15476" w:rsidRPr="00FC1976" w:rsidRDefault="00C15476" w:rsidP="005E1809">
            <w:pPr>
              <w:pStyle w:val="02Tabletext"/>
              <w:rPr>
                <w:lang w:val="en-AU"/>
              </w:rPr>
            </w:pPr>
            <w:r w:rsidRPr="00FC1976">
              <w:rPr>
                <w:lang w:val="en-AU"/>
              </w:rPr>
              <w:t xml:space="preserve">Dr Neil Boudville </w:t>
            </w:r>
          </w:p>
        </w:tc>
        <w:tc>
          <w:tcPr>
            <w:tcW w:w="2673" w:type="pct"/>
          </w:tcPr>
          <w:p w14:paraId="2928A129" w14:textId="77777777" w:rsidR="00C15476" w:rsidRPr="00FC1976" w:rsidRDefault="00C15476" w:rsidP="005E1809">
            <w:pPr>
              <w:pStyle w:val="02Tabletext"/>
              <w:rPr>
                <w:lang w:val="en-AU"/>
              </w:rPr>
            </w:pPr>
            <w:r w:rsidRPr="00FC1976">
              <w:rPr>
                <w:lang w:val="en-AU"/>
              </w:rPr>
              <w:t>Sir Charles Gairdner Hospital and University of Western Australia</w:t>
            </w:r>
          </w:p>
        </w:tc>
        <w:tc>
          <w:tcPr>
            <w:tcW w:w="1465" w:type="pct"/>
          </w:tcPr>
          <w:p w14:paraId="16BB72BF" w14:textId="77777777" w:rsidR="00C15476" w:rsidRPr="00FC1976" w:rsidRDefault="00C15476" w:rsidP="005E1809">
            <w:pPr>
              <w:pStyle w:val="02Tabletext"/>
              <w:rPr>
                <w:lang w:val="en-AU"/>
              </w:rPr>
            </w:pPr>
            <w:r w:rsidRPr="00FC1976">
              <w:rPr>
                <w:lang w:val="en-AU"/>
              </w:rPr>
              <w:t>None</w:t>
            </w:r>
          </w:p>
        </w:tc>
      </w:tr>
      <w:tr w:rsidR="00C15476" w:rsidRPr="00FC1976" w14:paraId="5EE1F536" w14:textId="77777777" w:rsidTr="00B6486B">
        <w:tc>
          <w:tcPr>
            <w:tcW w:w="862" w:type="pct"/>
          </w:tcPr>
          <w:p w14:paraId="65A4DC9A" w14:textId="77777777" w:rsidR="00C15476" w:rsidRPr="00FC1976" w:rsidRDefault="00C15476" w:rsidP="005E1809">
            <w:pPr>
              <w:pStyle w:val="02Tabletext"/>
              <w:rPr>
                <w:lang w:val="en-AU"/>
              </w:rPr>
            </w:pPr>
            <w:r w:rsidRPr="00FC1976">
              <w:rPr>
                <w:lang w:val="en-AU"/>
              </w:rPr>
              <w:t>Associate Professor Martin Gallagher</w:t>
            </w:r>
          </w:p>
        </w:tc>
        <w:tc>
          <w:tcPr>
            <w:tcW w:w="2673" w:type="pct"/>
          </w:tcPr>
          <w:p w14:paraId="00AFEDF2" w14:textId="77777777" w:rsidR="00C15476" w:rsidRPr="00FC1976" w:rsidRDefault="00C15476" w:rsidP="005E1809">
            <w:pPr>
              <w:pStyle w:val="02Tabletext"/>
              <w:rPr>
                <w:lang w:val="en-AU"/>
              </w:rPr>
            </w:pPr>
            <w:r w:rsidRPr="00FC1976">
              <w:rPr>
                <w:lang w:val="en-AU"/>
              </w:rPr>
              <w:t xml:space="preserve">Head, Renal Department, Concord Repatriation &amp; General Hospital </w:t>
            </w:r>
          </w:p>
          <w:p w14:paraId="784802E6" w14:textId="77777777" w:rsidR="00C15476" w:rsidRPr="00FC1976" w:rsidRDefault="00C15476" w:rsidP="005E1809">
            <w:pPr>
              <w:pStyle w:val="02Tabletext"/>
              <w:rPr>
                <w:lang w:val="en-AU"/>
              </w:rPr>
            </w:pPr>
            <w:r w:rsidRPr="00FC1976">
              <w:rPr>
                <w:lang w:val="en-AU"/>
              </w:rPr>
              <w:t xml:space="preserve">Professor of Medicine, Concord Hospital Clinical School (Sydney Medical School) </w:t>
            </w:r>
          </w:p>
          <w:p w14:paraId="7DA43547" w14:textId="77777777" w:rsidR="00C15476" w:rsidRPr="00FC1976" w:rsidRDefault="00C15476" w:rsidP="005E1809">
            <w:pPr>
              <w:pStyle w:val="02Tabletext"/>
              <w:rPr>
                <w:lang w:val="en-AU"/>
              </w:rPr>
            </w:pPr>
            <w:r w:rsidRPr="00FC1976">
              <w:rPr>
                <w:lang w:val="en-AU"/>
              </w:rPr>
              <w:t xml:space="preserve">Senior Director, Renal and Metabolic Division, The George Institute </w:t>
            </w:r>
          </w:p>
        </w:tc>
        <w:tc>
          <w:tcPr>
            <w:tcW w:w="1465" w:type="pct"/>
          </w:tcPr>
          <w:p w14:paraId="1F9CD69D" w14:textId="77777777" w:rsidR="00C15476" w:rsidRPr="00FC1976" w:rsidRDefault="00C15476" w:rsidP="005E1809">
            <w:pPr>
              <w:pStyle w:val="02Tabletext"/>
              <w:rPr>
                <w:lang w:val="en-AU"/>
              </w:rPr>
            </w:pPr>
            <w:r w:rsidRPr="00FC1976">
              <w:rPr>
                <w:lang w:val="en-AU"/>
              </w:rPr>
              <w:t>None</w:t>
            </w:r>
          </w:p>
        </w:tc>
      </w:tr>
      <w:tr w:rsidR="00C15476" w:rsidRPr="00FC1976" w14:paraId="7807E268" w14:textId="77777777" w:rsidTr="00B6486B">
        <w:tc>
          <w:tcPr>
            <w:tcW w:w="862" w:type="pct"/>
          </w:tcPr>
          <w:p w14:paraId="1D8910F4" w14:textId="77777777" w:rsidR="00C15476" w:rsidRPr="00FC1976" w:rsidRDefault="00C15476" w:rsidP="005E1809">
            <w:pPr>
              <w:pStyle w:val="02Tabletext"/>
              <w:rPr>
                <w:lang w:val="en-AU"/>
              </w:rPr>
            </w:pPr>
            <w:r w:rsidRPr="00FC1976">
              <w:rPr>
                <w:lang w:val="en-AU"/>
              </w:rPr>
              <w:t xml:space="preserve">Professor Kirsten Howard </w:t>
            </w:r>
          </w:p>
        </w:tc>
        <w:tc>
          <w:tcPr>
            <w:tcW w:w="2673" w:type="pct"/>
          </w:tcPr>
          <w:p w14:paraId="2E5C2F8B" w14:textId="77777777" w:rsidR="00C15476" w:rsidRPr="00FC1976" w:rsidRDefault="00C15476" w:rsidP="005E1809">
            <w:pPr>
              <w:pStyle w:val="02Tabletext"/>
              <w:rPr>
                <w:lang w:val="en-AU"/>
              </w:rPr>
            </w:pPr>
            <w:r w:rsidRPr="00FC1976">
              <w:rPr>
                <w:lang w:val="en-AU"/>
              </w:rPr>
              <w:t xml:space="preserve">Professor of Health Economics, School of Public Health, University of Sydney </w:t>
            </w:r>
          </w:p>
        </w:tc>
        <w:tc>
          <w:tcPr>
            <w:tcW w:w="1465" w:type="pct"/>
          </w:tcPr>
          <w:p w14:paraId="2198A53D" w14:textId="77777777" w:rsidR="00C15476" w:rsidRPr="00FC1976" w:rsidRDefault="00C15476" w:rsidP="005E1809">
            <w:pPr>
              <w:pStyle w:val="02Tabletext"/>
              <w:rPr>
                <w:lang w:val="en-AU"/>
              </w:rPr>
            </w:pPr>
            <w:r w:rsidRPr="00FC1976">
              <w:rPr>
                <w:lang w:val="en-AU"/>
              </w:rPr>
              <w:t>None</w:t>
            </w:r>
          </w:p>
        </w:tc>
      </w:tr>
      <w:tr w:rsidR="00C15476" w:rsidRPr="00FC1976" w14:paraId="496CF409" w14:textId="77777777" w:rsidTr="00B6486B">
        <w:tc>
          <w:tcPr>
            <w:tcW w:w="862" w:type="pct"/>
          </w:tcPr>
          <w:p w14:paraId="6185BA66" w14:textId="77777777" w:rsidR="00C15476" w:rsidRPr="00FC1976" w:rsidRDefault="00C15476" w:rsidP="005E1809">
            <w:pPr>
              <w:pStyle w:val="02Tabletext"/>
              <w:rPr>
                <w:lang w:val="en-AU"/>
              </w:rPr>
            </w:pPr>
            <w:r w:rsidRPr="00FC1976">
              <w:rPr>
                <w:lang w:val="en-AU"/>
              </w:rPr>
              <w:t xml:space="preserve">Professor Matthew Jose </w:t>
            </w:r>
          </w:p>
        </w:tc>
        <w:tc>
          <w:tcPr>
            <w:tcW w:w="2673" w:type="pct"/>
          </w:tcPr>
          <w:p w14:paraId="624CB664" w14:textId="77777777" w:rsidR="00C15476" w:rsidRPr="00FC1976" w:rsidRDefault="00C15476" w:rsidP="005E1809">
            <w:pPr>
              <w:pStyle w:val="02Tabletext"/>
              <w:rPr>
                <w:lang w:val="en-AU"/>
              </w:rPr>
            </w:pPr>
            <w:r w:rsidRPr="00FC1976">
              <w:rPr>
                <w:lang w:val="en-AU"/>
              </w:rPr>
              <w:t xml:space="preserve">Renal </w:t>
            </w:r>
            <w:r w:rsidR="00EC028F">
              <w:rPr>
                <w:lang w:val="en-AU"/>
              </w:rPr>
              <w:t>p</w:t>
            </w:r>
            <w:r w:rsidRPr="00FC1976">
              <w:rPr>
                <w:lang w:val="en-AU"/>
              </w:rPr>
              <w:t>hysician, The Royal Hobart Hospital</w:t>
            </w:r>
          </w:p>
          <w:p w14:paraId="33FE0447" w14:textId="77777777" w:rsidR="00C15476" w:rsidRPr="00FC1976" w:rsidRDefault="00C15476" w:rsidP="005E1809">
            <w:pPr>
              <w:pStyle w:val="02Tabletext"/>
              <w:rPr>
                <w:lang w:val="en-AU"/>
              </w:rPr>
            </w:pPr>
            <w:r w:rsidRPr="00FC1976">
              <w:rPr>
                <w:lang w:val="en-AU"/>
              </w:rPr>
              <w:t xml:space="preserve">Professor of Medicine, School of Medicine, The University of Tasmania </w:t>
            </w:r>
          </w:p>
          <w:p w14:paraId="32F6EB7D" w14:textId="77777777" w:rsidR="00C15476" w:rsidRPr="00FC1976" w:rsidRDefault="00C15476" w:rsidP="005E1809">
            <w:pPr>
              <w:pStyle w:val="02Tabletext"/>
              <w:rPr>
                <w:lang w:val="en-AU"/>
              </w:rPr>
            </w:pPr>
            <w:r w:rsidRPr="00FC1976">
              <w:rPr>
                <w:lang w:val="en-AU"/>
              </w:rPr>
              <w:t xml:space="preserve">Adjunct Professor, The Menzies Institute for Medical Research </w:t>
            </w:r>
          </w:p>
        </w:tc>
        <w:tc>
          <w:tcPr>
            <w:tcW w:w="1465" w:type="pct"/>
          </w:tcPr>
          <w:p w14:paraId="45B4F021" w14:textId="77777777" w:rsidR="00C15476" w:rsidRPr="00FC1976" w:rsidRDefault="00C15476" w:rsidP="005E1809">
            <w:pPr>
              <w:pStyle w:val="02Tabletext"/>
              <w:rPr>
                <w:lang w:val="en-AU"/>
              </w:rPr>
            </w:pPr>
            <w:r w:rsidRPr="00FC1976">
              <w:rPr>
                <w:lang w:val="en-AU"/>
              </w:rPr>
              <w:t>None</w:t>
            </w:r>
          </w:p>
        </w:tc>
      </w:tr>
      <w:tr w:rsidR="00C15476" w:rsidRPr="00FC1976" w14:paraId="7ECB9444" w14:textId="77777777" w:rsidTr="00B6486B">
        <w:tc>
          <w:tcPr>
            <w:tcW w:w="862" w:type="pct"/>
          </w:tcPr>
          <w:p w14:paraId="73DAD322" w14:textId="77777777" w:rsidR="00C15476" w:rsidRPr="00FC1976" w:rsidRDefault="00C15476" w:rsidP="005E1809">
            <w:pPr>
              <w:pStyle w:val="02Tabletext"/>
              <w:rPr>
                <w:lang w:val="en-AU"/>
              </w:rPr>
            </w:pPr>
            <w:r w:rsidRPr="00FC1976">
              <w:rPr>
                <w:lang w:val="en-AU"/>
              </w:rPr>
              <w:t xml:space="preserve">Dr Troy Kay </w:t>
            </w:r>
          </w:p>
        </w:tc>
        <w:tc>
          <w:tcPr>
            <w:tcW w:w="2673" w:type="pct"/>
          </w:tcPr>
          <w:p w14:paraId="2CE2C5B3" w14:textId="77777777" w:rsidR="00C15476" w:rsidRPr="00FC1976" w:rsidRDefault="00C15476" w:rsidP="005E1809">
            <w:pPr>
              <w:pStyle w:val="02Tabletext"/>
              <w:rPr>
                <w:lang w:val="en-AU"/>
              </w:rPr>
            </w:pPr>
            <w:r w:rsidRPr="00FC1976">
              <w:rPr>
                <w:lang w:val="en-AU"/>
              </w:rPr>
              <w:t xml:space="preserve">Renal physician, John Flynn Private Hospital, private practice </w:t>
            </w:r>
          </w:p>
        </w:tc>
        <w:tc>
          <w:tcPr>
            <w:tcW w:w="1465" w:type="pct"/>
          </w:tcPr>
          <w:p w14:paraId="12C731BB" w14:textId="77777777" w:rsidR="00C15476" w:rsidRPr="00FC1976" w:rsidRDefault="00C15476" w:rsidP="005E1809">
            <w:pPr>
              <w:pStyle w:val="02Tabletext"/>
              <w:rPr>
                <w:lang w:val="en-AU"/>
              </w:rPr>
            </w:pPr>
            <w:r w:rsidRPr="00FC1976">
              <w:rPr>
                <w:lang w:val="en-AU"/>
              </w:rPr>
              <w:t>None</w:t>
            </w:r>
          </w:p>
        </w:tc>
      </w:tr>
      <w:tr w:rsidR="00C15476" w:rsidRPr="00FC1976" w14:paraId="19B35694" w14:textId="77777777" w:rsidTr="00B6486B">
        <w:tc>
          <w:tcPr>
            <w:tcW w:w="862" w:type="pct"/>
          </w:tcPr>
          <w:p w14:paraId="630403E4" w14:textId="77777777" w:rsidR="00C15476" w:rsidRPr="00FC1976" w:rsidRDefault="00C15476" w:rsidP="005E1809">
            <w:pPr>
              <w:pStyle w:val="02Tabletext"/>
              <w:rPr>
                <w:lang w:val="en-AU"/>
              </w:rPr>
            </w:pPr>
            <w:r w:rsidRPr="00FC1976">
              <w:rPr>
                <w:lang w:val="en-AU"/>
              </w:rPr>
              <w:t>Professor Peter Kerr</w:t>
            </w:r>
          </w:p>
        </w:tc>
        <w:tc>
          <w:tcPr>
            <w:tcW w:w="2673" w:type="pct"/>
          </w:tcPr>
          <w:p w14:paraId="2C16202A" w14:textId="77777777" w:rsidR="00C15476" w:rsidRPr="00FC1976" w:rsidRDefault="00C15476" w:rsidP="005E1809">
            <w:pPr>
              <w:pStyle w:val="02Tabletext"/>
              <w:rPr>
                <w:lang w:val="en-AU"/>
              </w:rPr>
            </w:pPr>
            <w:r w:rsidRPr="00FC1976">
              <w:rPr>
                <w:lang w:val="en-AU"/>
              </w:rPr>
              <w:t>Director of Nephrology, Monash Medical Centre</w:t>
            </w:r>
          </w:p>
        </w:tc>
        <w:tc>
          <w:tcPr>
            <w:tcW w:w="1465" w:type="pct"/>
          </w:tcPr>
          <w:p w14:paraId="67DCB908" w14:textId="77777777" w:rsidR="00C15476" w:rsidRPr="00FC1976" w:rsidRDefault="00C15476" w:rsidP="005E1809">
            <w:pPr>
              <w:pStyle w:val="02Tabletext"/>
              <w:rPr>
                <w:lang w:val="en-AU"/>
              </w:rPr>
            </w:pPr>
            <w:r w:rsidRPr="00FC1976">
              <w:rPr>
                <w:lang w:val="en-AU"/>
              </w:rPr>
              <w:t>None</w:t>
            </w:r>
          </w:p>
        </w:tc>
      </w:tr>
      <w:tr w:rsidR="00C15476" w:rsidRPr="00FC1976" w14:paraId="58834ED6" w14:textId="77777777" w:rsidTr="00B6486B">
        <w:tc>
          <w:tcPr>
            <w:tcW w:w="862" w:type="pct"/>
          </w:tcPr>
          <w:p w14:paraId="100D2A1C" w14:textId="77777777" w:rsidR="00C15476" w:rsidRPr="00FC1976" w:rsidRDefault="00C15476" w:rsidP="005E1809">
            <w:pPr>
              <w:pStyle w:val="02Tabletext"/>
              <w:rPr>
                <w:lang w:val="en-AU"/>
              </w:rPr>
            </w:pPr>
            <w:r w:rsidRPr="00FC1976">
              <w:rPr>
                <w:lang w:val="en-AU"/>
              </w:rPr>
              <w:t xml:space="preserve">Professor Robyn Langham </w:t>
            </w:r>
          </w:p>
        </w:tc>
        <w:tc>
          <w:tcPr>
            <w:tcW w:w="2673" w:type="pct"/>
          </w:tcPr>
          <w:p w14:paraId="64152C71" w14:textId="77777777" w:rsidR="00C15476" w:rsidRPr="00FC1976" w:rsidRDefault="00C15476" w:rsidP="005E1809">
            <w:pPr>
              <w:pStyle w:val="02Tabletext"/>
              <w:rPr>
                <w:lang w:val="en-AU"/>
              </w:rPr>
            </w:pPr>
            <w:r w:rsidRPr="00FC1976">
              <w:rPr>
                <w:lang w:val="en-AU"/>
              </w:rPr>
              <w:t xml:space="preserve">Director of Nephrology, St Vincent’s Hospital, Melbourne </w:t>
            </w:r>
          </w:p>
          <w:p w14:paraId="1B56D4B4" w14:textId="77777777" w:rsidR="00C15476" w:rsidRPr="00FC1976" w:rsidRDefault="00C15476" w:rsidP="005E1809">
            <w:pPr>
              <w:pStyle w:val="02Tabletext"/>
              <w:rPr>
                <w:lang w:val="en-AU"/>
              </w:rPr>
            </w:pPr>
            <w:r w:rsidRPr="00FC1976">
              <w:rPr>
                <w:lang w:val="en-AU"/>
              </w:rPr>
              <w:t xml:space="preserve">Professor of Medicine, </w:t>
            </w:r>
            <w:r w:rsidR="00A5396C">
              <w:rPr>
                <w:lang w:val="en-AU"/>
              </w:rPr>
              <w:t>Monash University</w:t>
            </w:r>
            <w:r w:rsidRPr="00FC1976">
              <w:rPr>
                <w:lang w:val="en-AU"/>
              </w:rPr>
              <w:t xml:space="preserve"> </w:t>
            </w:r>
          </w:p>
          <w:p w14:paraId="6D2AB536" w14:textId="77777777" w:rsidR="00C15476" w:rsidRPr="00FC1976" w:rsidRDefault="00C15476" w:rsidP="005E1809">
            <w:pPr>
              <w:pStyle w:val="02Tabletext"/>
              <w:rPr>
                <w:lang w:val="en-AU"/>
              </w:rPr>
            </w:pPr>
            <w:r w:rsidRPr="00FC1976">
              <w:rPr>
                <w:lang w:val="en-AU"/>
              </w:rPr>
              <w:t xml:space="preserve">Secretary-General, International Society of Nephrology </w:t>
            </w:r>
          </w:p>
        </w:tc>
        <w:tc>
          <w:tcPr>
            <w:tcW w:w="1465" w:type="pct"/>
          </w:tcPr>
          <w:p w14:paraId="1A76BED2" w14:textId="77777777" w:rsidR="00C15476" w:rsidRPr="00FC1976" w:rsidRDefault="00C15476" w:rsidP="005E1809">
            <w:pPr>
              <w:pStyle w:val="02Tabletext"/>
              <w:rPr>
                <w:lang w:val="en-AU"/>
              </w:rPr>
            </w:pPr>
            <w:r w:rsidRPr="00FC1976">
              <w:rPr>
                <w:lang w:val="en-AU"/>
              </w:rPr>
              <w:t>None</w:t>
            </w:r>
          </w:p>
        </w:tc>
      </w:tr>
      <w:tr w:rsidR="00C15476" w:rsidRPr="00FC1976" w14:paraId="79925F27" w14:textId="77777777" w:rsidTr="00B6486B">
        <w:tc>
          <w:tcPr>
            <w:tcW w:w="862" w:type="pct"/>
          </w:tcPr>
          <w:p w14:paraId="40744BB2" w14:textId="77777777" w:rsidR="00C15476" w:rsidRPr="00FC1976" w:rsidRDefault="00C15476" w:rsidP="005E1809">
            <w:pPr>
              <w:pStyle w:val="02Tabletext"/>
              <w:rPr>
                <w:lang w:val="en-AU"/>
              </w:rPr>
            </w:pPr>
            <w:r w:rsidRPr="00FC1976">
              <w:rPr>
                <w:lang w:val="en-AU"/>
              </w:rPr>
              <w:t>Ms Alison Marcus</w:t>
            </w:r>
          </w:p>
        </w:tc>
        <w:tc>
          <w:tcPr>
            <w:tcW w:w="2673" w:type="pct"/>
          </w:tcPr>
          <w:p w14:paraId="4888D157" w14:textId="77777777" w:rsidR="00C15476" w:rsidRPr="00FC1976" w:rsidRDefault="00C15476" w:rsidP="005E1809">
            <w:pPr>
              <w:pStyle w:val="02Tabletext"/>
              <w:rPr>
                <w:lang w:val="en-AU"/>
              </w:rPr>
            </w:pPr>
            <w:r w:rsidRPr="00FC1976">
              <w:rPr>
                <w:lang w:val="en-AU"/>
              </w:rPr>
              <w:t xml:space="preserve">Registered </w:t>
            </w:r>
            <w:r w:rsidR="00E52D3A">
              <w:rPr>
                <w:lang w:val="en-AU"/>
              </w:rPr>
              <w:t>n</w:t>
            </w:r>
            <w:r w:rsidRPr="00FC1976">
              <w:rPr>
                <w:lang w:val="en-AU"/>
              </w:rPr>
              <w:t>urse</w:t>
            </w:r>
          </w:p>
          <w:p w14:paraId="43D3E31A" w14:textId="77777777" w:rsidR="00C15476" w:rsidRPr="00FC1976" w:rsidRDefault="00C15476" w:rsidP="005E1809">
            <w:pPr>
              <w:pStyle w:val="02Tabletext"/>
              <w:rPr>
                <w:lang w:val="en-AU"/>
              </w:rPr>
            </w:pPr>
            <w:r w:rsidRPr="00FC1976">
              <w:rPr>
                <w:lang w:val="en-AU"/>
              </w:rPr>
              <w:t>Consumer representative</w:t>
            </w:r>
          </w:p>
        </w:tc>
        <w:tc>
          <w:tcPr>
            <w:tcW w:w="1465" w:type="pct"/>
          </w:tcPr>
          <w:p w14:paraId="32BC36E3" w14:textId="77777777" w:rsidR="00C15476" w:rsidRPr="00FC1976" w:rsidRDefault="00C15476" w:rsidP="005E1809">
            <w:pPr>
              <w:pStyle w:val="02Tabletext"/>
              <w:rPr>
                <w:lang w:val="en-AU"/>
              </w:rPr>
            </w:pPr>
            <w:r w:rsidRPr="00FC1976">
              <w:rPr>
                <w:lang w:val="en-AU"/>
              </w:rPr>
              <w:t>None</w:t>
            </w:r>
          </w:p>
        </w:tc>
      </w:tr>
      <w:tr w:rsidR="00C15476" w:rsidRPr="00FC1976" w14:paraId="6C85C8FD" w14:textId="77777777" w:rsidTr="00B6486B">
        <w:tc>
          <w:tcPr>
            <w:tcW w:w="862" w:type="pct"/>
          </w:tcPr>
          <w:p w14:paraId="7F596050" w14:textId="77777777" w:rsidR="00C15476" w:rsidRPr="00FC1976" w:rsidRDefault="00C15476" w:rsidP="005E1809">
            <w:pPr>
              <w:pStyle w:val="02Tabletext"/>
              <w:rPr>
                <w:lang w:val="en-AU"/>
              </w:rPr>
            </w:pPr>
            <w:r w:rsidRPr="00FC1976">
              <w:rPr>
                <w:lang w:val="en-AU"/>
              </w:rPr>
              <w:t xml:space="preserve">Professor Stephen McDonald </w:t>
            </w:r>
          </w:p>
        </w:tc>
        <w:tc>
          <w:tcPr>
            <w:tcW w:w="2673" w:type="pct"/>
          </w:tcPr>
          <w:p w14:paraId="22D0D4BA" w14:textId="77777777" w:rsidR="00C15476" w:rsidRPr="00FC1976" w:rsidRDefault="00C15476" w:rsidP="005E1809">
            <w:pPr>
              <w:pStyle w:val="02Tabletext"/>
              <w:rPr>
                <w:lang w:val="en-AU"/>
              </w:rPr>
            </w:pPr>
            <w:r w:rsidRPr="00FC1976">
              <w:rPr>
                <w:lang w:val="en-AU"/>
              </w:rPr>
              <w:t>Director of Dialysis &amp; Senior Staff Nephrologist, The Central Northern Renal and Transplantation Service, The Royal Adelaide Hospital</w:t>
            </w:r>
          </w:p>
          <w:p w14:paraId="407D9A31" w14:textId="77777777" w:rsidR="00C15476" w:rsidRPr="00FC1976" w:rsidRDefault="00C15476" w:rsidP="005E1809">
            <w:pPr>
              <w:pStyle w:val="02Tabletext"/>
              <w:rPr>
                <w:lang w:val="en-AU"/>
              </w:rPr>
            </w:pPr>
            <w:r w:rsidRPr="00FC1976">
              <w:rPr>
                <w:lang w:val="en-AU"/>
              </w:rPr>
              <w:t>Clinical Director, Renal Services, Country Health Region, SA Health</w:t>
            </w:r>
          </w:p>
          <w:p w14:paraId="2D91339A" w14:textId="77777777" w:rsidR="00C15476" w:rsidRPr="00FC1976" w:rsidRDefault="00C15476" w:rsidP="005E1809">
            <w:pPr>
              <w:pStyle w:val="02Tabletext"/>
              <w:rPr>
                <w:lang w:val="en-AU"/>
              </w:rPr>
            </w:pPr>
            <w:r w:rsidRPr="00FC1976">
              <w:rPr>
                <w:lang w:val="en-AU"/>
              </w:rPr>
              <w:t>Executive Officer, Australia and New Zealand Dialysis and Transplant Registry</w:t>
            </w:r>
          </w:p>
          <w:p w14:paraId="367560B4" w14:textId="77777777" w:rsidR="00C15476" w:rsidRPr="00FC1976" w:rsidRDefault="00C15476" w:rsidP="005E1809">
            <w:pPr>
              <w:pStyle w:val="02Tabletext"/>
              <w:rPr>
                <w:lang w:val="en-AU"/>
              </w:rPr>
            </w:pPr>
            <w:r w:rsidRPr="00FC1976">
              <w:rPr>
                <w:lang w:val="en-AU"/>
              </w:rPr>
              <w:t xml:space="preserve">Clinical Professor, The University of Adelaide </w:t>
            </w:r>
          </w:p>
        </w:tc>
        <w:tc>
          <w:tcPr>
            <w:tcW w:w="1465" w:type="pct"/>
          </w:tcPr>
          <w:p w14:paraId="500BB75A" w14:textId="77777777" w:rsidR="00C15476" w:rsidRPr="00FC1976" w:rsidRDefault="00C15476" w:rsidP="005E1809">
            <w:pPr>
              <w:pStyle w:val="02Tabletext"/>
              <w:rPr>
                <w:lang w:val="en-AU"/>
              </w:rPr>
            </w:pPr>
            <w:r w:rsidRPr="00FC1976">
              <w:rPr>
                <w:lang w:val="en-AU"/>
              </w:rPr>
              <w:t>None</w:t>
            </w:r>
          </w:p>
        </w:tc>
      </w:tr>
      <w:tr w:rsidR="00C15476" w:rsidRPr="00FC1976" w14:paraId="6AE2967A" w14:textId="77777777" w:rsidTr="00B6486B">
        <w:tc>
          <w:tcPr>
            <w:tcW w:w="862" w:type="pct"/>
          </w:tcPr>
          <w:p w14:paraId="637C952F" w14:textId="77777777" w:rsidR="00C15476" w:rsidRPr="00FC1976" w:rsidRDefault="00C15476" w:rsidP="005E1809">
            <w:pPr>
              <w:pStyle w:val="02Tabletext"/>
              <w:rPr>
                <w:lang w:val="en-AU"/>
              </w:rPr>
            </w:pPr>
            <w:r w:rsidRPr="00FC1976">
              <w:rPr>
                <w:lang w:val="en-AU"/>
              </w:rPr>
              <w:t xml:space="preserve">Dr Amanda Robertson </w:t>
            </w:r>
          </w:p>
        </w:tc>
        <w:tc>
          <w:tcPr>
            <w:tcW w:w="2673" w:type="pct"/>
          </w:tcPr>
          <w:p w14:paraId="3D740EE8" w14:textId="77777777" w:rsidR="00C15476" w:rsidRPr="00FC1976" w:rsidRDefault="00C15476" w:rsidP="005E1809">
            <w:pPr>
              <w:pStyle w:val="02Tabletext"/>
              <w:rPr>
                <w:lang w:val="en-AU"/>
              </w:rPr>
            </w:pPr>
            <w:r w:rsidRPr="00FC1976">
              <w:rPr>
                <w:lang w:val="en-AU"/>
              </w:rPr>
              <w:t xml:space="preserve">Director of Nephrology Surgery, Royal Melbourne Hospital </w:t>
            </w:r>
          </w:p>
        </w:tc>
        <w:tc>
          <w:tcPr>
            <w:tcW w:w="1465" w:type="pct"/>
          </w:tcPr>
          <w:p w14:paraId="286CA42A" w14:textId="77777777" w:rsidR="00C15476" w:rsidRPr="00FC1976" w:rsidRDefault="00C15476" w:rsidP="005E1809">
            <w:pPr>
              <w:pStyle w:val="02Tabletext"/>
              <w:rPr>
                <w:lang w:val="en-AU"/>
              </w:rPr>
            </w:pPr>
            <w:r w:rsidRPr="00FC1976">
              <w:rPr>
                <w:lang w:val="en-AU"/>
              </w:rPr>
              <w:t>None</w:t>
            </w:r>
          </w:p>
        </w:tc>
      </w:tr>
      <w:tr w:rsidR="00C15476" w:rsidRPr="00FC1976" w14:paraId="2D41CEA2" w14:textId="77777777" w:rsidTr="00B6486B">
        <w:tc>
          <w:tcPr>
            <w:tcW w:w="862" w:type="pct"/>
          </w:tcPr>
          <w:p w14:paraId="11B3C181" w14:textId="77777777" w:rsidR="00C15476" w:rsidRPr="00FC1976" w:rsidRDefault="00C15476" w:rsidP="005E1809">
            <w:pPr>
              <w:pStyle w:val="02Tabletext"/>
              <w:rPr>
                <w:lang w:val="en-AU"/>
              </w:rPr>
            </w:pPr>
            <w:r w:rsidRPr="00FC1976">
              <w:rPr>
                <w:lang w:val="en-AU"/>
              </w:rPr>
              <w:t>Ms Lesley Salem</w:t>
            </w:r>
          </w:p>
        </w:tc>
        <w:tc>
          <w:tcPr>
            <w:tcW w:w="2673" w:type="pct"/>
          </w:tcPr>
          <w:p w14:paraId="38133D04" w14:textId="77777777" w:rsidR="00C15476" w:rsidRPr="00FC1976" w:rsidRDefault="00C15476" w:rsidP="005E1809">
            <w:pPr>
              <w:pStyle w:val="02Tabletext"/>
              <w:rPr>
                <w:lang w:val="en-AU"/>
              </w:rPr>
            </w:pPr>
            <w:r w:rsidRPr="00FC1976">
              <w:rPr>
                <w:lang w:val="en-AU"/>
              </w:rPr>
              <w:t>Nephrology and chronic disease nurse practitioner</w:t>
            </w:r>
          </w:p>
        </w:tc>
        <w:tc>
          <w:tcPr>
            <w:tcW w:w="1465" w:type="pct"/>
          </w:tcPr>
          <w:p w14:paraId="5518A369" w14:textId="77777777" w:rsidR="00C15476" w:rsidRPr="00FC1976" w:rsidRDefault="00C15476" w:rsidP="005E1809">
            <w:pPr>
              <w:pStyle w:val="02Tabletext"/>
              <w:rPr>
                <w:lang w:val="en-AU"/>
              </w:rPr>
            </w:pPr>
            <w:r w:rsidRPr="00FC1976">
              <w:rPr>
                <w:lang w:val="en-AU"/>
              </w:rPr>
              <w:t>None</w:t>
            </w:r>
          </w:p>
        </w:tc>
      </w:tr>
      <w:tr w:rsidR="00C15476" w:rsidRPr="00FC1976" w14:paraId="5BD88E8C" w14:textId="77777777" w:rsidTr="00B6486B">
        <w:tc>
          <w:tcPr>
            <w:tcW w:w="862" w:type="pct"/>
          </w:tcPr>
          <w:p w14:paraId="50A0EE5F" w14:textId="77777777" w:rsidR="00C15476" w:rsidRPr="00FC1976" w:rsidRDefault="00C15476" w:rsidP="005E1809">
            <w:pPr>
              <w:pStyle w:val="02Tabletext"/>
              <w:rPr>
                <w:lang w:val="en-AU"/>
              </w:rPr>
            </w:pPr>
            <w:r w:rsidRPr="00FC1976">
              <w:rPr>
                <w:lang w:val="en-AU"/>
              </w:rPr>
              <w:t>Dr Paul Snelling</w:t>
            </w:r>
          </w:p>
        </w:tc>
        <w:tc>
          <w:tcPr>
            <w:tcW w:w="2673" w:type="pct"/>
          </w:tcPr>
          <w:p w14:paraId="48E5A454" w14:textId="77777777" w:rsidR="00C15476" w:rsidRPr="00FC1976" w:rsidRDefault="00C15476" w:rsidP="005E1809">
            <w:pPr>
              <w:pStyle w:val="02Tabletext"/>
              <w:rPr>
                <w:lang w:val="en-AU"/>
              </w:rPr>
            </w:pPr>
            <w:r w:rsidRPr="00FC1976">
              <w:rPr>
                <w:lang w:val="en-AU"/>
              </w:rPr>
              <w:t>Renal physician, Royal Prince Alfred Hospital</w:t>
            </w:r>
          </w:p>
        </w:tc>
        <w:tc>
          <w:tcPr>
            <w:tcW w:w="1465" w:type="pct"/>
          </w:tcPr>
          <w:p w14:paraId="2CDE00FC" w14:textId="77777777" w:rsidR="00C15476" w:rsidRPr="00FC1976" w:rsidRDefault="00C15476" w:rsidP="005E1809">
            <w:pPr>
              <w:pStyle w:val="02Tabletext"/>
              <w:rPr>
                <w:lang w:val="en-AU"/>
              </w:rPr>
            </w:pPr>
            <w:r w:rsidRPr="00FC1976">
              <w:rPr>
                <w:lang w:val="en-AU"/>
              </w:rPr>
              <w:t>None</w:t>
            </w:r>
          </w:p>
        </w:tc>
      </w:tr>
      <w:tr w:rsidR="00C15476" w:rsidRPr="00FC1976" w14:paraId="48F90E9C" w14:textId="77777777" w:rsidTr="00B6486B">
        <w:tc>
          <w:tcPr>
            <w:tcW w:w="862" w:type="pct"/>
          </w:tcPr>
          <w:p w14:paraId="1DE18A3F" w14:textId="77777777" w:rsidR="00C15476" w:rsidRPr="00FC1976" w:rsidRDefault="00C15476" w:rsidP="005E1809">
            <w:pPr>
              <w:pStyle w:val="02Tabletext"/>
              <w:rPr>
                <w:lang w:val="en-AU"/>
              </w:rPr>
            </w:pPr>
            <w:r w:rsidRPr="00FC1976">
              <w:rPr>
                <w:lang w:val="en-AU"/>
              </w:rPr>
              <w:t xml:space="preserve">Professor Tim Usherwood </w:t>
            </w:r>
          </w:p>
        </w:tc>
        <w:tc>
          <w:tcPr>
            <w:tcW w:w="2673" w:type="pct"/>
          </w:tcPr>
          <w:p w14:paraId="70815040" w14:textId="77777777" w:rsidR="00C15476" w:rsidRPr="00FC1976" w:rsidRDefault="00C15476" w:rsidP="005E1809">
            <w:pPr>
              <w:pStyle w:val="02Tabletext"/>
              <w:rPr>
                <w:lang w:val="en-AU"/>
              </w:rPr>
            </w:pPr>
            <w:r w:rsidRPr="00FC1976">
              <w:rPr>
                <w:lang w:val="en-AU"/>
              </w:rPr>
              <w:t xml:space="preserve">Professor, General Practice, Westmead Clinical School, The University of Sydney </w:t>
            </w:r>
          </w:p>
        </w:tc>
        <w:tc>
          <w:tcPr>
            <w:tcW w:w="1465" w:type="pct"/>
          </w:tcPr>
          <w:p w14:paraId="2BF09E63" w14:textId="77777777" w:rsidR="00C15476" w:rsidRPr="00FC1976" w:rsidRDefault="00C15476" w:rsidP="005E1809">
            <w:pPr>
              <w:pStyle w:val="02Tabletext"/>
              <w:rPr>
                <w:lang w:val="en-AU"/>
              </w:rPr>
            </w:pPr>
            <w:r w:rsidRPr="00FC1976">
              <w:rPr>
                <w:lang w:val="en-AU"/>
              </w:rPr>
              <w:t>None</w:t>
            </w:r>
          </w:p>
        </w:tc>
      </w:tr>
      <w:tr w:rsidR="00C15476" w:rsidRPr="00FC1976" w14:paraId="5FE43A74" w14:textId="77777777" w:rsidTr="00B6486B">
        <w:tc>
          <w:tcPr>
            <w:tcW w:w="862" w:type="pct"/>
          </w:tcPr>
          <w:p w14:paraId="15B25DED" w14:textId="77777777" w:rsidR="00C15476" w:rsidRPr="00FC1976" w:rsidRDefault="00C15476" w:rsidP="005E1809">
            <w:pPr>
              <w:pStyle w:val="02Tabletext"/>
              <w:rPr>
                <w:lang w:val="en-AU"/>
              </w:rPr>
            </w:pPr>
            <w:r w:rsidRPr="00FC1976">
              <w:rPr>
                <w:lang w:val="en-AU"/>
              </w:rPr>
              <w:t xml:space="preserve">Dr Amanda Walker </w:t>
            </w:r>
          </w:p>
        </w:tc>
        <w:tc>
          <w:tcPr>
            <w:tcW w:w="2673" w:type="pct"/>
          </w:tcPr>
          <w:p w14:paraId="76CA0C1C" w14:textId="77777777" w:rsidR="00C15476" w:rsidRPr="00FC1976" w:rsidRDefault="00C15476" w:rsidP="005E1809">
            <w:pPr>
              <w:pStyle w:val="02Tabletext"/>
              <w:rPr>
                <w:lang w:val="en-AU"/>
              </w:rPr>
            </w:pPr>
            <w:r w:rsidRPr="00FC1976">
              <w:rPr>
                <w:lang w:val="en-AU"/>
              </w:rPr>
              <w:t xml:space="preserve">Director, Department of Nephrology, The Royal Children's Hospital, Melbourne </w:t>
            </w:r>
          </w:p>
        </w:tc>
        <w:tc>
          <w:tcPr>
            <w:tcW w:w="1465" w:type="pct"/>
          </w:tcPr>
          <w:p w14:paraId="403F8529" w14:textId="77777777" w:rsidR="00C15476" w:rsidRPr="00FC1976" w:rsidRDefault="00C15476" w:rsidP="005E1809">
            <w:pPr>
              <w:pStyle w:val="02Tabletext"/>
              <w:rPr>
                <w:lang w:val="en-AU"/>
              </w:rPr>
            </w:pPr>
            <w:r w:rsidRPr="00FC1976">
              <w:rPr>
                <w:lang w:val="en-AU"/>
              </w:rPr>
              <w:t>None</w:t>
            </w:r>
          </w:p>
        </w:tc>
      </w:tr>
      <w:tr w:rsidR="00C15476" w:rsidRPr="00FC1976" w14:paraId="60DF1E63" w14:textId="77777777" w:rsidTr="00B6486B">
        <w:tc>
          <w:tcPr>
            <w:tcW w:w="862" w:type="pct"/>
          </w:tcPr>
          <w:p w14:paraId="51A355B2" w14:textId="77777777" w:rsidR="00C15476" w:rsidRPr="006F7C28" w:rsidRDefault="00C15476" w:rsidP="005E1809">
            <w:pPr>
              <w:pStyle w:val="02Tabletext"/>
              <w:rPr>
                <w:lang w:val="fr-CA"/>
              </w:rPr>
            </w:pPr>
            <w:r w:rsidRPr="006F7C28">
              <w:rPr>
                <w:lang w:val="fr-CA"/>
              </w:rPr>
              <w:t xml:space="preserve">Professor Paul Glasziou (Taskforce Ex-Officio) </w:t>
            </w:r>
          </w:p>
        </w:tc>
        <w:tc>
          <w:tcPr>
            <w:tcW w:w="2673" w:type="pct"/>
          </w:tcPr>
          <w:p w14:paraId="021B7A8A" w14:textId="77777777" w:rsidR="00C15476" w:rsidRPr="00FC1976" w:rsidRDefault="00432A68" w:rsidP="005E1809">
            <w:pPr>
              <w:pStyle w:val="02Tabletext"/>
              <w:rPr>
                <w:lang w:val="en-AU"/>
              </w:rPr>
            </w:pPr>
            <w:r w:rsidRPr="00432A68">
              <w:rPr>
                <w:lang w:val="en-AU"/>
              </w:rPr>
              <w:t>Professor of Evidence-Based Medicine, Bond University</w:t>
            </w:r>
          </w:p>
        </w:tc>
        <w:tc>
          <w:tcPr>
            <w:tcW w:w="1465" w:type="pct"/>
          </w:tcPr>
          <w:p w14:paraId="7338B0AF" w14:textId="77777777" w:rsidR="00C15476" w:rsidRPr="00FC1976" w:rsidRDefault="00C15476" w:rsidP="005E1809">
            <w:pPr>
              <w:pStyle w:val="02Tabletext"/>
              <w:rPr>
                <w:lang w:val="en-AU"/>
              </w:rPr>
            </w:pPr>
            <w:r w:rsidRPr="00FC1976">
              <w:rPr>
                <w:lang w:val="en-AU"/>
              </w:rPr>
              <w:t>None</w:t>
            </w:r>
          </w:p>
        </w:tc>
      </w:tr>
    </w:tbl>
    <w:p w14:paraId="6A9DB3A0" w14:textId="06E3213E" w:rsidR="00EE16AD" w:rsidRPr="00FC1976" w:rsidRDefault="00EE16AD" w:rsidP="000C1841">
      <w:pPr>
        <w:rPr>
          <w:lang w:val="en-AU"/>
        </w:rPr>
      </w:pPr>
      <w:bookmarkStart w:id="53" w:name="_Toc457463620"/>
      <w:bookmarkStart w:id="54" w:name="_Toc458166998"/>
      <w:r w:rsidRPr="00FC1976">
        <w:rPr>
          <w:lang w:val="en-AU"/>
        </w:rPr>
        <w:t xml:space="preserve">It is noted that the majority of Committee members share a common conflict </w:t>
      </w:r>
      <w:r w:rsidR="007128EB">
        <w:rPr>
          <w:lang w:val="en-AU"/>
        </w:rPr>
        <w:t xml:space="preserve">of interest </w:t>
      </w:r>
      <w:r w:rsidRPr="00FC1976">
        <w:rPr>
          <w:lang w:val="en-AU"/>
        </w:rPr>
        <w:t xml:space="preserve">in reviewing items </w:t>
      </w:r>
      <w:r w:rsidR="00E85092">
        <w:rPr>
          <w:lang w:val="en-AU"/>
        </w:rPr>
        <w:t>that</w:t>
      </w:r>
      <w:r w:rsidR="00E85092" w:rsidRPr="00FC1976">
        <w:rPr>
          <w:lang w:val="en-AU"/>
        </w:rPr>
        <w:t xml:space="preserve"> </w:t>
      </w:r>
      <w:r w:rsidRPr="00FC1976">
        <w:rPr>
          <w:lang w:val="en-AU"/>
        </w:rPr>
        <w:t>are a source of revenue</w:t>
      </w:r>
      <w:r w:rsidR="00FD6586">
        <w:rPr>
          <w:lang w:val="en-AU"/>
        </w:rPr>
        <w:t xml:space="preserve"> for them</w:t>
      </w:r>
      <w:r w:rsidRPr="00FC1976">
        <w:rPr>
          <w:lang w:val="en-AU"/>
        </w:rPr>
        <w:t xml:space="preserve"> (i.e.</w:t>
      </w:r>
      <w:r w:rsidR="0081679A">
        <w:rPr>
          <w:lang w:val="en-AU"/>
        </w:rPr>
        <w:t>,</w:t>
      </w:r>
      <w:r w:rsidRPr="00FC1976">
        <w:rPr>
          <w:lang w:val="en-AU"/>
        </w:rPr>
        <w:t xml:space="preserve"> </w:t>
      </w:r>
      <w:r w:rsidR="0081679A">
        <w:rPr>
          <w:lang w:val="en-AU"/>
        </w:rPr>
        <w:t>C</w:t>
      </w:r>
      <w:r w:rsidRPr="00FC1976">
        <w:rPr>
          <w:lang w:val="en-AU"/>
        </w:rPr>
        <w:t>ommittee members claim the items</w:t>
      </w:r>
      <w:r w:rsidR="004457B5">
        <w:rPr>
          <w:lang w:val="en-AU"/>
        </w:rPr>
        <w:t xml:space="preserve"> under review</w:t>
      </w:r>
      <w:r w:rsidRPr="00FC1976">
        <w:rPr>
          <w:lang w:val="en-AU"/>
        </w:rPr>
        <w:t xml:space="preserve">). This conflict </w:t>
      </w:r>
      <w:r w:rsidR="00B078C6" w:rsidRPr="00FC1976">
        <w:rPr>
          <w:lang w:val="en-AU"/>
        </w:rPr>
        <w:t>is inherent in a clinician</w:t>
      </w:r>
      <w:r w:rsidR="00287649">
        <w:rPr>
          <w:lang w:val="en-AU"/>
        </w:rPr>
        <w:t>-</w:t>
      </w:r>
      <w:r w:rsidR="00B078C6" w:rsidRPr="00FC1976">
        <w:rPr>
          <w:lang w:val="en-AU"/>
        </w:rPr>
        <w:t>led process</w:t>
      </w:r>
      <w:r w:rsidR="00205F91">
        <w:rPr>
          <w:lang w:val="en-AU"/>
        </w:rPr>
        <w:t>,</w:t>
      </w:r>
      <w:r w:rsidR="00B078C6" w:rsidRPr="00FC1976">
        <w:rPr>
          <w:lang w:val="en-AU"/>
        </w:rPr>
        <w:t xml:space="preserve"> and having been acknowledged by the Committee and the Taskforce, </w:t>
      </w:r>
      <w:r w:rsidR="003F1F10" w:rsidRPr="00FC1976">
        <w:rPr>
          <w:lang w:val="en-AU"/>
        </w:rPr>
        <w:t xml:space="preserve">it </w:t>
      </w:r>
      <w:r w:rsidR="00B078C6" w:rsidRPr="00FC1976">
        <w:rPr>
          <w:lang w:val="en-AU"/>
        </w:rPr>
        <w:t xml:space="preserve">was </w:t>
      </w:r>
      <w:r w:rsidR="003F1F10" w:rsidRPr="00FC1976">
        <w:rPr>
          <w:lang w:val="en-AU"/>
        </w:rPr>
        <w:t xml:space="preserve">agreed that this should </w:t>
      </w:r>
      <w:r w:rsidRPr="00FC1976">
        <w:rPr>
          <w:lang w:val="en-AU"/>
        </w:rPr>
        <w:t xml:space="preserve">not prevent a clinician from participating </w:t>
      </w:r>
      <w:r w:rsidR="00E2785E">
        <w:rPr>
          <w:lang w:val="en-AU"/>
        </w:rPr>
        <w:t xml:space="preserve">in </w:t>
      </w:r>
      <w:r w:rsidR="003F1F10" w:rsidRPr="00FC1976">
        <w:rPr>
          <w:lang w:val="en-AU"/>
        </w:rPr>
        <w:t xml:space="preserve">the </w:t>
      </w:r>
      <w:r w:rsidR="00E54055">
        <w:rPr>
          <w:lang w:val="en-AU"/>
        </w:rPr>
        <w:t>Review</w:t>
      </w:r>
      <w:r w:rsidRPr="00FC1976">
        <w:rPr>
          <w:lang w:val="en-AU"/>
        </w:rPr>
        <w:t>.</w:t>
      </w:r>
      <w:r w:rsidR="003F1F10" w:rsidRPr="00FC1976">
        <w:rPr>
          <w:lang w:val="en-AU"/>
        </w:rPr>
        <w:t xml:space="preserve"> </w:t>
      </w:r>
    </w:p>
    <w:p w14:paraId="3F00DE09" w14:textId="77777777" w:rsidR="00347C4F" w:rsidRPr="00FC1976" w:rsidRDefault="00347C4F" w:rsidP="005076E4">
      <w:pPr>
        <w:pStyle w:val="Heading2"/>
        <w:rPr>
          <w:lang w:val="en-AU"/>
        </w:rPr>
      </w:pPr>
      <w:bookmarkStart w:id="55" w:name="_Toc459996810"/>
      <w:bookmarkStart w:id="56" w:name="_Toc467668953"/>
      <w:r w:rsidRPr="00FC1976">
        <w:rPr>
          <w:lang w:val="en-AU"/>
        </w:rPr>
        <w:t>Areas of responsibility of the Committee</w:t>
      </w:r>
      <w:bookmarkEnd w:id="53"/>
      <w:bookmarkEnd w:id="54"/>
      <w:bookmarkEnd w:id="55"/>
      <w:bookmarkEnd w:id="56"/>
    </w:p>
    <w:p w14:paraId="1F52E21A" w14:textId="2923A79F" w:rsidR="008429F5" w:rsidRPr="00FC1976" w:rsidRDefault="0077348D" w:rsidP="00082595">
      <w:pPr>
        <w:rPr>
          <w:lang w:val="en-AU"/>
        </w:rPr>
      </w:pPr>
      <w:r w:rsidRPr="00FC1976">
        <w:rPr>
          <w:lang w:val="en-AU"/>
        </w:rPr>
        <w:t xml:space="preserve">The Committee was assigned </w:t>
      </w:r>
      <w:r w:rsidR="000D15BA" w:rsidRPr="00FC1976">
        <w:rPr>
          <w:lang w:val="en-AU"/>
        </w:rPr>
        <w:t>seven</w:t>
      </w:r>
      <w:r w:rsidRPr="00FC1976">
        <w:rPr>
          <w:lang w:val="en-AU"/>
        </w:rPr>
        <w:t xml:space="preserve"> MBS items to review</w:t>
      </w:r>
      <w:r w:rsidR="00432EEE" w:rsidRPr="00FC1976">
        <w:rPr>
          <w:lang w:val="en-AU"/>
        </w:rPr>
        <w:t xml:space="preserve">. </w:t>
      </w:r>
      <w:r w:rsidR="00A66A86" w:rsidRPr="00FC1976">
        <w:rPr>
          <w:lang w:val="en-AU"/>
        </w:rPr>
        <w:t>A complete list of thes</w:t>
      </w:r>
      <w:r w:rsidR="001D5A0B" w:rsidRPr="00FC1976">
        <w:rPr>
          <w:lang w:val="en-AU"/>
        </w:rPr>
        <w:t xml:space="preserve">e </w:t>
      </w:r>
      <w:r w:rsidR="00541D72" w:rsidRPr="00FC1976">
        <w:rPr>
          <w:lang w:val="en-AU"/>
        </w:rPr>
        <w:t xml:space="preserve">items can be found in Appendix </w:t>
      </w:r>
      <w:r w:rsidR="001D5A0B" w:rsidRPr="00FC1976">
        <w:rPr>
          <w:lang w:val="en-AU"/>
        </w:rPr>
        <w:t>A</w:t>
      </w:r>
      <w:r w:rsidR="00A66A86" w:rsidRPr="00FC1976">
        <w:rPr>
          <w:lang w:val="en-AU"/>
        </w:rPr>
        <w:t xml:space="preserve">. </w:t>
      </w:r>
      <w:r w:rsidR="00AE17E9" w:rsidRPr="00FC1976">
        <w:rPr>
          <w:lang w:val="en-AU"/>
        </w:rPr>
        <w:t xml:space="preserve">The </w:t>
      </w:r>
      <w:r w:rsidR="000D15BA" w:rsidRPr="00FC1976">
        <w:rPr>
          <w:lang w:val="en-AU"/>
        </w:rPr>
        <w:t xml:space="preserve">seven </w:t>
      </w:r>
      <w:r w:rsidR="00AE17E9" w:rsidRPr="00FC1976">
        <w:rPr>
          <w:lang w:val="en-AU"/>
        </w:rPr>
        <w:t xml:space="preserve">assigned items </w:t>
      </w:r>
      <w:r w:rsidR="00A66A86" w:rsidRPr="00FC1976">
        <w:rPr>
          <w:lang w:val="en-AU"/>
        </w:rPr>
        <w:t>cover procedures and services</w:t>
      </w:r>
      <w:r w:rsidR="000D15BA" w:rsidRPr="00FC1976">
        <w:rPr>
          <w:lang w:val="en-AU"/>
        </w:rPr>
        <w:t xml:space="preserve"> related to renal medicine</w:t>
      </w:r>
      <w:r w:rsidR="00A66A86" w:rsidRPr="00FC1976">
        <w:rPr>
          <w:lang w:val="en-AU"/>
        </w:rPr>
        <w:t xml:space="preserve">. </w:t>
      </w:r>
      <w:r w:rsidR="00DD78D6" w:rsidRPr="00FC1976">
        <w:rPr>
          <w:lang w:val="en-AU"/>
        </w:rPr>
        <w:t xml:space="preserve">In </w:t>
      </w:r>
      <w:r w:rsidR="00BD2F57" w:rsidRPr="00FC1976">
        <w:rPr>
          <w:lang w:val="en-AU"/>
        </w:rPr>
        <w:t xml:space="preserve">the </w:t>
      </w:r>
      <w:r w:rsidR="00DD78D6" w:rsidRPr="00FC1976">
        <w:rPr>
          <w:lang w:val="en-AU"/>
        </w:rPr>
        <w:t>2014/</w:t>
      </w:r>
      <w:r w:rsidR="00AE17E9" w:rsidRPr="00FC1976">
        <w:rPr>
          <w:lang w:val="en-AU"/>
        </w:rPr>
        <w:t>15</w:t>
      </w:r>
      <w:r w:rsidR="00BD2F57" w:rsidRPr="00FC1976">
        <w:rPr>
          <w:lang w:val="en-AU"/>
        </w:rPr>
        <w:t xml:space="preserve"> financial year (FY)</w:t>
      </w:r>
      <w:r w:rsidR="00AE17E9" w:rsidRPr="00FC1976">
        <w:rPr>
          <w:lang w:val="en-AU"/>
        </w:rPr>
        <w:t>, these</w:t>
      </w:r>
      <w:r w:rsidR="008943F3" w:rsidRPr="00FC1976">
        <w:rPr>
          <w:lang w:val="en-AU"/>
        </w:rPr>
        <w:t xml:space="preserve"> items</w:t>
      </w:r>
      <w:r w:rsidR="00186065" w:rsidRPr="00FC1976">
        <w:rPr>
          <w:lang w:val="en-AU"/>
        </w:rPr>
        <w:t xml:space="preserve"> </w:t>
      </w:r>
      <w:r w:rsidR="008943F3" w:rsidRPr="00FC1976">
        <w:rPr>
          <w:lang w:val="en-AU"/>
        </w:rPr>
        <w:t xml:space="preserve">accounted for approximately </w:t>
      </w:r>
      <w:r w:rsidR="008305F8" w:rsidRPr="00FC1976">
        <w:rPr>
          <w:lang w:val="en-AU"/>
        </w:rPr>
        <w:t>98</w:t>
      </w:r>
      <w:r w:rsidR="008943F3" w:rsidRPr="00FC1976">
        <w:rPr>
          <w:lang w:val="en-AU"/>
        </w:rPr>
        <w:t>,000 services</w:t>
      </w:r>
      <w:r w:rsidR="00DE7F07" w:rsidRPr="00FC1976">
        <w:rPr>
          <w:lang w:val="en-AU"/>
        </w:rPr>
        <w:t xml:space="preserve"> </w:t>
      </w:r>
      <w:r w:rsidR="008943F3" w:rsidRPr="00FC1976">
        <w:rPr>
          <w:lang w:val="en-AU"/>
        </w:rPr>
        <w:t>and $7 million in benefits.</w:t>
      </w:r>
      <w:r w:rsidR="00DE7F07" w:rsidRPr="00FC1976">
        <w:rPr>
          <w:lang w:val="en-AU"/>
        </w:rPr>
        <w:t xml:space="preserve"> Over the past </w:t>
      </w:r>
      <w:r w:rsidR="00FA3411" w:rsidRPr="00FC1976">
        <w:rPr>
          <w:lang w:val="en-AU"/>
        </w:rPr>
        <w:t>five</w:t>
      </w:r>
      <w:r w:rsidR="00DE7F07" w:rsidRPr="00FC1976">
        <w:rPr>
          <w:lang w:val="en-AU"/>
        </w:rPr>
        <w:t xml:space="preserve"> years</w:t>
      </w:r>
      <w:r w:rsidR="00A66A86" w:rsidRPr="00FC1976">
        <w:rPr>
          <w:lang w:val="en-AU"/>
        </w:rPr>
        <w:t>, service volumes</w:t>
      </w:r>
      <w:r w:rsidR="008305F8" w:rsidRPr="00FC1976">
        <w:rPr>
          <w:lang w:val="en-AU"/>
        </w:rPr>
        <w:t xml:space="preserve"> for these items have grown at 5.8</w:t>
      </w:r>
      <w:r w:rsidR="00D10479" w:rsidRPr="00FC1976">
        <w:rPr>
          <w:lang w:val="en-AU"/>
        </w:rPr>
        <w:t xml:space="preserve"> per cent</w:t>
      </w:r>
      <w:r w:rsidR="00A66A86" w:rsidRPr="00FC1976">
        <w:rPr>
          <w:lang w:val="en-AU"/>
        </w:rPr>
        <w:t xml:space="preserve"> per year, and the cos</w:t>
      </w:r>
      <w:r w:rsidR="008305F8" w:rsidRPr="00FC1976">
        <w:rPr>
          <w:lang w:val="en-AU"/>
        </w:rPr>
        <w:t>t of benefits has increased by 5.7</w:t>
      </w:r>
      <w:r w:rsidR="00541D72" w:rsidRPr="00FC1976">
        <w:rPr>
          <w:lang w:val="en-AU"/>
        </w:rPr>
        <w:t xml:space="preserve"> per cent per year.</w:t>
      </w:r>
      <w:r w:rsidR="008429F5" w:rsidRPr="00FC1976">
        <w:rPr>
          <w:lang w:val="en-AU"/>
        </w:rPr>
        <w:t xml:space="preserve"> This growth is largely explained by an increase in the number of services per capita </w:t>
      </w:r>
      <w:r w:rsidR="00A64861" w:rsidRPr="00FC1976">
        <w:rPr>
          <w:lang w:val="en-AU"/>
        </w:rPr>
        <w:t>(</w:t>
      </w:r>
      <w:r w:rsidR="00FA0E49" w:rsidRPr="00FC1976">
        <w:rPr>
          <w:highlight w:val="green"/>
          <w:lang w:val="en-AU"/>
        </w:rPr>
        <w:fldChar w:fldCharType="begin"/>
      </w:r>
      <w:r w:rsidR="00FA0E49" w:rsidRPr="00FC1976">
        <w:rPr>
          <w:lang w:val="en-AU"/>
        </w:rPr>
        <w:instrText xml:space="preserve"> REF _Ref457843261 \h </w:instrText>
      </w:r>
      <w:r w:rsidR="00FA0E49" w:rsidRPr="00FC1976">
        <w:rPr>
          <w:highlight w:val="green"/>
          <w:lang w:val="en-AU"/>
        </w:rPr>
      </w:r>
      <w:r w:rsidR="00FA0E49" w:rsidRPr="00FC1976">
        <w:rPr>
          <w:highlight w:val="green"/>
          <w:lang w:val="en-AU"/>
        </w:rPr>
        <w:fldChar w:fldCharType="separate"/>
      </w:r>
      <w:r w:rsidR="00D17FB0" w:rsidRPr="00FC1976">
        <w:rPr>
          <w:lang w:val="en-AU"/>
        </w:rPr>
        <w:t xml:space="preserve">Figure </w:t>
      </w:r>
      <w:r w:rsidR="00D17FB0">
        <w:rPr>
          <w:noProof/>
          <w:lang w:val="en-AU"/>
        </w:rPr>
        <w:t>2</w:t>
      </w:r>
      <w:r w:rsidR="00FA0E49" w:rsidRPr="00FC1976">
        <w:rPr>
          <w:highlight w:val="green"/>
          <w:lang w:val="en-AU"/>
        </w:rPr>
        <w:fldChar w:fldCharType="end"/>
      </w:r>
      <w:r w:rsidR="00A64861" w:rsidRPr="00FC1976">
        <w:rPr>
          <w:lang w:val="en-AU"/>
        </w:rPr>
        <w:t>)</w:t>
      </w:r>
      <w:r w:rsidR="008429F5" w:rsidRPr="00FC1976">
        <w:rPr>
          <w:lang w:val="en-AU"/>
        </w:rPr>
        <w:t xml:space="preserve">. </w:t>
      </w:r>
      <w:r w:rsidR="00D10479" w:rsidRPr="00FC1976">
        <w:rPr>
          <w:lang w:val="en-AU"/>
        </w:rPr>
        <w:t>Dialysis supervision</w:t>
      </w:r>
      <w:r w:rsidR="008429F5" w:rsidRPr="00FC1976">
        <w:rPr>
          <w:lang w:val="en-AU"/>
        </w:rPr>
        <w:t xml:space="preserve"> </w:t>
      </w:r>
      <w:r w:rsidR="00D10479" w:rsidRPr="00FC1976">
        <w:rPr>
          <w:lang w:val="en-AU"/>
        </w:rPr>
        <w:t>items 13100 and 13103</w:t>
      </w:r>
      <w:r w:rsidR="008429F5" w:rsidRPr="00FC1976">
        <w:rPr>
          <w:lang w:val="en-AU"/>
        </w:rPr>
        <w:t xml:space="preserve"> account for 8</w:t>
      </w:r>
      <w:r w:rsidR="00D10479" w:rsidRPr="00FC1976">
        <w:rPr>
          <w:lang w:val="en-AU"/>
        </w:rPr>
        <w:t>0</w:t>
      </w:r>
      <w:r w:rsidR="008429F5" w:rsidRPr="00FC1976">
        <w:rPr>
          <w:lang w:val="en-AU"/>
        </w:rPr>
        <w:t xml:space="preserve"> per cent of total services </w:t>
      </w:r>
      <w:r w:rsidR="00D87218" w:rsidRPr="00FC1976">
        <w:rPr>
          <w:lang w:val="en-AU"/>
        </w:rPr>
        <w:t>(</w:t>
      </w:r>
      <w:r w:rsidR="00FA0E49" w:rsidRPr="00FC1976">
        <w:rPr>
          <w:highlight w:val="green"/>
          <w:lang w:val="en-AU"/>
        </w:rPr>
        <w:fldChar w:fldCharType="begin"/>
      </w:r>
      <w:r w:rsidR="00FA0E49" w:rsidRPr="00FC1976">
        <w:rPr>
          <w:lang w:val="en-AU"/>
        </w:rPr>
        <w:instrText xml:space="preserve"> REF _Ref457843270 \h </w:instrText>
      </w:r>
      <w:r w:rsidR="00FA0E49" w:rsidRPr="00FC1976">
        <w:rPr>
          <w:highlight w:val="green"/>
          <w:lang w:val="en-AU"/>
        </w:rPr>
      </w:r>
      <w:r w:rsidR="00FA0E49" w:rsidRPr="00FC1976">
        <w:rPr>
          <w:highlight w:val="green"/>
          <w:lang w:val="en-AU"/>
        </w:rPr>
        <w:fldChar w:fldCharType="separate"/>
      </w:r>
      <w:r w:rsidR="00D17FB0" w:rsidRPr="00FC1976">
        <w:rPr>
          <w:lang w:val="en-AU"/>
        </w:rPr>
        <w:t xml:space="preserve">Figure </w:t>
      </w:r>
      <w:r w:rsidR="00D17FB0">
        <w:rPr>
          <w:noProof/>
          <w:lang w:val="en-AU"/>
        </w:rPr>
        <w:t>3</w:t>
      </w:r>
      <w:r w:rsidR="00FA0E49" w:rsidRPr="00FC1976">
        <w:rPr>
          <w:highlight w:val="green"/>
          <w:lang w:val="en-AU"/>
        </w:rPr>
        <w:fldChar w:fldCharType="end"/>
      </w:r>
      <w:r w:rsidR="00D87218" w:rsidRPr="00FC1976">
        <w:rPr>
          <w:lang w:val="en-AU"/>
        </w:rPr>
        <w:t>)</w:t>
      </w:r>
      <w:r w:rsidR="008429F5" w:rsidRPr="00FC1976">
        <w:rPr>
          <w:lang w:val="en-AU"/>
        </w:rPr>
        <w:t>.</w:t>
      </w:r>
    </w:p>
    <w:p w14:paraId="49B8C953" w14:textId="11FA5367" w:rsidR="00FA0E49" w:rsidRPr="00FC1976" w:rsidRDefault="00FA0E49" w:rsidP="00082595">
      <w:pPr>
        <w:pStyle w:val="Caption"/>
        <w:rPr>
          <w:lang w:val="en-AU"/>
        </w:rPr>
      </w:pPr>
      <w:bookmarkStart w:id="57" w:name="_Toc459891305"/>
      <w:bookmarkStart w:id="58" w:name="_Toc458167035"/>
      <w:bookmarkStart w:id="59" w:name="_Ref457843261"/>
      <w:bookmarkStart w:id="60" w:name="_Toc459996844"/>
      <w:bookmarkStart w:id="61" w:name="_Toc459985371"/>
      <w:bookmarkStart w:id="62" w:name="_Toc463984898"/>
      <w:r w:rsidRPr="00FC1976">
        <w:rPr>
          <w:lang w:val="en-AU"/>
        </w:rPr>
        <w:t xml:space="preserve">Figure </w:t>
      </w:r>
      <w:r w:rsidR="00746E7D" w:rsidRPr="00FC1976">
        <w:rPr>
          <w:lang w:val="en-AU"/>
        </w:rPr>
        <w:fldChar w:fldCharType="begin"/>
      </w:r>
      <w:r w:rsidR="00746E7D" w:rsidRPr="00FC1976">
        <w:rPr>
          <w:lang w:val="en-AU"/>
        </w:rPr>
        <w:instrText xml:space="preserve"> SEQ Figure \* ARABIC </w:instrText>
      </w:r>
      <w:r w:rsidR="00746E7D" w:rsidRPr="00FC1976">
        <w:rPr>
          <w:lang w:val="en-AU"/>
        </w:rPr>
        <w:fldChar w:fldCharType="separate"/>
      </w:r>
      <w:r w:rsidR="00D17FB0">
        <w:rPr>
          <w:noProof/>
          <w:lang w:val="en-AU"/>
        </w:rPr>
        <w:t>2</w:t>
      </w:r>
      <w:bookmarkEnd w:id="57"/>
      <w:bookmarkEnd w:id="58"/>
      <w:r w:rsidR="00746E7D" w:rsidRPr="00FC1976">
        <w:rPr>
          <w:lang w:val="en-AU"/>
        </w:rPr>
        <w:fldChar w:fldCharType="end"/>
      </w:r>
      <w:bookmarkEnd w:id="59"/>
      <w:r w:rsidR="004D68DE" w:rsidRPr="00FC1976">
        <w:rPr>
          <w:lang w:val="en-AU"/>
        </w:rPr>
        <w:t>: Drivers of growth</w:t>
      </w:r>
      <w:bookmarkEnd w:id="60"/>
      <w:bookmarkEnd w:id="61"/>
      <w:bookmarkEnd w:id="62"/>
    </w:p>
    <w:p w14:paraId="4981E37C" w14:textId="77777777" w:rsidR="00D0416D" w:rsidRPr="00FC1976" w:rsidRDefault="00D0416D" w:rsidP="00082595">
      <w:pPr>
        <w:pStyle w:val="70exhtblnormal"/>
        <w:rPr>
          <w:lang w:val="en-AU"/>
        </w:rPr>
      </w:pPr>
      <w:r>
        <w:rPr>
          <w:lang w:val="en-AU"/>
        </w:rPr>
        <w:t xml:space="preserve"> </w:t>
      </w:r>
      <w:r w:rsidRPr="00337817">
        <w:rPr>
          <w:noProof/>
          <w:lang w:val="en-AU" w:eastAsia="en-AU"/>
        </w:rPr>
        <w:drawing>
          <wp:inline distT="0" distB="0" distL="0" distR="0" wp14:anchorId="1700F71F" wp14:editId="168706B1">
            <wp:extent cx="4475480" cy="3368675"/>
            <wp:effectExtent l="0" t="0" r="1270" b="3175"/>
            <wp:docPr id="9" name="Picture 9" descr="Figure 2 is a graph for the drivers of growth. It shows the increase in percentage for each of the drivers of renal items from 2010 to 2015. The total benefits increased at 5.7%, due to a 5.8% increase on the number of services whereas the average benefits per service only had  -0.1% movement. The increase on the number of services was due to a 1.3% increase on the population and the 4.5% increase on services per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p>
    <w:p w14:paraId="7536C6D5" w14:textId="2A3F9AE7" w:rsidR="00FA0E49" w:rsidRPr="00FC1976" w:rsidRDefault="00FA0E49" w:rsidP="00082595">
      <w:pPr>
        <w:pStyle w:val="Caption"/>
        <w:rPr>
          <w:lang w:val="en-AU"/>
        </w:rPr>
      </w:pPr>
      <w:bookmarkStart w:id="63" w:name="_Toc459891306"/>
      <w:bookmarkStart w:id="64" w:name="_Toc458167036"/>
      <w:bookmarkStart w:id="65" w:name="_Ref457843270"/>
      <w:bookmarkStart w:id="66" w:name="_Toc459996845"/>
      <w:bookmarkStart w:id="67" w:name="_Toc459985372"/>
      <w:bookmarkStart w:id="68" w:name="_Toc463984899"/>
      <w:r w:rsidRPr="00FC1976">
        <w:rPr>
          <w:lang w:val="en-AU"/>
        </w:rPr>
        <w:t xml:space="preserve">Figure </w:t>
      </w:r>
      <w:r w:rsidR="00746E7D" w:rsidRPr="00FC1976">
        <w:rPr>
          <w:lang w:val="en-AU"/>
        </w:rPr>
        <w:fldChar w:fldCharType="begin"/>
      </w:r>
      <w:r w:rsidR="00746E7D" w:rsidRPr="00FC1976">
        <w:rPr>
          <w:lang w:val="en-AU"/>
        </w:rPr>
        <w:instrText xml:space="preserve"> SEQ Figure \* ARABIC </w:instrText>
      </w:r>
      <w:r w:rsidR="00746E7D" w:rsidRPr="00FC1976">
        <w:rPr>
          <w:lang w:val="en-AU"/>
        </w:rPr>
        <w:fldChar w:fldCharType="separate"/>
      </w:r>
      <w:r w:rsidR="00D17FB0">
        <w:rPr>
          <w:noProof/>
          <w:lang w:val="en-AU"/>
        </w:rPr>
        <w:t>3</w:t>
      </w:r>
      <w:bookmarkEnd w:id="63"/>
      <w:bookmarkEnd w:id="64"/>
      <w:r w:rsidR="00746E7D" w:rsidRPr="00FC1976">
        <w:rPr>
          <w:lang w:val="en-AU"/>
        </w:rPr>
        <w:fldChar w:fldCharType="end"/>
      </w:r>
      <w:bookmarkEnd w:id="65"/>
      <w:r w:rsidR="004D68DE" w:rsidRPr="00FC1976">
        <w:rPr>
          <w:lang w:val="en-AU"/>
        </w:rPr>
        <w:t>: Renal items by service volume</w:t>
      </w:r>
      <w:bookmarkEnd w:id="66"/>
      <w:bookmarkEnd w:id="67"/>
      <w:bookmarkEnd w:id="68"/>
    </w:p>
    <w:p w14:paraId="3F1A8925" w14:textId="77777777" w:rsidR="00D0416D" w:rsidRPr="00FC1976" w:rsidRDefault="00D0416D" w:rsidP="00082595">
      <w:pPr>
        <w:pStyle w:val="70exhtblnormal"/>
        <w:rPr>
          <w:lang w:val="en-AU"/>
        </w:rPr>
      </w:pPr>
      <w:r w:rsidRPr="00FC1976">
        <w:rPr>
          <w:rStyle w:val="CommentReference"/>
          <w:rFonts w:cs="Arial"/>
          <w:sz w:val="24"/>
          <w:szCs w:val="20"/>
          <w:lang w:val="en-AU"/>
        </w:rPr>
        <w:t xml:space="preserve"> </w:t>
      </w:r>
      <w:r w:rsidRPr="00337817">
        <w:rPr>
          <w:rStyle w:val="CommentReference"/>
          <w:rFonts w:cs="Arial"/>
          <w:noProof/>
          <w:sz w:val="24"/>
          <w:szCs w:val="20"/>
          <w:lang w:val="en-AU" w:eastAsia="en-AU"/>
        </w:rPr>
        <w:drawing>
          <wp:inline distT="0" distB="0" distL="0" distR="0" wp14:anchorId="780C1991" wp14:editId="033DDAAC">
            <wp:extent cx="4475480" cy="3368675"/>
            <wp:effectExtent l="0" t="0" r="1270" b="3175"/>
            <wp:docPr id="10" name="Picture 10" descr="Figure 3 shows the Renal items by service volume for financial year 2014-15. There are 5 columns:  column 1. lists the Renal item groups from the highest to lowest service volume, column 2. Percentage of the total  number of services, column 3: Percentage of total services, column 4: Services 5-year compound annual growth rate, and column 5. Total in millions of the benefits for year 2014-15 . The graph shows that the highest of the grouped items are for supervision dialysis which accounts to 79% of the total services and management of home dialysis at 19%. The rest of the grouped items only account to 1% and below of the service volume for Renal items. The growth of item 13103 is 8.1% per year." title="Figure 3: Renal items by service 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p>
    <w:p w14:paraId="245DF93D" w14:textId="77777777" w:rsidR="00752830" w:rsidRPr="00FC1976" w:rsidRDefault="00752830" w:rsidP="005076E4">
      <w:pPr>
        <w:pStyle w:val="Heading2"/>
        <w:rPr>
          <w:lang w:val="en-AU"/>
        </w:rPr>
      </w:pPr>
      <w:bookmarkStart w:id="69" w:name="_Toc457463621"/>
      <w:bookmarkStart w:id="70" w:name="_Toc459996811"/>
      <w:bookmarkStart w:id="71" w:name="_Toc458166999"/>
      <w:bookmarkStart w:id="72" w:name="_Toc467668954"/>
      <w:bookmarkStart w:id="73" w:name="_Toc456045432"/>
      <w:r w:rsidRPr="00FC1976">
        <w:rPr>
          <w:lang w:val="en-AU"/>
        </w:rPr>
        <w:t>Summary of the Committee’s review approach</w:t>
      </w:r>
      <w:bookmarkEnd w:id="69"/>
      <w:bookmarkEnd w:id="70"/>
      <w:bookmarkEnd w:id="71"/>
      <w:bookmarkEnd w:id="72"/>
    </w:p>
    <w:p w14:paraId="442F60DE" w14:textId="1ECFBEBA" w:rsidR="00752830" w:rsidRPr="00FC1976" w:rsidRDefault="00752830" w:rsidP="00082595">
      <w:pPr>
        <w:rPr>
          <w:lang w:val="en-AU"/>
        </w:rPr>
      </w:pPr>
      <w:r w:rsidRPr="00FC1976">
        <w:rPr>
          <w:lang w:val="en-AU"/>
        </w:rPr>
        <w:t xml:space="preserve">The Committee completed a review of its seven items across </w:t>
      </w:r>
      <w:r w:rsidR="008A6D63" w:rsidRPr="00FC1976">
        <w:rPr>
          <w:lang w:val="en-AU"/>
        </w:rPr>
        <w:t>five</w:t>
      </w:r>
      <w:r w:rsidRPr="00FC1976">
        <w:rPr>
          <w:lang w:val="en-AU"/>
        </w:rPr>
        <w:t xml:space="preserve"> meetings, during which it developed the recommendations and rationales outlined in Section </w:t>
      </w:r>
      <w:r w:rsidR="007E4981">
        <w:rPr>
          <w:lang w:val="en-AU"/>
        </w:rPr>
        <w:t>4</w:t>
      </w:r>
      <w:r w:rsidRPr="00FC1976">
        <w:rPr>
          <w:lang w:val="en-AU"/>
        </w:rPr>
        <w:t>. Recommendations were also developed for referral to other committees.</w:t>
      </w:r>
      <w:r w:rsidR="00E74A90" w:rsidRPr="00FC1976">
        <w:rPr>
          <w:lang w:val="en-AU"/>
        </w:rPr>
        <w:t xml:space="preserve"> These are outlined in Section </w:t>
      </w:r>
      <w:r w:rsidR="007E4981">
        <w:rPr>
          <w:lang w:val="en-AU"/>
        </w:rPr>
        <w:t>5</w:t>
      </w:r>
      <w:r w:rsidR="00E74A90" w:rsidRPr="00FC1976">
        <w:rPr>
          <w:lang w:val="en-AU"/>
        </w:rPr>
        <w:t>.</w:t>
      </w:r>
      <w:r w:rsidRPr="00FC1976">
        <w:rPr>
          <w:lang w:val="en-AU"/>
        </w:rPr>
        <w:t xml:space="preserve"> </w:t>
      </w:r>
    </w:p>
    <w:p w14:paraId="68A3F7F7" w14:textId="6D8F73BD" w:rsidR="00752830" w:rsidRPr="00FC1976" w:rsidRDefault="00752830" w:rsidP="00082595">
      <w:pPr>
        <w:rPr>
          <w:lang w:val="en-AU"/>
        </w:rPr>
      </w:pPr>
      <w:r w:rsidRPr="00FC1976">
        <w:rPr>
          <w:lang w:val="en-AU"/>
        </w:rPr>
        <w:t xml:space="preserve">The </w:t>
      </w:r>
      <w:r w:rsidR="00E54055">
        <w:rPr>
          <w:lang w:val="en-AU"/>
        </w:rPr>
        <w:t>Review</w:t>
      </w:r>
      <w:r w:rsidRPr="00FC1976">
        <w:rPr>
          <w:lang w:val="en-AU"/>
        </w:rPr>
        <w:t xml:space="preserve"> drew on various types of MBS data, including data on utilisation of items (services, benefits, patients, providers and growth rates); service provision (type of provider, geography of service provision); patients (demographics and services per patient); co-claiming or episodes of services (same-day claiming and claiming with specific items over time); and additional provider and patient-level data, when required. The review also drew on data presented in the relevant literature and clinical guidelines, all of which are referenced in the report. Guidelines and literature were sourced from medical journals</w:t>
      </w:r>
      <w:r w:rsidR="00FF2EF6">
        <w:rPr>
          <w:lang w:val="en-AU"/>
        </w:rPr>
        <w:t xml:space="preserve"> (</w:t>
      </w:r>
      <w:r w:rsidRPr="00FC1976">
        <w:rPr>
          <w:lang w:val="en-AU"/>
        </w:rPr>
        <w:t xml:space="preserve">such as the </w:t>
      </w:r>
      <w:r w:rsidRPr="00DD1E85">
        <w:rPr>
          <w:i/>
          <w:lang w:val="en-AU"/>
        </w:rPr>
        <w:t>BMJ</w:t>
      </w:r>
      <w:r w:rsidR="00FF2EF6">
        <w:rPr>
          <w:lang w:val="en-AU"/>
        </w:rPr>
        <w:t>)</w:t>
      </w:r>
      <w:r w:rsidRPr="00FC1976">
        <w:rPr>
          <w:lang w:val="en-AU"/>
        </w:rPr>
        <w:t xml:space="preserve"> and other sources, such as </w:t>
      </w:r>
      <w:r w:rsidR="00775F16" w:rsidRPr="00FC1976">
        <w:rPr>
          <w:lang w:val="en-AU"/>
        </w:rPr>
        <w:t>the Central Australian Renal Study</w:t>
      </w:r>
      <w:r w:rsidR="008F5184" w:rsidRPr="00FC1976">
        <w:rPr>
          <w:lang w:val="en-AU"/>
        </w:rPr>
        <w:t xml:space="preserve"> and KHA-CARI Renal Guidelines</w:t>
      </w:r>
      <w:r w:rsidRPr="00FC1976">
        <w:rPr>
          <w:lang w:val="en-AU"/>
        </w:rPr>
        <w:t>.</w:t>
      </w:r>
      <w:r w:rsidR="007D479F">
        <w:rPr>
          <w:lang w:val="en-AU"/>
        </w:rPr>
        <w:t xml:space="preserve"> </w:t>
      </w:r>
    </w:p>
    <w:p w14:paraId="756CBE55" w14:textId="77777777" w:rsidR="00752830" w:rsidRPr="00FC1976" w:rsidRDefault="00752830" w:rsidP="00082595">
      <w:pPr>
        <w:rPr>
          <w:lang w:val="en-AU"/>
        </w:rPr>
      </w:pPr>
      <w:r w:rsidRPr="00FC1976">
        <w:rPr>
          <w:lang w:val="en-AU"/>
        </w:rPr>
        <w:t xml:space="preserve">An inclusive set of stakeholders is now engaged in consultation on the recommendations resulting from this process, which are outlined in this report. Following this period of consultation, </w:t>
      </w:r>
      <w:r w:rsidR="00DD1E85">
        <w:rPr>
          <w:lang w:val="en-AU"/>
        </w:rPr>
        <w:t xml:space="preserve">the Committee will consider </w:t>
      </w:r>
      <w:r w:rsidRPr="00FC1976">
        <w:rPr>
          <w:lang w:val="en-AU"/>
        </w:rPr>
        <w:t xml:space="preserve">stakeholder feedback </w:t>
      </w:r>
      <w:r w:rsidR="00B22A26">
        <w:rPr>
          <w:lang w:val="en-AU"/>
        </w:rPr>
        <w:t>before finalising</w:t>
      </w:r>
      <w:r w:rsidRPr="00FC1976">
        <w:rPr>
          <w:lang w:val="en-AU"/>
        </w:rPr>
        <w:t xml:space="preserve"> the recommendations and present</w:t>
      </w:r>
      <w:r w:rsidR="00B22A26">
        <w:rPr>
          <w:lang w:val="en-AU"/>
        </w:rPr>
        <w:t>ing</w:t>
      </w:r>
      <w:r w:rsidRPr="00FC1976">
        <w:rPr>
          <w:lang w:val="en-AU"/>
        </w:rPr>
        <w:t xml:space="preserve"> </w:t>
      </w:r>
      <w:r w:rsidR="00B22A26">
        <w:rPr>
          <w:lang w:val="en-AU"/>
        </w:rPr>
        <w:t xml:space="preserve">them </w:t>
      </w:r>
      <w:r w:rsidRPr="00FC1976">
        <w:rPr>
          <w:lang w:val="en-AU"/>
        </w:rPr>
        <w:t xml:space="preserve">to the Taskforce. The Taskforce will consider the report and stakeholder feedback before making recommendations to the </w:t>
      </w:r>
      <w:r w:rsidR="007D479F">
        <w:rPr>
          <w:lang w:val="en-AU"/>
        </w:rPr>
        <w:t xml:space="preserve">Minister for Health </w:t>
      </w:r>
      <w:r w:rsidRPr="00FC1976">
        <w:rPr>
          <w:lang w:val="en-AU"/>
        </w:rPr>
        <w:t xml:space="preserve">for consideration by the Government. </w:t>
      </w:r>
    </w:p>
    <w:p w14:paraId="7E4A9A8C" w14:textId="77777777" w:rsidR="00C172DC" w:rsidRPr="00FC1976" w:rsidRDefault="00E93610" w:rsidP="00EE7BD8">
      <w:pPr>
        <w:pStyle w:val="Heading1"/>
        <w:pageBreakBefore/>
        <w:ind w:left="431" w:hanging="431"/>
        <w:rPr>
          <w:lang w:val="en-AU"/>
        </w:rPr>
      </w:pPr>
      <w:bookmarkStart w:id="74" w:name="_Toc456045433"/>
      <w:bookmarkStart w:id="75" w:name="_Toc459996812"/>
      <w:bookmarkStart w:id="76" w:name="_Toc458167000"/>
      <w:bookmarkStart w:id="77" w:name="_Toc467668955"/>
      <w:bookmarkEnd w:id="73"/>
      <w:r w:rsidRPr="00FC1976">
        <w:rPr>
          <w:lang w:val="en-AU"/>
        </w:rPr>
        <w:t xml:space="preserve">Recommendations </w:t>
      </w:r>
      <w:bookmarkEnd w:id="74"/>
      <w:r w:rsidR="00752830" w:rsidRPr="00FC1976">
        <w:rPr>
          <w:lang w:val="en-AU"/>
        </w:rPr>
        <w:t>for c</w:t>
      </w:r>
      <w:r w:rsidR="006D1E01" w:rsidRPr="00FC1976">
        <w:rPr>
          <w:lang w:val="en-AU"/>
        </w:rPr>
        <w:t>onsultation</w:t>
      </w:r>
      <w:bookmarkEnd w:id="75"/>
      <w:bookmarkEnd w:id="76"/>
      <w:bookmarkEnd w:id="77"/>
    </w:p>
    <w:p w14:paraId="0F17EC64" w14:textId="77777777" w:rsidR="00512F2C" w:rsidRPr="0021617B" w:rsidRDefault="002F43B8" w:rsidP="0021617B">
      <w:pPr>
        <w:pStyle w:val="H2"/>
      </w:pPr>
      <w:r w:rsidRPr="0021617B">
        <w:t>Introduction</w:t>
      </w:r>
    </w:p>
    <w:p w14:paraId="23D471CD" w14:textId="77777777" w:rsidR="0049272D" w:rsidRPr="007B3FE5" w:rsidRDefault="00071EB7" w:rsidP="00082595">
      <w:pPr>
        <w:rPr>
          <w:lang w:val="en-AU"/>
        </w:rPr>
      </w:pPr>
      <w:r w:rsidRPr="00FC1976">
        <w:rPr>
          <w:lang w:val="en-AU" w:eastAsia="en-US"/>
        </w:rPr>
        <w:t xml:space="preserve">The Committee </w:t>
      </w:r>
      <w:r w:rsidR="00EF2140" w:rsidRPr="00FC1976">
        <w:rPr>
          <w:lang w:val="en-AU" w:eastAsia="en-US"/>
        </w:rPr>
        <w:t xml:space="preserve">reviewed </w:t>
      </w:r>
      <w:r w:rsidR="00724174" w:rsidRPr="00FC1976">
        <w:rPr>
          <w:lang w:val="en-AU" w:eastAsia="en-US"/>
        </w:rPr>
        <w:t xml:space="preserve">seven </w:t>
      </w:r>
      <w:r w:rsidR="00EF2140" w:rsidRPr="00FC1976">
        <w:rPr>
          <w:lang w:val="en-AU" w:eastAsia="en-US"/>
        </w:rPr>
        <w:t>assigned</w:t>
      </w:r>
      <w:r w:rsidRPr="00FC1976">
        <w:rPr>
          <w:lang w:val="en-AU" w:eastAsia="en-US"/>
        </w:rPr>
        <w:t xml:space="preserve"> </w:t>
      </w:r>
      <w:r w:rsidR="00752830" w:rsidRPr="00FC1976">
        <w:rPr>
          <w:lang w:val="en-AU" w:eastAsia="en-US"/>
        </w:rPr>
        <w:t>renal</w:t>
      </w:r>
      <w:r w:rsidRPr="00FC1976">
        <w:rPr>
          <w:lang w:val="en-AU" w:eastAsia="en-US"/>
        </w:rPr>
        <w:t xml:space="preserve"> item</w:t>
      </w:r>
      <w:r w:rsidR="00752830" w:rsidRPr="00FC1976">
        <w:rPr>
          <w:lang w:val="en-AU" w:eastAsia="en-US"/>
        </w:rPr>
        <w:t>s</w:t>
      </w:r>
      <w:r w:rsidRPr="00FC1976">
        <w:rPr>
          <w:lang w:val="en-AU" w:eastAsia="en-US"/>
        </w:rPr>
        <w:t xml:space="preserve"> </w:t>
      </w:r>
      <w:r w:rsidR="00EF2140" w:rsidRPr="00FC1976">
        <w:rPr>
          <w:lang w:val="en-AU" w:eastAsia="en-US"/>
        </w:rPr>
        <w:t>and made</w:t>
      </w:r>
      <w:r w:rsidRPr="00FC1976">
        <w:rPr>
          <w:lang w:val="en-AU" w:eastAsia="en-US"/>
        </w:rPr>
        <w:t xml:space="preserve"> </w:t>
      </w:r>
      <w:r w:rsidR="005C14C4" w:rsidRPr="00FC1976">
        <w:rPr>
          <w:lang w:val="en-AU" w:eastAsia="en-US"/>
        </w:rPr>
        <w:t>recommendations</w:t>
      </w:r>
      <w:r w:rsidRPr="00FC1976">
        <w:rPr>
          <w:lang w:val="en-AU" w:eastAsia="en-US"/>
        </w:rPr>
        <w:t xml:space="preserve"> based on evidence</w:t>
      </w:r>
      <w:r w:rsidR="00F01000" w:rsidRPr="00FC1976">
        <w:rPr>
          <w:lang w:val="en-AU" w:eastAsia="en-US"/>
        </w:rPr>
        <w:t xml:space="preserve"> and</w:t>
      </w:r>
      <w:r w:rsidRPr="00FC1976">
        <w:rPr>
          <w:lang w:val="en-AU" w:eastAsia="en-US"/>
        </w:rPr>
        <w:t xml:space="preserve"> clinical expertise</w:t>
      </w:r>
      <w:r w:rsidR="00F01000" w:rsidRPr="00FC1976">
        <w:rPr>
          <w:lang w:val="en-AU" w:eastAsia="en-US"/>
        </w:rPr>
        <w:t>,</w:t>
      </w:r>
      <w:r w:rsidRPr="00FC1976">
        <w:rPr>
          <w:lang w:val="en-AU" w:eastAsia="en-US"/>
        </w:rPr>
        <w:t xml:space="preserve"> </w:t>
      </w:r>
      <w:r w:rsidR="00F01000" w:rsidRPr="00FC1976">
        <w:rPr>
          <w:lang w:val="en-AU" w:eastAsia="en-US"/>
        </w:rPr>
        <w:t xml:space="preserve">in </w:t>
      </w:r>
      <w:r w:rsidRPr="00FC1976">
        <w:rPr>
          <w:lang w:val="en-AU" w:eastAsia="en-US"/>
        </w:rPr>
        <w:t>consultation with relevant stakeholders</w:t>
      </w:r>
      <w:r w:rsidR="0049272D" w:rsidRPr="00FC1976">
        <w:rPr>
          <w:lang w:val="en-AU" w:eastAsia="en-US"/>
        </w:rPr>
        <w:t xml:space="preserve">. </w:t>
      </w:r>
      <w:r w:rsidR="0049272D" w:rsidRPr="00FC1976">
        <w:rPr>
          <w:lang w:val="en-AU"/>
        </w:rPr>
        <w:t xml:space="preserve">The Committee’s </w:t>
      </w:r>
      <w:r w:rsidR="00A1381F" w:rsidRPr="00FC1976">
        <w:rPr>
          <w:lang w:val="en-AU"/>
        </w:rPr>
        <w:t xml:space="preserve">most important </w:t>
      </w:r>
      <w:r w:rsidR="0049272D" w:rsidRPr="00FC1976">
        <w:rPr>
          <w:lang w:val="en-AU"/>
        </w:rPr>
        <w:t xml:space="preserve">provisional recommendations for stakeholder consultation are </w:t>
      </w:r>
      <w:r w:rsidR="00B13BC7">
        <w:rPr>
          <w:lang w:val="en-AU"/>
        </w:rPr>
        <w:t>as follows:</w:t>
      </w:r>
      <w:r w:rsidR="00F40CB3">
        <w:rPr>
          <w:lang w:val="en-AU"/>
        </w:rPr>
        <w:t xml:space="preserve"> (i)</w:t>
      </w:r>
      <w:r w:rsidR="0049272D" w:rsidRPr="00FC1976">
        <w:rPr>
          <w:lang w:val="en-AU"/>
        </w:rPr>
        <w:t xml:space="preserve"> a new item should be created for dialysis</w:t>
      </w:r>
      <w:r w:rsidR="00844D66" w:rsidRPr="00FC1976">
        <w:rPr>
          <w:lang w:val="en-AU"/>
        </w:rPr>
        <w:t xml:space="preserve"> services</w:t>
      </w:r>
      <w:r w:rsidR="0049272D" w:rsidRPr="00FC1976">
        <w:rPr>
          <w:lang w:val="en-AU"/>
        </w:rPr>
        <w:t xml:space="preserve"> in very remote areas</w:t>
      </w:r>
      <w:r w:rsidR="005E7CE3" w:rsidRPr="00FC1976">
        <w:rPr>
          <w:lang w:val="en-AU"/>
        </w:rPr>
        <w:t>;</w:t>
      </w:r>
      <w:r w:rsidR="0049272D" w:rsidRPr="00FC1976">
        <w:rPr>
          <w:lang w:val="en-AU"/>
        </w:rPr>
        <w:t xml:space="preserve"> </w:t>
      </w:r>
      <w:r w:rsidR="00390C3D">
        <w:rPr>
          <w:lang w:val="en-AU"/>
        </w:rPr>
        <w:t xml:space="preserve">(ii) </w:t>
      </w:r>
      <w:r w:rsidR="0049272D" w:rsidRPr="00FC1976">
        <w:rPr>
          <w:lang w:val="en-AU"/>
        </w:rPr>
        <w:t>two fee</w:t>
      </w:r>
      <w:r w:rsidR="00CA3400" w:rsidRPr="00FC1976">
        <w:rPr>
          <w:lang w:val="en-AU"/>
        </w:rPr>
        <w:t>-</w:t>
      </w:r>
      <w:r w:rsidR="0049272D" w:rsidRPr="00FC1976">
        <w:rPr>
          <w:lang w:val="en-AU"/>
        </w:rPr>
        <w:t>for</w:t>
      </w:r>
      <w:r w:rsidR="00CA3400" w:rsidRPr="00FC1976">
        <w:rPr>
          <w:lang w:val="en-AU"/>
        </w:rPr>
        <w:t>-</w:t>
      </w:r>
      <w:r w:rsidR="0049272D" w:rsidRPr="00FC1976">
        <w:rPr>
          <w:lang w:val="en-AU"/>
        </w:rPr>
        <w:t xml:space="preserve">service items should be restructured into a </w:t>
      </w:r>
      <w:r w:rsidR="009057B1">
        <w:rPr>
          <w:lang w:val="en-AU"/>
        </w:rPr>
        <w:t xml:space="preserve">single </w:t>
      </w:r>
      <w:r w:rsidR="0049272D" w:rsidRPr="00FC1976">
        <w:rPr>
          <w:lang w:val="en-AU"/>
        </w:rPr>
        <w:t xml:space="preserve">weekly </w:t>
      </w:r>
      <w:r w:rsidR="009057B1">
        <w:rPr>
          <w:lang w:val="en-AU"/>
        </w:rPr>
        <w:t>item</w:t>
      </w:r>
      <w:r w:rsidR="005E7CE3" w:rsidRPr="00FC1976">
        <w:rPr>
          <w:lang w:val="en-AU"/>
        </w:rPr>
        <w:t>;</w:t>
      </w:r>
      <w:r w:rsidR="0049272D" w:rsidRPr="00FC1976">
        <w:rPr>
          <w:lang w:val="en-AU"/>
        </w:rPr>
        <w:t xml:space="preserve"> </w:t>
      </w:r>
      <w:r w:rsidR="00B32B7D">
        <w:rPr>
          <w:lang w:val="en-AU"/>
        </w:rPr>
        <w:t xml:space="preserve">(iii) </w:t>
      </w:r>
      <w:r w:rsidR="0049272D" w:rsidRPr="00FC1976">
        <w:rPr>
          <w:lang w:val="en-AU"/>
        </w:rPr>
        <w:t>two items should be deleted from the MBS</w:t>
      </w:r>
      <w:r w:rsidR="005E7CE3" w:rsidRPr="00FC1976">
        <w:rPr>
          <w:lang w:val="en-AU"/>
        </w:rPr>
        <w:t>;</w:t>
      </w:r>
      <w:r w:rsidR="0049272D" w:rsidRPr="00FC1976">
        <w:rPr>
          <w:lang w:val="en-AU"/>
        </w:rPr>
        <w:t xml:space="preserve"> and</w:t>
      </w:r>
      <w:r w:rsidR="008D68E6">
        <w:rPr>
          <w:lang w:val="en-AU"/>
        </w:rPr>
        <w:t xml:space="preserve"> (iv)</w:t>
      </w:r>
      <w:r w:rsidR="0049272D" w:rsidRPr="00FC1976">
        <w:rPr>
          <w:lang w:val="en-AU"/>
        </w:rPr>
        <w:t xml:space="preserve"> </w:t>
      </w:r>
      <w:r w:rsidR="00355AF5" w:rsidRPr="00FC1976">
        <w:rPr>
          <w:lang w:val="en-AU"/>
        </w:rPr>
        <w:t xml:space="preserve">one item should </w:t>
      </w:r>
      <w:r w:rsidR="0049272D" w:rsidRPr="00FC1976">
        <w:rPr>
          <w:lang w:val="en-AU"/>
        </w:rPr>
        <w:t xml:space="preserve">remain </w:t>
      </w:r>
      <w:r w:rsidR="00355AF5" w:rsidRPr="00FC1976">
        <w:rPr>
          <w:lang w:val="en-AU"/>
        </w:rPr>
        <w:t>unchanged</w:t>
      </w:r>
      <w:r w:rsidR="0049272D" w:rsidRPr="00FC1976">
        <w:rPr>
          <w:lang w:val="en-AU"/>
        </w:rPr>
        <w:t xml:space="preserve">. The </w:t>
      </w:r>
      <w:r w:rsidR="0049272D" w:rsidRPr="007B3FE5">
        <w:rPr>
          <w:lang w:val="en-AU"/>
        </w:rPr>
        <w:t>changes focus on increasing access to medical services, encouraging best practice and simplifying the MBS to improve patient care</w:t>
      </w:r>
      <w:r w:rsidR="00844D66" w:rsidRPr="007B3FE5">
        <w:rPr>
          <w:lang w:val="en-AU"/>
        </w:rPr>
        <w:t>.</w:t>
      </w:r>
    </w:p>
    <w:p w14:paraId="281E852A" w14:textId="77777777" w:rsidR="000B30DE" w:rsidRPr="007B3FE5" w:rsidRDefault="000B30DE" w:rsidP="000B30DE">
      <w:pPr>
        <w:rPr>
          <w:lang w:val="en-AU"/>
        </w:rPr>
      </w:pPr>
      <w:r w:rsidRPr="007B3FE5">
        <w:rPr>
          <w:lang w:val="en-AU"/>
        </w:rPr>
        <w:t>The Committee’s assigned seven items all related to the initiation and supervision of haemodialysis and peritoneal dialysis. In 2014/15 these items combined provided for 97,864 services and $6.8 million in benefits. The average growth in services is 5.8 per cent per year, though item 13103 for supervision of dialysis accounts for 78 per cent of services and is growing at 8.1 per cent per year. There were 12,000 patients on dialysis in Australia in 2014/15, of which approximately 4,400 received dialysis supervision services under the MBS. There are an estimated 3,600 patients currently receiving home dialysis of which, 73 per cent (n=2,663) claimed supervision (item 13104 planning and management of home dialysis) under the MBS</w:t>
      </w:r>
      <w:r w:rsidRPr="007B3FE5">
        <w:rPr>
          <w:lang w:val="en-AU"/>
        </w:rPr>
        <w:fldChar w:fldCharType="begin" w:fldLock="1"/>
      </w:r>
      <w:r w:rsidRPr="007B3FE5">
        <w:rPr>
          <w:lang w:val="en-AU"/>
        </w:rPr>
        <w:instrText>ADDIN CSL_CITATION { "citationItems" : [ { "id" : "ITEM-1", "itemData" : { "author" : [ { "dropping-particle" : "", "family" : "MBS", "given" : "", "non-dropping-particle" : "", "parse-names" : false, "suffix" : "" } ], "id" : "ITEM-1", "issued" : { "date-parts" : [ [ "0" ] ] }, "title" : "MBS Data", "type" : "article" }, "uris" : [ "http://www.mendeley.com/documents/?uuid=f29a4196-9992-4e2e-ba94-94150e4899c6" ] }, { "id" : "ITEM-2", "itemData" : { "author" : [ { "dropping-particle" : "", "family" : "ANZDATA Registry", "given" : "", "non-dropping-particle" : "", "parse-names" : false, "suffix" : "" } ], "id" : "ITEM-2", "issued" : { "date-parts" : [ [ "2016" ] ] }, "publisher-place" : "Adelaide", "title" : "38th Annual ANZDATA Report", "type" : "report" }, "uris" : [ "http://www.mendeley.com/documents/?uuid=a3c01c88-f62c-40f0-b496-4957c5d0c745" ] } ], "mendeley" : { "formattedCitation" : "(2,3)", "plainTextFormattedCitation" : "(2,3)", "previouslyFormattedCitation" : "(2,3)" }, "properties" : { "noteIndex" : 0 }, "schema" : "https://github.com/citation-style-language/schema/raw/master/csl-citation.json" }</w:instrText>
      </w:r>
      <w:r w:rsidRPr="007B3FE5">
        <w:rPr>
          <w:lang w:val="en-AU"/>
        </w:rPr>
        <w:fldChar w:fldCharType="separate"/>
      </w:r>
      <w:r w:rsidRPr="007B3FE5">
        <w:rPr>
          <w:noProof/>
          <w:lang w:val="en-AU"/>
        </w:rPr>
        <w:t>(2,3)</w:t>
      </w:r>
      <w:r w:rsidRPr="007B3FE5">
        <w:rPr>
          <w:lang w:val="en-AU"/>
        </w:rPr>
        <w:fldChar w:fldCharType="end"/>
      </w:r>
      <w:r w:rsidRPr="007B3FE5">
        <w:rPr>
          <w:lang w:val="en-AU"/>
        </w:rPr>
        <w:t>.</w:t>
      </w:r>
    </w:p>
    <w:p w14:paraId="35E75EDF" w14:textId="77777777" w:rsidR="0049272D" w:rsidRPr="00FC1976" w:rsidRDefault="0049272D" w:rsidP="00082595">
      <w:pPr>
        <w:rPr>
          <w:lang w:val="en-AU" w:eastAsia="en-US"/>
        </w:rPr>
      </w:pPr>
      <w:r w:rsidRPr="007B3FE5">
        <w:rPr>
          <w:lang w:val="en-AU" w:eastAsia="en-US"/>
        </w:rPr>
        <w:t xml:space="preserve">The recommendations are </w:t>
      </w:r>
      <w:r w:rsidR="00581812" w:rsidRPr="007B3FE5">
        <w:rPr>
          <w:lang w:val="en-AU" w:eastAsia="en-US"/>
        </w:rPr>
        <w:t xml:space="preserve">organised by </w:t>
      </w:r>
      <w:r w:rsidR="00896E38" w:rsidRPr="007B3FE5">
        <w:rPr>
          <w:lang w:val="en-AU" w:eastAsia="en-US"/>
        </w:rPr>
        <w:t>item type</w:t>
      </w:r>
      <w:r w:rsidRPr="007B3FE5">
        <w:rPr>
          <w:lang w:val="en-AU" w:eastAsia="en-US"/>
        </w:rPr>
        <w:t>, with higher priority groups</w:t>
      </w:r>
      <w:r w:rsidRPr="00FC1976">
        <w:rPr>
          <w:lang w:val="en-AU" w:eastAsia="en-US"/>
        </w:rPr>
        <w:t xml:space="preserve"> presented first. </w:t>
      </w:r>
    </w:p>
    <w:p w14:paraId="082F56D9" w14:textId="77777777" w:rsidR="002B1AE5" w:rsidRPr="00FC1976" w:rsidRDefault="00FF0F8B" w:rsidP="005076E4">
      <w:pPr>
        <w:pStyle w:val="Heading2"/>
        <w:rPr>
          <w:lang w:val="en-AU"/>
        </w:rPr>
      </w:pPr>
      <w:bookmarkStart w:id="78" w:name="_Toc459996813"/>
      <w:bookmarkStart w:id="79" w:name="_Toc458167001"/>
      <w:bookmarkStart w:id="80" w:name="_Toc467668956"/>
      <w:r w:rsidRPr="00FC1976">
        <w:rPr>
          <w:lang w:val="en-AU"/>
        </w:rPr>
        <w:t xml:space="preserve">Very </w:t>
      </w:r>
      <w:r w:rsidR="00F56270" w:rsidRPr="00FC1976">
        <w:rPr>
          <w:lang w:val="en-AU"/>
        </w:rPr>
        <w:t>r</w:t>
      </w:r>
      <w:r w:rsidRPr="00FC1976">
        <w:rPr>
          <w:lang w:val="en-AU"/>
        </w:rPr>
        <w:t xml:space="preserve">emote </w:t>
      </w:r>
      <w:r w:rsidR="00F56270" w:rsidRPr="00FC1976">
        <w:rPr>
          <w:lang w:val="en-AU"/>
        </w:rPr>
        <w:t>d</w:t>
      </w:r>
      <w:r w:rsidRPr="00FC1976">
        <w:rPr>
          <w:lang w:val="en-AU"/>
        </w:rPr>
        <w:t>ialysis item</w:t>
      </w:r>
      <w:bookmarkEnd w:id="78"/>
      <w:bookmarkEnd w:id="79"/>
      <w:bookmarkEnd w:id="80"/>
      <w:r w:rsidR="002B1AE5" w:rsidRPr="00FC1976">
        <w:rPr>
          <w:lang w:val="en-AU"/>
        </w:rPr>
        <w:t xml:space="preserve"> </w:t>
      </w:r>
    </w:p>
    <w:p w14:paraId="1B238166" w14:textId="77777777" w:rsidR="00700F5D" w:rsidRPr="00FC1976" w:rsidRDefault="00700F5D" w:rsidP="00094CC7">
      <w:pPr>
        <w:pStyle w:val="H3"/>
      </w:pPr>
      <w:r w:rsidRPr="00E107E7">
        <w:t>Recommendation</w:t>
      </w:r>
    </w:p>
    <w:p w14:paraId="5005152A" w14:textId="77777777" w:rsidR="00580CB5" w:rsidRPr="00FC1976" w:rsidRDefault="00580CB5" w:rsidP="00580CB5">
      <w:pPr>
        <w:pStyle w:val="NormalBulleted"/>
        <w:numPr>
          <w:ilvl w:val="0"/>
          <w:numId w:val="6"/>
        </w:numPr>
        <w:spacing w:line="240" w:lineRule="auto"/>
        <w:rPr>
          <w:rFonts w:eastAsiaTheme="minorHAnsi"/>
          <w:lang w:val="en-AU"/>
        </w:rPr>
      </w:pPr>
      <w:r>
        <w:rPr>
          <w:rFonts w:eastAsiaTheme="minorHAnsi"/>
          <w:lang w:val="en-AU"/>
        </w:rPr>
        <w:t>Create</w:t>
      </w:r>
      <w:r w:rsidRPr="00FC1976">
        <w:rPr>
          <w:rFonts w:eastAsiaTheme="minorHAnsi"/>
          <w:lang w:val="en-AU"/>
        </w:rPr>
        <w:t xml:space="preserve"> a new MBS item to fund the provision of dialysis in very remote areas by nurses</w:t>
      </w:r>
      <w:r>
        <w:rPr>
          <w:rFonts w:eastAsiaTheme="minorHAnsi"/>
          <w:lang w:val="en-AU"/>
        </w:rPr>
        <w:t xml:space="preserve">, </w:t>
      </w:r>
      <w:r w:rsidRPr="008F0B94">
        <w:rPr>
          <w:lang w:val="en-AU"/>
        </w:rPr>
        <w:t>Aboriginal and Torres Strait Islander health practitioners</w:t>
      </w:r>
      <w:r>
        <w:rPr>
          <w:lang w:val="en-AU"/>
        </w:rPr>
        <w:t xml:space="preserve"> and Aboriginal health workers</w:t>
      </w:r>
      <w:r w:rsidRPr="00FC1976">
        <w:rPr>
          <w:rFonts w:eastAsiaTheme="minorHAnsi"/>
          <w:lang w:val="en-AU"/>
        </w:rPr>
        <w:t xml:space="preserve">. The proposed descriptor </w:t>
      </w:r>
      <w:r>
        <w:rPr>
          <w:rFonts w:eastAsiaTheme="minorHAnsi"/>
          <w:lang w:val="en-AU"/>
        </w:rPr>
        <w:t>would contain the following elements</w:t>
      </w:r>
      <w:r w:rsidRPr="00FC1976">
        <w:rPr>
          <w:rFonts w:eastAsiaTheme="minorHAnsi"/>
          <w:lang w:val="en-AU"/>
        </w:rPr>
        <w:t>:</w:t>
      </w:r>
    </w:p>
    <w:p w14:paraId="175BB913" w14:textId="03A8D1DF" w:rsidR="00580CB5" w:rsidRDefault="00580CB5" w:rsidP="00580CB5">
      <w:pPr>
        <w:pStyle w:val="02dash"/>
      </w:pPr>
      <w:r w:rsidRPr="00FC1976">
        <w:t xml:space="preserve">Management of haemo-dialysis, for each service provided to a person with end-stage kidney disease by </w:t>
      </w:r>
      <w:r>
        <w:t xml:space="preserve">or on behalf </w:t>
      </w:r>
      <w:r w:rsidR="00BB154E">
        <w:t xml:space="preserve">of </w:t>
      </w:r>
      <w:r w:rsidRPr="00FC1976">
        <w:t xml:space="preserve">a </w:t>
      </w:r>
      <w:r w:rsidR="00BB154E">
        <w:t>medical practitioner</w:t>
      </w:r>
      <w:r w:rsidRPr="00FC1976">
        <w:t>, w</w:t>
      </w:r>
      <w:r>
        <w:t xml:space="preserve">ho is </w:t>
      </w:r>
      <w:r w:rsidR="008770D4">
        <w:t xml:space="preserve">employed by or contracted to a </w:t>
      </w:r>
      <w:r>
        <w:t xml:space="preserve">primary care organisation  that provides haemodialysis services; </w:t>
      </w:r>
    </w:p>
    <w:p w14:paraId="3187A127" w14:textId="34D7CBB8" w:rsidR="00700F5D" w:rsidRPr="00FC1976" w:rsidRDefault="00700F5D" w:rsidP="00580CB5">
      <w:pPr>
        <w:pStyle w:val="02dash"/>
      </w:pPr>
      <w:r w:rsidRPr="00FC1976">
        <w:t xml:space="preserve">The service is </w:t>
      </w:r>
      <w:r w:rsidRPr="00FC1976">
        <w:rPr>
          <w:bCs/>
        </w:rPr>
        <w:t>administered</w:t>
      </w:r>
      <w:r w:rsidRPr="00FC1976">
        <w:t xml:space="preserve"> by a renal nurse</w:t>
      </w:r>
      <w:r w:rsidR="00630131">
        <w:t>,</w:t>
      </w:r>
      <w:r w:rsidRPr="00FC1976">
        <w:t xml:space="preserve"> </w:t>
      </w:r>
      <w:r w:rsidR="002C2638" w:rsidRPr="00FC1976">
        <w:t>Aboriginal and Torres Strait Islander</w:t>
      </w:r>
      <w:r w:rsidRPr="00FC1976">
        <w:t xml:space="preserve"> </w:t>
      </w:r>
      <w:r w:rsidR="00F13245">
        <w:t>h</w:t>
      </w:r>
      <w:r w:rsidRPr="00FC1976">
        <w:t xml:space="preserve">ealth </w:t>
      </w:r>
      <w:r w:rsidR="00F13245">
        <w:t>p</w:t>
      </w:r>
      <w:r w:rsidR="00630131">
        <w:t xml:space="preserve">ractitioner or Aboriginal </w:t>
      </w:r>
      <w:r w:rsidR="00F13245">
        <w:t>h</w:t>
      </w:r>
      <w:r w:rsidR="00630131">
        <w:t xml:space="preserve">ealth </w:t>
      </w:r>
      <w:r w:rsidR="00F13245">
        <w:t>w</w:t>
      </w:r>
      <w:r w:rsidR="00A73800" w:rsidRPr="00FC1976">
        <w:t>orker</w:t>
      </w:r>
      <w:r w:rsidRPr="00FC1976">
        <w:t xml:space="preserve"> with appropriate training to support dialysis patients </w:t>
      </w:r>
      <w:r w:rsidRPr="00FC1976">
        <w:rPr>
          <w:bCs/>
        </w:rPr>
        <w:t>under the auspices</w:t>
      </w:r>
      <w:r w:rsidRPr="00FC1976">
        <w:t xml:space="preserve"> of a medical practitioner</w:t>
      </w:r>
      <w:r w:rsidR="00F44EE2" w:rsidRPr="00FC1976">
        <w:t>; and</w:t>
      </w:r>
      <w:r w:rsidRPr="00FC1976">
        <w:t xml:space="preserve"> </w:t>
      </w:r>
    </w:p>
    <w:p w14:paraId="3B3E30CE" w14:textId="2C449425" w:rsidR="00700F5D" w:rsidRPr="00FC1976" w:rsidRDefault="00700F5D" w:rsidP="008460E3">
      <w:pPr>
        <w:pStyle w:val="02dash"/>
        <w:rPr>
          <w:lang w:val="en-AU"/>
        </w:rPr>
      </w:pPr>
      <w:r w:rsidRPr="00FC1976">
        <w:rPr>
          <w:lang w:val="en-AU"/>
        </w:rPr>
        <w:t>The p</w:t>
      </w:r>
      <w:r w:rsidR="00580CB5">
        <w:rPr>
          <w:lang w:val="en-AU"/>
        </w:rPr>
        <w:t>atient</w:t>
      </w:r>
      <w:r w:rsidRPr="00FC1976">
        <w:rPr>
          <w:lang w:val="en-AU"/>
        </w:rPr>
        <w:t xml:space="preserve"> is not an admitted patient of a hospital; and</w:t>
      </w:r>
    </w:p>
    <w:p w14:paraId="5BE32E4B" w14:textId="77777777" w:rsidR="00700F5D" w:rsidRPr="00FC1976" w:rsidRDefault="00700F5D" w:rsidP="008460E3">
      <w:pPr>
        <w:pStyle w:val="02dash"/>
        <w:rPr>
          <w:lang w:val="en-AU"/>
        </w:rPr>
      </w:pPr>
      <w:r w:rsidRPr="00FC1976">
        <w:rPr>
          <w:lang w:val="en-AU"/>
        </w:rPr>
        <w:t>The community facility for delivering the service is in a very remote area, defined by Modified Monash Model 7; and</w:t>
      </w:r>
    </w:p>
    <w:p w14:paraId="3573DCD2" w14:textId="77777777" w:rsidR="00700F5D" w:rsidRPr="00FC1976" w:rsidRDefault="00700F5D" w:rsidP="008460E3">
      <w:pPr>
        <w:pStyle w:val="02dash"/>
        <w:rPr>
          <w:lang w:val="en-AU"/>
        </w:rPr>
      </w:pPr>
      <w:r w:rsidRPr="00FC1976">
        <w:rPr>
          <w:lang w:val="en-AU"/>
        </w:rPr>
        <w:t>The service is provided by a</w:t>
      </w:r>
      <w:r w:rsidR="00DE3893" w:rsidRPr="00FC1976">
        <w:rPr>
          <w:lang w:val="en-AU"/>
        </w:rPr>
        <w:t>:</w:t>
      </w:r>
    </w:p>
    <w:p w14:paraId="38EB3B82" w14:textId="77777777" w:rsidR="00700F5D" w:rsidRPr="00FC1976" w:rsidRDefault="00996257" w:rsidP="008460E3">
      <w:pPr>
        <w:pStyle w:val="Bullet3"/>
        <w:rPr>
          <w:lang w:val="en-AU"/>
        </w:rPr>
      </w:pPr>
      <w:r>
        <w:rPr>
          <w:lang w:val="en-AU"/>
        </w:rPr>
        <w:t>L</w:t>
      </w:r>
      <w:r w:rsidR="00DE3893" w:rsidRPr="00FC1976">
        <w:rPr>
          <w:lang w:val="en-AU"/>
        </w:rPr>
        <w:t>ocal primary care clinic or NGO;</w:t>
      </w:r>
      <w:r w:rsidR="00700F5D" w:rsidRPr="00FC1976">
        <w:rPr>
          <w:lang w:val="en-AU"/>
        </w:rPr>
        <w:t xml:space="preserve"> or</w:t>
      </w:r>
    </w:p>
    <w:p w14:paraId="3356AE30" w14:textId="77777777" w:rsidR="00700F5D" w:rsidRPr="00FC1976" w:rsidRDefault="00996257" w:rsidP="008460E3">
      <w:pPr>
        <w:pStyle w:val="02dash"/>
        <w:numPr>
          <w:ilvl w:val="2"/>
          <w:numId w:val="6"/>
        </w:numPr>
        <w:rPr>
          <w:lang w:val="en-AU"/>
        </w:rPr>
      </w:pPr>
      <w:r>
        <w:rPr>
          <w:lang w:val="en-AU"/>
        </w:rPr>
        <w:t>B</w:t>
      </w:r>
      <w:r w:rsidR="00700F5D" w:rsidRPr="00FC1976">
        <w:rPr>
          <w:lang w:val="en-AU"/>
        </w:rPr>
        <w:t xml:space="preserve">y a health organisation with </w:t>
      </w:r>
      <w:r w:rsidR="00700F5D" w:rsidRPr="00FC1976">
        <w:rPr>
          <w:bCs/>
          <w:lang w:val="en-AU"/>
        </w:rPr>
        <w:t>the support of</w:t>
      </w:r>
      <w:r w:rsidR="00700F5D" w:rsidRPr="00FC1976">
        <w:rPr>
          <w:lang w:val="en-AU"/>
        </w:rPr>
        <w:t xml:space="preserve"> the local primary care clinic</w:t>
      </w:r>
      <w:r w:rsidR="001B5AF1" w:rsidRPr="00FC1976">
        <w:rPr>
          <w:lang w:val="en-AU"/>
        </w:rPr>
        <w:t>;</w:t>
      </w:r>
      <w:r w:rsidR="00700F5D" w:rsidRPr="00FC1976">
        <w:rPr>
          <w:lang w:val="en-AU"/>
        </w:rPr>
        <w:t xml:space="preserve"> </w:t>
      </w:r>
      <w:r w:rsidR="00F44EE2" w:rsidRPr="00FC1976">
        <w:rPr>
          <w:lang w:val="en-AU"/>
        </w:rPr>
        <w:t>and</w:t>
      </w:r>
    </w:p>
    <w:p w14:paraId="1F65379D" w14:textId="7776A824" w:rsidR="00700F5D" w:rsidRPr="00FC1976" w:rsidRDefault="00700F5D" w:rsidP="008460E3">
      <w:pPr>
        <w:pStyle w:val="02dash"/>
        <w:rPr>
          <w:lang w:val="en-AU"/>
        </w:rPr>
      </w:pPr>
      <w:r w:rsidRPr="00FC1976">
        <w:rPr>
          <w:lang w:val="en-AU"/>
        </w:rPr>
        <w:t xml:space="preserve">The </w:t>
      </w:r>
      <w:r w:rsidR="00630131">
        <w:rPr>
          <w:lang w:val="en-AU"/>
        </w:rPr>
        <w:t xml:space="preserve">person administering the dialysis </w:t>
      </w:r>
      <w:r w:rsidRPr="00FC1976">
        <w:rPr>
          <w:lang w:val="en-AU"/>
        </w:rPr>
        <w:t xml:space="preserve">is employed by or contracted to </w:t>
      </w:r>
      <w:r w:rsidR="00C5779C" w:rsidRPr="00FC1976">
        <w:rPr>
          <w:lang w:val="en-AU"/>
        </w:rPr>
        <w:t>the service described above</w:t>
      </w:r>
      <w:r w:rsidR="00580CB5">
        <w:rPr>
          <w:lang w:val="en-AU"/>
        </w:rPr>
        <w:t>; and</w:t>
      </w:r>
      <w:r w:rsidR="00A73800" w:rsidRPr="00FC1976">
        <w:rPr>
          <w:lang w:val="en-AU"/>
        </w:rPr>
        <w:t xml:space="preserve"> </w:t>
      </w:r>
    </w:p>
    <w:p w14:paraId="09134327" w14:textId="77777777" w:rsidR="00785098" w:rsidRPr="00FC1976" w:rsidRDefault="00700F5D" w:rsidP="008460E3">
      <w:pPr>
        <w:pStyle w:val="02dash"/>
        <w:rPr>
          <w:lang w:val="en-AU"/>
        </w:rPr>
      </w:pPr>
      <w:r w:rsidRPr="00FC1976">
        <w:rPr>
          <w:lang w:val="en-AU"/>
        </w:rPr>
        <w:t xml:space="preserve">The patient is under the care of a nephrologist affiliated with the local regional dialysis service, </w:t>
      </w:r>
      <w:r w:rsidR="00DE3893" w:rsidRPr="00FC1976">
        <w:rPr>
          <w:lang w:val="en-AU"/>
        </w:rPr>
        <w:t xml:space="preserve">with </w:t>
      </w:r>
      <w:r w:rsidR="002247F1" w:rsidRPr="00FC1976">
        <w:rPr>
          <w:bCs/>
          <w:lang w:val="en-AU"/>
        </w:rPr>
        <w:t xml:space="preserve">review </w:t>
      </w:r>
      <w:r w:rsidR="00785098" w:rsidRPr="00FC1976">
        <w:rPr>
          <w:bCs/>
          <w:lang w:val="en-AU"/>
        </w:rPr>
        <w:t>every 3</w:t>
      </w:r>
      <w:r w:rsidR="004B78AC">
        <w:rPr>
          <w:bCs/>
          <w:lang w:val="en-AU"/>
        </w:rPr>
        <w:t>–</w:t>
      </w:r>
      <w:r w:rsidR="00785098" w:rsidRPr="00FC1976">
        <w:rPr>
          <w:bCs/>
          <w:lang w:val="en-AU"/>
        </w:rPr>
        <w:t>6 months:</w:t>
      </w:r>
    </w:p>
    <w:p w14:paraId="4303DCB9" w14:textId="77777777" w:rsidR="00785098" w:rsidRPr="00FC1976" w:rsidRDefault="00785098" w:rsidP="008460E3">
      <w:pPr>
        <w:pStyle w:val="Bullet3"/>
        <w:rPr>
          <w:lang w:val="en-AU"/>
        </w:rPr>
      </w:pPr>
      <w:r w:rsidRPr="00FC1976">
        <w:rPr>
          <w:lang w:val="en-AU"/>
        </w:rPr>
        <w:t>Physically, or</w:t>
      </w:r>
    </w:p>
    <w:p w14:paraId="06378FD5" w14:textId="77777777" w:rsidR="00785098" w:rsidRPr="00FC1976" w:rsidRDefault="00785098" w:rsidP="008460E3">
      <w:pPr>
        <w:pStyle w:val="Bullet3"/>
        <w:rPr>
          <w:lang w:val="en-AU"/>
        </w:rPr>
      </w:pPr>
      <w:r w:rsidRPr="00FC1976">
        <w:rPr>
          <w:lang w:val="en-AU"/>
        </w:rPr>
        <w:t>Via teleh</w:t>
      </w:r>
      <w:r w:rsidR="00DE3893" w:rsidRPr="00FC1976">
        <w:rPr>
          <w:lang w:val="en-AU"/>
        </w:rPr>
        <w:t>ealth if the patient is located:</w:t>
      </w:r>
    </w:p>
    <w:p w14:paraId="1C95A411" w14:textId="77777777" w:rsidR="00785098" w:rsidRPr="00FC1976" w:rsidRDefault="00785098" w:rsidP="00196256">
      <w:pPr>
        <w:pStyle w:val="Bulleted"/>
        <w:spacing w:before="120" w:after="60" w:line="240" w:lineRule="auto"/>
        <w:ind w:left="1349" w:hanging="357"/>
        <w:rPr>
          <w:lang w:val="en-AU"/>
        </w:rPr>
      </w:pPr>
      <w:r w:rsidRPr="00FC1976">
        <w:rPr>
          <w:lang w:val="en-AU"/>
        </w:rPr>
        <w:t>Within a telehealth eligible area; and</w:t>
      </w:r>
    </w:p>
    <w:p w14:paraId="33C3D0CE" w14:textId="77777777" w:rsidR="00030DEA" w:rsidRDefault="00785098" w:rsidP="00196256">
      <w:pPr>
        <w:pStyle w:val="Bulleted"/>
        <w:spacing w:before="120" w:after="60" w:line="240" w:lineRule="auto"/>
        <w:ind w:left="1349" w:hanging="357"/>
        <w:rPr>
          <w:lang w:val="en-AU"/>
        </w:rPr>
      </w:pPr>
      <w:r w:rsidRPr="00FC1976">
        <w:rPr>
          <w:lang w:val="en-AU"/>
        </w:rPr>
        <w:t>At the time of attendance at least 15 kms by road from the specialist</w:t>
      </w:r>
      <w:r w:rsidR="00F44EE2" w:rsidRPr="00FC1976">
        <w:rPr>
          <w:lang w:val="en-AU"/>
        </w:rPr>
        <w:t>.</w:t>
      </w:r>
    </w:p>
    <w:p w14:paraId="5BFD4E26" w14:textId="77777777" w:rsidR="00700F5D" w:rsidRPr="00FC1976" w:rsidRDefault="0049389A" w:rsidP="00E15A50">
      <w:pPr>
        <w:pStyle w:val="01squarebullet"/>
        <w:rPr>
          <w:rFonts w:eastAsiaTheme="minorHAnsi"/>
          <w:lang w:val="en-AU"/>
        </w:rPr>
      </w:pPr>
      <w:r w:rsidRPr="00FC1976">
        <w:rPr>
          <w:rFonts w:eastAsiaTheme="minorHAnsi"/>
          <w:lang w:val="en-AU"/>
        </w:rPr>
        <w:t>The proposed e</w:t>
      </w:r>
      <w:r w:rsidR="00700F5D" w:rsidRPr="00FC1976">
        <w:rPr>
          <w:rFonts w:eastAsiaTheme="minorHAnsi"/>
          <w:lang w:val="en-AU"/>
        </w:rPr>
        <w:t xml:space="preserve">xplanatory </w:t>
      </w:r>
      <w:r w:rsidRPr="00FC1976">
        <w:rPr>
          <w:rFonts w:eastAsiaTheme="minorHAnsi"/>
          <w:lang w:val="en-AU"/>
        </w:rPr>
        <w:t>n</w:t>
      </w:r>
      <w:r w:rsidR="00700F5D" w:rsidRPr="00FC1976">
        <w:rPr>
          <w:rFonts w:eastAsiaTheme="minorHAnsi"/>
          <w:lang w:val="en-AU"/>
        </w:rPr>
        <w:t xml:space="preserve">otes </w:t>
      </w:r>
      <w:r w:rsidRPr="00FC1976">
        <w:rPr>
          <w:rFonts w:eastAsiaTheme="minorHAnsi"/>
          <w:lang w:val="en-AU"/>
        </w:rPr>
        <w:t>for this new item are as follows</w:t>
      </w:r>
      <w:r w:rsidR="00700F5D" w:rsidRPr="00FC1976">
        <w:rPr>
          <w:rFonts w:eastAsiaTheme="minorHAnsi"/>
          <w:lang w:val="en-AU"/>
        </w:rPr>
        <w:t>:</w:t>
      </w:r>
    </w:p>
    <w:p w14:paraId="1FABEE3C" w14:textId="77777777" w:rsidR="00700F5D" w:rsidRPr="00FC1976" w:rsidRDefault="00700F5D" w:rsidP="008460E3">
      <w:pPr>
        <w:pStyle w:val="02dash"/>
        <w:rPr>
          <w:lang w:val="en-AU"/>
        </w:rPr>
      </w:pPr>
      <w:r w:rsidRPr="00FC1976">
        <w:rPr>
          <w:lang w:val="en-AU"/>
        </w:rPr>
        <w:t>Primary Care Clinic refers to the first point of health care, usually provided in remote areas by nursing</w:t>
      </w:r>
      <w:r w:rsidR="00630131">
        <w:rPr>
          <w:lang w:val="en-AU"/>
        </w:rPr>
        <w:t>, health practitioner</w:t>
      </w:r>
      <w:r w:rsidRPr="00FC1976">
        <w:rPr>
          <w:lang w:val="en-AU"/>
        </w:rPr>
        <w:t xml:space="preserve"> and health worker staff in community health clinics, including</w:t>
      </w:r>
      <w:r w:rsidR="00FB150F" w:rsidRPr="00FC1976">
        <w:rPr>
          <w:lang w:val="en-AU"/>
        </w:rPr>
        <w:t xml:space="preserve"> </w:t>
      </w:r>
      <w:r w:rsidRPr="00FC1976">
        <w:rPr>
          <w:lang w:val="en-AU"/>
        </w:rPr>
        <w:t>government, non</w:t>
      </w:r>
      <w:r w:rsidR="0008446C">
        <w:rPr>
          <w:lang w:val="en-AU"/>
        </w:rPr>
        <w:t>-</w:t>
      </w:r>
      <w:r w:rsidRPr="00FC1976">
        <w:rPr>
          <w:lang w:val="en-AU"/>
        </w:rPr>
        <w:t>government and Aboriginal Community Controlled Health Services.</w:t>
      </w:r>
    </w:p>
    <w:p w14:paraId="21DF32E3" w14:textId="77777777" w:rsidR="00700F5D" w:rsidRPr="00FC1976" w:rsidRDefault="00700F5D" w:rsidP="008460E3">
      <w:pPr>
        <w:pStyle w:val="02dash"/>
        <w:rPr>
          <w:lang w:val="en-AU"/>
        </w:rPr>
      </w:pPr>
      <w:r w:rsidRPr="00FC1976">
        <w:rPr>
          <w:lang w:val="en-AU"/>
        </w:rPr>
        <w:t xml:space="preserve">Adequate training will be satisfied where </w:t>
      </w:r>
      <w:r w:rsidR="00312873" w:rsidRPr="00FC1976">
        <w:rPr>
          <w:lang w:val="en-AU"/>
        </w:rPr>
        <w:t xml:space="preserve">the health care provider, such as a </w:t>
      </w:r>
      <w:r w:rsidRPr="00FC1976">
        <w:rPr>
          <w:lang w:val="en-AU"/>
        </w:rPr>
        <w:t>nurse</w:t>
      </w:r>
      <w:r w:rsidR="00CF64F2">
        <w:rPr>
          <w:lang w:val="en-AU"/>
        </w:rPr>
        <w:t xml:space="preserve">, </w:t>
      </w:r>
      <w:r w:rsidRPr="00FC1976">
        <w:rPr>
          <w:lang w:val="en-AU"/>
        </w:rPr>
        <w:t xml:space="preserve">Aboriginal and Torres </w:t>
      </w:r>
      <w:r w:rsidR="00730A4B">
        <w:rPr>
          <w:lang w:val="en-AU"/>
        </w:rPr>
        <w:t>Strait</w:t>
      </w:r>
      <w:r w:rsidR="00730A4B" w:rsidRPr="00FC1976">
        <w:rPr>
          <w:lang w:val="en-AU"/>
        </w:rPr>
        <w:t xml:space="preserve"> </w:t>
      </w:r>
      <w:r w:rsidR="00D438BA">
        <w:rPr>
          <w:lang w:val="en-AU"/>
        </w:rPr>
        <w:t xml:space="preserve">Islander </w:t>
      </w:r>
      <w:r w:rsidRPr="00FC1976">
        <w:rPr>
          <w:lang w:val="en-AU"/>
        </w:rPr>
        <w:t>health practitioner</w:t>
      </w:r>
      <w:r w:rsidR="00CF64F2">
        <w:rPr>
          <w:lang w:val="en-AU"/>
        </w:rPr>
        <w:t xml:space="preserve"> or Aboriginal health worker</w:t>
      </w:r>
      <w:r w:rsidR="00312873" w:rsidRPr="00FC1976">
        <w:rPr>
          <w:lang w:val="en-AU"/>
        </w:rPr>
        <w:t>,</w:t>
      </w:r>
      <w:r w:rsidRPr="00FC1976">
        <w:rPr>
          <w:lang w:val="en-AU"/>
        </w:rPr>
        <w:t xml:space="preserve"> complies with state/territory requirements for </w:t>
      </w:r>
      <w:r w:rsidR="00F13245">
        <w:rPr>
          <w:lang w:val="en-AU"/>
        </w:rPr>
        <w:t xml:space="preserve">the safe administration of dialysis in </w:t>
      </w:r>
      <w:r w:rsidRPr="00FC1976">
        <w:rPr>
          <w:lang w:val="en-AU"/>
        </w:rPr>
        <w:t>that role.</w:t>
      </w:r>
    </w:p>
    <w:p w14:paraId="0AB0060F" w14:textId="77777777" w:rsidR="00700F5D" w:rsidRPr="00EE7BD8" w:rsidRDefault="00700F5D" w:rsidP="00EE7BD8">
      <w:pPr>
        <w:pStyle w:val="H3"/>
      </w:pPr>
      <w:r w:rsidRPr="00EE7BD8">
        <w:t>Rationale</w:t>
      </w:r>
    </w:p>
    <w:p w14:paraId="1DE52DE4" w14:textId="77777777" w:rsidR="00BF38EB" w:rsidRDefault="00BF38EB" w:rsidP="009F08F0">
      <w:r>
        <w:t xml:space="preserve">The recommendation focuses on </w:t>
      </w:r>
      <w:r w:rsidR="00BC6EC3">
        <w:t>improving access to care,</w:t>
      </w:r>
      <w:r>
        <w:t xml:space="preserve"> and is based on the following observations</w:t>
      </w:r>
      <w:r w:rsidR="0016215E">
        <w:t>.</w:t>
      </w:r>
    </w:p>
    <w:p w14:paraId="7C1E3F65" w14:textId="7C0550D6" w:rsidR="00444B95" w:rsidRPr="00FC1976" w:rsidRDefault="00700F5D" w:rsidP="00E15A50">
      <w:pPr>
        <w:pStyle w:val="01squarebullet"/>
        <w:rPr>
          <w:lang w:val="en-AU"/>
        </w:rPr>
      </w:pPr>
      <w:r w:rsidRPr="00FC1976">
        <w:rPr>
          <w:lang w:val="en-AU"/>
        </w:rPr>
        <w:t xml:space="preserve">Kidney disease is a significant and serious health issue </w:t>
      </w:r>
      <w:r w:rsidR="00F44EE2" w:rsidRPr="00FC1976">
        <w:rPr>
          <w:lang w:val="en-AU"/>
        </w:rPr>
        <w:t>that is</w:t>
      </w:r>
      <w:r w:rsidRPr="00FC1976">
        <w:rPr>
          <w:lang w:val="en-AU"/>
        </w:rPr>
        <w:t xml:space="preserve"> considered a disease of disadvantage</w:t>
      </w:r>
      <w:r w:rsidR="00CD47BF" w:rsidRPr="00FC1976">
        <w:rPr>
          <w:lang w:val="en-AU"/>
        </w:rPr>
        <w:t xml:space="preserve"> </w:t>
      </w:r>
      <w:r w:rsidR="00CD47BF" w:rsidRPr="00FC1976">
        <w:rPr>
          <w:lang w:val="en-AU"/>
        </w:rPr>
        <w:fldChar w:fldCharType="begin" w:fldLock="1"/>
      </w:r>
      <w:r w:rsidR="00B409DB">
        <w:rPr>
          <w:lang w:val="en-AU"/>
        </w:rPr>
        <w:instrText>ADDIN CSL_CITATION { "citationItems" : [ { "id" : "ITEM-1", "itemData" : { "DOI" : "10.1053/j.ackd.2014.06.006", "ISSN" : "15485595", "author" : [ { "dropping-particle" : "", "family" : "Brophy", "given" : "Patrick D.", "non-dropping-particle" : "", "parse-names" : false, "suffix" : "" }, { "dropping-particle" : "", "family" : "Shoham", "given" : "David A.", "non-dropping-particle" : "", "parse-names" : false, "suffix" : "" }, { "dropping-particle" : "", "family" : "CKD Life Course Group", "given" : "", "non-dropping-particle" : "", "parse-names" : false, "suffix" : "" }, { "dropping-particle" : "", "family" : "Charlton", "given" : "Jennifer R.", "non-dropping-particle" : "", "parse-names" : false, "suffix" : "" }, { "dropping-particle" : "", "family" : "Carmody", "given" : "J. Bryan", "non-dropping-particle" : "", "parse-names" : false, "suffix" : "" }, { "dropping-particle" : "", "family" : "Reidy", "given" : "Kimberly J.", "non-dropping-particle" : "", "parse-names" : false, "suffix" : "" }, { "dropping-particle" : "", "family" : "Harshman", "given" : "Lyndsay", "non-dropping-particle" : "", "parse-names" : false, "suffix" : "" }, { "dropping-particle" : "", "family" : "Segar", "given" : "Jeffrey", "non-dropping-particle" : "", "parse-names" : false, "suffix" : "" }, { "dropping-particle" : "", "family" : "Askenazi", "given" : "David", "non-dropping-particle" : "", "parse-names" : false, "suffix" : "" } ], "container-title" : "Advances in Chronic Kidney Disease", "id" : "ITEM-1", "issue" : "1", "issued" : { "date-parts" : [ [ "2015", "1" ] ] }, "page" : "16-23", "title" : "Early-Life Course Socioeconomic Factors and Chronic Kidney Disease", "type" : "article-journal", "volume" : "22" }, "uris" : [ "http://www.mendeley.com/documents/?uuid=15c5855a-0a6f-37f8-a013-74552b40b87b" ] }, { "id" : "ITEM-2", "itemData" : { "DOI" : "10.1071/NB02061", "ISSN" : "1034-7674", "author" : [ { "dropping-particle" : "", "family" : "Cass", "given" : "Alan", "non-dropping-particle" : "", "parse-names" : false, "suffix" : "" }, { "dropping-particle" : "", "family" : "Cunningham", "given" : "Joan", "non-dropping-particle" : "", "parse-names" : false, "suffix" : "" }, { "dropping-particle" : "", "family" : "Hoy", "given" : "Wendy", "non-dropping-particle" : "", "parse-names" : false, "suffix" : "" } ], "container-title" : "New South Wales Public Health Bulletin", "id" : "ITEM-2", "issue" : "7", "issued" : { "date-parts" : [ [ "2002" ] ] }, "page" : "147-51", "title" : "The relationship between the incidence of end-stage renal disease and markers of socioeconomic disadvantage", "type" : "article-journal", "volume" : "13" }, "uris" : [ "http://www.mendeley.com/documents/?uuid=60bd49a9-3bf5-4b73-a336-27684d2d8d98" ] }, { "id" : "ITEM-3", "itemData" : { "DOI" : "10.4103/0971-4065.150078", "ISSN" : "0971-4065", "PMID" : "25838641", "author" : [ { "dropping-particle" : "", "family" : "Garcia-Garcia", "given" : "G", "non-dropping-particle" : "", "parse-names" : false, "suffix" : "" }, { "dropping-particle" : "", "family" : "Jha", "given" : "V", "non-dropping-particle" : "", "parse-names" : false, "suffix" : "" } ], "container-title" : "Indian journal of nephrology", "id" : "ITEM-3", "issue" : "2", "issued" : { "date-parts" : [ [ "2015" ] ] }, "page" : "65-9", "publisher" : "Medknow Publications", "title" : "Chronic kidney disease in disadvantaged populations.", "type" : "article-journal", "volume" : "25" }, "uris" : [ "http://www.mendeley.com/documents/?uuid=0680d7eb-f137-3a4d-bb9c-66cc04ff9c06" ] } ], "mendeley" : { "formattedCitation" : "(5\u20137)", "plainTextFormattedCitation" : "(5\u20137)", "previouslyFormattedCitation" : "(5\u20137)" }, "properties" : { "noteIndex" : 0 }, "schema" : "https://github.com/citation-style-language/schema/raw/master/csl-citation.json" }</w:instrText>
      </w:r>
      <w:r w:rsidR="00CD47BF" w:rsidRPr="00FC1976">
        <w:rPr>
          <w:lang w:val="en-AU"/>
        </w:rPr>
        <w:fldChar w:fldCharType="separate"/>
      </w:r>
      <w:r w:rsidR="0099742A" w:rsidRPr="0099742A">
        <w:rPr>
          <w:noProof/>
          <w:lang w:val="en-AU"/>
        </w:rPr>
        <w:t>(5–7)</w:t>
      </w:r>
      <w:r w:rsidR="00CD47BF" w:rsidRPr="00FC1976">
        <w:rPr>
          <w:lang w:val="en-AU"/>
        </w:rPr>
        <w:fldChar w:fldCharType="end"/>
      </w:r>
      <w:r w:rsidRPr="00FC1976">
        <w:rPr>
          <w:lang w:val="en-AU"/>
        </w:rPr>
        <w:t>.</w:t>
      </w:r>
      <w:r w:rsidR="00CD47BF" w:rsidRPr="00FC1976">
        <w:rPr>
          <w:lang w:val="en-AU"/>
        </w:rPr>
        <w:t xml:space="preserve"> </w:t>
      </w:r>
      <w:r w:rsidRPr="00FC1976">
        <w:rPr>
          <w:lang w:val="en-AU"/>
        </w:rPr>
        <w:t>In Australia</w:t>
      </w:r>
      <w:r w:rsidR="00636F95" w:rsidRPr="00FC1976">
        <w:rPr>
          <w:lang w:val="en-AU"/>
        </w:rPr>
        <w:t>,</w:t>
      </w:r>
      <w:r w:rsidRPr="00FC1976">
        <w:rPr>
          <w:lang w:val="en-AU"/>
        </w:rPr>
        <w:t xml:space="preserve"> there is a steep gradient in the burden of kidney disease from urban to remote areas, with people in remote and very remote areas suffering much higher levels of disease</w:t>
      </w:r>
      <w:r w:rsidR="005B7F9B" w:rsidRPr="00FC1976">
        <w:rPr>
          <w:lang w:val="en-AU"/>
        </w:rPr>
        <w:t xml:space="preserve"> </w:t>
      </w:r>
      <w:r w:rsidR="00567672" w:rsidRPr="00FC1976">
        <w:rPr>
          <w:lang w:val="en-AU"/>
        </w:rPr>
        <w:fldChar w:fldCharType="begin" w:fldLock="1"/>
      </w:r>
      <w:r w:rsidR="00B409DB">
        <w:rPr>
          <w:lang w:val="en-AU"/>
        </w:rPr>
        <w:instrText>ADDIN CSL_CITATION { "citationItems" : [ { "id" : "ITEM-1", "itemData" : { "author" : [ { "dropping-particle" : "", "family" : "Australian Institute of Health and Welfare", "given" : "", "non-dropping-particle" : "", "parse-names" : false, "suffix" : "" } ], "id" : "ITEM-1", "issued" : { "date-parts" : [ [ "2013" ] ] }, "publisher-place" : "Canberra", "title" : "Chronic Kidney Disease: Regional Variation in Australia", "type" : "report" }, "uris" : [ "http://www.mendeley.com/documents/?uuid=1e1a27fe-9e0c-460b-ba16-7bd5d8a54838" ] } ], "mendeley" : { "formattedCitation" : "(8)", "plainTextFormattedCitation" : "(8)", "previouslyFormattedCitation" : "(8)" }, "properties" : { "noteIndex" : 0 }, "schema" : "https://github.com/citation-style-language/schema/raw/master/csl-citation.json" }</w:instrText>
      </w:r>
      <w:r w:rsidR="00567672" w:rsidRPr="00FC1976">
        <w:rPr>
          <w:lang w:val="en-AU"/>
        </w:rPr>
        <w:fldChar w:fldCharType="separate"/>
      </w:r>
      <w:r w:rsidR="0099742A" w:rsidRPr="0099742A">
        <w:rPr>
          <w:noProof/>
          <w:lang w:val="en-AU"/>
        </w:rPr>
        <w:t>(8)</w:t>
      </w:r>
      <w:r w:rsidR="00567672" w:rsidRPr="00FC1976">
        <w:rPr>
          <w:lang w:val="en-AU"/>
        </w:rPr>
        <w:fldChar w:fldCharType="end"/>
      </w:r>
      <w:r w:rsidRPr="00FC1976">
        <w:rPr>
          <w:lang w:val="en-AU"/>
        </w:rPr>
        <w:t xml:space="preserve">. </w:t>
      </w:r>
      <w:r w:rsidR="00EE3964" w:rsidRPr="00FC1976">
        <w:rPr>
          <w:lang w:val="en-AU"/>
        </w:rPr>
        <w:t xml:space="preserve">Indigenous </w:t>
      </w:r>
      <w:r w:rsidRPr="00FC1976">
        <w:rPr>
          <w:lang w:val="en-AU"/>
        </w:rPr>
        <w:t>people are</w:t>
      </w:r>
      <w:r w:rsidR="00D15FF8" w:rsidRPr="00FC1976">
        <w:rPr>
          <w:lang w:val="en-AU"/>
        </w:rPr>
        <w:t xml:space="preserve"> also</w:t>
      </w:r>
      <w:r w:rsidRPr="00FC1976">
        <w:rPr>
          <w:lang w:val="en-AU"/>
        </w:rPr>
        <w:t xml:space="preserve"> more likely to be affected, </w:t>
      </w:r>
      <w:r w:rsidR="00A30E9A" w:rsidRPr="00FC1976">
        <w:rPr>
          <w:lang w:val="en-AU"/>
        </w:rPr>
        <w:t xml:space="preserve">and </w:t>
      </w:r>
      <w:r w:rsidRPr="00FC1976">
        <w:rPr>
          <w:lang w:val="en-AU"/>
        </w:rPr>
        <w:t>those in remote</w:t>
      </w:r>
      <w:r w:rsidR="00567672" w:rsidRPr="00FC1976">
        <w:rPr>
          <w:lang w:val="en-AU"/>
        </w:rPr>
        <w:t xml:space="preserve"> and very remote</w:t>
      </w:r>
      <w:r w:rsidRPr="00FC1976">
        <w:rPr>
          <w:lang w:val="en-AU"/>
        </w:rPr>
        <w:t xml:space="preserve"> areas </w:t>
      </w:r>
      <w:r w:rsidR="00277D46" w:rsidRPr="00FC1976">
        <w:rPr>
          <w:lang w:val="en-AU"/>
        </w:rPr>
        <w:t xml:space="preserve">have </w:t>
      </w:r>
      <w:r w:rsidRPr="00FC1976">
        <w:rPr>
          <w:lang w:val="en-AU"/>
        </w:rPr>
        <w:t>the highest rates of kidney disease</w:t>
      </w:r>
      <w:r w:rsidR="00B16939">
        <w:rPr>
          <w:lang w:val="en-AU"/>
        </w:rPr>
        <w:t xml:space="preserve"> </w:t>
      </w:r>
      <w:r w:rsidR="00567672" w:rsidRPr="00FC1976">
        <w:rPr>
          <w:lang w:val="en-AU"/>
        </w:rPr>
        <w:fldChar w:fldCharType="begin" w:fldLock="1"/>
      </w:r>
      <w:r w:rsidR="00B409DB">
        <w:rPr>
          <w:lang w:val="en-AU"/>
        </w:rPr>
        <w:instrText>ADDIN CSL_CITATION { "citationItems" : [ { "id" : "ITEM-1", "itemData" : { "author" : [ { "dropping-particle" : "", "family" : "Statistics", "given" : "Australian Bureau of", "non-dropping-particle" : "", "parse-names" : false, "suffix" : "" } ], "id" : "ITEM-1", "issued" : { "date-parts" : [ [ "2014" ] ] }, "publisher-place" : "Canberra: Australian Government", "title" : "Australian Aboriginal and Torres Strait Islander Health Survey: Biomedical Results, 2012\u201313. Cat No 4727055003.", "type" : "report" }, "uris" : [ "http://www.mendeley.com/documents/?uuid=4b3348e7-b331-48a3-8fab-c8506508fc87" ] } ], "mendeley" : { "formattedCitation" : "(9)", "plainTextFormattedCitation" : "(9)", "previouslyFormattedCitation" : "(9)" }, "properties" : { "noteIndex" : 0 }, "schema" : "https://github.com/citation-style-language/schema/raw/master/csl-citation.json" }</w:instrText>
      </w:r>
      <w:r w:rsidR="00567672" w:rsidRPr="00FC1976">
        <w:rPr>
          <w:lang w:val="en-AU"/>
        </w:rPr>
        <w:fldChar w:fldCharType="separate"/>
      </w:r>
      <w:r w:rsidR="0099742A" w:rsidRPr="0099742A">
        <w:rPr>
          <w:noProof/>
          <w:lang w:val="en-AU"/>
        </w:rPr>
        <w:t>(9)</w:t>
      </w:r>
      <w:r w:rsidR="00567672" w:rsidRPr="00FC1976">
        <w:rPr>
          <w:lang w:val="en-AU"/>
        </w:rPr>
        <w:fldChar w:fldCharType="end"/>
      </w:r>
      <w:r w:rsidRPr="00FC1976">
        <w:rPr>
          <w:lang w:val="en-AU"/>
        </w:rPr>
        <w:t>.</w:t>
      </w:r>
      <w:r w:rsidR="008A3D6E" w:rsidRPr="00FC1976">
        <w:rPr>
          <w:lang w:val="en-AU"/>
        </w:rPr>
        <w:t xml:space="preserve"> </w:t>
      </w:r>
      <w:r w:rsidRPr="00FC1976">
        <w:rPr>
          <w:lang w:val="en-AU"/>
        </w:rPr>
        <w:t>States and territories with large</w:t>
      </w:r>
      <w:r w:rsidR="00567672" w:rsidRPr="00FC1976">
        <w:rPr>
          <w:lang w:val="en-AU"/>
        </w:rPr>
        <w:t xml:space="preserve"> very</w:t>
      </w:r>
      <w:r w:rsidRPr="00FC1976">
        <w:rPr>
          <w:lang w:val="en-AU"/>
        </w:rPr>
        <w:t xml:space="preserve"> remote areas have significant </w:t>
      </w:r>
      <w:r w:rsidR="005A6369" w:rsidRPr="00FC1976">
        <w:rPr>
          <w:lang w:val="en-AU"/>
        </w:rPr>
        <w:t xml:space="preserve">Indigenous </w:t>
      </w:r>
      <w:r w:rsidRPr="00FC1976">
        <w:rPr>
          <w:lang w:val="en-AU"/>
        </w:rPr>
        <w:t xml:space="preserve">populations living in </w:t>
      </w:r>
      <w:r w:rsidR="00EA22B4">
        <w:rPr>
          <w:lang w:val="en-AU"/>
        </w:rPr>
        <w:t>those</w:t>
      </w:r>
      <w:r w:rsidR="00EA22B4" w:rsidRPr="00FC1976">
        <w:rPr>
          <w:lang w:val="en-AU"/>
        </w:rPr>
        <w:t xml:space="preserve"> </w:t>
      </w:r>
      <w:r w:rsidRPr="00FC1976">
        <w:rPr>
          <w:lang w:val="en-AU"/>
        </w:rPr>
        <w:t>areas</w:t>
      </w:r>
      <w:r w:rsidR="00582F4D" w:rsidRPr="00FC1976">
        <w:rPr>
          <w:lang w:val="en-AU"/>
        </w:rPr>
        <w:t xml:space="preserve"> (</w:t>
      </w:r>
      <w:r w:rsidR="0004432C" w:rsidRPr="00FC1976">
        <w:rPr>
          <w:lang w:val="en-AU"/>
        </w:rPr>
        <w:fldChar w:fldCharType="begin"/>
      </w:r>
      <w:r w:rsidR="0004432C" w:rsidRPr="00FC1976">
        <w:rPr>
          <w:lang w:val="en-AU"/>
        </w:rPr>
        <w:instrText xml:space="preserve"> REF _Ref457308602 \h </w:instrText>
      </w:r>
      <w:r w:rsidR="0004432C" w:rsidRPr="00FC1976">
        <w:rPr>
          <w:lang w:val="en-AU"/>
        </w:rPr>
      </w:r>
      <w:r w:rsidR="0004432C" w:rsidRPr="00FC1976">
        <w:rPr>
          <w:lang w:val="en-AU"/>
        </w:rPr>
        <w:fldChar w:fldCharType="separate"/>
      </w:r>
      <w:r w:rsidR="00D17FB0" w:rsidRPr="00FC1976">
        <w:rPr>
          <w:lang w:val="en-AU"/>
        </w:rPr>
        <w:t xml:space="preserve">Table </w:t>
      </w:r>
      <w:r w:rsidR="00D17FB0">
        <w:rPr>
          <w:noProof/>
          <w:lang w:val="en-AU"/>
        </w:rPr>
        <w:t>2</w:t>
      </w:r>
      <w:r w:rsidR="0004432C" w:rsidRPr="00FC1976">
        <w:rPr>
          <w:lang w:val="en-AU"/>
        </w:rPr>
        <w:fldChar w:fldCharType="end"/>
      </w:r>
      <w:r w:rsidR="00582F4D" w:rsidRPr="00FC1976">
        <w:rPr>
          <w:lang w:val="en-AU"/>
        </w:rPr>
        <w:t>)</w:t>
      </w:r>
      <w:r w:rsidRPr="00FC1976">
        <w:rPr>
          <w:lang w:val="en-AU"/>
        </w:rPr>
        <w:t xml:space="preserve">. </w:t>
      </w:r>
      <w:r w:rsidR="009974FC" w:rsidRPr="00FC1976">
        <w:rPr>
          <w:lang w:val="en-AU"/>
        </w:rPr>
        <w:t>For instance,</w:t>
      </w:r>
      <w:r w:rsidR="00444B95" w:rsidRPr="00FC1976">
        <w:rPr>
          <w:lang w:val="en-AU"/>
        </w:rPr>
        <w:t xml:space="preserve"> </w:t>
      </w:r>
      <w:r w:rsidR="008C4277" w:rsidRPr="00FC1976">
        <w:rPr>
          <w:lang w:val="en-AU"/>
        </w:rPr>
        <w:t>according to</w:t>
      </w:r>
      <w:r w:rsidR="00444B95" w:rsidRPr="00FC1976">
        <w:rPr>
          <w:lang w:val="en-AU"/>
        </w:rPr>
        <w:t xml:space="preserve"> </w:t>
      </w:r>
      <w:r w:rsidR="00BD457C" w:rsidRPr="00FC1976">
        <w:rPr>
          <w:lang w:val="en-AU"/>
        </w:rPr>
        <w:t>Australian Bureau of Statistics (</w:t>
      </w:r>
      <w:r w:rsidR="00444B95" w:rsidRPr="00FC1976">
        <w:rPr>
          <w:lang w:val="en-AU"/>
        </w:rPr>
        <w:t>ABS</w:t>
      </w:r>
      <w:r w:rsidR="00BD457C" w:rsidRPr="00FC1976">
        <w:rPr>
          <w:lang w:val="en-AU"/>
        </w:rPr>
        <w:t>)</w:t>
      </w:r>
      <w:r w:rsidR="00444B95" w:rsidRPr="00FC1976">
        <w:rPr>
          <w:lang w:val="en-AU"/>
        </w:rPr>
        <w:t xml:space="preserve"> data,</w:t>
      </w:r>
      <w:r w:rsidR="009974FC" w:rsidRPr="00FC1976">
        <w:rPr>
          <w:lang w:val="en-AU"/>
        </w:rPr>
        <w:t xml:space="preserve"> </w:t>
      </w:r>
      <w:r w:rsidR="004F18C0" w:rsidRPr="00FC1976">
        <w:rPr>
          <w:lang w:val="en-AU"/>
        </w:rPr>
        <w:t>58</w:t>
      </w:r>
      <w:r w:rsidR="009974FC" w:rsidRPr="00FC1976">
        <w:rPr>
          <w:lang w:val="en-AU"/>
        </w:rPr>
        <w:t xml:space="preserve"> per cent</w:t>
      </w:r>
      <w:r w:rsidRPr="00FC1976">
        <w:rPr>
          <w:lang w:val="en-AU"/>
        </w:rPr>
        <w:t xml:space="preserve"> of the </w:t>
      </w:r>
      <w:r w:rsidR="009974FC" w:rsidRPr="00FC1976">
        <w:rPr>
          <w:lang w:val="en-AU"/>
        </w:rPr>
        <w:t xml:space="preserve">Indigenous </w:t>
      </w:r>
      <w:r w:rsidRPr="00FC1976">
        <w:rPr>
          <w:lang w:val="en-AU"/>
        </w:rPr>
        <w:t>population in the N</w:t>
      </w:r>
      <w:r w:rsidR="009974FC" w:rsidRPr="00FC1976">
        <w:rPr>
          <w:lang w:val="en-AU"/>
        </w:rPr>
        <w:t xml:space="preserve">orthern </w:t>
      </w:r>
      <w:r w:rsidRPr="00FC1976">
        <w:rPr>
          <w:lang w:val="en-AU"/>
        </w:rPr>
        <w:t>T</w:t>
      </w:r>
      <w:r w:rsidR="009974FC" w:rsidRPr="00FC1976">
        <w:rPr>
          <w:lang w:val="en-AU"/>
        </w:rPr>
        <w:t>erritory</w:t>
      </w:r>
      <w:r w:rsidRPr="00FC1976">
        <w:rPr>
          <w:lang w:val="en-AU"/>
        </w:rPr>
        <w:t xml:space="preserve"> and </w:t>
      </w:r>
      <w:r w:rsidR="004F18C0" w:rsidRPr="00FC1976">
        <w:rPr>
          <w:lang w:val="en-AU"/>
        </w:rPr>
        <w:t>32</w:t>
      </w:r>
      <w:r w:rsidR="009974FC" w:rsidRPr="00FC1976">
        <w:rPr>
          <w:lang w:val="en-AU"/>
        </w:rPr>
        <w:t xml:space="preserve"> per cent</w:t>
      </w:r>
      <w:r w:rsidRPr="00FC1976">
        <w:rPr>
          <w:lang w:val="en-AU"/>
        </w:rPr>
        <w:t xml:space="preserve"> </w:t>
      </w:r>
      <w:r w:rsidR="009974FC" w:rsidRPr="00FC1976">
        <w:rPr>
          <w:lang w:val="en-AU"/>
        </w:rPr>
        <w:t xml:space="preserve">of the Indigenous population </w:t>
      </w:r>
      <w:r w:rsidRPr="00FC1976">
        <w:rPr>
          <w:lang w:val="en-AU"/>
        </w:rPr>
        <w:t>in W</w:t>
      </w:r>
      <w:r w:rsidR="009974FC" w:rsidRPr="00FC1976">
        <w:rPr>
          <w:lang w:val="en-AU"/>
        </w:rPr>
        <w:t xml:space="preserve">estern </w:t>
      </w:r>
      <w:r w:rsidRPr="00FC1976">
        <w:rPr>
          <w:lang w:val="en-AU"/>
        </w:rPr>
        <w:t>A</w:t>
      </w:r>
      <w:r w:rsidR="009974FC" w:rsidRPr="00FC1976">
        <w:rPr>
          <w:lang w:val="en-AU"/>
        </w:rPr>
        <w:t>ustralia</w:t>
      </w:r>
      <w:r w:rsidRPr="00FC1976">
        <w:rPr>
          <w:lang w:val="en-AU"/>
        </w:rPr>
        <w:t xml:space="preserve"> reside in </w:t>
      </w:r>
      <w:r w:rsidR="00BF21E1" w:rsidRPr="00FC1976">
        <w:rPr>
          <w:lang w:val="en-AU"/>
        </w:rPr>
        <w:t xml:space="preserve">very </w:t>
      </w:r>
      <w:r w:rsidRPr="00FC1976">
        <w:rPr>
          <w:lang w:val="en-AU"/>
        </w:rPr>
        <w:t>remote areas</w:t>
      </w:r>
      <w:r w:rsidR="00416114" w:rsidRPr="00FC1976">
        <w:rPr>
          <w:lang w:val="en-AU"/>
        </w:rPr>
        <w:t xml:space="preserve"> (</w:t>
      </w:r>
      <w:r w:rsidR="0004432C" w:rsidRPr="00FC1976">
        <w:rPr>
          <w:lang w:val="en-AU"/>
        </w:rPr>
        <w:fldChar w:fldCharType="begin"/>
      </w:r>
      <w:r w:rsidR="0004432C" w:rsidRPr="00FC1976">
        <w:rPr>
          <w:lang w:val="en-AU"/>
        </w:rPr>
        <w:instrText xml:space="preserve"> REF _Ref457308602 \h </w:instrText>
      </w:r>
      <w:r w:rsidR="0004432C" w:rsidRPr="00FC1976">
        <w:rPr>
          <w:lang w:val="en-AU"/>
        </w:rPr>
      </w:r>
      <w:r w:rsidR="0004432C" w:rsidRPr="00FC1976">
        <w:rPr>
          <w:lang w:val="en-AU"/>
        </w:rPr>
        <w:fldChar w:fldCharType="separate"/>
      </w:r>
      <w:r w:rsidR="00D17FB0" w:rsidRPr="00FC1976">
        <w:rPr>
          <w:lang w:val="en-AU"/>
        </w:rPr>
        <w:t xml:space="preserve">Table </w:t>
      </w:r>
      <w:r w:rsidR="00D17FB0">
        <w:rPr>
          <w:noProof/>
          <w:lang w:val="en-AU"/>
        </w:rPr>
        <w:t>2</w:t>
      </w:r>
      <w:r w:rsidR="0004432C" w:rsidRPr="00FC1976">
        <w:rPr>
          <w:lang w:val="en-AU"/>
        </w:rPr>
        <w:fldChar w:fldCharType="end"/>
      </w:r>
      <w:r w:rsidR="00416114" w:rsidRPr="00FC1976">
        <w:rPr>
          <w:lang w:val="en-AU"/>
        </w:rPr>
        <w:t>)</w:t>
      </w:r>
      <w:r w:rsidR="008C4277" w:rsidRPr="00FC1976">
        <w:rPr>
          <w:lang w:val="en-AU"/>
        </w:rPr>
        <w:t xml:space="preserve"> </w:t>
      </w:r>
      <w:r w:rsidR="00416114" w:rsidRPr="00FC1976">
        <w:rPr>
          <w:lang w:val="en-AU"/>
        </w:rPr>
        <w:fldChar w:fldCharType="begin" w:fldLock="1"/>
      </w:r>
      <w:r w:rsidR="00B409DB">
        <w:rPr>
          <w:lang w:val="en-AU"/>
        </w:rPr>
        <w:instrText>ADDIN CSL_CITATION { "citationItems" : [ { "id" : "ITEM-1", "itemData" : { "DOI" : "3238055001DO003_201106", "author" : [ { "dropping-particle" : "", "family" : "ABS", "given" : "", "non-dropping-particle" : "", "parse-names" : false, "suffix" : "" } ], "id" : "ITEM-1", "issued" : { "date-parts" : [ [ "0" ] ] }, "title" : "Estimates of Aboriginal and Torres Strait Islander Australians, Jun 2011", "type" : "article-journal" }, "uris" : [ "http://www.mendeley.com/documents/?uuid=46f7bb2b-1d4f-439f-b371-a9cf01d9360c" ] } ], "mendeley" : { "formattedCitation" : "(10)", "plainTextFormattedCitation" : "(10)", "previouslyFormattedCitation" : "(10)" }, "properties" : { "noteIndex" : 0 }, "schema" : "https://github.com/citation-style-language/schema/raw/master/csl-citation.json" }</w:instrText>
      </w:r>
      <w:r w:rsidR="00416114" w:rsidRPr="00FC1976">
        <w:rPr>
          <w:lang w:val="en-AU"/>
        </w:rPr>
        <w:fldChar w:fldCharType="separate"/>
      </w:r>
      <w:r w:rsidR="0099742A" w:rsidRPr="0099742A">
        <w:rPr>
          <w:noProof/>
          <w:lang w:val="en-AU"/>
        </w:rPr>
        <w:t>(10)</w:t>
      </w:r>
      <w:r w:rsidR="00416114" w:rsidRPr="00FC1976">
        <w:rPr>
          <w:lang w:val="en-AU"/>
        </w:rPr>
        <w:fldChar w:fldCharType="end"/>
      </w:r>
      <w:r w:rsidR="00DF4E27" w:rsidRPr="00FC1976">
        <w:rPr>
          <w:lang w:val="en-AU"/>
        </w:rPr>
        <w:t>.</w:t>
      </w:r>
      <w:r w:rsidR="005D490C" w:rsidRPr="00FC1976">
        <w:rPr>
          <w:lang w:val="en-AU"/>
        </w:rPr>
        <w:t xml:space="preserve"> </w:t>
      </w:r>
    </w:p>
    <w:p w14:paraId="2F72EF0B" w14:textId="762406A8" w:rsidR="00700F5D" w:rsidRDefault="00700F5D" w:rsidP="00082595">
      <w:pPr>
        <w:pStyle w:val="Caption"/>
        <w:rPr>
          <w:lang w:val="en-AU"/>
        </w:rPr>
      </w:pPr>
      <w:bookmarkStart w:id="81" w:name="_Ref457308602"/>
      <w:bookmarkStart w:id="82" w:name="_Toc458167026"/>
      <w:bookmarkStart w:id="83" w:name="_Toc459971208"/>
      <w:bookmarkStart w:id="84" w:name="_Toc459996835"/>
      <w:bookmarkStart w:id="85" w:name="_Toc459891296"/>
      <w:bookmarkStart w:id="86" w:name="_Toc463984889"/>
      <w:r w:rsidRPr="00FC1976">
        <w:rPr>
          <w:lang w:val="en-AU"/>
        </w:rPr>
        <w:t xml:space="preserve">Table </w:t>
      </w:r>
      <w:r w:rsidR="002A3C45" w:rsidRPr="00FC1976">
        <w:rPr>
          <w:lang w:val="en-AU"/>
        </w:rPr>
        <w:fldChar w:fldCharType="begin"/>
      </w:r>
      <w:r w:rsidR="002A3C45" w:rsidRPr="00FC1976">
        <w:rPr>
          <w:lang w:val="en-AU"/>
        </w:rPr>
        <w:instrText xml:space="preserve"> SEQ Table \* ARABIC </w:instrText>
      </w:r>
      <w:r w:rsidR="002A3C45" w:rsidRPr="00FC1976">
        <w:rPr>
          <w:lang w:val="en-AU"/>
        </w:rPr>
        <w:fldChar w:fldCharType="separate"/>
      </w:r>
      <w:r w:rsidR="00D17FB0">
        <w:rPr>
          <w:noProof/>
          <w:lang w:val="en-AU"/>
        </w:rPr>
        <w:t>2</w:t>
      </w:r>
      <w:r w:rsidR="002A3C45" w:rsidRPr="00FC1976">
        <w:rPr>
          <w:lang w:val="en-AU"/>
        </w:rPr>
        <w:fldChar w:fldCharType="end"/>
      </w:r>
      <w:bookmarkEnd w:id="81"/>
      <w:r w:rsidR="001938B2" w:rsidRPr="00FC1976">
        <w:rPr>
          <w:lang w:val="en-AU"/>
        </w:rPr>
        <w:t xml:space="preserve">: Indigenous </w:t>
      </w:r>
      <w:r w:rsidR="00E32B31" w:rsidRPr="00FC1976">
        <w:rPr>
          <w:lang w:val="en-AU"/>
        </w:rPr>
        <w:t>p</w:t>
      </w:r>
      <w:r w:rsidR="001938B2" w:rsidRPr="00FC1976">
        <w:rPr>
          <w:lang w:val="en-AU"/>
        </w:rPr>
        <w:t xml:space="preserve">opulation and </w:t>
      </w:r>
      <w:r w:rsidR="00E32B31" w:rsidRPr="00FC1976">
        <w:rPr>
          <w:lang w:val="en-AU"/>
        </w:rPr>
        <w:t>r</w:t>
      </w:r>
      <w:r w:rsidR="001938B2" w:rsidRPr="00FC1976">
        <w:rPr>
          <w:lang w:val="en-AU"/>
        </w:rPr>
        <w:t xml:space="preserve">emoteness </w:t>
      </w:r>
      <w:r w:rsidR="00D44957" w:rsidRPr="00FC1976">
        <w:rPr>
          <w:lang w:val="en-AU"/>
        </w:rPr>
        <w:t>by</w:t>
      </w:r>
      <w:r w:rsidR="001938B2" w:rsidRPr="00FC1976">
        <w:rPr>
          <w:lang w:val="en-AU"/>
        </w:rPr>
        <w:t xml:space="preserve"> </w:t>
      </w:r>
      <w:r w:rsidR="00E32B31" w:rsidRPr="00FC1976">
        <w:rPr>
          <w:lang w:val="en-AU"/>
        </w:rPr>
        <w:t>s</w:t>
      </w:r>
      <w:r w:rsidR="001938B2" w:rsidRPr="00FC1976">
        <w:rPr>
          <w:lang w:val="en-AU"/>
        </w:rPr>
        <w:t>tate</w:t>
      </w:r>
      <w:r w:rsidR="00677818" w:rsidRPr="00FC1976">
        <w:rPr>
          <w:lang w:val="en-AU"/>
        </w:rPr>
        <w:t xml:space="preserve"> (ABS data, June 2011)</w:t>
      </w:r>
      <w:bookmarkEnd w:id="82"/>
      <w:bookmarkEnd w:id="83"/>
      <w:bookmarkEnd w:id="84"/>
      <w:bookmarkEnd w:id="85"/>
      <w:bookmarkEnd w:id="86"/>
    </w:p>
    <w:tbl>
      <w:tblPr>
        <w:tblStyle w:val="TableGrid"/>
        <w:tblW w:w="9478" w:type="dxa"/>
        <w:tblLayout w:type="fixed"/>
        <w:tblLook w:val="04A0" w:firstRow="1" w:lastRow="0" w:firstColumn="1" w:lastColumn="0" w:noHBand="0" w:noVBand="1"/>
        <w:tblDescription w:val="Table 2 shows the total indigenous population and remoteness by state - NT, WA, SA, and QLD. There are 8 columns: Column 1. List of states, Column 2. total number of indigenous population, column 3. Total number of the  population, column 4. percentage of the indigenous population, column 5. people living remotely, column 6. Percentage of the people living remotely who are indigenous, column 7. Total number of indigenous population living remotely, and column 8. Percentage of indigenous population in very remote areas. Despite having the least total population, the Northern territory has highest percentage of indigenous population at 30%, 75% are living very remotely, and 58% are in very remote aread. South Australia has the least number of indigenous population at 2% where 33% are living very remotely and 13% are in very remote areas."/>
      </w:tblPr>
      <w:tblGrid>
        <w:gridCol w:w="817"/>
        <w:gridCol w:w="1276"/>
        <w:gridCol w:w="1276"/>
        <w:gridCol w:w="1275"/>
        <w:gridCol w:w="993"/>
        <w:gridCol w:w="1275"/>
        <w:gridCol w:w="1276"/>
        <w:gridCol w:w="1290"/>
      </w:tblGrid>
      <w:tr w:rsidR="000007FA" w:rsidRPr="000007FA" w14:paraId="3DA887B9" w14:textId="77777777" w:rsidTr="000007FA">
        <w:trPr>
          <w:trHeight w:val="1695"/>
          <w:tblHeader/>
        </w:trPr>
        <w:tc>
          <w:tcPr>
            <w:tcW w:w="817" w:type="dxa"/>
            <w:shd w:val="clear" w:color="auto" w:fill="F2F2F2" w:themeFill="background1" w:themeFillShade="F2"/>
            <w:hideMark/>
          </w:tcPr>
          <w:p w14:paraId="69EBF810" w14:textId="77777777" w:rsidR="000007FA" w:rsidRPr="000007FA" w:rsidRDefault="000007FA" w:rsidP="000007FA">
            <w:pPr>
              <w:pStyle w:val="01Tableheaderrow"/>
              <w:rPr>
                <w:lang w:val="en-AU"/>
              </w:rPr>
            </w:pPr>
            <w:r w:rsidRPr="000007FA">
              <w:rPr>
                <w:lang w:val="en-AU"/>
              </w:rPr>
              <w:t>State</w:t>
            </w:r>
          </w:p>
        </w:tc>
        <w:tc>
          <w:tcPr>
            <w:tcW w:w="1276" w:type="dxa"/>
            <w:shd w:val="clear" w:color="auto" w:fill="F2F2F2" w:themeFill="background1" w:themeFillShade="F2"/>
            <w:hideMark/>
          </w:tcPr>
          <w:p w14:paraId="1C985FD2" w14:textId="77777777" w:rsidR="000007FA" w:rsidRPr="000007FA" w:rsidRDefault="000007FA" w:rsidP="000007FA">
            <w:pPr>
              <w:pStyle w:val="01Tableheaderrow"/>
              <w:rPr>
                <w:lang w:val="en-AU"/>
              </w:rPr>
            </w:pPr>
            <w:r w:rsidRPr="000007FA">
              <w:rPr>
                <w:lang w:val="en-AU"/>
              </w:rPr>
              <w:t>Indigenous</w:t>
            </w:r>
          </w:p>
        </w:tc>
        <w:tc>
          <w:tcPr>
            <w:tcW w:w="1276" w:type="dxa"/>
            <w:shd w:val="clear" w:color="auto" w:fill="F2F2F2" w:themeFill="background1" w:themeFillShade="F2"/>
            <w:hideMark/>
          </w:tcPr>
          <w:p w14:paraId="1CA0C53F" w14:textId="77777777" w:rsidR="000007FA" w:rsidRPr="000007FA" w:rsidRDefault="000007FA" w:rsidP="000007FA">
            <w:pPr>
              <w:pStyle w:val="01Tableheaderrow"/>
              <w:rPr>
                <w:lang w:val="en-AU"/>
              </w:rPr>
            </w:pPr>
            <w:r w:rsidRPr="000007FA">
              <w:rPr>
                <w:lang w:val="en-AU"/>
              </w:rPr>
              <w:t>Total population</w:t>
            </w:r>
          </w:p>
        </w:tc>
        <w:tc>
          <w:tcPr>
            <w:tcW w:w="1275" w:type="dxa"/>
            <w:shd w:val="clear" w:color="auto" w:fill="F2F2F2" w:themeFill="background1" w:themeFillShade="F2"/>
            <w:hideMark/>
          </w:tcPr>
          <w:p w14:paraId="5EBBC013" w14:textId="77777777" w:rsidR="000007FA" w:rsidRPr="000007FA" w:rsidRDefault="000007FA" w:rsidP="000007FA">
            <w:pPr>
              <w:pStyle w:val="01Tableheaderrow"/>
              <w:rPr>
                <w:lang w:val="en-AU"/>
              </w:rPr>
            </w:pPr>
            <w:r w:rsidRPr="000007FA">
              <w:rPr>
                <w:lang w:val="en-AU"/>
              </w:rPr>
              <w:t>% population who are Indigenous</w:t>
            </w:r>
          </w:p>
        </w:tc>
        <w:tc>
          <w:tcPr>
            <w:tcW w:w="993" w:type="dxa"/>
            <w:shd w:val="clear" w:color="auto" w:fill="F2F2F2" w:themeFill="background1" w:themeFillShade="F2"/>
            <w:hideMark/>
          </w:tcPr>
          <w:p w14:paraId="63C48FF6" w14:textId="77777777" w:rsidR="000007FA" w:rsidRPr="000007FA" w:rsidRDefault="000007FA" w:rsidP="000007FA">
            <w:pPr>
              <w:pStyle w:val="01Tableheaderrow"/>
              <w:rPr>
                <w:lang w:val="en-AU"/>
              </w:rPr>
            </w:pPr>
            <w:r w:rsidRPr="000007FA">
              <w:rPr>
                <w:lang w:val="en-AU"/>
              </w:rPr>
              <w:t>People living very remotely</w:t>
            </w:r>
          </w:p>
        </w:tc>
        <w:tc>
          <w:tcPr>
            <w:tcW w:w="1275" w:type="dxa"/>
            <w:shd w:val="clear" w:color="auto" w:fill="F2F2F2" w:themeFill="background1" w:themeFillShade="F2"/>
            <w:hideMark/>
          </w:tcPr>
          <w:p w14:paraId="06D3C243" w14:textId="77777777" w:rsidR="000007FA" w:rsidRPr="000007FA" w:rsidRDefault="000007FA" w:rsidP="000007FA">
            <w:pPr>
              <w:pStyle w:val="01Tableheaderrow"/>
              <w:rPr>
                <w:lang w:val="en-AU"/>
              </w:rPr>
            </w:pPr>
            <w:r w:rsidRPr="000007FA">
              <w:rPr>
                <w:lang w:val="en-AU"/>
              </w:rPr>
              <w:t>% of people living very remotely who are Indigenous</w:t>
            </w:r>
          </w:p>
        </w:tc>
        <w:tc>
          <w:tcPr>
            <w:tcW w:w="1276" w:type="dxa"/>
            <w:shd w:val="clear" w:color="auto" w:fill="F2F2F2" w:themeFill="background1" w:themeFillShade="F2"/>
            <w:hideMark/>
          </w:tcPr>
          <w:p w14:paraId="04D03B6B" w14:textId="77777777" w:rsidR="000007FA" w:rsidRPr="000007FA" w:rsidRDefault="000007FA" w:rsidP="000007FA">
            <w:pPr>
              <w:pStyle w:val="01Tableheaderrow"/>
              <w:rPr>
                <w:lang w:val="en-AU"/>
              </w:rPr>
            </w:pPr>
            <w:r w:rsidRPr="000007FA">
              <w:rPr>
                <w:lang w:val="en-AU"/>
              </w:rPr>
              <w:t>People living very remotely who are Indigenous (n)</w:t>
            </w:r>
          </w:p>
        </w:tc>
        <w:tc>
          <w:tcPr>
            <w:tcW w:w="1290" w:type="dxa"/>
            <w:shd w:val="clear" w:color="auto" w:fill="F2F2F2" w:themeFill="background1" w:themeFillShade="F2"/>
            <w:hideMark/>
          </w:tcPr>
          <w:p w14:paraId="43841864" w14:textId="77777777" w:rsidR="000007FA" w:rsidRPr="000007FA" w:rsidRDefault="000007FA" w:rsidP="000007FA">
            <w:pPr>
              <w:pStyle w:val="01Tableheaderrow"/>
              <w:rPr>
                <w:lang w:val="en-AU"/>
              </w:rPr>
            </w:pPr>
            <w:r w:rsidRPr="000007FA">
              <w:rPr>
                <w:lang w:val="en-AU"/>
              </w:rPr>
              <w:t>% Indigenous  population in very remote areas</w:t>
            </w:r>
          </w:p>
        </w:tc>
      </w:tr>
      <w:tr w:rsidR="000007FA" w:rsidRPr="000007FA" w14:paraId="0F60E08D" w14:textId="77777777" w:rsidTr="000007FA">
        <w:trPr>
          <w:trHeight w:val="315"/>
        </w:trPr>
        <w:tc>
          <w:tcPr>
            <w:tcW w:w="817" w:type="dxa"/>
            <w:hideMark/>
          </w:tcPr>
          <w:p w14:paraId="056BA46B" w14:textId="77777777" w:rsidR="000007FA" w:rsidRPr="000007FA" w:rsidRDefault="000007FA" w:rsidP="000007FA">
            <w:pPr>
              <w:spacing w:before="0" w:after="0"/>
              <w:rPr>
                <w:rFonts w:ascii="Arial" w:hAnsi="Arial" w:cs="Arial"/>
                <w:color w:val="000000"/>
                <w:sz w:val="18"/>
                <w:szCs w:val="18"/>
                <w:lang w:val="en-AU"/>
              </w:rPr>
            </w:pPr>
            <w:r w:rsidRPr="000007FA">
              <w:rPr>
                <w:rFonts w:ascii="Arial" w:hAnsi="Arial" w:cs="Arial"/>
                <w:color w:val="000000"/>
                <w:sz w:val="18"/>
                <w:szCs w:val="18"/>
                <w:lang w:val="en-AU"/>
              </w:rPr>
              <w:t>NT</w:t>
            </w:r>
          </w:p>
        </w:tc>
        <w:tc>
          <w:tcPr>
            <w:tcW w:w="1276" w:type="dxa"/>
            <w:hideMark/>
          </w:tcPr>
          <w:p w14:paraId="0D8F590B"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68,850</w:t>
            </w:r>
          </w:p>
        </w:tc>
        <w:tc>
          <w:tcPr>
            <w:tcW w:w="1276" w:type="dxa"/>
            <w:hideMark/>
          </w:tcPr>
          <w:p w14:paraId="4F57A900"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231,292</w:t>
            </w:r>
          </w:p>
        </w:tc>
        <w:tc>
          <w:tcPr>
            <w:tcW w:w="1275" w:type="dxa"/>
            <w:hideMark/>
          </w:tcPr>
          <w:p w14:paraId="70FB5311"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30%</w:t>
            </w:r>
          </w:p>
        </w:tc>
        <w:tc>
          <w:tcPr>
            <w:tcW w:w="993" w:type="dxa"/>
            <w:hideMark/>
          </w:tcPr>
          <w:p w14:paraId="74AEACDB"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53,469</w:t>
            </w:r>
          </w:p>
        </w:tc>
        <w:tc>
          <w:tcPr>
            <w:tcW w:w="1275" w:type="dxa"/>
            <w:hideMark/>
          </w:tcPr>
          <w:p w14:paraId="6C2A4D29"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75%</w:t>
            </w:r>
          </w:p>
        </w:tc>
        <w:tc>
          <w:tcPr>
            <w:tcW w:w="1276" w:type="dxa"/>
            <w:hideMark/>
          </w:tcPr>
          <w:p w14:paraId="2DDF049F"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40,102</w:t>
            </w:r>
          </w:p>
        </w:tc>
        <w:tc>
          <w:tcPr>
            <w:tcW w:w="1290" w:type="dxa"/>
            <w:hideMark/>
          </w:tcPr>
          <w:p w14:paraId="5FC122CC"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58%</w:t>
            </w:r>
          </w:p>
        </w:tc>
      </w:tr>
      <w:tr w:rsidR="000007FA" w:rsidRPr="000007FA" w14:paraId="7267B10B" w14:textId="77777777" w:rsidTr="000007FA">
        <w:trPr>
          <w:trHeight w:val="315"/>
        </w:trPr>
        <w:tc>
          <w:tcPr>
            <w:tcW w:w="817" w:type="dxa"/>
            <w:hideMark/>
          </w:tcPr>
          <w:p w14:paraId="12933F0B" w14:textId="77777777" w:rsidR="000007FA" w:rsidRPr="000007FA" w:rsidRDefault="000007FA" w:rsidP="000007FA">
            <w:pPr>
              <w:spacing w:before="0" w:after="0"/>
              <w:rPr>
                <w:rFonts w:ascii="Arial" w:hAnsi="Arial" w:cs="Arial"/>
                <w:color w:val="000000"/>
                <w:sz w:val="18"/>
                <w:szCs w:val="18"/>
                <w:lang w:val="en-AU"/>
              </w:rPr>
            </w:pPr>
            <w:r w:rsidRPr="000007FA">
              <w:rPr>
                <w:rFonts w:ascii="Arial" w:hAnsi="Arial" w:cs="Arial"/>
                <w:color w:val="000000"/>
                <w:sz w:val="18"/>
                <w:szCs w:val="18"/>
                <w:lang w:val="en-AU"/>
              </w:rPr>
              <w:t>WA</w:t>
            </w:r>
          </w:p>
        </w:tc>
        <w:tc>
          <w:tcPr>
            <w:tcW w:w="1276" w:type="dxa"/>
            <w:hideMark/>
          </w:tcPr>
          <w:p w14:paraId="35E636DA"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88,270</w:t>
            </w:r>
          </w:p>
        </w:tc>
        <w:tc>
          <w:tcPr>
            <w:tcW w:w="1276" w:type="dxa"/>
            <w:hideMark/>
          </w:tcPr>
          <w:p w14:paraId="5BD32954"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2,353,409</w:t>
            </w:r>
          </w:p>
        </w:tc>
        <w:tc>
          <w:tcPr>
            <w:tcW w:w="1275" w:type="dxa"/>
            <w:hideMark/>
          </w:tcPr>
          <w:p w14:paraId="4EE55714"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4%</w:t>
            </w:r>
          </w:p>
        </w:tc>
        <w:tc>
          <w:tcPr>
            <w:tcW w:w="993" w:type="dxa"/>
            <w:hideMark/>
          </w:tcPr>
          <w:p w14:paraId="4F4A72C1"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63,042</w:t>
            </w:r>
          </w:p>
        </w:tc>
        <w:tc>
          <w:tcPr>
            <w:tcW w:w="1275" w:type="dxa"/>
            <w:hideMark/>
          </w:tcPr>
          <w:p w14:paraId="762143CE"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32%</w:t>
            </w:r>
          </w:p>
        </w:tc>
        <w:tc>
          <w:tcPr>
            <w:tcW w:w="1276" w:type="dxa"/>
            <w:hideMark/>
          </w:tcPr>
          <w:p w14:paraId="7533330A"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20,173</w:t>
            </w:r>
          </w:p>
        </w:tc>
        <w:tc>
          <w:tcPr>
            <w:tcW w:w="1290" w:type="dxa"/>
            <w:hideMark/>
          </w:tcPr>
          <w:p w14:paraId="4839F48D"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23%</w:t>
            </w:r>
          </w:p>
        </w:tc>
      </w:tr>
      <w:tr w:rsidR="000007FA" w:rsidRPr="000007FA" w14:paraId="678908F4" w14:textId="77777777" w:rsidTr="000007FA">
        <w:trPr>
          <w:trHeight w:val="315"/>
        </w:trPr>
        <w:tc>
          <w:tcPr>
            <w:tcW w:w="817" w:type="dxa"/>
            <w:hideMark/>
          </w:tcPr>
          <w:p w14:paraId="0EFFDB73" w14:textId="77777777" w:rsidR="000007FA" w:rsidRPr="000007FA" w:rsidRDefault="000007FA" w:rsidP="000007FA">
            <w:pPr>
              <w:spacing w:before="0" w:after="0"/>
              <w:rPr>
                <w:rFonts w:ascii="Arial" w:hAnsi="Arial" w:cs="Arial"/>
                <w:color w:val="000000"/>
                <w:sz w:val="18"/>
                <w:szCs w:val="18"/>
                <w:lang w:val="en-AU"/>
              </w:rPr>
            </w:pPr>
            <w:r w:rsidRPr="000007FA">
              <w:rPr>
                <w:rFonts w:ascii="Arial" w:hAnsi="Arial" w:cs="Arial"/>
                <w:color w:val="000000"/>
                <w:sz w:val="18"/>
                <w:szCs w:val="18"/>
                <w:lang w:val="en-AU"/>
              </w:rPr>
              <w:t>SA</w:t>
            </w:r>
          </w:p>
        </w:tc>
        <w:tc>
          <w:tcPr>
            <w:tcW w:w="1276" w:type="dxa"/>
            <w:hideMark/>
          </w:tcPr>
          <w:p w14:paraId="08928633"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37,408</w:t>
            </w:r>
          </w:p>
        </w:tc>
        <w:tc>
          <w:tcPr>
            <w:tcW w:w="1276" w:type="dxa"/>
            <w:hideMark/>
          </w:tcPr>
          <w:p w14:paraId="78330793"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1,639,614</w:t>
            </w:r>
          </w:p>
        </w:tc>
        <w:tc>
          <w:tcPr>
            <w:tcW w:w="1275" w:type="dxa"/>
            <w:hideMark/>
          </w:tcPr>
          <w:p w14:paraId="58B68351"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2%</w:t>
            </w:r>
          </w:p>
        </w:tc>
        <w:tc>
          <w:tcPr>
            <w:tcW w:w="993" w:type="dxa"/>
            <w:hideMark/>
          </w:tcPr>
          <w:p w14:paraId="6CD8B06F"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14,816</w:t>
            </w:r>
          </w:p>
        </w:tc>
        <w:tc>
          <w:tcPr>
            <w:tcW w:w="1275" w:type="dxa"/>
            <w:hideMark/>
          </w:tcPr>
          <w:p w14:paraId="4FF595BF"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33%</w:t>
            </w:r>
          </w:p>
        </w:tc>
        <w:tc>
          <w:tcPr>
            <w:tcW w:w="1276" w:type="dxa"/>
            <w:hideMark/>
          </w:tcPr>
          <w:p w14:paraId="1B7EB128"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4,889</w:t>
            </w:r>
          </w:p>
        </w:tc>
        <w:tc>
          <w:tcPr>
            <w:tcW w:w="1290" w:type="dxa"/>
            <w:hideMark/>
          </w:tcPr>
          <w:p w14:paraId="665F0D2B"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13%</w:t>
            </w:r>
          </w:p>
        </w:tc>
      </w:tr>
      <w:tr w:rsidR="000007FA" w:rsidRPr="000007FA" w14:paraId="4DC17ED1" w14:textId="77777777" w:rsidTr="000007FA">
        <w:trPr>
          <w:trHeight w:val="315"/>
        </w:trPr>
        <w:tc>
          <w:tcPr>
            <w:tcW w:w="817" w:type="dxa"/>
            <w:hideMark/>
          </w:tcPr>
          <w:p w14:paraId="0F296CC8" w14:textId="77777777" w:rsidR="000007FA" w:rsidRPr="000007FA" w:rsidRDefault="000007FA" w:rsidP="000007FA">
            <w:pPr>
              <w:spacing w:before="0" w:after="0"/>
              <w:rPr>
                <w:rFonts w:ascii="Arial" w:hAnsi="Arial" w:cs="Arial"/>
                <w:color w:val="000000"/>
                <w:sz w:val="18"/>
                <w:szCs w:val="18"/>
                <w:lang w:val="en-AU"/>
              </w:rPr>
            </w:pPr>
            <w:r w:rsidRPr="000007FA">
              <w:rPr>
                <w:rFonts w:ascii="Arial" w:hAnsi="Arial" w:cs="Arial"/>
                <w:color w:val="000000"/>
                <w:sz w:val="18"/>
                <w:szCs w:val="18"/>
                <w:lang w:val="en-AU"/>
              </w:rPr>
              <w:t xml:space="preserve">QLD </w:t>
            </w:r>
          </w:p>
        </w:tc>
        <w:tc>
          <w:tcPr>
            <w:tcW w:w="1276" w:type="dxa"/>
            <w:hideMark/>
          </w:tcPr>
          <w:p w14:paraId="433EFCF6"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188,954</w:t>
            </w:r>
          </w:p>
        </w:tc>
        <w:tc>
          <w:tcPr>
            <w:tcW w:w="1276" w:type="dxa"/>
            <w:hideMark/>
          </w:tcPr>
          <w:p w14:paraId="627B4E12"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4,476,778</w:t>
            </w:r>
          </w:p>
        </w:tc>
        <w:tc>
          <w:tcPr>
            <w:tcW w:w="1275" w:type="dxa"/>
            <w:hideMark/>
          </w:tcPr>
          <w:p w14:paraId="2F6EE72D"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4%</w:t>
            </w:r>
          </w:p>
        </w:tc>
        <w:tc>
          <w:tcPr>
            <w:tcW w:w="993" w:type="dxa"/>
            <w:hideMark/>
          </w:tcPr>
          <w:p w14:paraId="4CA76CA2"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58,365</w:t>
            </w:r>
          </w:p>
        </w:tc>
        <w:tc>
          <w:tcPr>
            <w:tcW w:w="1275" w:type="dxa"/>
            <w:hideMark/>
          </w:tcPr>
          <w:p w14:paraId="4DFF6109"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39%</w:t>
            </w:r>
          </w:p>
        </w:tc>
        <w:tc>
          <w:tcPr>
            <w:tcW w:w="1276" w:type="dxa"/>
            <w:hideMark/>
          </w:tcPr>
          <w:p w14:paraId="593A7C78"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22,762</w:t>
            </w:r>
          </w:p>
        </w:tc>
        <w:tc>
          <w:tcPr>
            <w:tcW w:w="1290" w:type="dxa"/>
            <w:hideMark/>
          </w:tcPr>
          <w:p w14:paraId="33C5FE82" w14:textId="77777777" w:rsidR="000007FA" w:rsidRPr="000007FA" w:rsidRDefault="000007FA" w:rsidP="000007FA">
            <w:pPr>
              <w:spacing w:before="0" w:after="0"/>
              <w:jc w:val="right"/>
              <w:rPr>
                <w:rFonts w:ascii="Arial" w:hAnsi="Arial" w:cs="Arial"/>
                <w:color w:val="000000"/>
                <w:sz w:val="18"/>
                <w:szCs w:val="18"/>
                <w:lang w:val="en-AU"/>
              </w:rPr>
            </w:pPr>
            <w:r w:rsidRPr="000007FA">
              <w:rPr>
                <w:rFonts w:ascii="Arial" w:hAnsi="Arial" w:cs="Arial"/>
                <w:color w:val="000000"/>
                <w:sz w:val="18"/>
                <w:szCs w:val="18"/>
                <w:lang w:val="en-AU"/>
              </w:rPr>
              <w:t>12%</w:t>
            </w:r>
          </w:p>
        </w:tc>
      </w:tr>
    </w:tbl>
    <w:p w14:paraId="38504424" w14:textId="77777777" w:rsidR="001938B2" w:rsidRPr="00FC1976" w:rsidRDefault="001938B2" w:rsidP="00E15A50">
      <w:pPr>
        <w:pStyle w:val="01squarebullet"/>
        <w:rPr>
          <w:lang w:val="en-AU"/>
        </w:rPr>
      </w:pPr>
      <w:r w:rsidRPr="00FC1976">
        <w:rPr>
          <w:lang w:val="en-AU"/>
        </w:rPr>
        <w:t>A</w:t>
      </w:r>
      <w:r w:rsidR="00700F5D" w:rsidRPr="00FC1976">
        <w:rPr>
          <w:lang w:val="en-AU"/>
        </w:rPr>
        <w:t xml:space="preserve">ccess to dialysis services is limited in very remote areas, </w:t>
      </w:r>
      <w:r w:rsidR="00131F22" w:rsidRPr="00FC1976">
        <w:rPr>
          <w:lang w:val="en-AU"/>
        </w:rPr>
        <w:t xml:space="preserve">which means that </w:t>
      </w:r>
      <w:r w:rsidR="00700F5D" w:rsidRPr="00FC1976">
        <w:rPr>
          <w:lang w:val="en-AU"/>
        </w:rPr>
        <w:t xml:space="preserve">the majority of people must relocate to urban areas for treatment. </w:t>
      </w:r>
      <w:r w:rsidR="00457029" w:rsidRPr="00FC1976">
        <w:rPr>
          <w:lang w:val="en-AU"/>
        </w:rPr>
        <w:t>The financial impacts of relocation on the patient, family and health service are currently unquantified</w:t>
      </w:r>
      <w:r w:rsidR="00567672" w:rsidRPr="00FC1976">
        <w:rPr>
          <w:lang w:val="en-AU"/>
        </w:rPr>
        <w:t xml:space="preserve"> </w:t>
      </w:r>
      <w:r w:rsidR="00567672" w:rsidRPr="00FC1976">
        <w:rPr>
          <w:lang w:val="en-AU"/>
        </w:rPr>
        <w:fldChar w:fldCharType="begin" w:fldLock="1"/>
      </w:r>
      <w:r w:rsidR="00B409DB">
        <w:rPr>
          <w:lang w:val="en-AU"/>
        </w:rPr>
        <w:instrText>ADDIN CSL_CITATION { "citationItems" : [ { "id" : "ITEM-1", "itemData" : { "author" : [ { "dropping-particle" : "", "family" : "Gorham", "given" : "G", "non-dropping-particle" : "", "parse-names" : false, "suffix" : "" } ], "container-title" : "Review of Tiwi Dialysis Centre: The Economic and Social Repercussions of Client Relocation", "id" : "ITEM-1", "issue" : "1", "issued" : { "date-parts" : [ [ "2000" ] ] }, "publisher" : "G. Gorham", "publisher-place" : "Darwin", "title" : "Review of Tiwi Dialysis Centre: The Economic and Social Repercussions of Client Relocation", "type" : "book" }, "uris" : [ "http://www.mendeley.com/documents/?uuid=41a5ba16-48f7-4fe9-88e3-d10ede79a577" ] } ], "mendeley" : { "formattedCitation" : "(11)", "plainTextFormattedCitation" : "(11)", "previouslyFormattedCitation" : "(11)" }, "properties" : { "noteIndex" : 0 }, "schema" : "https://github.com/citation-style-language/schema/raw/master/csl-citation.json" }</w:instrText>
      </w:r>
      <w:r w:rsidR="00567672" w:rsidRPr="00FC1976">
        <w:rPr>
          <w:lang w:val="en-AU"/>
        </w:rPr>
        <w:fldChar w:fldCharType="separate"/>
      </w:r>
      <w:r w:rsidR="0099742A" w:rsidRPr="0099742A">
        <w:rPr>
          <w:noProof/>
          <w:lang w:val="en-AU"/>
        </w:rPr>
        <w:t>(11)</w:t>
      </w:r>
      <w:r w:rsidR="00567672" w:rsidRPr="00FC1976">
        <w:rPr>
          <w:lang w:val="en-AU"/>
        </w:rPr>
        <w:fldChar w:fldCharType="end"/>
      </w:r>
      <w:r w:rsidR="00457029" w:rsidRPr="00FC1976">
        <w:rPr>
          <w:lang w:val="en-AU"/>
        </w:rPr>
        <w:t xml:space="preserve">, but </w:t>
      </w:r>
      <w:r w:rsidR="00F242A6" w:rsidRPr="00FC1976">
        <w:rPr>
          <w:lang w:val="en-AU"/>
        </w:rPr>
        <w:t xml:space="preserve">it </w:t>
      </w:r>
      <w:r w:rsidR="00700F5D" w:rsidRPr="00FC1976">
        <w:rPr>
          <w:lang w:val="en-AU"/>
        </w:rPr>
        <w:t>has undeniable social</w:t>
      </w:r>
      <w:r w:rsidR="00B12DC3" w:rsidRPr="00FC1976">
        <w:rPr>
          <w:lang w:val="en-AU"/>
        </w:rPr>
        <w:t>,</w:t>
      </w:r>
      <w:r w:rsidR="00700F5D" w:rsidRPr="00FC1976">
        <w:rPr>
          <w:lang w:val="en-AU"/>
        </w:rPr>
        <w:t xml:space="preserve"> economic </w:t>
      </w:r>
      <w:r w:rsidR="00B12DC3" w:rsidRPr="00FC1976">
        <w:rPr>
          <w:lang w:val="en-AU"/>
        </w:rPr>
        <w:t xml:space="preserve">and health </w:t>
      </w:r>
      <w:r w:rsidR="00700F5D" w:rsidRPr="00FC1976">
        <w:rPr>
          <w:lang w:val="en-AU"/>
        </w:rPr>
        <w:t>consequences</w:t>
      </w:r>
      <w:r w:rsidR="005B7F9B" w:rsidRPr="00FC1976">
        <w:rPr>
          <w:lang w:val="en-AU"/>
        </w:rPr>
        <w:t xml:space="preserve"> </w:t>
      </w:r>
      <w:r w:rsidR="00567672" w:rsidRPr="00FC1976">
        <w:rPr>
          <w:lang w:val="en-AU"/>
        </w:rPr>
        <w:fldChar w:fldCharType="begin" w:fldLock="1"/>
      </w:r>
      <w:r w:rsidR="00B409DB">
        <w:rPr>
          <w:lang w:val="en-AU"/>
        </w:rPr>
        <w:instrText>ADDIN CSL_CITATION { "citationItems" : [ { "id" : "ITEM-1", "itemData" : { "author" : [ { "dropping-particle" : "", "family" : "Lavoie J, Forget E, Rowe G", "given" : "Dahl M.", "non-dropping-particle" : "", "parse-names" : false, "suffix" : "" } ], "id" : "ITEM-1", "issued" : { "date-parts" : [ [ "2009" ] ] }, "publisher-place" : "Winnipeg", "title" : "The leaving for the city project (medical relocation project phase 2): Final report.", "type" : "report" }, "uris" : [ "http://www.mendeley.com/documents/?uuid=1f220d78-9c60-4e41-a69b-215c56579a96" ] }, { "id" : "ITEM-2", "itemData" : { "DOI" : "10.1111/j.1440-1584.2007.00904.x", "ISSN" : "1038-5282", "PMID" : "17617091", "abstract" : "OBJECTIVE The present article provides findings from a two-year study on Indigenous palliative care conducted in the Northern Territory that explored and documented wishes in relation to place of death for rural and remote Aboriginal people. DESIGN Qualitative, open-ended interviews, audio-recorded, transcribed verbatim, and thematically analysed. PARTICIPANTS There were a total of 72 interviews completed with Indigenous patients (n = 10), Indigenous caregivers (n = 19), Indigenous and non-Indigenous health care workers (n = 41), and interpreters (n = 2). RESULTS The findings provide a clear articulation of the wish of Aboriginal people from rural and remote areas to die at home connected to land and family. Strong cultural reasons were given for this preference, including the strong connection with land and community, a belief in 'death country', the importance of passing on sacred knowledge to the appropriate family member, the significance of ensuring that the dying individual's 'animal spirit' is able to return to the land, and the imperative that the 'right person' in the family network is available to provide the care. CONCLUSION The strong wish to die at home informs the importance of building up local health and palliative care services and avoiding, where possible, the need for relocation for health care to the major metropolitan hospitals during end-of-life care.", "author" : [ { "dropping-particle" : "", "family" : "McGrath", "given" : "Pam", "non-dropping-particle" : "", "parse-names" : false, "suffix" : "" } ], "container-title" : "The Australian journal of rural health", "id" : "ITEM-2", "issue" : "4", "issued" : { "date-parts" : [ [ "2007", "8" ] ] }, "page" : "264-8", "title" : "'I don't want to be in that big city; this is my country here': research findings on Aboriginal peoples' preference to die at home.", "type" : "article-journal", "volume" : "15" }, "uris" : [ "http://www.mendeley.com/documents/?uuid=45f04bc3-79bb-4c2b-b7a6-2d66de4fc0ef" ] }, { "id" : "ITEM-3", "itemData" : { "ISSN" : "0008-350X", "PMID" : "7841825", "abstract" : "OBJECTIVE To examine the effects of relocation from remote Native communities for dialysis treatment and explore the receptiveness of patients, caregivers, and their communities to establishing a local satellite dialysis unit. Second, to examine the methodological issues inherent in a qualitative, cross-cultural study. DESIGN Qualitative descriptive survey using semistructured interviews. SETTING The Moose Factory Zone (MFZ), situated along the west coast of James Bay in northern Ontario, is one of four geographically defined areas of responsibility within Ontario through which the federal government provides health care services to Native Canadians. PARTICIPANTS Twenty-four Native residents of MFZ selected by volunteer and nominative sampling techniques. Patients with end-stage or prefailure renal disease, informal caregivers and supporters, professional caregivers, and community spokespersons were included in the study population. MAIN OUTCOME MEASURES Identification of issues important in planning dialysis services for Native patients in remote communities in the MFZ. RESULTS Informal caregivers and both categories of patients supported in principle a proposed satellite dialysis unit at Moose Factory General Hospital. Their criticisms of the present system necessitating relocation to urban centres included inadequate social support, inconvenience and expense, and family separation. Professional caregivers generally supported establishing a local dialysis unit but had concerns regarding staff training and continuity of care. Community spokespersons also supported the proposed unit but only if quality of care could be ensured. CONCLUSIONS Relocation for dialysis treatment disrupts social support patterns and creates psychosocial problems. Although the psychosocial advantages of providing dialysis treatment services close to home are readily apparent, other considerations, such as cost, equipment, and expertise, and training of health care personnel, make the provision of tertiary level care more difficult in isolated areas. Additional study is required to determine the impact of methodological issues inherent in qualitative cross-cultural studies such as this.", "author" : [ { "dropping-particle" : "", "family" : "Wilson", "given" : "R", "non-dropping-particle" : "", "parse-names" : false, "suffix" : "" }, { "dropping-particle" : "", "family" : "Krefting", "given" : "L", "non-dropping-particle" : "", "parse-names" : false, "suffix" : "" }, { "dropping-particle" : "", "family" : "Sutcliffe", "given" : "P", "non-dropping-particle" : "", "parse-names" : false, "suffix" : "" }, { "dropping-particle" : "", "family" : "Bussel", "given" : "L", "non-dropping-particle" : "Van", "parse-names" : false, "suffix" : "" } ], "container-title" : "Canadian family physician Me\u0301decin de famille canadien", "id" : "ITEM-3", "issued" : { "date-parts" : [ [ "1994", "11" ] ] }, "page" : "1934-41", "title" : "Native Canadians relocating for renal dialysis. Psychosocial and cultural issues.", "type" : "article-journal", "volume" : "40" }, "uris" : [ "http://www.mendeley.com/documents/?uuid=53bb0cba-12df-3c37-b0f6-8e05d111e47b" ] }, { "id" : "ITEM-4", "itemData" : { "author" : [ { "dropping-particle" : "", "family" : "Anderson K, Cass A, Cunningham J, Snelling P, Devitt J", "given" : "Preece C.", "non-dropping-particle" : "", "parse-names" : false, "suffix" : "" } ], "container-title" : "Social Science and Medicine.", "id" : "ITEM-4", "issue" : "10", "issued" : { "date-parts" : [ [ "2007" ] ] }, "page" : "2107-14", "title" : "The use of psychosocial criteria in Australian patient selection guidelines for kidney transplantation.", "type" : "article-journal", "volume" : "64" }, "uris" : [ "http://www.mendeley.com/documents/?uuid=be7bcb32-bfa3-4a02-99bb-563fa9cd15f0" ] }, { "id" : "ITEM-5", "itemData" : { "DOI" : "10.1186/1471-2369-13-114", "ISSN" : "1471-2369", "abstract" : "In common with Indigenous populations elsewhere, Indigenous Australians have higher incidence of end-stage kidney disease (ESKD), but lower transplantation rates than their non-Indigenous counterparts. Understanding how the demands of dialysis impact on, and are impacted by, the lives of Indigenous patients may provide important insight into treatment pathways and decision-making. We conducted semi-structured interviews in 2005\u201306 with 146 Indigenous and 95 non-Indigenous patients from nine hospital renal wards and 17 associated dialysis centres, which together treat the majority of Indigenous Australian ESKD patients. Factors influencing treatment experience included: the impacts of late diagnosis; family separations associated with relocating for treatment; the physical and psychosocial demands of hemodialysis; and ineffective communication between health care providers and patients. Although not unique to them, Indigenous patients were more likely to experience the combined effect of all factors. Social/situational circumstances profoundly affect Indigenous Australian dialysis patients\u2019 ability to fully engage with treatment. This may ultimately affect their likelihood of receiving optimal treatment, including transplantation. Areas for improvement include: earlier diagnosis; improved linkages between specialist renal services and primary care in regional settings; more effective communication and patient education; and more systematic, transparent approaches to patient \u201ccompliance\u201d in transplant and home dialysis guidelines.", "author" : [ { "dropping-particle" : "", "family" : "Anderson", "given" : "Kate", "non-dropping-particle" : "", "parse-names" : false, "suffix" : "" }, { "dropping-particle" : "", "family" : "Cunningham", "given" : "Joan", "non-dropping-particle" : "", "parse-names" : false, "suffix" : "" }, { "dropping-particle" : "", "family" : "Devitt", "given" : "Jeannie", "non-dropping-particle" : "", "parse-names" : false, "suffix" : "" }, { "dropping-particle" : "", "family" : "Preece", "given" : "Cilla", "non-dropping-particle" : "", "parse-names" : false, "suffix" : "" }, { "dropping-particle" : "", "family" : "Cass", "given" : "Alan", "non-dropping-particle" : "", "parse-names" : false, "suffix" : "" } ], "container-title" : "BMC Nephrology", "id" : "ITEM-5", "issue" : "1", "issued" : { "date-parts" : [ [ "2012", "12", "20" ] ] }, "page" : "114", "publisher" : "BioMed Central", "title" : "\"Looking back to my family\": Indigenous Australian patients' experience of hemodialysis.", "type" : "article-journal", "volume" : "13" }, "uris" : [ "http://www.mendeley.com/documents/?uuid=54d87933-11bd-4875-a611-6d8b7f3c0be2" ] }, { "id" : "ITEM-6", "itemData" : { "author" : [ { "dropping-particle" : "", "family" : "Anderson", "given" : "K.", "non-dropping-particle" : "", "parse-names" : false, "suffix" : "" }, { "dropping-particle" : "", "family" : "Yeates", "given" : "K.", "non-dropping-particle" : "", "parse-names" : false, "suffix" : "" }, { "dropping-particle" : "", "family" : "Cunningham", "given" : "J.", "non-dropping-particle" : "", "parse-names" : false, "suffix" : "" }, { "dropping-particle" : "", "family" : "Devitt", "given" : "J.", "non-dropping-particle" : "", "parse-names" : false, "suffix" : "" }, { "dropping-particle" : "", "family" : "Cass", "given" : "Alan", "non-dropping-particle" : "", "parse-names" : false, "suffix" : "" } ], "container-title" : "Health and Place", "id" : "ITEM-6", "issued" : { "date-parts" : [ [ "2009" ] ] }, "title" : "They really want to go back home, they hate it here: The importance of place in Canadian health professionals' views on the barriers facing Aboriginal patients accessing kidney transplants", "type" : "article-journal", "volume" : "15 " }, "uris" : [ "http://www.mendeley.com/documents/?uuid=61c5b7cc-e9e5-3daa-96ad-a8c0654aeda9" ] } ], "mendeley" : { "formattedCitation" : "(12\u201317)", "plainTextFormattedCitation" : "(12\u201317)", "previouslyFormattedCitation" : "(12\u201317)" }, "properties" : { "noteIndex" : 0 }, "schema" : "https://github.com/citation-style-language/schema/raw/master/csl-citation.json" }</w:instrText>
      </w:r>
      <w:r w:rsidR="00567672" w:rsidRPr="00FC1976">
        <w:rPr>
          <w:lang w:val="en-AU"/>
        </w:rPr>
        <w:fldChar w:fldCharType="separate"/>
      </w:r>
      <w:r w:rsidR="0099742A" w:rsidRPr="0099742A">
        <w:rPr>
          <w:noProof/>
          <w:lang w:val="en-AU"/>
        </w:rPr>
        <w:t>(12–17)</w:t>
      </w:r>
      <w:r w:rsidR="00567672" w:rsidRPr="00FC1976">
        <w:rPr>
          <w:lang w:val="en-AU"/>
        </w:rPr>
        <w:fldChar w:fldCharType="end"/>
      </w:r>
      <w:r w:rsidR="00702843" w:rsidRPr="00FC1976">
        <w:rPr>
          <w:lang w:val="en-AU"/>
        </w:rPr>
        <w:t>. For example,</w:t>
      </w:r>
      <w:r w:rsidR="00FA6B5E" w:rsidRPr="00FC1976">
        <w:rPr>
          <w:lang w:val="en-AU"/>
        </w:rPr>
        <w:t xml:space="preserve"> </w:t>
      </w:r>
      <w:r w:rsidR="00FF0994" w:rsidRPr="00FC1976">
        <w:rPr>
          <w:lang w:val="en-AU"/>
        </w:rPr>
        <w:t>individuals m</w:t>
      </w:r>
      <w:r w:rsidR="00700F5D" w:rsidRPr="00FC1976">
        <w:rPr>
          <w:lang w:val="en-AU"/>
        </w:rPr>
        <w:t>ay be</w:t>
      </w:r>
      <w:r w:rsidR="00725E74" w:rsidRPr="00FC1976">
        <w:rPr>
          <w:lang w:val="en-AU"/>
        </w:rPr>
        <w:t>come</w:t>
      </w:r>
      <w:r w:rsidR="00700F5D" w:rsidRPr="00FC1976">
        <w:rPr>
          <w:lang w:val="en-AU"/>
        </w:rPr>
        <w:t xml:space="preserve"> dislocated from their family, community and support networks</w:t>
      </w:r>
      <w:r w:rsidR="00D92883" w:rsidRPr="00FC1976">
        <w:rPr>
          <w:lang w:val="en-AU"/>
        </w:rPr>
        <w:t>, and social</w:t>
      </w:r>
      <w:r w:rsidR="00F97C49" w:rsidRPr="00FC1976">
        <w:rPr>
          <w:lang w:val="en-AU"/>
        </w:rPr>
        <w:t xml:space="preserve"> </w:t>
      </w:r>
      <w:r w:rsidR="00BF1254" w:rsidRPr="00FC1976">
        <w:rPr>
          <w:lang w:val="en-AU"/>
        </w:rPr>
        <w:t>consequences</w:t>
      </w:r>
      <w:r w:rsidR="009825A1" w:rsidRPr="00FC1976">
        <w:rPr>
          <w:lang w:val="en-AU"/>
        </w:rPr>
        <w:t xml:space="preserve"> </w:t>
      </w:r>
      <w:r w:rsidR="00D92883" w:rsidRPr="00FC1976">
        <w:rPr>
          <w:lang w:val="en-AU"/>
        </w:rPr>
        <w:t xml:space="preserve">such as these </w:t>
      </w:r>
      <w:r w:rsidR="0032056A" w:rsidRPr="00FC1976">
        <w:rPr>
          <w:lang w:val="en-AU"/>
        </w:rPr>
        <w:t>have been identified as</w:t>
      </w:r>
      <w:r w:rsidR="00700F5D" w:rsidRPr="00FC1976">
        <w:rPr>
          <w:lang w:val="en-AU"/>
        </w:rPr>
        <w:t xml:space="preserve"> the second most important cause of death </w:t>
      </w:r>
      <w:r w:rsidR="008A1BEF">
        <w:rPr>
          <w:lang w:val="en-AU"/>
        </w:rPr>
        <w:t>for</w:t>
      </w:r>
      <w:r w:rsidR="008A1BEF" w:rsidRPr="00FC1976">
        <w:rPr>
          <w:lang w:val="en-AU"/>
        </w:rPr>
        <w:t xml:space="preserve"> </w:t>
      </w:r>
      <w:r w:rsidR="000E169C" w:rsidRPr="00FC1976">
        <w:rPr>
          <w:lang w:val="en-AU"/>
        </w:rPr>
        <w:t xml:space="preserve">Indigenous </w:t>
      </w:r>
      <w:r w:rsidR="00700F5D" w:rsidRPr="00FC1976">
        <w:rPr>
          <w:lang w:val="en-AU"/>
        </w:rPr>
        <w:t>people on dialysis (24</w:t>
      </w:r>
      <w:r w:rsidR="000E169C" w:rsidRPr="00FC1976">
        <w:rPr>
          <w:lang w:val="en-AU"/>
        </w:rPr>
        <w:t xml:space="preserve"> per cent</w:t>
      </w:r>
      <w:r w:rsidR="00700F5D" w:rsidRPr="00FC1976">
        <w:rPr>
          <w:lang w:val="en-AU"/>
        </w:rPr>
        <w:t>), after cardiac events (37</w:t>
      </w:r>
      <w:r w:rsidR="0032221D" w:rsidRPr="00FC1976">
        <w:rPr>
          <w:lang w:val="en-AU"/>
        </w:rPr>
        <w:t xml:space="preserve"> per cent</w:t>
      </w:r>
      <w:r w:rsidR="00700F5D" w:rsidRPr="00FC1976">
        <w:rPr>
          <w:lang w:val="en-AU"/>
        </w:rPr>
        <w:t>)</w:t>
      </w:r>
      <w:r w:rsidR="0096472F" w:rsidRPr="00FC1976">
        <w:rPr>
          <w:lang w:val="en-AU"/>
        </w:rPr>
        <w:t xml:space="preserve"> </w:t>
      </w:r>
      <w:r w:rsidR="00845792" w:rsidRPr="00FC1976">
        <w:rPr>
          <w:lang w:val="en-AU"/>
        </w:rPr>
        <w:fldChar w:fldCharType="begin" w:fldLock="1"/>
      </w:r>
      <w:r w:rsidR="00B409DB">
        <w:rPr>
          <w:lang w:val="en-AU"/>
        </w:rPr>
        <w:instrText>ADDIN CSL_CITATION { "citationItems" : [ { "id" : "ITEM-1", "itemData" : { "URL" : "http://www.healthinfonet.ecu.edu.au/chronic-conditions/kidney/reviews/our-review", "accessed" : { "date-parts" : [ [ "2016", "7", "25" ] ] }, "author" : [ { "dropping-particle" : "", "family" : "Stumpers", "given" : "S", "non-dropping-particle" : "", "parse-names" : false, "suffix" : "" }, { "dropping-particle" : "", "family" : "Thomson", "given" : "N", "non-dropping-particle" : "", "parse-names" : false, "suffix" : "" } ], "id" : "ITEM-1", "issued" : { "date-parts" : [ [ "2013" ] ] }, "title" : "Review of Kidney Disease among Indigenous People", "type" : "webpage" }, "uris" : [ "http://www.mendeley.com/documents/?uuid=ac2b2493-a45e-465a-a12d-9a2e417f6003" ] } ], "mendeley" : { "formattedCitation" : "(18)", "plainTextFormattedCitation" : "(18)", "previouslyFormattedCitation" : "(18)" }, "properties" : { "noteIndex" : 0 }, "schema" : "https://github.com/citation-style-language/schema/raw/master/csl-citation.json" }</w:instrText>
      </w:r>
      <w:r w:rsidR="00845792" w:rsidRPr="00FC1976">
        <w:rPr>
          <w:lang w:val="en-AU"/>
        </w:rPr>
        <w:fldChar w:fldCharType="separate"/>
      </w:r>
      <w:r w:rsidR="0099742A" w:rsidRPr="0099742A">
        <w:rPr>
          <w:noProof/>
          <w:lang w:val="en-AU"/>
        </w:rPr>
        <w:t>(18)</w:t>
      </w:r>
      <w:r w:rsidR="00845792" w:rsidRPr="00FC1976">
        <w:rPr>
          <w:lang w:val="en-AU"/>
        </w:rPr>
        <w:fldChar w:fldCharType="end"/>
      </w:r>
      <w:r w:rsidR="00F44EE2" w:rsidRPr="00FC1976">
        <w:rPr>
          <w:lang w:val="en-AU"/>
        </w:rPr>
        <w:t>.</w:t>
      </w:r>
      <w:r w:rsidR="009F5285" w:rsidRPr="00FC1976">
        <w:rPr>
          <w:lang w:val="en-AU"/>
        </w:rPr>
        <w:t xml:space="preserve"> R</w:t>
      </w:r>
      <w:r w:rsidR="005B3F4F" w:rsidRPr="00FC1976">
        <w:rPr>
          <w:lang w:val="en-AU"/>
        </w:rPr>
        <w:t>elocation can</w:t>
      </w:r>
      <w:r w:rsidR="009F5285" w:rsidRPr="00FC1976">
        <w:rPr>
          <w:lang w:val="en-AU"/>
        </w:rPr>
        <w:t xml:space="preserve"> also be costly, and it can</w:t>
      </w:r>
      <w:r w:rsidR="005B3F4F" w:rsidRPr="00FC1976">
        <w:rPr>
          <w:lang w:val="en-AU"/>
        </w:rPr>
        <w:t xml:space="preserve"> result</w:t>
      </w:r>
      <w:r w:rsidR="009F5285" w:rsidRPr="00FC1976">
        <w:rPr>
          <w:lang w:val="en-AU"/>
        </w:rPr>
        <w:t xml:space="preserve"> in</w:t>
      </w:r>
      <w:r w:rsidR="005B3F4F" w:rsidRPr="00FC1976">
        <w:rPr>
          <w:lang w:val="en-AU"/>
        </w:rPr>
        <w:t xml:space="preserve"> </w:t>
      </w:r>
      <w:r w:rsidR="00E843D7" w:rsidRPr="00FC1976">
        <w:rPr>
          <w:lang w:val="en-AU"/>
        </w:rPr>
        <w:t>individuals</w:t>
      </w:r>
      <w:r w:rsidR="005B3F4F" w:rsidRPr="00FC1976">
        <w:rPr>
          <w:lang w:val="en-AU"/>
        </w:rPr>
        <w:t xml:space="preserve"> </w:t>
      </w:r>
      <w:r w:rsidR="00E843D7" w:rsidRPr="00FC1976">
        <w:rPr>
          <w:lang w:val="en-AU"/>
        </w:rPr>
        <w:t>losing their jobs and</w:t>
      </w:r>
      <w:r w:rsidR="001615B7" w:rsidRPr="00FC1976">
        <w:rPr>
          <w:lang w:val="en-AU"/>
        </w:rPr>
        <w:t xml:space="preserve"> their</w:t>
      </w:r>
      <w:r w:rsidR="00E843D7" w:rsidRPr="00FC1976">
        <w:rPr>
          <w:lang w:val="en-AU"/>
        </w:rPr>
        <w:t xml:space="preserve"> </w:t>
      </w:r>
      <w:r w:rsidR="00700F5D" w:rsidRPr="00FC1976">
        <w:rPr>
          <w:lang w:val="en-AU"/>
        </w:rPr>
        <w:t>housing</w:t>
      </w:r>
      <w:r w:rsidR="00FA3803" w:rsidRPr="00FC1976">
        <w:rPr>
          <w:lang w:val="en-AU"/>
        </w:rPr>
        <w:t xml:space="preserve">. </w:t>
      </w:r>
      <w:r w:rsidR="00705FDF" w:rsidRPr="00FC1976">
        <w:rPr>
          <w:lang w:val="en-AU"/>
        </w:rPr>
        <w:t>As a result of these social and economic co</w:t>
      </w:r>
      <w:r w:rsidR="009E67F5" w:rsidRPr="00FC1976">
        <w:rPr>
          <w:lang w:val="en-AU"/>
        </w:rPr>
        <w:t>sts</w:t>
      </w:r>
      <w:r w:rsidR="002E73EE" w:rsidRPr="00FC1976">
        <w:rPr>
          <w:lang w:val="en-AU"/>
        </w:rPr>
        <w:t>,</w:t>
      </w:r>
      <w:r w:rsidR="009E67F5" w:rsidRPr="00FC1976">
        <w:rPr>
          <w:lang w:val="en-AU"/>
        </w:rPr>
        <w:t xml:space="preserve"> r</w:t>
      </w:r>
      <w:r w:rsidR="00700F5D" w:rsidRPr="00FC1976">
        <w:rPr>
          <w:lang w:val="en-AU"/>
        </w:rPr>
        <w:t xml:space="preserve">elocated patients </w:t>
      </w:r>
      <w:r w:rsidR="009E2091" w:rsidRPr="00FC1976">
        <w:rPr>
          <w:lang w:val="en-AU"/>
        </w:rPr>
        <w:t xml:space="preserve">often </w:t>
      </w:r>
      <w:r w:rsidR="00700F5D" w:rsidRPr="00FC1976">
        <w:rPr>
          <w:lang w:val="en-AU"/>
        </w:rPr>
        <w:t xml:space="preserve">miss treatments, </w:t>
      </w:r>
      <w:r w:rsidR="00D80452" w:rsidRPr="00FC1976">
        <w:rPr>
          <w:lang w:val="en-AU"/>
        </w:rPr>
        <w:t>which has a negative impact on health outcomes</w:t>
      </w:r>
      <w:r w:rsidR="00F44EE2" w:rsidRPr="00FC1976">
        <w:rPr>
          <w:lang w:val="en-AU"/>
        </w:rPr>
        <w:t>.</w:t>
      </w:r>
      <w:r w:rsidR="0021682D" w:rsidRPr="00FC1976">
        <w:rPr>
          <w:lang w:val="en-AU"/>
        </w:rPr>
        <w:t xml:space="preserve"> </w:t>
      </w:r>
      <w:r w:rsidR="00A66B0A" w:rsidRPr="00FC1976">
        <w:rPr>
          <w:lang w:val="en-AU"/>
        </w:rPr>
        <w:t>T</w:t>
      </w:r>
      <w:r w:rsidRPr="00FC1976">
        <w:rPr>
          <w:lang w:val="en-AU"/>
        </w:rPr>
        <w:t xml:space="preserve">he permanent relocation of large numbers of people (and their families) for dialysis </w:t>
      </w:r>
      <w:r w:rsidR="00E3034E" w:rsidRPr="00FC1976">
        <w:rPr>
          <w:lang w:val="en-AU"/>
        </w:rPr>
        <w:t>also has significant indirect impacts on other government services, including housing, social support services and education. These are</w:t>
      </w:r>
      <w:r w:rsidRPr="00FC1976">
        <w:rPr>
          <w:lang w:val="en-AU"/>
        </w:rPr>
        <w:t xml:space="preserve"> </w:t>
      </w:r>
      <w:r w:rsidR="00E3034E" w:rsidRPr="00FC1976">
        <w:rPr>
          <w:lang w:val="en-AU"/>
        </w:rPr>
        <w:t xml:space="preserve">often </w:t>
      </w:r>
      <w:r w:rsidRPr="00FC1976">
        <w:rPr>
          <w:lang w:val="en-AU"/>
        </w:rPr>
        <w:t>not considered in cost</w:t>
      </w:r>
      <w:r w:rsidR="007A1B8D" w:rsidRPr="00FC1976">
        <w:rPr>
          <w:lang w:val="en-AU"/>
        </w:rPr>
        <w:t>-</w:t>
      </w:r>
      <w:r w:rsidRPr="00FC1976">
        <w:rPr>
          <w:lang w:val="en-AU"/>
        </w:rPr>
        <w:t>effectiveness studies</w:t>
      </w:r>
      <w:r w:rsidR="005B7F9B" w:rsidRPr="00FC1976">
        <w:rPr>
          <w:lang w:val="en-AU"/>
        </w:rPr>
        <w:t xml:space="preserve"> </w:t>
      </w:r>
      <w:r w:rsidR="00845792" w:rsidRPr="00FC1976">
        <w:rPr>
          <w:lang w:val="en-AU"/>
        </w:rPr>
        <w:fldChar w:fldCharType="begin" w:fldLock="1"/>
      </w:r>
      <w:r w:rsidR="00B409DB">
        <w:rPr>
          <w:lang w:val="en-AU"/>
        </w:rPr>
        <w:instrText>ADDIN CSL_CITATION { "citationItems" : [ { "id" : "ITEM-1", "itemData" : { "author" : [ { "dropping-particle" : "", "family" : "Just PM, Riella MC, Tschosik EA, Noe LL", "given" : "Bhattacharyya SK", "non-dropping-particle" : "", "parse-names" : false, "suffix" : "" } ], "container-title" : "Health policy (Amsterdam, Netherlands)", "id" : "ITEM-1", "issue" : "2-3", "issued" : { "date-parts" : [ [ "2008" ] ] }, "page" : "163-80", "title" : "Economic evaluations of dialysis treatment modalities", "type" : "article-journal", "volume" : "86" }, "uris" : [ "http://www.mendeley.com/documents/?uuid=3a86f524-8986-45f1-ba98-22eae2657412" ] }, { "id" : "ITEM-2", "itemData" : { "DOI" : "10.1093/ndt/gft214", "ISSN" : "1460-2385", "PMID" : "23737482", "abstract" : "Peritoneal dialysis (PD) as a modality is underutilized in most parts of the world today despite several advantages including the possibility of it being offered in the remotest of locations and being significantly more affordable than haemodialysis (HD) in most cases. In this article, we will compare the cost of HD and PD in several countries to demonstrate that PD is less than, or at least as expensive as, HD. A thorough literature survey of EMBASE and PUBMED was conducted; 78 articles which compared the annual PD and annual HD costs were finally selected. Careful attention was paid to the methodology followed by each study and the year it was published in. Our final calculations included 46 countries (20 developed and 26 developing). We found that the cost of HD was between 1.25 and 2.35 times the cost of PD in 22 countries (17 developed and 5 developing), between 0.90 and 1.25 times the cost of PD in 15 countries (2 developed and 13 developing), and between 0.22 and 0.90 times the cost of PD in 9 countries (1 developed and 8 developing). From our analysis, it is evident that most developed countries can provide PD at a lesser expense to the healthcare system than HD. The evidence on developing countries is more mixed, but in most cases PD can be provided at a similar cost where economies of scale have been achieved, either by local production or by low import duties on PD equipment.", "author" : [ { "dropping-particle" : "", "family" : "Karopadi", "given" : "Akash Nayak", "non-dropping-particle" : "", "parse-names" : false, "suffix" : "" }, { "dropping-particle" : "", "family" : "Mason", "given" : "Giacomo", "non-dropping-particle" : "", "parse-names" : false, "suffix" : "" }, { "dropping-particle" : "", "family" : "Rettore", "given" : "Enrico", "non-dropping-particle" : "", "parse-names" : false, "suffix" : "" }, { "dropping-particle" : "", "family" : "Ronco", "given" : "Claudio", "non-dropping-particle" : "", "parse-names" : false, "suffix" : "" } ], "container-title" : "Nephrology, dialysis, transplantation : official publication of the European Dialysis and Transplant Association - European Renal Association", "id" : "ITEM-2", "issue" : "10", "issued" : { "date-parts" : [ [ "2013", "10" ] ] }, "page" : "2553-69", "title" : "Cost of peritoneal dialysis and haemodialysis across the world.", "type" : "article-journal", "volume" : "28" }, "uris" : [ "http://www.mendeley.com/documents/?uuid=882afa59-e9bb-3204-92fd-da145edd0dfb" ] }, { "id" : "ITEM-3", "itemData" : { "DOI" : "10.1038/nrneph.2014.145", "ISSN" : "1759-507X", "PMID" : "25157840", "abstract" : "The prevalence of chronic kidney disease and end-stage renal disease requiring dialysis therapy continues to increase worldwide, and despite technological advances, treatment remains resource intensive. Thus, the increasing burden of dialysis therapy on finite health-care budgets is an important consideration. The principles of allocative efficiency and the concept of 'opportunity cost' can be used to assess whether dialysis is economically justified; if dialysis is to be provided, cost-minimization and cost-utility analyses can be used to identify the most efficient dialysis modality. Existing studies have examined the cost, and where relevant the effectiveness, of the various currently available peritoneal dialysis and haemodialysis modalities. In this Review, we discuss variations in the intrinsic costs of the available dialysis modalities as well as other factors, such as variation by country, available health-care infrastructures, the timing of dialysis initiation and renal transplantation. We draw on data from robust micro-costing studies of the various dialysis modalities in Canada to highlight key issues.", "author" : [ { "dropping-particle" : "", "family" : "Klarenbach", "given" : "Scott W", "non-dropping-particle" : "", "parse-names" : false, "suffix" : "" }, { "dropping-particle" : "", "family" : "Tonelli", "given" : "Marcello", "non-dropping-particle" : "", "parse-names" : false, "suffix" : "" }, { "dropping-particle" : "", "family" : "Chui", "given" : "Betty", "non-dropping-particle" : "", "parse-names" : false, "suffix" : "" }, { "dropping-particle" : "", "family" : "Manns", "given" : "Braden J", "non-dropping-particle" : "", "parse-names" : false, "suffix" : "" } ], "container-title" : "Nature reviews. Nephrology", "id" : "ITEM-3", "issue" : "11", "issued" : { "date-parts" : [ [ "2014", "11" ] ] }, "page" : "644-52", "title" : "Economic evaluation of dialysis therapies.", "type" : "article-journal", "volume" : "10" }, "uris" : [ "http://www.mendeley.com/documents/?uuid=e258cc04-dda6-3a44-8a5a-db73f2387f8a" ] }, { "id" : "ITEM-4", "itemData" : { "author" : [ { "dropping-particle" : "", "family" : "Marley", "given" : "Julia", "non-dropping-particle" : "", "parse-names" : false, "suffix" : "" }, { "dropping-particle" : "", "family" : "Dent", "given" : "Hannah", "non-dropping-particle" : "", "parse-names" : false, "suffix" : "" }, { "dropping-particle" : "", "family" : "Wearne", "given" : "Maree", "non-dropping-particle" : "", "parse-names" : false, "suffix" : "" }, { "dropping-particle" : "", "family" : "Fitzclarence", "given" : "Cherelle", "non-dropping-particle" : "", "parse-names" : false, "suffix" : "" }, { "dropping-particle" : "", "family" : "Nelson", "given" : "Carmel", "non-dropping-particle" : "", "parse-names" : false, "suffix" : "" }, { "dropping-particle" : "", "family" : "Siu", "given" : "Karen", "non-dropping-particle" : "", "parse-names" : false, "suffix" : "" }, { "dropping-particle" : "", "family" : "Warr", "given" : "Kevin", "non-dropping-particle" : "", "parse-names" : false, "suffix" : "" }, { "dropping-particle" : "", "family" : "Atkinson", "given" : "David", "non-dropping-particle" : "", "parse-names" : false, "suffix" : "" } ], "container-title" : "Medical Journal of Australia", "id" : "ITEM-4", "issue" : "9", "issued" : { "date-parts" : [ [ "2010" ] ] }, "page" : "516-520", "title" : "Haemodialysis outcomes of Aboriginal and Torres Strait Islander patients of remote Kimberley region origin", "type" : "article-journal", "volume" : "193" }, "uris" : [ "http://www.mendeley.com/documents/?uuid=72fe52bd-a6f8-3dea-96af-e5c96cd06174" ] } ], "mendeley" : { "formattedCitation" : "(19\u201322)", "plainTextFormattedCitation" : "(19\u201322)", "previouslyFormattedCitation" : "(19\u201322)" }, "properties" : { "noteIndex" : 0 }, "schema" : "https://github.com/citation-style-language/schema/raw/master/csl-citation.json" }</w:instrText>
      </w:r>
      <w:r w:rsidR="00845792" w:rsidRPr="00FC1976">
        <w:rPr>
          <w:lang w:val="en-AU"/>
        </w:rPr>
        <w:fldChar w:fldCharType="separate"/>
      </w:r>
      <w:r w:rsidR="0099742A" w:rsidRPr="0099742A">
        <w:rPr>
          <w:noProof/>
          <w:lang w:val="en-AU"/>
        </w:rPr>
        <w:t>(19–22)</w:t>
      </w:r>
      <w:r w:rsidR="00845792" w:rsidRPr="00FC1976">
        <w:rPr>
          <w:lang w:val="en-AU"/>
        </w:rPr>
        <w:fldChar w:fldCharType="end"/>
      </w:r>
      <w:r w:rsidR="001B5198" w:rsidRPr="00FC1976">
        <w:rPr>
          <w:lang w:val="en-AU"/>
        </w:rPr>
        <w:t>.</w:t>
      </w:r>
    </w:p>
    <w:p w14:paraId="7A52ED98" w14:textId="77777777" w:rsidR="00700F5D" w:rsidRPr="008F0B94" w:rsidRDefault="00700F5D" w:rsidP="00E15A50">
      <w:pPr>
        <w:pStyle w:val="01squarebullet"/>
        <w:rPr>
          <w:lang w:val="en-AU"/>
        </w:rPr>
      </w:pPr>
      <w:r w:rsidRPr="00FC1976">
        <w:rPr>
          <w:lang w:val="en-AU"/>
        </w:rPr>
        <w:t>The direct costs of providing a staffed dialysis service in a</w:t>
      </w:r>
      <w:r w:rsidR="00444B95" w:rsidRPr="00FC1976">
        <w:rPr>
          <w:lang w:val="en-AU"/>
        </w:rPr>
        <w:t xml:space="preserve"> very</w:t>
      </w:r>
      <w:r w:rsidRPr="00FC1976">
        <w:rPr>
          <w:lang w:val="en-AU"/>
        </w:rPr>
        <w:t xml:space="preserve"> remote location are likely to be more expensive than </w:t>
      </w:r>
      <w:r w:rsidR="00A57655" w:rsidRPr="00FC1976">
        <w:rPr>
          <w:lang w:val="en-AU"/>
        </w:rPr>
        <w:t xml:space="preserve">in </w:t>
      </w:r>
      <w:r w:rsidRPr="00FC1976">
        <w:rPr>
          <w:lang w:val="en-AU"/>
        </w:rPr>
        <w:t>an urban location</w:t>
      </w:r>
      <w:r w:rsidR="00C725D3" w:rsidRPr="00FC1976">
        <w:rPr>
          <w:lang w:val="en-AU"/>
        </w:rPr>
        <w:t>, as</w:t>
      </w:r>
      <w:r w:rsidRPr="00FC1976">
        <w:rPr>
          <w:lang w:val="en-AU"/>
        </w:rPr>
        <w:t xml:space="preserve"> </w:t>
      </w:r>
      <w:r w:rsidR="00C725D3" w:rsidRPr="00FC1976">
        <w:rPr>
          <w:lang w:val="en-AU"/>
        </w:rPr>
        <w:t>a</w:t>
      </w:r>
      <w:r w:rsidRPr="00FC1976">
        <w:rPr>
          <w:lang w:val="en-AU"/>
        </w:rPr>
        <w:t>ccessible infrastructure</w:t>
      </w:r>
      <w:r w:rsidR="002E73EE" w:rsidRPr="00FC1976">
        <w:rPr>
          <w:lang w:val="en-AU"/>
        </w:rPr>
        <w:t>—</w:t>
      </w:r>
      <w:r w:rsidRPr="00FC1976">
        <w:rPr>
          <w:lang w:val="en-AU"/>
        </w:rPr>
        <w:t>including transport systems and essen</w:t>
      </w:r>
      <w:r w:rsidR="006738E5" w:rsidRPr="00FC1976">
        <w:rPr>
          <w:lang w:val="en-AU"/>
        </w:rPr>
        <w:t>t</w:t>
      </w:r>
      <w:r w:rsidRPr="00FC1976">
        <w:rPr>
          <w:lang w:val="en-AU"/>
        </w:rPr>
        <w:t>ial services, larger patient numbers and collocation of services</w:t>
      </w:r>
      <w:r w:rsidR="002E73EE" w:rsidRPr="00FC1976">
        <w:rPr>
          <w:lang w:val="en-AU"/>
        </w:rPr>
        <w:t>—</w:t>
      </w:r>
      <w:r w:rsidRPr="00FC1976">
        <w:rPr>
          <w:lang w:val="en-AU"/>
        </w:rPr>
        <w:t xml:space="preserve">provide economies of scale. </w:t>
      </w:r>
      <w:r w:rsidR="00C725D3" w:rsidRPr="00FC1976">
        <w:rPr>
          <w:lang w:val="en-AU"/>
        </w:rPr>
        <w:t>However, the Committee noted that studies to date have not considered the broad</w:t>
      </w:r>
      <w:r w:rsidR="00B97E18" w:rsidRPr="00FC1976">
        <w:rPr>
          <w:lang w:val="en-AU"/>
        </w:rPr>
        <w:t>er</w:t>
      </w:r>
      <w:r w:rsidR="00C725D3" w:rsidRPr="00FC1976">
        <w:rPr>
          <w:lang w:val="en-AU"/>
        </w:rPr>
        <w:t xml:space="preserve"> impact of relocating for treatment, </w:t>
      </w:r>
      <w:r w:rsidR="00B8658B" w:rsidRPr="00FC1976">
        <w:rPr>
          <w:lang w:val="en-AU"/>
        </w:rPr>
        <w:t>as described above</w:t>
      </w:r>
      <w:r w:rsidR="00C725D3" w:rsidRPr="00FC1976">
        <w:rPr>
          <w:lang w:val="en-AU"/>
        </w:rPr>
        <w:t xml:space="preserve">. </w:t>
      </w:r>
      <w:r w:rsidR="009B490C" w:rsidRPr="00FC1976">
        <w:rPr>
          <w:lang w:val="en-AU"/>
        </w:rPr>
        <w:t>A</w:t>
      </w:r>
      <w:r w:rsidR="00C725D3" w:rsidRPr="00FC1976">
        <w:rPr>
          <w:lang w:val="en-AU"/>
        </w:rPr>
        <w:t xml:space="preserve">s requirements for dialysis can extend over many years, it makes sense to provide services where people live, have </w:t>
      </w:r>
      <w:r w:rsidR="00C725D3" w:rsidRPr="008F0B94">
        <w:rPr>
          <w:lang w:val="en-AU"/>
        </w:rPr>
        <w:t>support and can continue to contribute to their communities</w:t>
      </w:r>
      <w:r w:rsidR="000607B6" w:rsidRPr="008F0B94">
        <w:rPr>
          <w:lang w:val="en-AU"/>
        </w:rPr>
        <w:t>.</w:t>
      </w:r>
      <w:r w:rsidR="00C725D3" w:rsidRPr="008F0B94">
        <w:rPr>
          <w:lang w:val="en-AU"/>
        </w:rPr>
        <w:t xml:space="preserve"> </w:t>
      </w:r>
      <w:r w:rsidR="000607B6" w:rsidRPr="008F0B94">
        <w:rPr>
          <w:lang w:val="en-AU"/>
        </w:rPr>
        <w:t>The</w:t>
      </w:r>
      <w:r w:rsidR="00A57655" w:rsidRPr="008F0B94">
        <w:rPr>
          <w:lang w:val="en-AU"/>
        </w:rPr>
        <w:t xml:space="preserve"> Committee </w:t>
      </w:r>
      <w:r w:rsidR="00ED3B9D" w:rsidRPr="008F0B94">
        <w:rPr>
          <w:lang w:val="en-AU"/>
        </w:rPr>
        <w:t xml:space="preserve">also </w:t>
      </w:r>
      <w:r w:rsidR="00A57655" w:rsidRPr="008F0B94">
        <w:rPr>
          <w:lang w:val="en-AU"/>
        </w:rPr>
        <w:t>note</w:t>
      </w:r>
      <w:r w:rsidR="00C725D3" w:rsidRPr="008F0B94">
        <w:rPr>
          <w:lang w:val="en-AU"/>
        </w:rPr>
        <w:t>d</w:t>
      </w:r>
      <w:r w:rsidR="00A57655" w:rsidRPr="008F0B94">
        <w:rPr>
          <w:lang w:val="en-AU"/>
        </w:rPr>
        <w:t xml:space="preserve"> </w:t>
      </w:r>
      <w:r w:rsidR="00C725D3" w:rsidRPr="008F0B94">
        <w:rPr>
          <w:lang w:val="en-AU"/>
        </w:rPr>
        <w:t xml:space="preserve">that </w:t>
      </w:r>
      <w:r w:rsidRPr="008F0B94">
        <w:rPr>
          <w:lang w:val="en-AU"/>
        </w:rPr>
        <w:t>emerging data</w:t>
      </w:r>
      <w:r w:rsidR="005B7F9B" w:rsidRPr="008F0B94">
        <w:rPr>
          <w:lang w:val="en-AU"/>
        </w:rPr>
        <w:t xml:space="preserve"> </w:t>
      </w:r>
      <w:r w:rsidR="00A765A8" w:rsidRPr="008F0B94">
        <w:rPr>
          <w:lang w:val="en-AU"/>
        </w:rPr>
        <w:fldChar w:fldCharType="begin" w:fldLock="1"/>
      </w:r>
      <w:r w:rsidR="00B409DB">
        <w:rPr>
          <w:lang w:val="en-AU"/>
        </w:rPr>
        <w:instrText>ADDIN CSL_CITATION { "citationItems" : [ { "id" : "ITEM-1", "itemData" : { "author" : [ { "dropping-particle" : "", "family" : "Marley", "given" : "Julia", "non-dropping-particle" : "", "parse-names" : false, "suffix" : "" }, { "dropping-particle" : "", "family" : "Dent", "given" : "Hannah", "non-dropping-particle" : "", "parse-names" : false, "suffix" : "" }, { "dropping-particle" : "", "family" : "Wearne", "given" : "Maree", "non-dropping-particle" : "", "parse-names" : false, "suffix" : "" }, { "dropping-particle" : "", "family" : "Fitzclarence", "given" : "Cherelle", "non-dropping-particle" : "", "parse-names" : false, "suffix" : "" }, { "dropping-particle" : "", "family" : "Nelson", "given" : "Carmel", "non-dropping-particle" : "", "parse-names" : false, "suffix" : "" }, { "dropping-particle" : "", "family" : "Siu", "given" : "Karen", "non-dropping-particle" : "", "parse-names" : false, "suffix" : "" }, { "dropping-particle" : "", "family" : "Warr", "given" : "Kevin", "non-dropping-particle" : "", "parse-names" : false, "suffix" : "" }, { "dropping-particle" : "", "family" : "Atkinson", "given" : "David", "non-dropping-particle" : "", "parse-names" : false, "suffix" : "" } ], "container-title" : "Medical Journal of Australia", "id" : "ITEM-1", "issue" : "9", "issued" : { "date-parts" : [ [ "2010" ] ] }, "page" : "516-520", "title" : "Haemodialysis outcomes of Aboriginal and Torres Strait Islander patients of remote Kimberley region origin", "type" : "article-journal", "volume" : "193" }, "uris" : [ "http://www.mendeley.com/documents/?uuid=72fe52bd-a6f8-3dea-96af-e5c96cd06174" ] } ], "mendeley" : { "formattedCitation" : "(22)", "plainTextFormattedCitation" : "(22)", "previouslyFormattedCitation" : "(22)" }, "properties" : { "noteIndex" : 0 }, "schema" : "https://github.com/citation-style-language/schema/raw/master/csl-citation.json" }</w:instrText>
      </w:r>
      <w:r w:rsidR="00A765A8" w:rsidRPr="008F0B94">
        <w:rPr>
          <w:lang w:val="en-AU"/>
        </w:rPr>
        <w:fldChar w:fldCharType="separate"/>
      </w:r>
      <w:r w:rsidR="0099742A" w:rsidRPr="0099742A">
        <w:rPr>
          <w:noProof/>
          <w:lang w:val="en-AU"/>
        </w:rPr>
        <w:t>(22)</w:t>
      </w:r>
      <w:r w:rsidR="00A765A8" w:rsidRPr="008F0B94">
        <w:rPr>
          <w:lang w:val="en-AU"/>
        </w:rPr>
        <w:fldChar w:fldCharType="end"/>
      </w:r>
      <w:r w:rsidRPr="008F0B94">
        <w:rPr>
          <w:lang w:val="en-AU"/>
        </w:rPr>
        <w:t xml:space="preserve"> and anecdotal evidence suggest that facilities in regional and remote areas, which provide more accessible services, have better attendance rates and </w:t>
      </w:r>
      <w:r w:rsidR="004D6088" w:rsidRPr="008F0B94">
        <w:rPr>
          <w:lang w:val="en-AU"/>
        </w:rPr>
        <w:t xml:space="preserve">may improve </w:t>
      </w:r>
      <w:r w:rsidRPr="008F0B94">
        <w:rPr>
          <w:lang w:val="en-AU"/>
        </w:rPr>
        <w:t>health outcomes</w:t>
      </w:r>
      <w:r w:rsidR="00C725D3" w:rsidRPr="008F0B94">
        <w:rPr>
          <w:lang w:val="en-AU"/>
        </w:rPr>
        <w:t>.</w:t>
      </w:r>
      <w:r w:rsidRPr="008F0B94">
        <w:rPr>
          <w:lang w:val="en-AU"/>
        </w:rPr>
        <w:t xml:space="preserve"> </w:t>
      </w:r>
    </w:p>
    <w:p w14:paraId="5A71DC39" w14:textId="77777777" w:rsidR="00700F5D" w:rsidRPr="00FC1976" w:rsidRDefault="00700F5D" w:rsidP="00E15A50">
      <w:pPr>
        <w:pStyle w:val="01squarebullet"/>
        <w:rPr>
          <w:lang w:val="en-AU"/>
        </w:rPr>
      </w:pPr>
      <w:r w:rsidRPr="008F0B94">
        <w:rPr>
          <w:lang w:val="en-AU"/>
        </w:rPr>
        <w:t xml:space="preserve">The Committee agreed that appropriately trained </w:t>
      </w:r>
      <w:r w:rsidR="00B6486B" w:rsidRPr="008F0B94">
        <w:rPr>
          <w:lang w:val="en-AU"/>
        </w:rPr>
        <w:t>health</w:t>
      </w:r>
      <w:r w:rsidR="00322F7D">
        <w:rPr>
          <w:lang w:val="en-AU"/>
        </w:rPr>
        <w:t xml:space="preserve"> </w:t>
      </w:r>
      <w:r w:rsidR="00B6486B" w:rsidRPr="008F0B94">
        <w:rPr>
          <w:lang w:val="en-AU"/>
        </w:rPr>
        <w:t>care providers</w:t>
      </w:r>
      <w:r w:rsidR="00FF53AC">
        <w:rPr>
          <w:lang w:val="en-AU"/>
        </w:rPr>
        <w:t>—</w:t>
      </w:r>
      <w:r w:rsidR="00B6486B" w:rsidRPr="008F0B94">
        <w:rPr>
          <w:lang w:val="en-AU"/>
        </w:rPr>
        <w:t xml:space="preserve">including </w:t>
      </w:r>
      <w:r w:rsidRPr="008F0B94">
        <w:rPr>
          <w:lang w:val="en-AU"/>
        </w:rPr>
        <w:t>renal nurses</w:t>
      </w:r>
      <w:r w:rsidR="00B6486B" w:rsidRPr="008F0B94">
        <w:rPr>
          <w:lang w:val="en-AU"/>
        </w:rPr>
        <w:t>, dialysis technicians</w:t>
      </w:r>
      <w:r w:rsidR="00F22A84">
        <w:rPr>
          <w:lang w:val="en-AU"/>
        </w:rPr>
        <w:t>,</w:t>
      </w:r>
      <w:r w:rsidRPr="008F0B94">
        <w:rPr>
          <w:lang w:val="en-AU"/>
        </w:rPr>
        <w:t xml:space="preserve"> </w:t>
      </w:r>
      <w:r w:rsidR="002C2638" w:rsidRPr="008F0B94">
        <w:rPr>
          <w:lang w:val="en-AU"/>
        </w:rPr>
        <w:t>Aboriginal and Torres Strait Islander</w:t>
      </w:r>
      <w:r w:rsidRPr="008F0B94">
        <w:rPr>
          <w:lang w:val="en-AU"/>
        </w:rPr>
        <w:t xml:space="preserve"> health practitioners</w:t>
      </w:r>
      <w:r w:rsidR="00CF64F2">
        <w:rPr>
          <w:lang w:val="en-AU"/>
        </w:rPr>
        <w:t xml:space="preserve"> and Aboriginal health workers </w:t>
      </w:r>
      <w:r w:rsidR="00FF53AC">
        <w:rPr>
          <w:lang w:val="en-AU"/>
        </w:rPr>
        <w:t>—</w:t>
      </w:r>
      <w:r w:rsidRPr="008F0B94">
        <w:rPr>
          <w:lang w:val="en-AU"/>
        </w:rPr>
        <w:t xml:space="preserve"> should be allowed to administer dialysis to patients. This conclusion reflect</w:t>
      </w:r>
      <w:r w:rsidR="004F0CAE" w:rsidRPr="008F0B94">
        <w:rPr>
          <w:lang w:val="en-AU"/>
        </w:rPr>
        <w:t>s</w:t>
      </w:r>
      <w:r w:rsidRPr="008F0B94">
        <w:rPr>
          <w:lang w:val="en-AU"/>
        </w:rPr>
        <w:t xml:space="preserve"> two key considerations</w:t>
      </w:r>
      <w:r w:rsidR="004F0CAE" w:rsidRPr="008F0B94">
        <w:rPr>
          <w:lang w:val="en-AU"/>
        </w:rPr>
        <w:t>. Firstly, t</w:t>
      </w:r>
      <w:r w:rsidRPr="008F0B94">
        <w:rPr>
          <w:lang w:val="en-AU"/>
        </w:rPr>
        <w:t>he Committee noted that nurses already administer dialysis t</w:t>
      </w:r>
      <w:r w:rsidR="00A765A8" w:rsidRPr="008F0B94">
        <w:rPr>
          <w:lang w:val="en-AU"/>
        </w:rPr>
        <w:t xml:space="preserve">o patients in </w:t>
      </w:r>
      <w:r w:rsidR="00A765A8" w:rsidRPr="008F0B94">
        <w:rPr>
          <w:szCs w:val="22"/>
          <w:lang w:val="en-AU"/>
        </w:rPr>
        <w:t>hospital. Nurses</w:t>
      </w:r>
      <w:r w:rsidR="00CF64F2">
        <w:rPr>
          <w:szCs w:val="22"/>
          <w:lang w:val="en-AU"/>
        </w:rPr>
        <w:t xml:space="preserve">, </w:t>
      </w:r>
      <w:r w:rsidR="00CF64F2" w:rsidRPr="008F0B94">
        <w:rPr>
          <w:lang w:val="en-AU"/>
        </w:rPr>
        <w:t>Aboriginal and Torres Strait Islander health practitioners</w:t>
      </w:r>
      <w:r w:rsidR="00CF64F2">
        <w:rPr>
          <w:lang w:val="en-AU"/>
        </w:rPr>
        <w:t xml:space="preserve"> and Aboriginal health workers </w:t>
      </w:r>
      <w:r w:rsidRPr="008F0B94">
        <w:rPr>
          <w:szCs w:val="22"/>
          <w:lang w:val="en-AU"/>
        </w:rPr>
        <w:t xml:space="preserve">have also successfully administered and supervised dialysis patients </w:t>
      </w:r>
      <w:r w:rsidRPr="00FC1976">
        <w:rPr>
          <w:szCs w:val="22"/>
          <w:lang w:val="en-AU"/>
        </w:rPr>
        <w:t>in remote dialysis programs</w:t>
      </w:r>
      <w:r w:rsidR="00114BDF" w:rsidRPr="00FC1976">
        <w:rPr>
          <w:szCs w:val="22"/>
          <w:lang w:val="en-AU"/>
        </w:rPr>
        <w:t>,</w:t>
      </w:r>
      <w:r w:rsidRPr="00FC1976">
        <w:rPr>
          <w:szCs w:val="22"/>
          <w:lang w:val="en-AU"/>
        </w:rPr>
        <w:t xml:space="preserve"> such as </w:t>
      </w:r>
      <w:r w:rsidR="001B5198" w:rsidRPr="00FC1976">
        <w:rPr>
          <w:szCs w:val="22"/>
          <w:lang w:val="en-AU"/>
        </w:rPr>
        <w:t xml:space="preserve">those supported by </w:t>
      </w:r>
      <w:r w:rsidR="00215C29">
        <w:rPr>
          <w:szCs w:val="22"/>
          <w:lang w:val="en-AU"/>
        </w:rPr>
        <w:t xml:space="preserve">the </w:t>
      </w:r>
      <w:r w:rsidR="002247F1" w:rsidRPr="00FC1976">
        <w:rPr>
          <w:rFonts w:cs="Arial"/>
          <w:szCs w:val="22"/>
          <w:shd w:val="clear" w:color="auto" w:fill="FFFFFF"/>
          <w:lang w:val="en-AU"/>
        </w:rPr>
        <w:t>Western Desert Nganampa Walytja Palyantjaku Tjutaku Aboriginal Corporation</w:t>
      </w:r>
      <w:r w:rsidR="00457029" w:rsidRPr="00FC1976">
        <w:rPr>
          <w:szCs w:val="22"/>
          <w:lang w:val="en-AU"/>
        </w:rPr>
        <w:t>.</w:t>
      </w:r>
      <w:r w:rsidR="008F34F6" w:rsidRPr="00FC1976">
        <w:rPr>
          <w:szCs w:val="22"/>
          <w:lang w:val="en-AU"/>
        </w:rPr>
        <w:t xml:space="preserve"> Secondly, the Committee </w:t>
      </w:r>
      <w:r w:rsidRPr="00FC1976">
        <w:rPr>
          <w:szCs w:val="22"/>
          <w:lang w:val="en-AU"/>
        </w:rPr>
        <w:t xml:space="preserve">noted that </w:t>
      </w:r>
      <w:r w:rsidR="00440C32" w:rsidRPr="008F0B94">
        <w:rPr>
          <w:lang w:val="en-AU"/>
        </w:rPr>
        <w:t>Aboriginal and Torres Strait Islander health practitioners</w:t>
      </w:r>
      <w:r w:rsidR="00440C32">
        <w:rPr>
          <w:lang w:val="en-AU"/>
        </w:rPr>
        <w:t xml:space="preserve">, Aboriginal health workers </w:t>
      </w:r>
      <w:r w:rsidRPr="00FC1976">
        <w:rPr>
          <w:szCs w:val="22"/>
          <w:lang w:val="en-AU"/>
        </w:rPr>
        <w:t>and nurses are more readily available in remote areas</w:t>
      </w:r>
      <w:r w:rsidR="00711E47" w:rsidRPr="00FC1976">
        <w:rPr>
          <w:szCs w:val="22"/>
          <w:lang w:val="en-AU"/>
        </w:rPr>
        <w:t>,</w:t>
      </w:r>
      <w:r w:rsidRPr="00FC1976">
        <w:rPr>
          <w:szCs w:val="22"/>
          <w:lang w:val="en-AU"/>
        </w:rPr>
        <w:t xml:space="preserve"> and that these providers</w:t>
      </w:r>
      <w:r w:rsidRPr="00FC1976">
        <w:rPr>
          <w:lang w:val="en-AU"/>
        </w:rPr>
        <w:t xml:space="preserve"> </w:t>
      </w:r>
      <w:r w:rsidR="00793B71" w:rsidRPr="00FC1976">
        <w:rPr>
          <w:lang w:val="en-AU"/>
        </w:rPr>
        <w:t>are</w:t>
      </w:r>
      <w:r w:rsidRPr="00FC1976">
        <w:rPr>
          <w:lang w:val="en-AU"/>
        </w:rPr>
        <w:t xml:space="preserve"> integral to creat</w:t>
      </w:r>
      <w:r w:rsidR="00041F35" w:rsidRPr="00FC1976">
        <w:rPr>
          <w:lang w:val="en-AU"/>
        </w:rPr>
        <w:t>ing</w:t>
      </w:r>
      <w:r w:rsidRPr="00FC1976">
        <w:rPr>
          <w:lang w:val="en-AU"/>
        </w:rPr>
        <w:t xml:space="preserve"> a successful and sustainable workforce model.</w:t>
      </w:r>
      <w:r w:rsidR="006F6007" w:rsidRPr="00FC1976">
        <w:rPr>
          <w:lang w:val="en-AU"/>
        </w:rPr>
        <w:t xml:space="preserve"> The descriptor recommends the </w:t>
      </w:r>
      <w:r w:rsidR="00DA1AC5">
        <w:rPr>
          <w:lang w:val="en-AU"/>
        </w:rPr>
        <w:t xml:space="preserve">broad </w:t>
      </w:r>
      <w:r w:rsidR="006F6007" w:rsidRPr="00FC1976">
        <w:rPr>
          <w:lang w:val="en-AU"/>
        </w:rPr>
        <w:t>term ‘health care provider</w:t>
      </w:r>
      <w:r w:rsidR="00BA3F8B">
        <w:rPr>
          <w:lang w:val="en-AU"/>
        </w:rPr>
        <w:t>,</w:t>
      </w:r>
      <w:r w:rsidR="006F6007" w:rsidRPr="00FC1976">
        <w:rPr>
          <w:lang w:val="en-AU"/>
        </w:rPr>
        <w:t xml:space="preserve">’ as </w:t>
      </w:r>
      <w:r w:rsidR="00485A0F">
        <w:rPr>
          <w:lang w:val="en-AU"/>
        </w:rPr>
        <w:t>the Committee</w:t>
      </w:r>
      <w:r w:rsidR="00485A0F" w:rsidRPr="00FC1976">
        <w:rPr>
          <w:lang w:val="en-AU"/>
        </w:rPr>
        <w:t xml:space="preserve"> </w:t>
      </w:r>
      <w:r w:rsidR="006F6007" w:rsidRPr="00FC1976">
        <w:rPr>
          <w:lang w:val="en-AU"/>
        </w:rPr>
        <w:t xml:space="preserve">noted that there have recently been regulatory changes to terms used to refer to </w:t>
      </w:r>
      <w:r w:rsidR="00440C32" w:rsidRPr="008F0B94">
        <w:rPr>
          <w:lang w:val="en-AU"/>
        </w:rPr>
        <w:t>Aboriginal and Torres Strait Islander health practitioners</w:t>
      </w:r>
      <w:r w:rsidR="00440C32">
        <w:rPr>
          <w:lang w:val="en-AU"/>
        </w:rPr>
        <w:t xml:space="preserve"> and Aboriginal health workers</w:t>
      </w:r>
      <w:r w:rsidR="006F6007" w:rsidRPr="00FC1976">
        <w:rPr>
          <w:lang w:val="en-AU"/>
        </w:rPr>
        <w:t>. Th</w:t>
      </w:r>
      <w:r w:rsidR="008620F9">
        <w:rPr>
          <w:lang w:val="en-AU"/>
        </w:rPr>
        <w:t xml:space="preserve">is broad term </w:t>
      </w:r>
      <w:r w:rsidR="00031871">
        <w:rPr>
          <w:lang w:val="en-AU"/>
        </w:rPr>
        <w:t xml:space="preserve">also reflects the </w:t>
      </w:r>
      <w:r w:rsidR="006F6007" w:rsidRPr="00FC1976">
        <w:rPr>
          <w:lang w:val="en-AU"/>
        </w:rPr>
        <w:t>intent of this item</w:t>
      </w:r>
      <w:r w:rsidR="003E0F8B">
        <w:rPr>
          <w:lang w:val="en-AU"/>
        </w:rPr>
        <w:t>, which</w:t>
      </w:r>
      <w:r w:rsidR="006F6007" w:rsidRPr="00FC1976">
        <w:rPr>
          <w:lang w:val="en-AU"/>
        </w:rPr>
        <w:t xml:space="preserve"> is to </w:t>
      </w:r>
      <w:r w:rsidR="00F61300">
        <w:rPr>
          <w:lang w:val="en-AU"/>
        </w:rPr>
        <w:t>allow</w:t>
      </w:r>
      <w:r w:rsidR="006F6007" w:rsidRPr="00FC1976">
        <w:rPr>
          <w:lang w:val="en-AU"/>
        </w:rPr>
        <w:t xml:space="preserve"> appropriately trained health care provider</w:t>
      </w:r>
      <w:r w:rsidR="00BC37F7">
        <w:rPr>
          <w:lang w:val="en-AU"/>
        </w:rPr>
        <w:t>s</w:t>
      </w:r>
      <w:r w:rsidR="006F6007" w:rsidRPr="00FC1976">
        <w:rPr>
          <w:lang w:val="en-AU"/>
        </w:rPr>
        <w:t xml:space="preserve"> </w:t>
      </w:r>
      <w:r w:rsidR="00BC37F7">
        <w:rPr>
          <w:lang w:val="en-AU"/>
        </w:rPr>
        <w:t>to</w:t>
      </w:r>
      <w:r w:rsidR="006F6007" w:rsidRPr="00FC1976">
        <w:rPr>
          <w:lang w:val="en-AU"/>
        </w:rPr>
        <w:t xml:space="preserve"> safely administer dialysis services </w:t>
      </w:r>
      <w:r w:rsidR="00D82355" w:rsidRPr="00FC1976">
        <w:rPr>
          <w:lang w:val="en-AU"/>
        </w:rPr>
        <w:t>in very remote area</w:t>
      </w:r>
      <w:r w:rsidR="00704E32">
        <w:rPr>
          <w:lang w:val="en-AU"/>
        </w:rPr>
        <w:t>s</w:t>
      </w:r>
      <w:r w:rsidR="00D82355" w:rsidRPr="00FC1976">
        <w:rPr>
          <w:lang w:val="en-AU"/>
        </w:rPr>
        <w:t xml:space="preserve">. </w:t>
      </w:r>
      <w:r w:rsidR="00ED4F75">
        <w:rPr>
          <w:lang w:val="en-AU"/>
        </w:rPr>
        <w:t>The Committee</w:t>
      </w:r>
      <w:r w:rsidR="00D82355" w:rsidRPr="00FC1976">
        <w:rPr>
          <w:lang w:val="en-AU"/>
        </w:rPr>
        <w:t xml:space="preserve"> refer</w:t>
      </w:r>
      <w:r w:rsidR="00A361D6">
        <w:rPr>
          <w:lang w:val="en-AU"/>
        </w:rPr>
        <w:t>s</w:t>
      </w:r>
      <w:r w:rsidR="00D82355" w:rsidRPr="00FC1976">
        <w:rPr>
          <w:lang w:val="en-AU"/>
        </w:rPr>
        <w:t xml:space="preserve"> to nurses</w:t>
      </w:r>
      <w:r w:rsidR="00440C32">
        <w:rPr>
          <w:lang w:val="en-AU"/>
        </w:rPr>
        <w:t>,</w:t>
      </w:r>
      <w:r w:rsidR="00D82355" w:rsidRPr="00FC1976">
        <w:rPr>
          <w:lang w:val="en-AU"/>
        </w:rPr>
        <w:t xml:space="preserve"> </w:t>
      </w:r>
      <w:r w:rsidR="00440C32" w:rsidRPr="008F0B94">
        <w:rPr>
          <w:lang w:val="en-AU"/>
        </w:rPr>
        <w:t>Aboriginal and Torres Strait Islander health practitioners</w:t>
      </w:r>
      <w:r w:rsidR="00440C32">
        <w:rPr>
          <w:lang w:val="en-AU"/>
        </w:rPr>
        <w:t xml:space="preserve"> and Aboriginal health workers </w:t>
      </w:r>
      <w:r w:rsidR="00B561B2">
        <w:rPr>
          <w:lang w:val="en-AU"/>
        </w:rPr>
        <w:t>in this recommendation because</w:t>
      </w:r>
      <w:r w:rsidR="00D82355" w:rsidRPr="00FC1976">
        <w:rPr>
          <w:lang w:val="en-AU"/>
        </w:rPr>
        <w:t xml:space="preserve"> these terms represent the current health workforce in very remote areas. </w:t>
      </w:r>
    </w:p>
    <w:p w14:paraId="5D1A6839" w14:textId="77777777" w:rsidR="00700F5D" w:rsidRPr="008F0B94" w:rsidRDefault="008850E4" w:rsidP="00E15A50">
      <w:pPr>
        <w:pStyle w:val="01squarebullet"/>
        <w:rPr>
          <w:lang w:val="en-AU"/>
        </w:rPr>
      </w:pPr>
      <w:r w:rsidRPr="00FC1976">
        <w:rPr>
          <w:lang w:val="en-AU"/>
        </w:rPr>
        <w:t>Nurses</w:t>
      </w:r>
      <w:r w:rsidR="00440C32">
        <w:rPr>
          <w:lang w:val="en-AU"/>
        </w:rPr>
        <w:t>,</w:t>
      </w:r>
      <w:r w:rsidR="00700F5D" w:rsidRPr="00FC1976">
        <w:rPr>
          <w:lang w:val="en-AU"/>
        </w:rPr>
        <w:t xml:space="preserve"> </w:t>
      </w:r>
      <w:r w:rsidR="00440C32" w:rsidRPr="008F0B94">
        <w:rPr>
          <w:lang w:val="en-AU"/>
        </w:rPr>
        <w:t>Aboriginal and Torres Strait Islander health practitioners</w:t>
      </w:r>
      <w:r w:rsidR="00440C32">
        <w:rPr>
          <w:lang w:val="en-AU"/>
        </w:rPr>
        <w:t xml:space="preserve"> and Aboriginal health workers </w:t>
      </w:r>
      <w:r w:rsidR="00700F5D" w:rsidRPr="00FC1976">
        <w:rPr>
          <w:lang w:val="en-AU"/>
        </w:rPr>
        <w:t>do not have MBS provider numbers and cannot bill the MBS</w:t>
      </w:r>
      <w:r w:rsidR="005974D2" w:rsidRPr="00FC1976">
        <w:rPr>
          <w:lang w:val="en-AU"/>
        </w:rPr>
        <w:t>, and this item will therefore have to be claimed by a medical practitioner.</w:t>
      </w:r>
      <w:r w:rsidR="005F5A7E" w:rsidRPr="00FC1976">
        <w:rPr>
          <w:lang w:val="en-AU"/>
        </w:rPr>
        <w:t xml:space="preserve"> However, the Committee </w:t>
      </w:r>
      <w:r w:rsidR="00700F5D" w:rsidRPr="00FC1976">
        <w:rPr>
          <w:lang w:val="en-AU"/>
        </w:rPr>
        <w:t>agreed that should nurse practitioners be able to practi</w:t>
      </w:r>
      <w:r w:rsidR="00D6307D">
        <w:rPr>
          <w:lang w:val="en-AU"/>
        </w:rPr>
        <w:t>s</w:t>
      </w:r>
      <w:r w:rsidR="00700F5D" w:rsidRPr="00FC1976">
        <w:rPr>
          <w:lang w:val="en-AU"/>
        </w:rPr>
        <w:t xml:space="preserve">e independently </w:t>
      </w:r>
      <w:r w:rsidR="003D1F57" w:rsidRPr="00FC1976">
        <w:rPr>
          <w:lang w:val="en-AU"/>
        </w:rPr>
        <w:t>and</w:t>
      </w:r>
      <w:r w:rsidR="0033224B" w:rsidRPr="00FC1976">
        <w:rPr>
          <w:lang w:val="en-AU"/>
        </w:rPr>
        <w:t xml:space="preserve"> </w:t>
      </w:r>
      <w:r w:rsidR="00700F5D" w:rsidRPr="00FC1976">
        <w:rPr>
          <w:lang w:val="en-AU"/>
        </w:rPr>
        <w:t>without the direct engagement of a medical practitioner</w:t>
      </w:r>
      <w:r w:rsidR="003D1F57" w:rsidRPr="00FC1976">
        <w:rPr>
          <w:lang w:val="en-AU"/>
        </w:rPr>
        <w:t xml:space="preserve"> in the </w:t>
      </w:r>
      <w:r w:rsidR="003D1F57" w:rsidRPr="008F0B94">
        <w:rPr>
          <w:lang w:val="en-AU"/>
        </w:rPr>
        <w:t>future</w:t>
      </w:r>
      <w:r w:rsidR="00700F5D" w:rsidRPr="008F0B94">
        <w:rPr>
          <w:lang w:val="en-AU"/>
        </w:rPr>
        <w:t xml:space="preserve">, </w:t>
      </w:r>
      <w:r w:rsidR="006D2A92" w:rsidRPr="008F0B94">
        <w:rPr>
          <w:lang w:val="en-AU"/>
        </w:rPr>
        <w:t xml:space="preserve">the </w:t>
      </w:r>
      <w:r w:rsidR="00700F5D" w:rsidRPr="008F0B94">
        <w:rPr>
          <w:lang w:val="en-AU"/>
        </w:rPr>
        <w:t>item should be amended to allow claiming by nurse practitioners</w:t>
      </w:r>
      <w:r w:rsidR="00041A9D" w:rsidRPr="008F0B94">
        <w:rPr>
          <w:lang w:val="en-AU"/>
        </w:rPr>
        <w:t>. This will</w:t>
      </w:r>
      <w:r w:rsidR="00700F5D" w:rsidRPr="008F0B94">
        <w:rPr>
          <w:lang w:val="en-AU"/>
        </w:rPr>
        <w:t xml:space="preserve"> ensure that clinics </w:t>
      </w:r>
      <w:r w:rsidR="00620C76" w:rsidRPr="008F0B94">
        <w:rPr>
          <w:lang w:val="en-AU"/>
        </w:rPr>
        <w:t xml:space="preserve">that </w:t>
      </w:r>
      <w:r w:rsidR="00700F5D" w:rsidRPr="008F0B94">
        <w:rPr>
          <w:lang w:val="en-AU"/>
        </w:rPr>
        <w:t xml:space="preserve">transition to </w:t>
      </w:r>
      <w:r w:rsidR="00FF69DD" w:rsidRPr="008F0B94">
        <w:rPr>
          <w:lang w:val="en-AU"/>
        </w:rPr>
        <w:t>a nurse practitioner</w:t>
      </w:r>
      <w:r w:rsidR="005A5391">
        <w:rPr>
          <w:lang w:val="en-AU"/>
        </w:rPr>
        <w:t>-</w:t>
      </w:r>
      <w:r w:rsidR="00FF69DD" w:rsidRPr="008F0B94">
        <w:rPr>
          <w:lang w:val="en-AU"/>
        </w:rPr>
        <w:t xml:space="preserve">supported </w:t>
      </w:r>
      <w:r w:rsidR="00700F5D" w:rsidRPr="008F0B94">
        <w:rPr>
          <w:lang w:val="en-AU"/>
        </w:rPr>
        <w:t>model are able to continue providing access to dialysis services</w:t>
      </w:r>
      <w:r w:rsidR="001B5198" w:rsidRPr="008F0B94">
        <w:rPr>
          <w:lang w:val="en-AU"/>
        </w:rPr>
        <w:t>.</w:t>
      </w:r>
      <w:r w:rsidR="00493FD2" w:rsidRPr="008F0B94">
        <w:rPr>
          <w:lang w:val="en-AU"/>
        </w:rPr>
        <w:t xml:space="preserve"> </w:t>
      </w:r>
      <w:r w:rsidR="00386480">
        <w:rPr>
          <w:lang w:val="en-AU"/>
        </w:rPr>
        <w:t>The Committee noted</w:t>
      </w:r>
      <w:r w:rsidR="00386480" w:rsidRPr="008F0B94">
        <w:rPr>
          <w:lang w:val="en-AU"/>
        </w:rPr>
        <w:t xml:space="preserve"> </w:t>
      </w:r>
      <w:r w:rsidR="00493FD2" w:rsidRPr="008F0B94">
        <w:rPr>
          <w:lang w:val="en-AU"/>
        </w:rPr>
        <w:t>that this would remain an administrative claim, with care provided by the renal</w:t>
      </w:r>
      <w:r w:rsidR="000C32E6">
        <w:rPr>
          <w:lang w:val="en-AU"/>
        </w:rPr>
        <w:t>-</w:t>
      </w:r>
      <w:r w:rsidR="00493FD2" w:rsidRPr="008F0B94">
        <w:rPr>
          <w:lang w:val="en-AU"/>
        </w:rPr>
        <w:t>trained health</w:t>
      </w:r>
      <w:r w:rsidR="00101452">
        <w:rPr>
          <w:lang w:val="en-AU"/>
        </w:rPr>
        <w:t xml:space="preserve"> </w:t>
      </w:r>
      <w:r w:rsidR="00493FD2" w:rsidRPr="008F0B94">
        <w:rPr>
          <w:lang w:val="en-AU"/>
        </w:rPr>
        <w:t>care practitioner</w:t>
      </w:r>
      <w:r w:rsidR="005E008F">
        <w:rPr>
          <w:lang w:val="en-AU"/>
        </w:rPr>
        <w:t>,</w:t>
      </w:r>
      <w:r w:rsidR="00493FD2" w:rsidRPr="008F0B94">
        <w:rPr>
          <w:lang w:val="en-AU"/>
        </w:rPr>
        <w:t xml:space="preserve"> with supervision from the local regional dialysis unit.</w:t>
      </w:r>
    </w:p>
    <w:p w14:paraId="591D33AA" w14:textId="77777777" w:rsidR="00700F5D" w:rsidRPr="008F0B94" w:rsidRDefault="00700F5D" w:rsidP="00E15A50">
      <w:pPr>
        <w:pStyle w:val="01squarebullet"/>
        <w:rPr>
          <w:rFonts w:eastAsiaTheme="minorHAnsi" w:cs="Arial"/>
          <w:lang w:val="en-AU"/>
        </w:rPr>
      </w:pPr>
      <w:r w:rsidRPr="008F0B94">
        <w:rPr>
          <w:rFonts w:eastAsiaTheme="minorHAnsi"/>
          <w:lang w:val="en-AU"/>
        </w:rPr>
        <w:t>The Committee specified that the item should only be available in very remote areas</w:t>
      </w:r>
      <w:r w:rsidR="008173DB" w:rsidRPr="008F0B94">
        <w:rPr>
          <w:rFonts w:eastAsiaTheme="minorHAnsi"/>
          <w:lang w:val="en-AU"/>
        </w:rPr>
        <w:t xml:space="preserve">, </w:t>
      </w:r>
      <w:r w:rsidRPr="008F0B94">
        <w:rPr>
          <w:rFonts w:eastAsiaTheme="minorHAnsi"/>
          <w:lang w:val="en-AU"/>
        </w:rPr>
        <w:t>as defined by the Modified Monash Model (MMM) level 7</w:t>
      </w:r>
      <w:r w:rsidR="008B04CF" w:rsidRPr="008F0B94">
        <w:rPr>
          <w:rFonts w:eastAsiaTheme="minorHAnsi"/>
          <w:lang w:val="en-AU"/>
        </w:rPr>
        <w:t xml:space="preserve">. </w:t>
      </w:r>
      <w:r w:rsidR="00D11166" w:rsidRPr="008F0B94">
        <w:rPr>
          <w:rFonts w:eastAsiaTheme="minorHAnsi" w:cs="Arial"/>
          <w:lang w:val="en-AU"/>
        </w:rPr>
        <w:t>P</w:t>
      </w:r>
      <w:r w:rsidR="00900B41" w:rsidRPr="008F0B94">
        <w:rPr>
          <w:rFonts w:eastAsiaTheme="minorHAnsi" w:cs="Arial"/>
          <w:lang w:val="en-AU"/>
        </w:rPr>
        <w:t>eople</w:t>
      </w:r>
      <w:r w:rsidRPr="008F0B94">
        <w:rPr>
          <w:rFonts w:eastAsiaTheme="minorHAnsi" w:cs="Arial"/>
          <w:lang w:val="en-AU"/>
        </w:rPr>
        <w:t xml:space="preserve"> in </w:t>
      </w:r>
      <w:r w:rsidR="002575CA" w:rsidRPr="008F0B94">
        <w:rPr>
          <w:rFonts w:eastAsiaTheme="minorHAnsi" w:cs="Arial"/>
          <w:lang w:val="en-AU"/>
        </w:rPr>
        <w:t>these</w:t>
      </w:r>
      <w:r w:rsidRPr="008F0B94">
        <w:rPr>
          <w:rFonts w:eastAsiaTheme="minorHAnsi" w:cs="Arial"/>
          <w:lang w:val="en-AU"/>
        </w:rPr>
        <w:t xml:space="preserve"> communities are generally unable to commute </w:t>
      </w:r>
      <w:r w:rsidR="0040174E" w:rsidRPr="008F0B94">
        <w:rPr>
          <w:rFonts w:eastAsiaTheme="minorHAnsi" w:cs="Arial"/>
          <w:lang w:val="en-AU"/>
        </w:rPr>
        <w:t xml:space="preserve">for </w:t>
      </w:r>
      <w:r w:rsidRPr="008F0B94">
        <w:rPr>
          <w:rFonts w:eastAsiaTheme="minorHAnsi" w:cs="Arial"/>
          <w:lang w:val="en-AU"/>
        </w:rPr>
        <w:t>dialysis</w:t>
      </w:r>
      <w:r w:rsidR="00F71D74" w:rsidRPr="008F0B94">
        <w:rPr>
          <w:rFonts w:eastAsiaTheme="minorHAnsi" w:cs="Arial"/>
          <w:lang w:val="en-AU"/>
        </w:rPr>
        <w:t>,</w:t>
      </w:r>
      <w:r w:rsidR="00473200" w:rsidRPr="008F0B94">
        <w:rPr>
          <w:rFonts w:eastAsiaTheme="minorHAnsi" w:cs="Arial"/>
          <w:lang w:val="en-AU"/>
        </w:rPr>
        <w:t xml:space="preserve"> and</w:t>
      </w:r>
      <w:r w:rsidR="00F71D74" w:rsidRPr="008F0B94">
        <w:rPr>
          <w:rFonts w:eastAsiaTheme="minorHAnsi" w:cs="Arial"/>
          <w:lang w:val="en-AU"/>
        </w:rPr>
        <w:t xml:space="preserve"> they</w:t>
      </w:r>
      <w:r w:rsidR="00D556D5" w:rsidRPr="008F0B94">
        <w:rPr>
          <w:rFonts w:eastAsiaTheme="minorHAnsi" w:cs="Arial"/>
          <w:lang w:val="en-AU"/>
        </w:rPr>
        <w:t xml:space="preserve"> experience the</w:t>
      </w:r>
      <w:r w:rsidRPr="008F0B94">
        <w:rPr>
          <w:rFonts w:eastAsiaTheme="minorHAnsi" w:cs="Arial"/>
          <w:lang w:val="en-AU"/>
        </w:rPr>
        <w:t xml:space="preserve"> most disrupt</w:t>
      </w:r>
      <w:r w:rsidR="00D556D5" w:rsidRPr="008F0B94">
        <w:rPr>
          <w:rFonts w:eastAsiaTheme="minorHAnsi" w:cs="Arial"/>
          <w:lang w:val="en-AU"/>
        </w:rPr>
        <w:t>ion as a result of</w:t>
      </w:r>
      <w:r w:rsidRPr="008F0B94">
        <w:rPr>
          <w:rFonts w:eastAsiaTheme="minorHAnsi" w:cs="Arial"/>
          <w:lang w:val="en-AU"/>
        </w:rPr>
        <w:t xml:space="preserve"> relocation.</w:t>
      </w:r>
      <w:r w:rsidR="000364A0" w:rsidRPr="008F0B94">
        <w:rPr>
          <w:rFonts w:eastAsiaTheme="minorHAnsi" w:cs="Arial"/>
          <w:lang w:val="en-AU"/>
        </w:rPr>
        <w:t xml:space="preserve"> </w:t>
      </w:r>
      <w:r w:rsidR="009B43A8" w:rsidRPr="008F0B94">
        <w:rPr>
          <w:rFonts w:eastAsiaTheme="minorHAnsi" w:cs="Arial"/>
          <w:lang w:val="en-AU"/>
        </w:rPr>
        <w:t>It has not</w:t>
      </w:r>
      <w:r w:rsidR="008173DB" w:rsidRPr="008F0B94">
        <w:rPr>
          <w:rFonts w:eastAsiaTheme="minorHAnsi" w:cs="Arial"/>
          <w:lang w:val="en-AU"/>
        </w:rPr>
        <w:t xml:space="preserve"> </w:t>
      </w:r>
      <w:r w:rsidR="00395A26" w:rsidRPr="008F0B94">
        <w:rPr>
          <w:rFonts w:eastAsiaTheme="minorHAnsi" w:cs="Arial"/>
          <w:lang w:val="en-AU"/>
        </w:rPr>
        <w:t xml:space="preserve">been </w:t>
      </w:r>
      <w:r w:rsidRPr="008F0B94">
        <w:rPr>
          <w:rFonts w:eastAsiaTheme="minorHAnsi" w:cs="Arial"/>
          <w:lang w:val="en-AU"/>
        </w:rPr>
        <w:t>extended to remote areas at this time</w:t>
      </w:r>
      <w:r w:rsidR="00941590" w:rsidRPr="008F0B94">
        <w:rPr>
          <w:rFonts w:eastAsiaTheme="minorHAnsi" w:cs="Arial"/>
          <w:lang w:val="en-AU"/>
        </w:rPr>
        <w:t>, as it</w:t>
      </w:r>
      <w:r w:rsidR="009B43A8" w:rsidRPr="008F0B94">
        <w:rPr>
          <w:rFonts w:eastAsiaTheme="minorHAnsi" w:cs="Arial"/>
          <w:lang w:val="en-AU"/>
        </w:rPr>
        <w:t xml:space="preserve"> was noted that </w:t>
      </w:r>
      <w:r w:rsidR="00212CF5" w:rsidRPr="008F0B94">
        <w:rPr>
          <w:rFonts w:eastAsiaTheme="minorHAnsi" w:cs="Arial"/>
          <w:lang w:val="en-AU"/>
        </w:rPr>
        <w:t>these</w:t>
      </w:r>
      <w:r w:rsidR="009B43A8" w:rsidRPr="008F0B94">
        <w:rPr>
          <w:rFonts w:eastAsiaTheme="minorHAnsi" w:cs="Arial"/>
          <w:lang w:val="en-AU"/>
        </w:rPr>
        <w:t xml:space="preserve"> areas (such as the eastern coast of Tasmania) are often within commuting distance of regional public hospitals, which are capable of providing a dialysis service. </w:t>
      </w:r>
      <w:r w:rsidR="00CC1C6A" w:rsidRPr="008F0B94">
        <w:rPr>
          <w:rFonts w:eastAsiaTheme="minorHAnsi" w:cs="Arial"/>
          <w:lang w:val="en-AU"/>
        </w:rPr>
        <w:t>I</w:t>
      </w:r>
      <w:r w:rsidRPr="008F0B94">
        <w:rPr>
          <w:rFonts w:eastAsiaTheme="minorHAnsi" w:cs="Arial"/>
          <w:lang w:val="en-AU"/>
        </w:rPr>
        <w:t>t is</w:t>
      </w:r>
      <w:r w:rsidR="00CC1C6A" w:rsidRPr="008F0B94">
        <w:rPr>
          <w:rFonts w:eastAsiaTheme="minorHAnsi" w:cs="Arial"/>
          <w:lang w:val="en-AU"/>
        </w:rPr>
        <w:t xml:space="preserve"> also</w:t>
      </w:r>
      <w:r w:rsidRPr="008F0B94">
        <w:rPr>
          <w:rFonts w:eastAsiaTheme="minorHAnsi" w:cs="Arial"/>
          <w:lang w:val="en-AU"/>
        </w:rPr>
        <w:t xml:space="preserve"> not intended to replace in-hospital dialysis for patients within reasonable commuting distanc</w:t>
      </w:r>
      <w:r w:rsidR="00DB0EC1" w:rsidRPr="008F0B94">
        <w:rPr>
          <w:rFonts w:eastAsiaTheme="minorHAnsi" w:cs="Arial"/>
          <w:lang w:val="en-AU"/>
        </w:rPr>
        <w:t xml:space="preserve">e. </w:t>
      </w:r>
      <w:r w:rsidR="001C3753" w:rsidRPr="008F0B94">
        <w:rPr>
          <w:rFonts w:eastAsiaTheme="minorHAnsi" w:cs="Arial"/>
          <w:lang w:val="en-AU"/>
        </w:rPr>
        <w:t xml:space="preserve">However, the Committee did </w:t>
      </w:r>
      <w:r w:rsidRPr="008F0B94">
        <w:rPr>
          <w:rFonts w:eastAsiaTheme="minorHAnsi" w:cs="Arial"/>
          <w:lang w:val="en-AU"/>
        </w:rPr>
        <w:t>acknowledge that commuting to regional areas from a remote location is disruptive for many patients</w:t>
      </w:r>
      <w:r w:rsidR="0056057C" w:rsidRPr="008F0B94">
        <w:rPr>
          <w:rFonts w:eastAsiaTheme="minorHAnsi" w:cs="Arial"/>
          <w:lang w:val="en-AU"/>
        </w:rPr>
        <w:t>,</w:t>
      </w:r>
      <w:r w:rsidRPr="008F0B94">
        <w:rPr>
          <w:rFonts w:eastAsiaTheme="minorHAnsi" w:cs="Arial"/>
          <w:lang w:val="en-AU"/>
        </w:rPr>
        <w:t xml:space="preserve"> and that some remote areas are significantly further from a regional service than others</w:t>
      </w:r>
      <w:r w:rsidR="004D1FB6" w:rsidRPr="008F0B94">
        <w:rPr>
          <w:rFonts w:eastAsiaTheme="minorHAnsi" w:cs="Arial"/>
          <w:lang w:val="en-AU"/>
        </w:rPr>
        <w:t>.</w:t>
      </w:r>
      <w:r w:rsidRPr="008F0B94">
        <w:rPr>
          <w:rFonts w:eastAsiaTheme="minorHAnsi" w:cs="Arial"/>
          <w:lang w:val="en-AU"/>
        </w:rPr>
        <w:t xml:space="preserve"> </w:t>
      </w:r>
    </w:p>
    <w:p w14:paraId="5053DC3F" w14:textId="77777777" w:rsidR="00753D7C" w:rsidRPr="00FC1976" w:rsidRDefault="00753D7C" w:rsidP="00E15A50">
      <w:pPr>
        <w:pStyle w:val="01squarebullet"/>
        <w:rPr>
          <w:rFonts w:eastAsiaTheme="minorHAnsi"/>
          <w:lang w:val="en-AU"/>
        </w:rPr>
      </w:pPr>
      <w:r w:rsidRPr="008F0B94">
        <w:rPr>
          <w:rFonts w:eastAsiaTheme="minorHAnsi"/>
          <w:lang w:val="en-AU"/>
        </w:rPr>
        <w:t xml:space="preserve">Importantly, the Committee noted that there is a risk that </w:t>
      </w:r>
      <w:r w:rsidR="00506B36">
        <w:rPr>
          <w:rFonts w:eastAsiaTheme="minorHAnsi"/>
          <w:lang w:val="en-AU"/>
        </w:rPr>
        <w:t>introducing</w:t>
      </w:r>
      <w:r w:rsidRPr="008F0B94">
        <w:rPr>
          <w:rFonts w:eastAsiaTheme="minorHAnsi"/>
          <w:lang w:val="en-AU"/>
        </w:rPr>
        <w:t xml:space="preserve"> this service may result in current </w:t>
      </w:r>
      <w:r w:rsidR="00833CE1">
        <w:rPr>
          <w:rFonts w:eastAsiaTheme="minorHAnsi" w:cs="Arial"/>
          <w:lang w:val="en-AU"/>
        </w:rPr>
        <w:t>s</w:t>
      </w:r>
      <w:r w:rsidR="006E627D" w:rsidRPr="008F0B94">
        <w:rPr>
          <w:rFonts w:eastAsiaTheme="minorHAnsi"/>
          <w:lang w:val="en-AU"/>
        </w:rPr>
        <w:t xml:space="preserve">tate government </w:t>
      </w:r>
      <w:r w:rsidRPr="008F0B94">
        <w:rPr>
          <w:rFonts w:eastAsiaTheme="minorHAnsi"/>
          <w:lang w:val="en-AU"/>
        </w:rPr>
        <w:t>funding for self-care dialysis ceasing to be available. This is expressly not the intent of this item</w:t>
      </w:r>
      <w:r w:rsidR="00913D7D">
        <w:rPr>
          <w:rFonts w:eastAsiaTheme="minorHAnsi"/>
          <w:lang w:val="en-AU"/>
        </w:rPr>
        <w:t>,</w:t>
      </w:r>
      <w:r w:rsidRPr="008F0B94">
        <w:rPr>
          <w:rFonts w:eastAsiaTheme="minorHAnsi"/>
          <w:lang w:val="en-AU"/>
        </w:rPr>
        <w:t xml:space="preserve"> and the Committee is strongly supportive of the ongoing funding </w:t>
      </w:r>
      <w:r w:rsidR="006E627D" w:rsidRPr="008F0B94">
        <w:rPr>
          <w:rFonts w:eastAsiaTheme="minorHAnsi"/>
          <w:lang w:val="en-AU"/>
        </w:rPr>
        <w:t xml:space="preserve">of </w:t>
      </w:r>
      <w:r w:rsidRPr="008F0B94">
        <w:rPr>
          <w:rFonts w:eastAsiaTheme="minorHAnsi"/>
          <w:lang w:val="en-AU"/>
        </w:rPr>
        <w:t>patients suitable for self-care dialysis</w:t>
      </w:r>
      <w:r w:rsidR="006E627D" w:rsidRPr="008F0B94">
        <w:rPr>
          <w:rFonts w:eastAsiaTheme="minorHAnsi"/>
          <w:lang w:val="en-AU"/>
        </w:rPr>
        <w:t xml:space="preserve">. </w:t>
      </w:r>
      <w:r w:rsidR="000D2EBE">
        <w:rPr>
          <w:rFonts w:eastAsiaTheme="minorHAnsi"/>
          <w:lang w:val="en-AU"/>
        </w:rPr>
        <w:t>The Committee</w:t>
      </w:r>
      <w:r w:rsidR="000D2EBE" w:rsidRPr="008F0B94">
        <w:rPr>
          <w:rFonts w:eastAsiaTheme="minorHAnsi"/>
          <w:lang w:val="en-AU"/>
        </w:rPr>
        <w:t xml:space="preserve"> </w:t>
      </w:r>
      <w:r w:rsidR="006E627D" w:rsidRPr="008F0B94">
        <w:rPr>
          <w:rFonts w:eastAsiaTheme="minorHAnsi"/>
          <w:lang w:val="en-AU"/>
        </w:rPr>
        <w:t xml:space="preserve">agreed that </w:t>
      </w:r>
      <w:r w:rsidR="000D2EBE">
        <w:rPr>
          <w:rFonts w:eastAsiaTheme="minorHAnsi"/>
          <w:lang w:val="en-AU"/>
        </w:rPr>
        <w:t>although</w:t>
      </w:r>
      <w:r w:rsidR="000D2EBE" w:rsidRPr="008F0B94">
        <w:rPr>
          <w:rFonts w:eastAsiaTheme="minorHAnsi"/>
          <w:lang w:val="en-AU"/>
        </w:rPr>
        <w:t xml:space="preserve"> </w:t>
      </w:r>
      <w:r w:rsidR="006E627D" w:rsidRPr="008F0B94">
        <w:rPr>
          <w:rFonts w:eastAsiaTheme="minorHAnsi"/>
          <w:lang w:val="en-AU"/>
        </w:rPr>
        <w:t xml:space="preserve">this risk exists, </w:t>
      </w:r>
      <w:r w:rsidR="0031021E">
        <w:rPr>
          <w:rFonts w:eastAsiaTheme="minorHAnsi"/>
          <w:lang w:val="en-AU"/>
        </w:rPr>
        <w:t xml:space="preserve">the new item is warranted because </w:t>
      </w:r>
      <w:r w:rsidR="006E627D" w:rsidRPr="008F0B94">
        <w:rPr>
          <w:rFonts w:eastAsiaTheme="minorHAnsi"/>
          <w:lang w:val="en-AU"/>
        </w:rPr>
        <w:t xml:space="preserve">the current level of access for patients in remote areas </w:t>
      </w:r>
      <w:r w:rsidR="009B5B61">
        <w:rPr>
          <w:rFonts w:eastAsiaTheme="minorHAnsi"/>
          <w:lang w:val="en-AU"/>
        </w:rPr>
        <w:t>remains</w:t>
      </w:r>
      <w:r w:rsidR="00C333DE" w:rsidRPr="008F0B94">
        <w:rPr>
          <w:rFonts w:eastAsiaTheme="minorHAnsi"/>
          <w:lang w:val="en-AU"/>
        </w:rPr>
        <w:t xml:space="preserve"> </w:t>
      </w:r>
      <w:r w:rsidR="006E627D" w:rsidRPr="008F0B94">
        <w:rPr>
          <w:rFonts w:eastAsiaTheme="minorHAnsi"/>
          <w:lang w:val="en-AU"/>
        </w:rPr>
        <w:t>very limited</w:t>
      </w:r>
      <w:r w:rsidR="00A610EB">
        <w:rPr>
          <w:rFonts w:eastAsiaTheme="minorHAnsi"/>
          <w:lang w:val="en-AU"/>
        </w:rPr>
        <w:t xml:space="preserve"> (</w:t>
      </w:r>
      <w:r w:rsidR="006E627D" w:rsidRPr="008F0B94">
        <w:rPr>
          <w:rFonts w:eastAsiaTheme="minorHAnsi"/>
          <w:lang w:val="en-AU"/>
        </w:rPr>
        <w:t xml:space="preserve">despite extensive </w:t>
      </w:r>
      <w:r w:rsidR="008365B8" w:rsidRPr="008F0B94">
        <w:rPr>
          <w:rFonts w:eastAsiaTheme="minorHAnsi"/>
          <w:lang w:val="en-AU"/>
        </w:rPr>
        <w:t>work over many years to address this</w:t>
      </w:r>
      <w:r w:rsidR="00A610EB">
        <w:rPr>
          <w:rFonts w:eastAsiaTheme="minorHAnsi"/>
          <w:lang w:val="en-AU"/>
        </w:rPr>
        <w:t>)</w:t>
      </w:r>
      <w:r w:rsidR="00A51E62">
        <w:rPr>
          <w:rFonts w:eastAsiaTheme="minorHAnsi"/>
          <w:lang w:val="en-AU"/>
        </w:rPr>
        <w:t>,</w:t>
      </w:r>
      <w:r w:rsidR="00493FD2" w:rsidRPr="008F0B94">
        <w:rPr>
          <w:rFonts w:eastAsiaTheme="minorHAnsi"/>
          <w:lang w:val="en-AU"/>
        </w:rPr>
        <w:t xml:space="preserve"> </w:t>
      </w:r>
      <w:r w:rsidR="00A51E62">
        <w:rPr>
          <w:rFonts w:eastAsiaTheme="minorHAnsi"/>
          <w:lang w:val="en-AU"/>
        </w:rPr>
        <w:t xml:space="preserve">and </w:t>
      </w:r>
      <w:r w:rsidR="00A610EB">
        <w:rPr>
          <w:rFonts w:eastAsiaTheme="minorHAnsi"/>
          <w:lang w:val="en-AU"/>
        </w:rPr>
        <w:t>because</w:t>
      </w:r>
      <w:r w:rsidR="00433DA7" w:rsidRPr="008F0B94">
        <w:rPr>
          <w:rFonts w:eastAsiaTheme="minorHAnsi"/>
          <w:lang w:val="en-AU"/>
        </w:rPr>
        <w:t xml:space="preserve"> </w:t>
      </w:r>
      <w:r w:rsidR="00493FD2" w:rsidRPr="008F0B94">
        <w:rPr>
          <w:rFonts w:eastAsiaTheme="minorHAnsi"/>
          <w:lang w:val="en-AU"/>
        </w:rPr>
        <w:t>there are many patients for whom self-care is not possible or appropriate</w:t>
      </w:r>
      <w:r w:rsidR="008365B8" w:rsidRPr="008F0B94">
        <w:rPr>
          <w:rFonts w:eastAsiaTheme="minorHAnsi"/>
          <w:lang w:val="en-AU"/>
        </w:rPr>
        <w:t xml:space="preserve">. </w:t>
      </w:r>
      <w:r w:rsidR="004704C4">
        <w:rPr>
          <w:rFonts w:eastAsiaTheme="minorHAnsi"/>
          <w:lang w:val="en-AU"/>
        </w:rPr>
        <w:t>The</w:t>
      </w:r>
      <w:r w:rsidR="008365B8" w:rsidRPr="008F0B94">
        <w:rPr>
          <w:rFonts w:eastAsiaTheme="minorHAnsi"/>
          <w:lang w:val="en-AU"/>
        </w:rPr>
        <w:t xml:space="preserve"> Committee strongly support</w:t>
      </w:r>
      <w:r w:rsidR="00A6308C">
        <w:rPr>
          <w:rFonts w:eastAsiaTheme="minorHAnsi"/>
          <w:lang w:val="en-AU"/>
        </w:rPr>
        <w:t>s</w:t>
      </w:r>
      <w:r w:rsidR="008365B8" w:rsidRPr="008F0B94">
        <w:rPr>
          <w:rFonts w:eastAsiaTheme="minorHAnsi"/>
          <w:lang w:val="en-AU"/>
        </w:rPr>
        <w:t xml:space="preserve"> the creation of the very remote item</w:t>
      </w:r>
      <w:r w:rsidR="004737DB">
        <w:rPr>
          <w:rFonts w:eastAsiaTheme="minorHAnsi"/>
          <w:lang w:val="en-AU"/>
        </w:rPr>
        <w:t>,</w:t>
      </w:r>
      <w:r w:rsidR="003E2AFB" w:rsidRPr="008F0B94">
        <w:rPr>
          <w:rFonts w:eastAsiaTheme="minorHAnsi"/>
          <w:lang w:val="en-AU"/>
        </w:rPr>
        <w:t xml:space="preserve"> and </w:t>
      </w:r>
      <w:r w:rsidR="004737DB">
        <w:rPr>
          <w:rFonts w:eastAsiaTheme="minorHAnsi"/>
          <w:lang w:val="en-AU"/>
        </w:rPr>
        <w:t xml:space="preserve">it </w:t>
      </w:r>
      <w:r w:rsidR="003E2AFB" w:rsidRPr="008F0B94">
        <w:rPr>
          <w:rFonts w:eastAsiaTheme="minorHAnsi"/>
          <w:lang w:val="en-AU"/>
        </w:rPr>
        <w:t xml:space="preserve">believes that there will be a significant </w:t>
      </w:r>
      <w:r w:rsidR="003E2AFB" w:rsidRPr="00FC1976">
        <w:rPr>
          <w:rFonts w:eastAsiaTheme="minorHAnsi"/>
          <w:lang w:val="en-AU"/>
        </w:rPr>
        <w:t xml:space="preserve">net benefit to </w:t>
      </w:r>
      <w:r w:rsidR="00B75E96" w:rsidRPr="00FC1976">
        <w:rPr>
          <w:rFonts w:eastAsiaTheme="minorHAnsi"/>
          <w:lang w:val="en-AU"/>
        </w:rPr>
        <w:t xml:space="preserve">remote Australians and </w:t>
      </w:r>
      <w:r w:rsidR="003E2AFB" w:rsidRPr="00FC1976">
        <w:rPr>
          <w:rFonts w:eastAsiaTheme="minorHAnsi"/>
          <w:lang w:val="en-AU"/>
        </w:rPr>
        <w:t>the Commonwealth</w:t>
      </w:r>
      <w:r w:rsidR="005E363E">
        <w:rPr>
          <w:rFonts w:eastAsiaTheme="minorHAnsi"/>
          <w:lang w:val="en-AU"/>
        </w:rPr>
        <w:t>,</w:t>
      </w:r>
      <w:r w:rsidR="003E2AFB" w:rsidRPr="00FC1976">
        <w:rPr>
          <w:rFonts w:eastAsiaTheme="minorHAnsi"/>
          <w:lang w:val="en-AU"/>
        </w:rPr>
        <w:t xml:space="preserve"> resulting from improved health outcomes and </w:t>
      </w:r>
      <w:r w:rsidR="00A55B60">
        <w:rPr>
          <w:rFonts w:eastAsiaTheme="minorHAnsi"/>
          <w:lang w:val="en-AU"/>
        </w:rPr>
        <w:t xml:space="preserve">an </w:t>
      </w:r>
      <w:r w:rsidR="003E2AFB" w:rsidRPr="00FC1976">
        <w:rPr>
          <w:rFonts w:eastAsiaTheme="minorHAnsi"/>
          <w:lang w:val="en-AU"/>
        </w:rPr>
        <w:t xml:space="preserve">associated reduction in </w:t>
      </w:r>
      <w:r w:rsidR="00453BE4">
        <w:rPr>
          <w:rFonts w:eastAsiaTheme="minorHAnsi"/>
          <w:lang w:val="en-AU"/>
        </w:rPr>
        <w:t xml:space="preserve">the </w:t>
      </w:r>
      <w:r w:rsidR="003E2AFB" w:rsidRPr="00FC1976">
        <w:rPr>
          <w:rFonts w:eastAsiaTheme="minorHAnsi"/>
          <w:lang w:val="en-AU"/>
        </w:rPr>
        <w:t>economic impact of end-stage kidney disease</w:t>
      </w:r>
      <w:r w:rsidR="008365B8" w:rsidRPr="00FC1976">
        <w:rPr>
          <w:rFonts w:eastAsiaTheme="minorHAnsi"/>
          <w:lang w:val="en-AU"/>
        </w:rPr>
        <w:t xml:space="preserve">. </w:t>
      </w:r>
    </w:p>
    <w:p w14:paraId="3C352E69" w14:textId="77777777" w:rsidR="00700F5D" w:rsidRPr="00FC1976" w:rsidRDefault="00700F5D" w:rsidP="00E15A50">
      <w:pPr>
        <w:pStyle w:val="01squarebullet"/>
        <w:rPr>
          <w:rFonts w:eastAsiaTheme="minorHAnsi" w:cs="Arial"/>
          <w:lang w:val="en-AU"/>
        </w:rPr>
      </w:pPr>
      <w:r w:rsidRPr="00FC1976">
        <w:rPr>
          <w:rFonts w:eastAsiaTheme="minorHAnsi"/>
          <w:lang w:val="en-AU"/>
        </w:rPr>
        <w:t xml:space="preserve">The Committee agreed that the item descriptor </w:t>
      </w:r>
      <w:r w:rsidR="00F25745" w:rsidRPr="00FC1976">
        <w:rPr>
          <w:rFonts w:eastAsiaTheme="minorHAnsi"/>
          <w:lang w:val="en-AU"/>
        </w:rPr>
        <w:t>has</w:t>
      </w:r>
      <w:r w:rsidRPr="00FC1976">
        <w:rPr>
          <w:rFonts w:eastAsiaTheme="minorHAnsi"/>
          <w:lang w:val="en-AU"/>
        </w:rPr>
        <w:t xml:space="preserve"> to be flexible</w:t>
      </w:r>
      <w:r w:rsidR="000B5AEE" w:rsidRPr="00FC1976">
        <w:rPr>
          <w:rFonts w:eastAsiaTheme="minorHAnsi"/>
          <w:lang w:val="en-AU"/>
        </w:rPr>
        <w:t xml:space="preserve"> in order</w:t>
      </w:r>
      <w:r w:rsidRPr="00FC1976">
        <w:rPr>
          <w:rFonts w:eastAsiaTheme="minorHAnsi"/>
          <w:lang w:val="en-AU"/>
        </w:rPr>
        <w:t xml:space="preserve"> to ensure that providers can afford to operate</w:t>
      </w:r>
      <w:r w:rsidR="00094B40" w:rsidRPr="00FC1976">
        <w:rPr>
          <w:rFonts w:eastAsiaTheme="minorHAnsi"/>
          <w:lang w:val="en-AU"/>
        </w:rPr>
        <w:t>,</w:t>
      </w:r>
      <w:r w:rsidRPr="00FC1976">
        <w:rPr>
          <w:rFonts w:eastAsiaTheme="minorHAnsi"/>
          <w:lang w:val="en-AU"/>
        </w:rPr>
        <w:t xml:space="preserve"> and</w:t>
      </w:r>
      <w:r w:rsidR="00094B40" w:rsidRPr="00FC1976">
        <w:rPr>
          <w:rFonts w:eastAsiaTheme="minorHAnsi"/>
          <w:lang w:val="en-AU"/>
        </w:rPr>
        <w:t xml:space="preserve"> to</w:t>
      </w:r>
      <w:r w:rsidRPr="00FC1976">
        <w:rPr>
          <w:rFonts w:eastAsiaTheme="minorHAnsi"/>
          <w:lang w:val="en-AU"/>
        </w:rPr>
        <w:t xml:space="preserve"> allow for the creation of </w:t>
      </w:r>
      <w:r w:rsidR="00576F75" w:rsidRPr="00FC1976">
        <w:rPr>
          <w:rFonts w:eastAsiaTheme="minorHAnsi"/>
          <w:lang w:val="en-AU"/>
        </w:rPr>
        <w:t>health</w:t>
      </w:r>
      <w:r w:rsidR="00202031">
        <w:rPr>
          <w:rFonts w:eastAsiaTheme="minorHAnsi"/>
          <w:lang w:val="en-AU"/>
        </w:rPr>
        <w:t xml:space="preserve"> </w:t>
      </w:r>
      <w:r w:rsidR="00576F75" w:rsidRPr="00FC1976">
        <w:rPr>
          <w:rFonts w:eastAsiaTheme="minorHAnsi"/>
          <w:lang w:val="en-AU"/>
        </w:rPr>
        <w:t xml:space="preserve">care </w:t>
      </w:r>
      <w:r w:rsidRPr="00FC1976">
        <w:rPr>
          <w:rFonts w:eastAsiaTheme="minorHAnsi"/>
          <w:lang w:val="en-AU"/>
        </w:rPr>
        <w:t xml:space="preserve">models tailored to the needs of local communities. Accordingly, the item was designed </w:t>
      </w:r>
      <w:r w:rsidR="00170CD5" w:rsidRPr="00FC1976">
        <w:rPr>
          <w:rFonts w:eastAsiaTheme="minorHAnsi"/>
          <w:lang w:val="en-AU"/>
        </w:rPr>
        <w:t>so that (i)</w:t>
      </w:r>
      <w:r w:rsidR="00170CD5" w:rsidRPr="00FC1976">
        <w:rPr>
          <w:rFonts w:eastAsiaTheme="minorHAnsi" w:cs="Arial"/>
          <w:lang w:val="en-AU"/>
        </w:rPr>
        <w:t xml:space="preserve"> t</w:t>
      </w:r>
      <w:r w:rsidRPr="00FC1976">
        <w:rPr>
          <w:rFonts w:eastAsiaTheme="minorHAnsi" w:cs="Arial"/>
          <w:lang w:val="en-AU"/>
        </w:rPr>
        <w:t>he renal nurse</w:t>
      </w:r>
      <w:r w:rsidR="00440C32">
        <w:rPr>
          <w:rFonts w:eastAsiaTheme="minorHAnsi" w:cs="Arial"/>
          <w:lang w:val="en-AU"/>
        </w:rPr>
        <w:t xml:space="preserve">, </w:t>
      </w:r>
      <w:r w:rsidR="00440C32" w:rsidRPr="008F0B94">
        <w:rPr>
          <w:lang w:val="en-AU"/>
        </w:rPr>
        <w:t>Aboriginal and Torres Strait Islander</w:t>
      </w:r>
      <w:r w:rsidR="00F13245">
        <w:rPr>
          <w:lang w:val="en-AU"/>
        </w:rPr>
        <w:t xml:space="preserve"> health practitioner</w:t>
      </w:r>
      <w:r w:rsidR="00440C32">
        <w:rPr>
          <w:lang w:val="en-AU"/>
        </w:rPr>
        <w:t xml:space="preserve"> </w:t>
      </w:r>
      <w:r w:rsidR="00F13245">
        <w:rPr>
          <w:lang w:val="en-AU"/>
        </w:rPr>
        <w:t xml:space="preserve">or </w:t>
      </w:r>
      <w:r w:rsidR="00440C32">
        <w:rPr>
          <w:lang w:val="en-AU"/>
        </w:rPr>
        <w:t>Aboriginal hea</w:t>
      </w:r>
      <w:r w:rsidR="00F13245">
        <w:rPr>
          <w:lang w:val="en-AU"/>
        </w:rPr>
        <w:t>lth worker</w:t>
      </w:r>
      <w:r w:rsidRPr="00FC1976">
        <w:rPr>
          <w:rFonts w:eastAsiaTheme="minorHAnsi" w:cs="Arial"/>
          <w:lang w:val="en-AU"/>
        </w:rPr>
        <w:t xml:space="preserve"> could be employed by or contracted to a primary care clinic or organi</w:t>
      </w:r>
      <w:r w:rsidR="002552E4" w:rsidRPr="00FC1976">
        <w:rPr>
          <w:rFonts w:eastAsiaTheme="minorHAnsi" w:cs="Arial"/>
          <w:lang w:val="en-AU"/>
        </w:rPr>
        <w:t>s</w:t>
      </w:r>
      <w:r w:rsidRPr="00FC1976">
        <w:rPr>
          <w:rFonts w:eastAsiaTheme="minorHAnsi" w:cs="Arial"/>
          <w:lang w:val="en-AU"/>
        </w:rPr>
        <w:t>ation</w:t>
      </w:r>
      <w:r w:rsidR="00CB6B08" w:rsidRPr="00FC1976">
        <w:rPr>
          <w:rFonts w:eastAsiaTheme="minorHAnsi" w:cs="Arial"/>
          <w:lang w:val="en-AU"/>
        </w:rPr>
        <w:t xml:space="preserve">; </w:t>
      </w:r>
      <w:r w:rsidR="008466BE" w:rsidRPr="00FC1976">
        <w:rPr>
          <w:rFonts w:eastAsiaTheme="minorHAnsi" w:cs="Arial"/>
          <w:lang w:val="en-AU"/>
        </w:rPr>
        <w:t xml:space="preserve">and </w:t>
      </w:r>
      <w:r w:rsidR="00CB6B08" w:rsidRPr="00FC1976">
        <w:rPr>
          <w:rFonts w:eastAsiaTheme="minorHAnsi" w:cs="Arial"/>
          <w:lang w:val="en-AU"/>
        </w:rPr>
        <w:t>(ii) t</w:t>
      </w:r>
      <w:r w:rsidRPr="00FC1976">
        <w:rPr>
          <w:rFonts w:eastAsiaTheme="minorHAnsi" w:cs="Arial"/>
          <w:lang w:val="en-AU"/>
        </w:rPr>
        <w:t xml:space="preserve">he new item </w:t>
      </w:r>
      <w:r w:rsidR="00F94728" w:rsidRPr="00FC1976">
        <w:rPr>
          <w:rFonts w:eastAsiaTheme="minorHAnsi" w:cs="Arial"/>
          <w:lang w:val="en-AU"/>
        </w:rPr>
        <w:t xml:space="preserve">could </w:t>
      </w:r>
      <w:r w:rsidRPr="00FC1976">
        <w:rPr>
          <w:rFonts w:eastAsiaTheme="minorHAnsi" w:cs="Arial"/>
          <w:lang w:val="en-AU"/>
        </w:rPr>
        <w:t xml:space="preserve">be claimed by local primary care clinics, </w:t>
      </w:r>
      <w:r w:rsidR="00BC04A6" w:rsidRPr="00FC1976">
        <w:rPr>
          <w:rFonts w:eastAsiaTheme="minorHAnsi" w:cs="Arial"/>
          <w:lang w:val="en-AU"/>
        </w:rPr>
        <w:t>n</w:t>
      </w:r>
      <w:r w:rsidRPr="00FC1976">
        <w:rPr>
          <w:rFonts w:eastAsiaTheme="minorHAnsi" w:cs="Arial"/>
          <w:lang w:val="en-AU"/>
        </w:rPr>
        <w:t>on-</w:t>
      </w:r>
      <w:r w:rsidR="00BC04A6" w:rsidRPr="00FC1976">
        <w:rPr>
          <w:rFonts w:eastAsiaTheme="minorHAnsi" w:cs="Arial"/>
          <w:lang w:val="en-AU"/>
        </w:rPr>
        <w:t>g</w:t>
      </w:r>
      <w:r w:rsidRPr="00FC1976">
        <w:rPr>
          <w:rFonts w:eastAsiaTheme="minorHAnsi" w:cs="Arial"/>
          <w:lang w:val="en-AU"/>
        </w:rPr>
        <w:t>overnment providers and private health organisations</w:t>
      </w:r>
      <w:r w:rsidR="00737F66" w:rsidRPr="00FC1976">
        <w:rPr>
          <w:rFonts w:eastAsiaTheme="minorHAnsi" w:cs="Arial"/>
          <w:lang w:val="en-AU"/>
        </w:rPr>
        <w:t>,</w:t>
      </w:r>
      <w:r w:rsidRPr="00FC1976">
        <w:rPr>
          <w:rFonts w:eastAsiaTheme="minorHAnsi" w:cs="Arial"/>
          <w:lang w:val="en-AU"/>
        </w:rPr>
        <w:t xml:space="preserve"> with the support of the local primary </w:t>
      </w:r>
      <w:r w:rsidR="00386942" w:rsidRPr="00FC1976">
        <w:rPr>
          <w:rFonts w:eastAsiaTheme="minorHAnsi" w:cs="Arial"/>
          <w:lang w:val="en-AU"/>
        </w:rPr>
        <w:t>care</w:t>
      </w:r>
      <w:r w:rsidRPr="00FC1976">
        <w:rPr>
          <w:rFonts w:eastAsiaTheme="minorHAnsi" w:cs="Arial"/>
          <w:lang w:val="en-AU"/>
        </w:rPr>
        <w:t xml:space="preserve"> clinic</w:t>
      </w:r>
      <w:r w:rsidR="008466BE" w:rsidRPr="00FC1976">
        <w:rPr>
          <w:rFonts w:eastAsiaTheme="minorHAnsi" w:cs="Arial"/>
          <w:lang w:val="en-AU"/>
        </w:rPr>
        <w:t>.</w:t>
      </w:r>
      <w:r w:rsidR="00A26829" w:rsidRPr="00FC1976">
        <w:rPr>
          <w:rFonts w:eastAsiaTheme="minorHAnsi" w:cs="Arial"/>
          <w:lang w:val="en-AU"/>
        </w:rPr>
        <w:t xml:space="preserve"> </w:t>
      </w:r>
      <w:r w:rsidR="00404471" w:rsidRPr="00FC1976">
        <w:rPr>
          <w:rFonts w:eastAsiaTheme="minorHAnsi" w:cs="Arial"/>
          <w:lang w:val="en-AU"/>
        </w:rPr>
        <w:t>The</w:t>
      </w:r>
      <w:r w:rsidR="003C0A83" w:rsidRPr="00FC1976">
        <w:rPr>
          <w:rFonts w:eastAsiaTheme="minorHAnsi" w:cs="Arial"/>
          <w:lang w:val="en-AU"/>
        </w:rPr>
        <w:t xml:space="preserve"> Committee </w:t>
      </w:r>
      <w:r w:rsidR="00044AA2" w:rsidRPr="00FC1976">
        <w:rPr>
          <w:rFonts w:eastAsiaTheme="minorHAnsi" w:cs="Arial"/>
          <w:lang w:val="en-AU"/>
        </w:rPr>
        <w:t>believes</w:t>
      </w:r>
      <w:r w:rsidR="003C0A83" w:rsidRPr="00FC1976">
        <w:rPr>
          <w:rFonts w:eastAsiaTheme="minorHAnsi" w:cs="Arial"/>
          <w:lang w:val="en-AU"/>
        </w:rPr>
        <w:t xml:space="preserve"> that </w:t>
      </w:r>
      <w:r w:rsidR="002D16D3" w:rsidRPr="00FC1976">
        <w:rPr>
          <w:rFonts w:eastAsiaTheme="minorHAnsi" w:cs="Arial"/>
          <w:lang w:val="en-AU"/>
        </w:rPr>
        <w:t xml:space="preserve">the support of the local community and local primary care clinic </w:t>
      </w:r>
      <w:r w:rsidR="00044AA2" w:rsidRPr="00FC1976">
        <w:rPr>
          <w:rFonts w:eastAsiaTheme="minorHAnsi" w:cs="Arial"/>
          <w:lang w:val="en-AU"/>
        </w:rPr>
        <w:t xml:space="preserve">is essential </w:t>
      </w:r>
      <w:r w:rsidR="00B337B2">
        <w:rPr>
          <w:rFonts w:eastAsiaTheme="minorHAnsi" w:cs="Arial"/>
          <w:lang w:val="en-AU"/>
        </w:rPr>
        <w:t xml:space="preserve">in order </w:t>
      </w:r>
      <w:r w:rsidR="00044AA2" w:rsidRPr="00FC1976">
        <w:rPr>
          <w:rFonts w:eastAsiaTheme="minorHAnsi" w:cs="Arial"/>
          <w:lang w:val="en-AU"/>
        </w:rPr>
        <w:t>to ensure that the model appropriately meets</w:t>
      </w:r>
      <w:r w:rsidR="001565EA" w:rsidRPr="00FC1976">
        <w:rPr>
          <w:rFonts w:eastAsiaTheme="minorHAnsi" w:cs="Arial"/>
          <w:lang w:val="en-AU"/>
        </w:rPr>
        <w:t xml:space="preserve"> the needs of very remote communities</w:t>
      </w:r>
      <w:r w:rsidR="001B5198" w:rsidRPr="00FC1976">
        <w:rPr>
          <w:rFonts w:eastAsiaTheme="minorHAnsi" w:cs="Arial"/>
          <w:lang w:val="en-AU"/>
        </w:rPr>
        <w:t>.</w:t>
      </w:r>
    </w:p>
    <w:p w14:paraId="5F423D99" w14:textId="77777777" w:rsidR="00700F5D" w:rsidRPr="00FC1976" w:rsidRDefault="00700F5D" w:rsidP="00E15A50">
      <w:pPr>
        <w:pStyle w:val="01squarebullet"/>
        <w:rPr>
          <w:rFonts w:eastAsiaTheme="minorHAnsi"/>
          <w:lang w:val="en-AU"/>
        </w:rPr>
      </w:pPr>
      <w:r w:rsidRPr="00FC1976">
        <w:rPr>
          <w:rFonts w:eastAsiaTheme="minorHAnsi"/>
          <w:lang w:val="en-AU"/>
        </w:rPr>
        <w:t xml:space="preserve">The Committee introduced a </w:t>
      </w:r>
      <w:r w:rsidR="00F137DC" w:rsidRPr="00FC1976">
        <w:rPr>
          <w:rFonts w:eastAsiaTheme="minorHAnsi"/>
          <w:lang w:val="en-AU"/>
        </w:rPr>
        <w:t>three</w:t>
      </w:r>
      <w:r w:rsidR="00482A86" w:rsidRPr="00FC1976">
        <w:rPr>
          <w:rFonts w:eastAsiaTheme="minorHAnsi"/>
          <w:lang w:val="en-AU"/>
        </w:rPr>
        <w:t>-</w:t>
      </w:r>
      <w:r w:rsidR="00F137DC" w:rsidRPr="00FC1976">
        <w:rPr>
          <w:rFonts w:eastAsiaTheme="minorHAnsi"/>
          <w:lang w:val="en-AU"/>
        </w:rPr>
        <w:t xml:space="preserve"> to six-</w:t>
      </w:r>
      <w:r w:rsidRPr="00FC1976">
        <w:rPr>
          <w:rFonts w:eastAsiaTheme="minorHAnsi"/>
          <w:lang w:val="en-AU"/>
        </w:rPr>
        <w:t xml:space="preserve">month mandatory review </w:t>
      </w:r>
      <w:r w:rsidR="001161C6" w:rsidRPr="00FC1976">
        <w:rPr>
          <w:rFonts w:eastAsiaTheme="minorHAnsi"/>
          <w:lang w:val="en-AU"/>
        </w:rPr>
        <w:t xml:space="preserve">by </w:t>
      </w:r>
      <w:r w:rsidRPr="00FC1976">
        <w:rPr>
          <w:rFonts w:eastAsiaTheme="minorHAnsi"/>
          <w:lang w:val="en-AU"/>
        </w:rPr>
        <w:t xml:space="preserve">the local regional dialysis service in order to </w:t>
      </w:r>
      <w:r w:rsidR="00493A8A" w:rsidRPr="00FC1976">
        <w:rPr>
          <w:rFonts w:eastAsiaTheme="minorHAnsi"/>
          <w:lang w:val="en-AU"/>
        </w:rPr>
        <w:t>maintain</w:t>
      </w:r>
      <w:r w:rsidR="008E0B0C" w:rsidRPr="00FC1976">
        <w:rPr>
          <w:rFonts w:eastAsiaTheme="minorHAnsi"/>
          <w:lang w:val="en-AU"/>
        </w:rPr>
        <w:t xml:space="preserve"> the</w:t>
      </w:r>
      <w:r w:rsidRPr="00FC1976">
        <w:rPr>
          <w:rFonts w:eastAsiaTheme="minorHAnsi"/>
          <w:lang w:val="en-AU"/>
        </w:rPr>
        <w:t xml:space="preserve"> connection between the patient and </w:t>
      </w:r>
      <w:r w:rsidR="00BD4C5C">
        <w:rPr>
          <w:rFonts w:eastAsiaTheme="minorHAnsi"/>
          <w:lang w:val="en-AU"/>
        </w:rPr>
        <w:t>his or her</w:t>
      </w:r>
      <w:r w:rsidR="00BD4C5C" w:rsidRPr="00FC1976">
        <w:rPr>
          <w:rFonts w:eastAsiaTheme="minorHAnsi"/>
          <w:lang w:val="en-AU"/>
        </w:rPr>
        <w:t xml:space="preserve"> </w:t>
      </w:r>
      <w:r w:rsidRPr="00FC1976">
        <w:rPr>
          <w:rFonts w:eastAsiaTheme="minorHAnsi"/>
          <w:lang w:val="en-AU"/>
        </w:rPr>
        <w:t xml:space="preserve">local renal unit. This </w:t>
      </w:r>
      <w:r w:rsidR="00F16CC3" w:rsidRPr="00FC1976">
        <w:rPr>
          <w:rFonts w:eastAsiaTheme="minorHAnsi"/>
          <w:lang w:val="en-AU"/>
        </w:rPr>
        <w:t xml:space="preserve">ensures that </w:t>
      </w:r>
      <w:r w:rsidRPr="00FC1976">
        <w:rPr>
          <w:rFonts w:eastAsiaTheme="minorHAnsi"/>
          <w:lang w:val="en-AU"/>
        </w:rPr>
        <w:t xml:space="preserve">holistic care is provided for the patient across the complete patient journey, </w:t>
      </w:r>
      <w:r w:rsidR="00AD4066" w:rsidRPr="00FC1976">
        <w:rPr>
          <w:rFonts w:eastAsiaTheme="minorHAnsi"/>
          <w:lang w:val="en-AU"/>
        </w:rPr>
        <w:t>including</w:t>
      </w:r>
      <w:r w:rsidRPr="00FC1976">
        <w:rPr>
          <w:rFonts w:eastAsiaTheme="minorHAnsi"/>
          <w:lang w:val="en-AU"/>
        </w:rPr>
        <w:t xml:space="preserve"> continuity of care during hospitali</w:t>
      </w:r>
      <w:r w:rsidR="007F052C" w:rsidRPr="00FC1976">
        <w:rPr>
          <w:rFonts w:eastAsiaTheme="minorHAnsi"/>
          <w:lang w:val="en-AU"/>
        </w:rPr>
        <w:t>s</w:t>
      </w:r>
      <w:r w:rsidRPr="00FC1976">
        <w:rPr>
          <w:rFonts w:eastAsiaTheme="minorHAnsi"/>
          <w:lang w:val="en-AU"/>
        </w:rPr>
        <w:t xml:space="preserve">ation and acute episodes. </w:t>
      </w:r>
    </w:p>
    <w:p w14:paraId="0B41ED0E" w14:textId="77777777" w:rsidR="00444B95" w:rsidRPr="00FC1976" w:rsidRDefault="00444B95" w:rsidP="00E15A50">
      <w:pPr>
        <w:pStyle w:val="01squarebullet"/>
        <w:rPr>
          <w:rFonts w:eastAsiaTheme="minorHAnsi"/>
          <w:lang w:val="en-AU"/>
        </w:rPr>
      </w:pPr>
      <w:r w:rsidRPr="00FC1976">
        <w:rPr>
          <w:rFonts w:eastAsiaTheme="minorHAnsi"/>
          <w:lang w:val="en-AU"/>
        </w:rPr>
        <w:t xml:space="preserve">The Committee agreed that </w:t>
      </w:r>
      <w:r w:rsidR="002E454D">
        <w:rPr>
          <w:rFonts w:eastAsiaTheme="minorHAnsi"/>
          <w:lang w:val="en-AU"/>
        </w:rPr>
        <w:t xml:space="preserve">the </w:t>
      </w:r>
      <w:r w:rsidRPr="00FC1976">
        <w:rPr>
          <w:rFonts w:eastAsiaTheme="minorHAnsi"/>
          <w:lang w:val="en-AU"/>
        </w:rPr>
        <w:t xml:space="preserve">review of a patient by the local regional dialysis unit could occur physically or via a teleconsultation. This is because some very remote areas are more than 500km from a local regional dialysis unit, and </w:t>
      </w:r>
      <w:r w:rsidR="0018076C">
        <w:rPr>
          <w:rFonts w:eastAsiaTheme="minorHAnsi"/>
          <w:lang w:val="en-AU"/>
        </w:rPr>
        <w:t>the Committee</w:t>
      </w:r>
      <w:r w:rsidRPr="00FC1976">
        <w:rPr>
          <w:rFonts w:eastAsiaTheme="minorHAnsi"/>
          <w:lang w:val="en-AU"/>
        </w:rPr>
        <w:t xml:space="preserve"> felt that a teleconsultation may be appropriate</w:t>
      </w:r>
      <w:r w:rsidR="003D4C82">
        <w:rPr>
          <w:rFonts w:eastAsiaTheme="minorHAnsi"/>
          <w:lang w:val="en-AU"/>
        </w:rPr>
        <w:t xml:space="preserve"> if a patient is stable.</w:t>
      </w:r>
    </w:p>
    <w:p w14:paraId="7B2FD6B9" w14:textId="1F181400" w:rsidR="00444B95" w:rsidRPr="00FC1976" w:rsidRDefault="00146161" w:rsidP="00E15A50">
      <w:pPr>
        <w:pStyle w:val="01squarebullet"/>
        <w:rPr>
          <w:lang w:val="en-AU"/>
        </w:rPr>
      </w:pPr>
      <w:r w:rsidRPr="00FC1976">
        <w:rPr>
          <w:lang w:val="en-AU"/>
        </w:rPr>
        <w:t xml:space="preserve">The Committee </w:t>
      </w:r>
      <w:r w:rsidR="00444B95" w:rsidRPr="00FC1976">
        <w:rPr>
          <w:lang w:val="en-AU"/>
        </w:rPr>
        <w:t>recommend</w:t>
      </w:r>
      <w:r w:rsidR="00A91167">
        <w:rPr>
          <w:lang w:val="en-AU"/>
        </w:rPr>
        <w:t>ed</w:t>
      </w:r>
      <w:r w:rsidRPr="00FC1976">
        <w:rPr>
          <w:lang w:val="en-AU"/>
        </w:rPr>
        <w:t xml:space="preserve"> using</w:t>
      </w:r>
      <w:r w:rsidR="00444B95" w:rsidRPr="00FC1976">
        <w:rPr>
          <w:lang w:val="en-AU"/>
        </w:rPr>
        <w:t xml:space="preserve"> the </w:t>
      </w:r>
      <w:r w:rsidR="00BD457C" w:rsidRPr="00FC1976">
        <w:rPr>
          <w:lang w:val="en-AU"/>
        </w:rPr>
        <w:t>MMM</w:t>
      </w:r>
      <w:r w:rsidR="00444B95" w:rsidRPr="00FC1976">
        <w:rPr>
          <w:lang w:val="en-AU"/>
        </w:rPr>
        <w:t xml:space="preserve"> </w:t>
      </w:r>
      <w:r w:rsidRPr="00FC1976">
        <w:rPr>
          <w:lang w:val="en-AU"/>
        </w:rPr>
        <w:t>as it is the latest standard, with the understanding that the Department of Human Services</w:t>
      </w:r>
      <w:r w:rsidR="007F0579">
        <w:rPr>
          <w:lang w:val="en-AU"/>
        </w:rPr>
        <w:t xml:space="preserve"> (DHS)</w:t>
      </w:r>
      <w:r w:rsidRPr="00FC1976">
        <w:rPr>
          <w:lang w:val="en-AU"/>
        </w:rPr>
        <w:t xml:space="preserve"> and the </w:t>
      </w:r>
      <w:r w:rsidR="00BD457C" w:rsidRPr="00FC1976">
        <w:rPr>
          <w:lang w:val="en-AU"/>
        </w:rPr>
        <w:t>ABS</w:t>
      </w:r>
      <w:r w:rsidRPr="00FC1976">
        <w:rPr>
          <w:lang w:val="en-AU"/>
        </w:rPr>
        <w:t xml:space="preserve"> will adopt this standard over time. </w:t>
      </w:r>
      <w:r w:rsidR="003727F4" w:rsidRPr="00FC1976">
        <w:rPr>
          <w:lang w:val="en-AU"/>
        </w:rPr>
        <w:t xml:space="preserve">Although estimates in </w:t>
      </w:r>
      <w:r w:rsidR="004D68DE" w:rsidRPr="00FC1976">
        <w:rPr>
          <w:lang w:val="en-AU"/>
        </w:rPr>
        <w:fldChar w:fldCharType="begin"/>
      </w:r>
      <w:r w:rsidR="004D68DE" w:rsidRPr="00FC1976">
        <w:rPr>
          <w:lang w:val="en-AU"/>
        </w:rPr>
        <w:instrText xml:space="preserve"> REF _Ref457308602 \h </w:instrText>
      </w:r>
      <w:r w:rsidR="004D68DE" w:rsidRPr="00FC1976">
        <w:rPr>
          <w:lang w:val="en-AU"/>
        </w:rPr>
      </w:r>
      <w:r w:rsidR="004D68DE" w:rsidRPr="00FC1976">
        <w:rPr>
          <w:lang w:val="en-AU"/>
        </w:rPr>
        <w:fldChar w:fldCharType="separate"/>
      </w:r>
      <w:r w:rsidR="00D17FB0" w:rsidRPr="00FC1976">
        <w:rPr>
          <w:lang w:val="en-AU"/>
        </w:rPr>
        <w:t xml:space="preserve">Table </w:t>
      </w:r>
      <w:r w:rsidR="00D17FB0">
        <w:rPr>
          <w:noProof/>
          <w:lang w:val="en-AU"/>
        </w:rPr>
        <w:t>2</w:t>
      </w:r>
      <w:r w:rsidR="004D68DE" w:rsidRPr="00FC1976">
        <w:rPr>
          <w:lang w:val="en-AU"/>
        </w:rPr>
        <w:fldChar w:fldCharType="end"/>
      </w:r>
      <w:r w:rsidR="004D68DE" w:rsidRPr="00FC1976">
        <w:rPr>
          <w:lang w:val="en-AU"/>
        </w:rPr>
        <w:t xml:space="preserve"> </w:t>
      </w:r>
      <w:r w:rsidR="003727F4" w:rsidRPr="00FC1976">
        <w:rPr>
          <w:lang w:val="en-AU"/>
        </w:rPr>
        <w:t xml:space="preserve">(above) have been taken using ABS data, the Committee did not regard this as a serious issue as it noted that both </w:t>
      </w:r>
      <w:r w:rsidR="00444B95" w:rsidRPr="00FC1976">
        <w:rPr>
          <w:lang w:val="en-AU"/>
        </w:rPr>
        <w:t xml:space="preserve">the </w:t>
      </w:r>
      <w:r w:rsidR="00BD457C" w:rsidRPr="00FC1976">
        <w:rPr>
          <w:lang w:val="en-AU"/>
        </w:rPr>
        <w:t>MMM</w:t>
      </w:r>
      <w:r w:rsidR="00444B95" w:rsidRPr="00FC1976">
        <w:rPr>
          <w:lang w:val="en-AU"/>
        </w:rPr>
        <w:t xml:space="preserve"> and </w:t>
      </w:r>
      <w:r w:rsidR="003727F4" w:rsidRPr="00FC1976">
        <w:rPr>
          <w:lang w:val="en-AU"/>
        </w:rPr>
        <w:t xml:space="preserve">the 2011 </w:t>
      </w:r>
      <w:r w:rsidR="00444B95" w:rsidRPr="00FC1976">
        <w:rPr>
          <w:lang w:val="en-AU"/>
        </w:rPr>
        <w:t xml:space="preserve">ABS </w:t>
      </w:r>
      <w:r w:rsidR="003727F4" w:rsidRPr="00FC1976">
        <w:rPr>
          <w:lang w:val="en-AU"/>
        </w:rPr>
        <w:t xml:space="preserve">census </w:t>
      </w:r>
      <w:r w:rsidR="00444B95" w:rsidRPr="00FC1976">
        <w:rPr>
          <w:lang w:val="en-AU"/>
        </w:rPr>
        <w:t>data draw on the</w:t>
      </w:r>
      <w:r w:rsidR="003727F4" w:rsidRPr="00FC1976">
        <w:rPr>
          <w:lang w:val="en-AU"/>
        </w:rPr>
        <w:t xml:space="preserve"> same</w:t>
      </w:r>
      <w:r w:rsidR="00444B95" w:rsidRPr="00FC1976">
        <w:rPr>
          <w:lang w:val="en-AU"/>
        </w:rPr>
        <w:t xml:space="preserve"> Australian Standard Geography Standard – Remoteness Areas (ASGS-RA)</w:t>
      </w:r>
      <w:r w:rsidR="003727F4" w:rsidRPr="00FC1976">
        <w:rPr>
          <w:lang w:val="en-AU"/>
        </w:rPr>
        <w:t xml:space="preserve">. </w:t>
      </w:r>
      <w:r w:rsidR="009179B1" w:rsidRPr="00FC1976">
        <w:rPr>
          <w:lang w:val="en-AU"/>
        </w:rPr>
        <w:t>T</w:t>
      </w:r>
      <w:r w:rsidR="003727F4" w:rsidRPr="00FC1976">
        <w:rPr>
          <w:lang w:val="en-AU"/>
        </w:rPr>
        <w:t xml:space="preserve">he Committee acknowledged that retrospective data may use an alternative model, and this should be considered when attempting to forecast usage. </w:t>
      </w:r>
    </w:p>
    <w:p w14:paraId="754D7097" w14:textId="77777777" w:rsidR="00820C48" w:rsidRPr="00FC1976" w:rsidRDefault="00C725D3" w:rsidP="00082595">
      <w:pPr>
        <w:pStyle w:val="Heading2"/>
        <w:rPr>
          <w:lang w:val="en-AU"/>
        </w:rPr>
      </w:pPr>
      <w:bookmarkStart w:id="87" w:name="_Toc459996814"/>
      <w:bookmarkStart w:id="88" w:name="_Toc458167002"/>
      <w:bookmarkStart w:id="89" w:name="_Toc467668957"/>
      <w:r w:rsidRPr="00FC1976">
        <w:rPr>
          <w:lang w:val="en-AU"/>
        </w:rPr>
        <w:t>Medical</w:t>
      </w:r>
      <w:r w:rsidR="00BF18D3" w:rsidRPr="00FC1976">
        <w:rPr>
          <w:lang w:val="en-AU"/>
        </w:rPr>
        <w:t xml:space="preserve"> </w:t>
      </w:r>
      <w:r w:rsidR="00AC3C6F" w:rsidRPr="00FC1976">
        <w:rPr>
          <w:lang w:val="en-AU"/>
        </w:rPr>
        <w:t>s</w:t>
      </w:r>
      <w:r w:rsidRPr="00FC1976">
        <w:rPr>
          <w:lang w:val="en-AU"/>
        </w:rPr>
        <w:t xml:space="preserve">upervision of </w:t>
      </w:r>
      <w:r w:rsidR="00AC3C6F" w:rsidRPr="00FC1976">
        <w:rPr>
          <w:lang w:val="en-AU"/>
        </w:rPr>
        <w:t>d</w:t>
      </w:r>
      <w:r w:rsidRPr="00FC1976">
        <w:rPr>
          <w:lang w:val="en-AU"/>
        </w:rPr>
        <w:t xml:space="preserve">ialysis </w:t>
      </w:r>
      <w:r w:rsidR="00D74FE5" w:rsidRPr="00FC1976">
        <w:rPr>
          <w:lang w:val="en-AU"/>
        </w:rPr>
        <w:t>items</w:t>
      </w:r>
      <w:bookmarkEnd w:id="87"/>
      <w:bookmarkEnd w:id="88"/>
      <w:r w:rsidR="00B87716">
        <w:rPr>
          <w:lang w:val="en-AU"/>
        </w:rPr>
        <w:t>: Items 13100 and 13103</w:t>
      </w:r>
      <w:bookmarkEnd w:id="89"/>
      <w:r w:rsidR="00D74FE5" w:rsidRPr="00FC1976">
        <w:rPr>
          <w:lang w:val="en-AU"/>
        </w:rPr>
        <w:t xml:space="preserve"> </w:t>
      </w:r>
    </w:p>
    <w:p w14:paraId="36E53496" w14:textId="6DC60E83" w:rsidR="00207450" w:rsidRPr="00FC1976" w:rsidRDefault="00207450" w:rsidP="00082595">
      <w:pPr>
        <w:pStyle w:val="Caption"/>
        <w:rPr>
          <w:lang w:val="en-AU"/>
        </w:rPr>
      </w:pPr>
      <w:bookmarkStart w:id="90" w:name="_Toc458167027"/>
      <w:bookmarkStart w:id="91" w:name="_Toc459971209"/>
      <w:bookmarkStart w:id="92" w:name="_Toc459996836"/>
      <w:bookmarkStart w:id="93" w:name="_Toc459891297"/>
      <w:bookmarkStart w:id="94" w:name="_Toc463984890"/>
      <w:r w:rsidRPr="00FC1976">
        <w:rPr>
          <w:lang w:val="en-AU"/>
        </w:rPr>
        <w:t xml:space="preserve">Table </w:t>
      </w:r>
      <w:r w:rsidR="002A3C45" w:rsidRPr="00FC1976">
        <w:rPr>
          <w:lang w:val="en-AU"/>
        </w:rPr>
        <w:fldChar w:fldCharType="begin"/>
      </w:r>
      <w:r w:rsidR="002A3C45" w:rsidRPr="00FC1976">
        <w:rPr>
          <w:lang w:val="en-AU"/>
        </w:rPr>
        <w:instrText xml:space="preserve"> SEQ Table \* ARABIC </w:instrText>
      </w:r>
      <w:r w:rsidR="002A3C45" w:rsidRPr="00FC1976">
        <w:rPr>
          <w:lang w:val="en-AU"/>
        </w:rPr>
        <w:fldChar w:fldCharType="separate"/>
      </w:r>
      <w:r w:rsidR="00D17FB0">
        <w:rPr>
          <w:noProof/>
          <w:lang w:val="en-AU"/>
        </w:rPr>
        <w:t>3</w:t>
      </w:r>
      <w:r w:rsidR="002A3C45" w:rsidRPr="00FC1976">
        <w:rPr>
          <w:lang w:val="en-AU"/>
        </w:rPr>
        <w:fldChar w:fldCharType="end"/>
      </w:r>
      <w:r w:rsidR="00C06153" w:rsidRPr="00FC1976">
        <w:rPr>
          <w:lang w:val="en-AU"/>
        </w:rPr>
        <w:t>:</w:t>
      </w:r>
      <w:r w:rsidR="00995C64" w:rsidRPr="00FC1976">
        <w:rPr>
          <w:lang w:val="en-AU"/>
        </w:rPr>
        <w:t xml:space="preserve"> Item introduction table for items</w:t>
      </w:r>
      <w:r w:rsidR="00C06153" w:rsidRPr="00FC1976">
        <w:rPr>
          <w:lang w:val="en-AU"/>
        </w:rPr>
        <w:t xml:space="preserve"> 13100 and 13103</w:t>
      </w:r>
      <w:bookmarkEnd w:id="90"/>
      <w:bookmarkEnd w:id="91"/>
      <w:bookmarkEnd w:id="92"/>
      <w:bookmarkEnd w:id="93"/>
      <w:bookmarkEnd w:id="94"/>
      <w:r w:rsidRPr="00FC1976">
        <w:rPr>
          <w:lang w:val="en-AU"/>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 shows the item introduction table for medical supervision of dialysis items 13100 and 13103. There are 6 columns: Column 1. List of items, Column 2. Descriptor, column 3. Schedule fee, column 4. Services for financial year 2014-15, column 5. Total benefits, and column 6. Percentage of the services average annual growth."/>
      </w:tblPr>
      <w:tblGrid>
        <w:gridCol w:w="597"/>
        <w:gridCol w:w="4190"/>
        <w:gridCol w:w="916"/>
        <w:gridCol w:w="996"/>
        <w:gridCol w:w="1127"/>
        <w:gridCol w:w="1190"/>
      </w:tblGrid>
      <w:tr w:rsidR="00802112" w:rsidRPr="00FC1976" w14:paraId="7F4F627F" w14:textId="77777777" w:rsidTr="00802112">
        <w:trPr>
          <w:tblHeader/>
        </w:trPr>
        <w:tc>
          <w:tcPr>
            <w:tcW w:w="597" w:type="dxa"/>
            <w:shd w:val="clear" w:color="auto" w:fill="F2F2F2" w:themeFill="background1" w:themeFillShade="F2"/>
            <w:vAlign w:val="bottom"/>
          </w:tcPr>
          <w:p w14:paraId="121F2F58" w14:textId="77777777" w:rsidR="00207450" w:rsidRPr="00FC1976" w:rsidRDefault="00207450" w:rsidP="005E1809">
            <w:pPr>
              <w:pStyle w:val="01Tableheaderrow"/>
              <w:rPr>
                <w:lang w:val="en-AU"/>
              </w:rPr>
            </w:pPr>
            <w:r w:rsidRPr="00FC1976">
              <w:rPr>
                <w:lang w:val="en-AU"/>
              </w:rPr>
              <w:t>Item</w:t>
            </w:r>
          </w:p>
        </w:tc>
        <w:tc>
          <w:tcPr>
            <w:tcW w:w="4190" w:type="dxa"/>
            <w:shd w:val="clear" w:color="auto" w:fill="F2F2F2" w:themeFill="background1" w:themeFillShade="F2"/>
            <w:vAlign w:val="bottom"/>
          </w:tcPr>
          <w:p w14:paraId="5167F612" w14:textId="77777777" w:rsidR="00207450" w:rsidRPr="00FC1976" w:rsidRDefault="00207450" w:rsidP="005E1809">
            <w:pPr>
              <w:pStyle w:val="01Tableheaderrow"/>
              <w:rPr>
                <w:lang w:val="en-AU"/>
              </w:rPr>
            </w:pPr>
            <w:r w:rsidRPr="00FC1976">
              <w:rPr>
                <w:lang w:val="en-AU"/>
              </w:rPr>
              <w:t>Descriptor</w:t>
            </w:r>
          </w:p>
        </w:tc>
        <w:tc>
          <w:tcPr>
            <w:tcW w:w="916" w:type="dxa"/>
            <w:shd w:val="clear" w:color="auto" w:fill="F2F2F2" w:themeFill="background1" w:themeFillShade="F2"/>
            <w:vAlign w:val="bottom"/>
          </w:tcPr>
          <w:p w14:paraId="1C57E5BC" w14:textId="77777777" w:rsidR="00207450" w:rsidRPr="00FC1976" w:rsidRDefault="00207450" w:rsidP="005E1809">
            <w:pPr>
              <w:pStyle w:val="01Tableheaderrow"/>
              <w:rPr>
                <w:lang w:val="en-AU"/>
              </w:rPr>
            </w:pPr>
            <w:r w:rsidRPr="00FC1976">
              <w:rPr>
                <w:lang w:val="en-AU"/>
              </w:rPr>
              <w:t>Schedule</w:t>
            </w:r>
          </w:p>
          <w:p w14:paraId="731524ED" w14:textId="77777777" w:rsidR="00207450" w:rsidRPr="00FC1976" w:rsidRDefault="00207450" w:rsidP="005E1809">
            <w:pPr>
              <w:pStyle w:val="01Tableheaderrow"/>
              <w:rPr>
                <w:lang w:val="en-AU"/>
              </w:rPr>
            </w:pPr>
            <w:r w:rsidRPr="00FC1976">
              <w:rPr>
                <w:lang w:val="en-AU"/>
              </w:rPr>
              <w:t>fee</w:t>
            </w:r>
          </w:p>
        </w:tc>
        <w:tc>
          <w:tcPr>
            <w:tcW w:w="996" w:type="dxa"/>
            <w:shd w:val="clear" w:color="auto" w:fill="F2F2F2" w:themeFill="background1" w:themeFillShade="F2"/>
            <w:vAlign w:val="bottom"/>
          </w:tcPr>
          <w:p w14:paraId="0D368AD1" w14:textId="77777777" w:rsidR="00207450" w:rsidRPr="00FC1976" w:rsidRDefault="00207450" w:rsidP="005E1809">
            <w:pPr>
              <w:pStyle w:val="01Tableheaderrow"/>
              <w:rPr>
                <w:lang w:val="en-AU"/>
              </w:rPr>
            </w:pPr>
            <w:r w:rsidRPr="00FC1976">
              <w:rPr>
                <w:lang w:val="en-AU"/>
              </w:rPr>
              <w:t>Services FY2014/15</w:t>
            </w:r>
          </w:p>
        </w:tc>
        <w:tc>
          <w:tcPr>
            <w:tcW w:w="1127" w:type="dxa"/>
            <w:shd w:val="clear" w:color="auto" w:fill="F2F2F2" w:themeFill="background1" w:themeFillShade="F2"/>
            <w:vAlign w:val="bottom"/>
          </w:tcPr>
          <w:p w14:paraId="00782B01" w14:textId="77777777" w:rsidR="00207450" w:rsidRPr="00FC1976" w:rsidRDefault="000D5AEE" w:rsidP="005E1809">
            <w:pPr>
              <w:pStyle w:val="01Tableheaderrow"/>
              <w:rPr>
                <w:lang w:val="en-AU"/>
              </w:rPr>
            </w:pPr>
            <w:r w:rsidRPr="00FC1976">
              <w:rPr>
                <w:lang w:val="en-AU"/>
              </w:rPr>
              <w:t>Total benefits</w:t>
            </w:r>
          </w:p>
        </w:tc>
        <w:tc>
          <w:tcPr>
            <w:tcW w:w="1190" w:type="dxa"/>
            <w:shd w:val="clear" w:color="auto" w:fill="F2F2F2" w:themeFill="background1" w:themeFillShade="F2"/>
            <w:vAlign w:val="bottom"/>
          </w:tcPr>
          <w:p w14:paraId="1D1665E2" w14:textId="77777777" w:rsidR="00207450" w:rsidRPr="00FC1976" w:rsidRDefault="000D5AEE" w:rsidP="005E1809">
            <w:pPr>
              <w:pStyle w:val="01Tableheaderrow"/>
              <w:rPr>
                <w:lang w:val="en-AU"/>
              </w:rPr>
            </w:pPr>
            <w:r w:rsidRPr="00FC1976">
              <w:rPr>
                <w:lang w:val="en-AU"/>
              </w:rPr>
              <w:t>Services average annual growth</w:t>
            </w:r>
          </w:p>
        </w:tc>
      </w:tr>
      <w:tr w:rsidR="00B2385D" w:rsidRPr="00FC1976" w14:paraId="18366A07" w14:textId="77777777" w:rsidTr="00802112">
        <w:tc>
          <w:tcPr>
            <w:tcW w:w="597" w:type="dxa"/>
          </w:tcPr>
          <w:p w14:paraId="23828DD9" w14:textId="77777777" w:rsidR="00B2385D" w:rsidRPr="00FC1976" w:rsidRDefault="00B2385D" w:rsidP="005E1809">
            <w:pPr>
              <w:pStyle w:val="02Tabletext"/>
              <w:rPr>
                <w:lang w:val="en-AU"/>
              </w:rPr>
            </w:pPr>
            <w:r w:rsidRPr="00FC1976">
              <w:rPr>
                <w:lang w:val="en-AU"/>
              </w:rPr>
              <w:t xml:space="preserve">13100 </w:t>
            </w:r>
          </w:p>
        </w:tc>
        <w:tc>
          <w:tcPr>
            <w:tcW w:w="4190" w:type="dxa"/>
          </w:tcPr>
          <w:p w14:paraId="628888AF" w14:textId="77777777" w:rsidR="00B2385D" w:rsidRPr="00FC1976" w:rsidRDefault="00B2385D" w:rsidP="005E1809">
            <w:pPr>
              <w:pStyle w:val="02Tabletext"/>
              <w:rPr>
                <w:lang w:val="en-AU"/>
              </w:rPr>
            </w:pPr>
            <w:r w:rsidRPr="00FC1976">
              <w:rPr>
                <w:lang w:val="en-AU"/>
              </w:rPr>
              <w:t>S</w:t>
            </w:r>
            <w:r w:rsidR="00BE47B3" w:rsidRPr="00FC1976">
              <w:rPr>
                <w:lang w:val="en-AU"/>
              </w:rPr>
              <w:t xml:space="preserve">upervision in hospital </w:t>
            </w:r>
            <w:r w:rsidRPr="00FC1976">
              <w:rPr>
                <w:lang w:val="en-AU"/>
              </w:rPr>
              <w:t>by a medical specialist of</w:t>
            </w:r>
            <w:r w:rsidR="00FB150F" w:rsidRPr="00FC1976">
              <w:rPr>
                <w:lang w:val="en-AU"/>
              </w:rPr>
              <w:t xml:space="preserve"> </w:t>
            </w:r>
            <w:r w:rsidRPr="00FC1976">
              <w:rPr>
                <w:lang w:val="en-AU"/>
              </w:rPr>
              <w:t>haemodialysis, haemofiltration, haemoperfusion or peritoneal dialysis, including all professional attendances, where the total attendance time on the patient by the supervising medical specialist exceeds 45 minutes in one day</w:t>
            </w:r>
            <w:r w:rsidR="009942AE" w:rsidRPr="00FC1976">
              <w:rPr>
                <w:lang w:val="en-AU"/>
              </w:rPr>
              <w:t>.</w:t>
            </w:r>
          </w:p>
        </w:tc>
        <w:tc>
          <w:tcPr>
            <w:tcW w:w="916" w:type="dxa"/>
          </w:tcPr>
          <w:p w14:paraId="2AF08D06" w14:textId="77777777" w:rsidR="00B2385D" w:rsidRPr="00FC1976" w:rsidRDefault="00B2385D" w:rsidP="005E1809">
            <w:pPr>
              <w:pStyle w:val="02Tabletext"/>
              <w:rPr>
                <w:lang w:val="en-AU"/>
              </w:rPr>
            </w:pPr>
            <w:r w:rsidRPr="00FC1976">
              <w:rPr>
                <w:lang w:val="en-AU"/>
              </w:rPr>
              <w:t>$136.65</w:t>
            </w:r>
          </w:p>
        </w:tc>
        <w:tc>
          <w:tcPr>
            <w:tcW w:w="996" w:type="dxa"/>
          </w:tcPr>
          <w:p w14:paraId="695EE4C9" w14:textId="77777777" w:rsidR="00B2385D" w:rsidRPr="00FC1976" w:rsidRDefault="00B2385D" w:rsidP="005E1809">
            <w:pPr>
              <w:pStyle w:val="02Tabletext"/>
              <w:rPr>
                <w:lang w:val="en-AU"/>
              </w:rPr>
            </w:pPr>
            <w:r w:rsidRPr="00FC1976">
              <w:rPr>
                <w:lang w:val="en-AU"/>
              </w:rPr>
              <w:t>1,049</w:t>
            </w:r>
          </w:p>
        </w:tc>
        <w:tc>
          <w:tcPr>
            <w:tcW w:w="1127" w:type="dxa"/>
          </w:tcPr>
          <w:p w14:paraId="787BE967" w14:textId="77777777" w:rsidR="00B2385D" w:rsidRPr="00FC1976" w:rsidRDefault="00B2385D" w:rsidP="005E1809">
            <w:pPr>
              <w:pStyle w:val="02Tabletext"/>
              <w:rPr>
                <w:lang w:val="en-AU"/>
              </w:rPr>
            </w:pPr>
            <w:r w:rsidRPr="00FC1976">
              <w:rPr>
                <w:lang w:val="en-AU"/>
              </w:rPr>
              <w:t xml:space="preserve">$107,513 </w:t>
            </w:r>
          </w:p>
        </w:tc>
        <w:tc>
          <w:tcPr>
            <w:tcW w:w="1190" w:type="dxa"/>
          </w:tcPr>
          <w:p w14:paraId="44B61452" w14:textId="77777777" w:rsidR="00B2385D" w:rsidRPr="00FC1976" w:rsidRDefault="00B2385D" w:rsidP="005E1809">
            <w:pPr>
              <w:pStyle w:val="02Tabletext"/>
              <w:rPr>
                <w:lang w:val="en-AU"/>
              </w:rPr>
            </w:pPr>
            <w:r w:rsidRPr="00FC1976">
              <w:rPr>
                <w:lang w:val="en-AU"/>
              </w:rPr>
              <w:t>-18.6%</w:t>
            </w:r>
          </w:p>
        </w:tc>
      </w:tr>
      <w:tr w:rsidR="00B2385D" w:rsidRPr="00FC1976" w14:paraId="227AB165" w14:textId="77777777" w:rsidTr="00802112">
        <w:trPr>
          <w:cantSplit/>
        </w:trPr>
        <w:tc>
          <w:tcPr>
            <w:tcW w:w="597" w:type="dxa"/>
          </w:tcPr>
          <w:p w14:paraId="7A8E5905" w14:textId="77777777" w:rsidR="00B2385D" w:rsidRPr="00FC1976" w:rsidRDefault="00B2385D" w:rsidP="005E1809">
            <w:pPr>
              <w:pStyle w:val="02Tabletext"/>
              <w:rPr>
                <w:lang w:val="en-AU"/>
              </w:rPr>
            </w:pPr>
            <w:r w:rsidRPr="00FC1976">
              <w:rPr>
                <w:lang w:val="en-AU"/>
              </w:rPr>
              <w:t>13103</w:t>
            </w:r>
          </w:p>
        </w:tc>
        <w:tc>
          <w:tcPr>
            <w:tcW w:w="4190" w:type="dxa"/>
          </w:tcPr>
          <w:p w14:paraId="41FA03C9" w14:textId="77777777" w:rsidR="00B2385D" w:rsidRPr="00FC1976" w:rsidRDefault="00B2385D" w:rsidP="005E1809">
            <w:pPr>
              <w:pStyle w:val="02Tabletext"/>
              <w:rPr>
                <w:lang w:val="en-AU"/>
              </w:rPr>
            </w:pPr>
            <w:r w:rsidRPr="00FC1976">
              <w:rPr>
                <w:shd w:val="clear" w:color="auto" w:fill="FBFBFB"/>
                <w:lang w:val="en-AU"/>
              </w:rPr>
              <w:t>S</w:t>
            </w:r>
            <w:r w:rsidR="009942AE" w:rsidRPr="00FC1976">
              <w:rPr>
                <w:shd w:val="clear" w:color="auto" w:fill="FBFBFB"/>
                <w:lang w:val="en-AU"/>
              </w:rPr>
              <w:t xml:space="preserve">upervision in hospital </w:t>
            </w:r>
            <w:r w:rsidRPr="00FC1976">
              <w:rPr>
                <w:shd w:val="clear" w:color="auto" w:fill="FBFBFB"/>
                <w:lang w:val="en-AU"/>
              </w:rPr>
              <w:t>by a medical specialist of</w:t>
            </w:r>
            <w:r w:rsidR="00FB150F" w:rsidRPr="00FC1976">
              <w:rPr>
                <w:shd w:val="clear" w:color="auto" w:fill="FBFBFB"/>
                <w:lang w:val="en-AU"/>
              </w:rPr>
              <w:t xml:space="preserve"> </w:t>
            </w:r>
            <w:r w:rsidRPr="00FC1976">
              <w:rPr>
                <w:shd w:val="clear" w:color="auto" w:fill="FBFBFB"/>
                <w:lang w:val="en-AU"/>
              </w:rPr>
              <w:t>haemodialysis, haemofiltration, haemoperfusion or peritoneal dialysis, including all professional attendances, where the total attendance time on the patient by the supervising medical specialist does not exceed 45 minutes in 1 day</w:t>
            </w:r>
            <w:r w:rsidR="00A1515C" w:rsidRPr="00FC1976">
              <w:rPr>
                <w:shd w:val="clear" w:color="auto" w:fill="FBFBFB"/>
                <w:lang w:val="en-AU"/>
              </w:rPr>
              <w:t>.</w:t>
            </w:r>
          </w:p>
        </w:tc>
        <w:tc>
          <w:tcPr>
            <w:tcW w:w="916" w:type="dxa"/>
          </w:tcPr>
          <w:p w14:paraId="2F70104F" w14:textId="77777777" w:rsidR="00B2385D" w:rsidRPr="00FC1976" w:rsidRDefault="00B2385D" w:rsidP="005E1809">
            <w:pPr>
              <w:pStyle w:val="02Tabletext"/>
              <w:rPr>
                <w:shd w:val="clear" w:color="auto" w:fill="FBFBFB"/>
                <w:lang w:val="en-AU"/>
              </w:rPr>
            </w:pPr>
            <w:r w:rsidRPr="00FC1976">
              <w:rPr>
                <w:shd w:val="clear" w:color="auto" w:fill="FBFBFB"/>
                <w:lang w:val="en-AU"/>
              </w:rPr>
              <w:t>$71.20</w:t>
            </w:r>
          </w:p>
        </w:tc>
        <w:tc>
          <w:tcPr>
            <w:tcW w:w="996" w:type="dxa"/>
          </w:tcPr>
          <w:p w14:paraId="792E7BD1" w14:textId="77777777" w:rsidR="00B2385D" w:rsidRPr="00FC1976" w:rsidRDefault="00B2385D" w:rsidP="005E1809">
            <w:pPr>
              <w:pStyle w:val="02Tabletext"/>
              <w:rPr>
                <w:shd w:val="clear" w:color="auto" w:fill="FBFBFB"/>
                <w:lang w:val="en-AU"/>
              </w:rPr>
            </w:pPr>
            <w:r w:rsidRPr="00FC1976">
              <w:rPr>
                <w:shd w:val="clear" w:color="auto" w:fill="FBFBFB"/>
                <w:lang w:val="en-AU"/>
              </w:rPr>
              <w:t>77,200</w:t>
            </w:r>
          </w:p>
        </w:tc>
        <w:tc>
          <w:tcPr>
            <w:tcW w:w="1127" w:type="dxa"/>
          </w:tcPr>
          <w:p w14:paraId="0750E7F5" w14:textId="77777777" w:rsidR="00B2385D" w:rsidRPr="00FC1976" w:rsidRDefault="00B2385D" w:rsidP="005E1809">
            <w:pPr>
              <w:pStyle w:val="02Tabletext"/>
              <w:rPr>
                <w:shd w:val="clear" w:color="auto" w:fill="FBFBFB"/>
                <w:lang w:val="en-AU"/>
              </w:rPr>
            </w:pPr>
            <w:r w:rsidRPr="00FC1976">
              <w:rPr>
                <w:shd w:val="clear" w:color="auto" w:fill="FBFBFB"/>
                <w:lang w:val="en-AU"/>
              </w:rPr>
              <w:t>$4,162,558</w:t>
            </w:r>
          </w:p>
        </w:tc>
        <w:tc>
          <w:tcPr>
            <w:tcW w:w="1190" w:type="dxa"/>
          </w:tcPr>
          <w:p w14:paraId="45DF4C30" w14:textId="77777777" w:rsidR="00B2385D" w:rsidRPr="00FC1976" w:rsidRDefault="00B2385D" w:rsidP="005E1809">
            <w:pPr>
              <w:pStyle w:val="02Tabletext"/>
              <w:rPr>
                <w:shd w:val="clear" w:color="auto" w:fill="FBFBFB"/>
                <w:lang w:val="en-AU"/>
              </w:rPr>
            </w:pPr>
            <w:r w:rsidRPr="00FC1976">
              <w:rPr>
                <w:shd w:val="clear" w:color="auto" w:fill="FBFBFB"/>
                <w:lang w:val="en-AU"/>
              </w:rPr>
              <w:t>8.1%</w:t>
            </w:r>
          </w:p>
        </w:tc>
      </w:tr>
    </w:tbl>
    <w:p w14:paraId="57F42F01" w14:textId="77777777" w:rsidR="00207450" w:rsidRPr="00FC1976" w:rsidRDefault="00207450" w:rsidP="00EE7BD8">
      <w:pPr>
        <w:pStyle w:val="H3"/>
      </w:pPr>
      <w:r w:rsidRPr="00FC1976">
        <w:t>Recommendation</w:t>
      </w:r>
      <w:r w:rsidR="00024FB5">
        <w:t>s</w:t>
      </w:r>
      <w:r w:rsidRPr="00FC1976">
        <w:t xml:space="preserve"> </w:t>
      </w:r>
    </w:p>
    <w:p w14:paraId="4DBC25DC" w14:textId="77777777" w:rsidR="00ED6CCD" w:rsidRPr="00FC1976" w:rsidRDefault="007F3401" w:rsidP="00E15A50">
      <w:pPr>
        <w:pStyle w:val="01squarebullet"/>
        <w:rPr>
          <w:lang w:val="en-AU"/>
        </w:rPr>
      </w:pPr>
      <w:r w:rsidRPr="00FC1976">
        <w:rPr>
          <w:lang w:val="en-AU"/>
        </w:rPr>
        <w:t xml:space="preserve">Replace </w:t>
      </w:r>
      <w:r w:rsidR="00ED6CCD" w:rsidRPr="00FC1976">
        <w:rPr>
          <w:lang w:val="en-AU"/>
        </w:rPr>
        <w:t>items 1</w:t>
      </w:r>
      <w:r w:rsidR="001D7927" w:rsidRPr="00FC1976">
        <w:rPr>
          <w:lang w:val="en-AU"/>
        </w:rPr>
        <w:t>3100 and 13103 with</w:t>
      </w:r>
      <w:r w:rsidR="00ED6CCD" w:rsidRPr="00FC1976">
        <w:rPr>
          <w:lang w:val="en-AU"/>
        </w:rPr>
        <w:t xml:space="preserve"> new item 1310X</w:t>
      </w:r>
      <w:r w:rsidR="002C5B4C" w:rsidRPr="00FC1976">
        <w:rPr>
          <w:lang w:val="en-AU"/>
        </w:rPr>
        <w:t>—</w:t>
      </w:r>
      <w:r w:rsidR="00ED6CCD" w:rsidRPr="00FC1976">
        <w:rPr>
          <w:lang w:val="en-AU"/>
        </w:rPr>
        <w:t xml:space="preserve">a </w:t>
      </w:r>
      <w:r w:rsidR="009057B1">
        <w:rPr>
          <w:lang w:val="en-AU"/>
        </w:rPr>
        <w:t>consolidated item</w:t>
      </w:r>
      <w:r w:rsidR="009057B1" w:rsidRPr="00FC1976">
        <w:rPr>
          <w:lang w:val="en-AU"/>
        </w:rPr>
        <w:t xml:space="preserve"> </w:t>
      </w:r>
      <w:r w:rsidR="009057B1">
        <w:rPr>
          <w:lang w:val="en-AU"/>
        </w:rPr>
        <w:t xml:space="preserve">claimed </w:t>
      </w:r>
      <w:r w:rsidR="00ED6CCD" w:rsidRPr="00FC1976">
        <w:rPr>
          <w:lang w:val="en-AU"/>
        </w:rPr>
        <w:t>weekly for care of a dialysis patient</w:t>
      </w:r>
      <w:r w:rsidR="00AC6779">
        <w:rPr>
          <w:lang w:val="en-AU"/>
        </w:rPr>
        <w:t>—</w:t>
      </w:r>
      <w:r w:rsidR="00A7421E" w:rsidRPr="00FC1976">
        <w:rPr>
          <w:lang w:val="en-AU"/>
        </w:rPr>
        <w:t>on a 1</w:t>
      </w:r>
      <w:r w:rsidR="00C76F89">
        <w:rPr>
          <w:lang w:val="en-AU"/>
        </w:rPr>
        <w:t>2</w:t>
      </w:r>
      <w:r w:rsidR="00AB52B6">
        <w:rPr>
          <w:lang w:val="en-AU"/>
        </w:rPr>
        <w:t>-</w:t>
      </w:r>
      <w:r w:rsidR="009057B1">
        <w:rPr>
          <w:lang w:val="en-AU"/>
        </w:rPr>
        <w:t xml:space="preserve"> </w:t>
      </w:r>
      <w:r w:rsidR="00B413C7">
        <w:rPr>
          <w:lang w:val="en-AU"/>
        </w:rPr>
        <w:t xml:space="preserve">to </w:t>
      </w:r>
      <w:r w:rsidR="006D18B2" w:rsidRPr="00FC1976">
        <w:rPr>
          <w:lang w:val="en-AU"/>
        </w:rPr>
        <w:t>24</w:t>
      </w:r>
      <w:r w:rsidR="00B413C7">
        <w:rPr>
          <w:lang w:val="en-AU"/>
        </w:rPr>
        <w:t>-</w:t>
      </w:r>
      <w:r w:rsidR="00A7421E" w:rsidRPr="00FC1976">
        <w:rPr>
          <w:lang w:val="en-AU"/>
        </w:rPr>
        <w:t>month trial basis</w:t>
      </w:r>
      <w:r w:rsidR="002144C0">
        <w:rPr>
          <w:lang w:val="en-AU"/>
        </w:rPr>
        <w:t>,</w:t>
      </w:r>
      <w:r w:rsidR="00A7421E" w:rsidRPr="00FC1976">
        <w:rPr>
          <w:lang w:val="en-AU"/>
        </w:rPr>
        <w:t xml:space="preserve"> with</w:t>
      </w:r>
      <w:r w:rsidR="006D18B2" w:rsidRPr="00FC1976">
        <w:rPr>
          <w:lang w:val="en-AU"/>
        </w:rPr>
        <w:t xml:space="preserve"> defined objectives,</w:t>
      </w:r>
      <w:r w:rsidR="00A7421E" w:rsidRPr="00FC1976">
        <w:rPr>
          <w:lang w:val="en-AU"/>
        </w:rPr>
        <w:t xml:space="preserve"> a scheduled review and </w:t>
      </w:r>
      <w:r w:rsidR="00AB2E6B">
        <w:rPr>
          <w:lang w:val="en-AU"/>
        </w:rPr>
        <w:t xml:space="preserve">a </w:t>
      </w:r>
      <w:r w:rsidR="00A7421E" w:rsidRPr="00FC1976">
        <w:rPr>
          <w:lang w:val="en-AU"/>
        </w:rPr>
        <w:t xml:space="preserve">sunset clause. </w:t>
      </w:r>
      <w:r w:rsidR="00C7411D" w:rsidRPr="00FC1976">
        <w:rPr>
          <w:lang w:val="en-AU"/>
        </w:rPr>
        <w:t>The proposed d</w:t>
      </w:r>
      <w:r w:rsidR="00ED6CCD" w:rsidRPr="00FC1976">
        <w:rPr>
          <w:lang w:val="en-AU"/>
        </w:rPr>
        <w:t xml:space="preserve">escriptor </w:t>
      </w:r>
      <w:r w:rsidR="00C7411D" w:rsidRPr="00FC1976">
        <w:rPr>
          <w:lang w:val="en-AU"/>
        </w:rPr>
        <w:t xml:space="preserve">for this </w:t>
      </w:r>
      <w:r w:rsidR="00ED6CCD" w:rsidRPr="00FC1976">
        <w:rPr>
          <w:lang w:val="en-AU"/>
        </w:rPr>
        <w:t xml:space="preserve">item </w:t>
      </w:r>
      <w:r w:rsidR="00C7411D" w:rsidRPr="00FC1976">
        <w:rPr>
          <w:lang w:val="en-AU"/>
        </w:rPr>
        <w:t>is as follows</w:t>
      </w:r>
      <w:r w:rsidR="001D7927" w:rsidRPr="00FC1976">
        <w:rPr>
          <w:lang w:val="en-AU"/>
        </w:rPr>
        <w:t>:</w:t>
      </w:r>
    </w:p>
    <w:p w14:paraId="4605435C" w14:textId="77777777" w:rsidR="00ED6CCD" w:rsidRPr="00FC1976" w:rsidRDefault="00B95C1B" w:rsidP="008460E3">
      <w:pPr>
        <w:pStyle w:val="02dash"/>
        <w:rPr>
          <w:lang w:val="en-AU"/>
        </w:rPr>
      </w:pPr>
      <w:r>
        <w:rPr>
          <w:lang w:val="en-AU"/>
        </w:rPr>
        <w:t xml:space="preserve">Item </w:t>
      </w:r>
      <w:r w:rsidR="00ED6CCD" w:rsidRPr="00FC1976">
        <w:rPr>
          <w:lang w:val="en-AU"/>
        </w:rPr>
        <w:t>1310X: Sup</w:t>
      </w:r>
      <w:r w:rsidR="00ED6CCD" w:rsidRPr="008F0B94">
        <w:rPr>
          <w:lang w:val="en-AU"/>
        </w:rPr>
        <w:t xml:space="preserve">ervision </w:t>
      </w:r>
      <w:r w:rsidR="00433DA7" w:rsidRPr="008F0B94">
        <w:rPr>
          <w:lang w:val="en-AU"/>
        </w:rPr>
        <w:t>of</w:t>
      </w:r>
      <w:r w:rsidR="00200B49">
        <w:rPr>
          <w:lang w:val="en-AU"/>
        </w:rPr>
        <w:t xml:space="preserve"> </w:t>
      </w:r>
      <w:r w:rsidR="0046142B">
        <w:rPr>
          <w:lang w:val="en-AU"/>
        </w:rPr>
        <w:t xml:space="preserve">private </w:t>
      </w:r>
      <w:r w:rsidR="00433DA7" w:rsidRPr="008F0B94">
        <w:rPr>
          <w:lang w:val="en-AU"/>
        </w:rPr>
        <w:t xml:space="preserve">patient in a hospital or </w:t>
      </w:r>
      <w:r w:rsidR="00200B49">
        <w:rPr>
          <w:lang w:val="en-AU"/>
        </w:rPr>
        <w:t xml:space="preserve">dialysis </w:t>
      </w:r>
      <w:r w:rsidR="008F0B94" w:rsidRPr="008F0B94">
        <w:rPr>
          <w:lang w:val="en-AU"/>
        </w:rPr>
        <w:t>facility</w:t>
      </w:r>
      <w:r w:rsidR="00ED6CCD" w:rsidRPr="008F0B94">
        <w:rPr>
          <w:lang w:val="en-AU"/>
        </w:rPr>
        <w:t xml:space="preserve"> </w:t>
      </w:r>
      <w:r w:rsidR="00ED6CCD" w:rsidRPr="00FC1976">
        <w:rPr>
          <w:lang w:val="en-AU"/>
        </w:rPr>
        <w:t>by a consultant renal physician</w:t>
      </w:r>
      <w:r w:rsidR="00670465" w:rsidRPr="00FC1976">
        <w:rPr>
          <w:lang w:val="en-AU"/>
        </w:rPr>
        <w:t>,</w:t>
      </w:r>
      <w:r w:rsidR="00ED6CCD" w:rsidRPr="00FC1976">
        <w:rPr>
          <w:lang w:val="en-AU"/>
        </w:rPr>
        <w:t xml:space="preserve"> of haemodialysis/haemodiafiltration/ultrafiltration treatments occurring through the week including attendances in the dialysis unit for routine assessment of the dialysis treatment and the ongoing planning, care, and monitoring required between treatments as outlined in the explanatory notes.</w:t>
      </w:r>
    </w:p>
    <w:p w14:paraId="52F6037A" w14:textId="77777777" w:rsidR="000D03DB" w:rsidRPr="00FC1976" w:rsidRDefault="000D03DB" w:rsidP="008460E3">
      <w:pPr>
        <w:pStyle w:val="02dash"/>
        <w:numPr>
          <w:ilvl w:val="0"/>
          <w:numId w:val="0"/>
        </w:numPr>
        <w:ind w:left="644"/>
        <w:rPr>
          <w:lang w:val="en-AU"/>
        </w:rPr>
      </w:pPr>
      <w:r w:rsidRPr="00FC1976">
        <w:rPr>
          <w:lang w:val="en-AU"/>
        </w:rPr>
        <w:t>A record of the services provided by the claiming provider is to be maintained in the patient’s clinical notes.</w:t>
      </w:r>
    </w:p>
    <w:p w14:paraId="42F03E1B" w14:textId="77777777" w:rsidR="00EE4399" w:rsidRPr="00FC1976" w:rsidRDefault="000D03DB" w:rsidP="008460E3">
      <w:pPr>
        <w:pStyle w:val="02dash"/>
        <w:numPr>
          <w:ilvl w:val="0"/>
          <w:numId w:val="0"/>
        </w:numPr>
        <w:ind w:left="644"/>
        <w:rPr>
          <w:lang w:val="en-AU"/>
        </w:rPr>
      </w:pPr>
      <w:r w:rsidRPr="00FC1976">
        <w:rPr>
          <w:lang w:val="en-AU"/>
        </w:rPr>
        <w:t>Claimable</w:t>
      </w:r>
      <w:r w:rsidR="00CD0B32" w:rsidRPr="00FC1976">
        <w:rPr>
          <w:lang w:val="en-AU"/>
        </w:rPr>
        <w:t xml:space="preserve"> only</w:t>
      </w:r>
      <w:r w:rsidRPr="00FC1976">
        <w:rPr>
          <w:lang w:val="en-AU"/>
        </w:rPr>
        <w:t xml:space="preserve"> </w:t>
      </w:r>
      <w:r w:rsidR="00CD0B32" w:rsidRPr="00FC1976">
        <w:rPr>
          <w:lang w:val="en-AU"/>
        </w:rPr>
        <w:t xml:space="preserve">where </w:t>
      </w:r>
      <w:r w:rsidR="00EE4399" w:rsidRPr="00FC1976">
        <w:rPr>
          <w:lang w:val="en-AU"/>
        </w:rPr>
        <w:t>data</w:t>
      </w:r>
      <w:r w:rsidR="00CD0B32" w:rsidRPr="00FC1976">
        <w:rPr>
          <w:lang w:val="en-AU"/>
        </w:rPr>
        <w:t xml:space="preserve"> is contributed</w:t>
      </w:r>
      <w:r w:rsidRPr="00FC1976">
        <w:rPr>
          <w:lang w:val="en-AU"/>
        </w:rPr>
        <w:t xml:space="preserve"> </w:t>
      </w:r>
      <w:r w:rsidR="001F6269">
        <w:rPr>
          <w:lang w:val="en-AU"/>
        </w:rPr>
        <w:t>(</w:t>
      </w:r>
      <w:r w:rsidRPr="00FC1976">
        <w:rPr>
          <w:lang w:val="en-AU"/>
        </w:rPr>
        <w:t>with patient consent</w:t>
      </w:r>
      <w:r w:rsidR="001F6269">
        <w:rPr>
          <w:lang w:val="en-AU"/>
        </w:rPr>
        <w:t>)</w:t>
      </w:r>
      <w:r w:rsidR="00EE4399" w:rsidRPr="00FC1976">
        <w:rPr>
          <w:lang w:val="en-AU"/>
        </w:rPr>
        <w:t xml:space="preserve"> to the </w:t>
      </w:r>
      <w:r w:rsidR="00031E84" w:rsidRPr="00FC1976">
        <w:rPr>
          <w:lang w:val="en-AU"/>
        </w:rPr>
        <w:t xml:space="preserve">Australia and New Zealand Dialysis and Transplant Registry </w:t>
      </w:r>
      <w:r w:rsidR="001E4BE7" w:rsidRPr="00FC1976">
        <w:rPr>
          <w:lang w:val="en-AU"/>
        </w:rPr>
        <w:t xml:space="preserve">or </w:t>
      </w:r>
      <w:r w:rsidR="00CD0B32" w:rsidRPr="00FC1976">
        <w:rPr>
          <w:lang w:val="en-AU"/>
        </w:rPr>
        <w:t xml:space="preserve">where the provider </w:t>
      </w:r>
      <w:r w:rsidR="001E4BE7" w:rsidRPr="00FC1976">
        <w:rPr>
          <w:lang w:val="en-AU"/>
        </w:rPr>
        <w:t>engage</w:t>
      </w:r>
      <w:r w:rsidR="00CD0B32" w:rsidRPr="00FC1976">
        <w:rPr>
          <w:lang w:val="en-AU"/>
        </w:rPr>
        <w:t>s</w:t>
      </w:r>
      <w:r w:rsidR="001E4BE7" w:rsidRPr="00FC1976">
        <w:rPr>
          <w:lang w:val="en-AU"/>
        </w:rPr>
        <w:t xml:space="preserve"> in an equivalent, documented quality oversight activity</w:t>
      </w:r>
      <w:r w:rsidR="00EE4399" w:rsidRPr="00FC1976">
        <w:rPr>
          <w:lang w:val="en-AU"/>
        </w:rPr>
        <w:t xml:space="preserve">. </w:t>
      </w:r>
    </w:p>
    <w:p w14:paraId="158B6309" w14:textId="77777777" w:rsidR="00F6641F" w:rsidRPr="00FC1976" w:rsidRDefault="00F6641F" w:rsidP="008460E3">
      <w:pPr>
        <w:pStyle w:val="02dash"/>
        <w:numPr>
          <w:ilvl w:val="0"/>
          <w:numId w:val="0"/>
        </w:numPr>
        <w:ind w:left="644"/>
        <w:rPr>
          <w:lang w:val="en-AU"/>
        </w:rPr>
      </w:pPr>
      <w:r w:rsidRPr="00FC1976">
        <w:rPr>
          <w:lang w:val="en-AU"/>
        </w:rPr>
        <w:t>Claimable once per calendar week (Mon to Sun) where the majority of dialysis services that week are supervised by the claiming practitioner in a private dialysis facility.</w:t>
      </w:r>
    </w:p>
    <w:p w14:paraId="1F62FFDA" w14:textId="77777777" w:rsidR="00ED6CCD" w:rsidRPr="00FC1976" w:rsidRDefault="00130B82" w:rsidP="00E15A50">
      <w:pPr>
        <w:pStyle w:val="01squarebullet"/>
        <w:rPr>
          <w:lang w:val="en-AU"/>
        </w:rPr>
      </w:pPr>
      <w:r w:rsidRPr="00FC1976">
        <w:rPr>
          <w:lang w:val="en-AU"/>
        </w:rPr>
        <w:t>Include the following proposed</w:t>
      </w:r>
      <w:r w:rsidR="00724E90" w:rsidRPr="00FC1976">
        <w:rPr>
          <w:lang w:val="en-AU"/>
        </w:rPr>
        <w:t xml:space="preserve"> e</w:t>
      </w:r>
      <w:r w:rsidR="00ED6CCD" w:rsidRPr="00FC1976">
        <w:rPr>
          <w:lang w:val="en-AU"/>
        </w:rPr>
        <w:t>xplanatory notes</w:t>
      </w:r>
      <w:r w:rsidR="00A11782" w:rsidRPr="00FC1976">
        <w:rPr>
          <w:lang w:val="en-AU"/>
        </w:rPr>
        <w:t xml:space="preserve"> for this item</w:t>
      </w:r>
      <w:r w:rsidR="00ED6CCD" w:rsidRPr="00FC1976">
        <w:rPr>
          <w:lang w:val="en-AU"/>
        </w:rPr>
        <w:t>:</w:t>
      </w:r>
    </w:p>
    <w:p w14:paraId="33FE0EC9" w14:textId="77777777" w:rsidR="00AD2139" w:rsidRPr="00FC1976" w:rsidRDefault="00ED6CCD" w:rsidP="008460E3">
      <w:pPr>
        <w:pStyle w:val="02dash"/>
        <w:rPr>
          <w:lang w:val="en-AU"/>
        </w:rPr>
      </w:pPr>
      <w:r w:rsidRPr="00FC1976">
        <w:rPr>
          <w:lang w:val="en-AU"/>
        </w:rPr>
        <w:t xml:space="preserve">Supervision and attendances refer to the routine care associated with in-centre and satellite haemodialysis/haemodiafiltration/ultrafiltration patients. Attendances for non-routine consultations in consulting suites </w:t>
      </w:r>
      <w:r w:rsidR="00B51DC9" w:rsidRPr="00FC1976">
        <w:rPr>
          <w:lang w:val="en-AU"/>
        </w:rPr>
        <w:t xml:space="preserve">are eligible </w:t>
      </w:r>
      <w:r w:rsidRPr="00FC1976">
        <w:rPr>
          <w:lang w:val="en-AU"/>
        </w:rPr>
        <w:t>for the professional attendances item numbers</w:t>
      </w:r>
      <w:r w:rsidR="00B51DC9" w:rsidRPr="00FC1976">
        <w:rPr>
          <w:lang w:val="en-AU"/>
        </w:rPr>
        <w:t xml:space="preserve"> where they meet the requirements of those items</w:t>
      </w:r>
      <w:r w:rsidRPr="00FC1976">
        <w:rPr>
          <w:lang w:val="en-AU"/>
        </w:rPr>
        <w:t>.</w:t>
      </w:r>
      <w:r w:rsidR="00AD2139" w:rsidRPr="00FC1976">
        <w:rPr>
          <w:lang w:val="en-AU"/>
        </w:rPr>
        <w:t xml:space="preserve"> </w:t>
      </w:r>
    </w:p>
    <w:p w14:paraId="3489FE86" w14:textId="77777777" w:rsidR="00ED6CCD" w:rsidRPr="00FC1976" w:rsidRDefault="00ED6CCD" w:rsidP="008460E3">
      <w:pPr>
        <w:pStyle w:val="02dash"/>
        <w:numPr>
          <w:ilvl w:val="0"/>
          <w:numId w:val="0"/>
        </w:numPr>
        <w:ind w:left="644"/>
        <w:rPr>
          <w:lang w:val="en-AU"/>
        </w:rPr>
      </w:pPr>
      <w:r w:rsidRPr="00FC1976">
        <w:rPr>
          <w:lang w:val="en-AU"/>
        </w:rPr>
        <w:t>Ongoing</w:t>
      </w:r>
      <w:r w:rsidR="00F06F2F" w:rsidRPr="00FC1976">
        <w:rPr>
          <w:lang w:val="en-AU"/>
        </w:rPr>
        <w:t xml:space="preserve"> </w:t>
      </w:r>
      <w:r w:rsidRPr="00FC1976">
        <w:rPr>
          <w:lang w:val="en-AU"/>
        </w:rPr>
        <w:t>planning, care, and monitoring would cover:</w:t>
      </w:r>
    </w:p>
    <w:p w14:paraId="2CF63BCA" w14:textId="77777777" w:rsidR="00F6641F" w:rsidRPr="00FC1976" w:rsidRDefault="00F6641F" w:rsidP="008460E3">
      <w:pPr>
        <w:pStyle w:val="Bullet3"/>
        <w:rPr>
          <w:lang w:val="en-AU"/>
        </w:rPr>
      </w:pPr>
      <w:r w:rsidRPr="00FC1976">
        <w:rPr>
          <w:lang w:val="en-AU"/>
        </w:rPr>
        <w:t xml:space="preserve">Provision of a monthly care plan to the patient or the patient’s agent which outlines the care which will be provided to them by the claiming provider; and </w:t>
      </w:r>
    </w:p>
    <w:p w14:paraId="7D607771" w14:textId="77777777" w:rsidR="00C82C73" w:rsidRPr="00FC1976" w:rsidRDefault="00C82C73" w:rsidP="008460E3">
      <w:pPr>
        <w:pStyle w:val="Bullet3"/>
        <w:rPr>
          <w:lang w:val="en-AU"/>
        </w:rPr>
      </w:pPr>
      <w:r w:rsidRPr="00FC1976">
        <w:rPr>
          <w:lang w:val="en-AU"/>
        </w:rPr>
        <w:t>Regular discussions, at least monthly, with the patient and patient’s agent regarding their satisfaction with the care they are receiving and how that experience could be improved; and</w:t>
      </w:r>
    </w:p>
    <w:p w14:paraId="78D319B1" w14:textId="77777777" w:rsidR="00ED6CCD" w:rsidRPr="00FC1976" w:rsidRDefault="00ED6CCD" w:rsidP="008460E3">
      <w:pPr>
        <w:pStyle w:val="Bullet3"/>
        <w:rPr>
          <w:lang w:val="en-AU"/>
        </w:rPr>
      </w:pPr>
      <w:r w:rsidRPr="00FC1976">
        <w:rPr>
          <w:lang w:val="en-AU"/>
        </w:rPr>
        <w:t>Regular ordering, performance and interpretation of appropriate biochemical and haematological studies (generally monthly);</w:t>
      </w:r>
      <w:r w:rsidR="00B51DC9" w:rsidRPr="00FC1976">
        <w:rPr>
          <w:lang w:val="en-AU"/>
        </w:rPr>
        <w:t xml:space="preserve"> and</w:t>
      </w:r>
    </w:p>
    <w:p w14:paraId="558D8E04" w14:textId="77777777" w:rsidR="00ED6CCD" w:rsidRPr="00FC1976" w:rsidRDefault="00ED6CCD" w:rsidP="008460E3">
      <w:pPr>
        <w:pStyle w:val="Bullet3"/>
        <w:rPr>
          <w:lang w:val="en-AU"/>
        </w:rPr>
      </w:pPr>
      <w:r w:rsidRPr="00FC1976">
        <w:rPr>
          <w:lang w:val="en-AU"/>
        </w:rPr>
        <w:t xml:space="preserve">Feedback of results to the patient and his or her treating general </w:t>
      </w:r>
      <w:r w:rsidR="008C2F80" w:rsidRPr="00FC1976">
        <w:rPr>
          <w:lang w:val="en-AU"/>
        </w:rPr>
        <w:t>practitioner and other members of the health care team</w:t>
      </w:r>
      <w:r w:rsidRPr="00FC1976">
        <w:rPr>
          <w:lang w:val="en-AU"/>
        </w:rPr>
        <w:t>;</w:t>
      </w:r>
      <w:r w:rsidR="00B51DC9" w:rsidRPr="00FC1976">
        <w:rPr>
          <w:lang w:val="en-AU"/>
        </w:rPr>
        <w:t xml:space="preserve"> and</w:t>
      </w:r>
    </w:p>
    <w:p w14:paraId="328E0CE4" w14:textId="77777777" w:rsidR="00ED6CCD" w:rsidRPr="00FC1976" w:rsidRDefault="00ED6CCD" w:rsidP="008460E3">
      <w:pPr>
        <w:pStyle w:val="Bullet3"/>
        <w:rPr>
          <w:lang w:val="en-AU"/>
        </w:rPr>
      </w:pPr>
      <w:r w:rsidRPr="00FC1976">
        <w:rPr>
          <w:lang w:val="en-AU"/>
        </w:rPr>
        <w:t>Adjustments to medications and dialysis therapies based upon these results;</w:t>
      </w:r>
      <w:r w:rsidR="00B51DC9" w:rsidRPr="00FC1976">
        <w:rPr>
          <w:lang w:val="en-AU"/>
        </w:rPr>
        <w:t xml:space="preserve"> and</w:t>
      </w:r>
    </w:p>
    <w:p w14:paraId="0E914DB7" w14:textId="77777777" w:rsidR="00ED6CCD" w:rsidRPr="00FC1976" w:rsidRDefault="00ED6CCD" w:rsidP="008460E3">
      <w:pPr>
        <w:pStyle w:val="Bullet3"/>
        <w:rPr>
          <w:lang w:val="en-AU"/>
        </w:rPr>
      </w:pPr>
      <w:r w:rsidRPr="00FC1976">
        <w:rPr>
          <w:lang w:val="en-AU"/>
        </w:rPr>
        <w:t xml:space="preserve">Co-ordination of regular investigations required to keep </w:t>
      </w:r>
      <w:r w:rsidR="00FC5424">
        <w:rPr>
          <w:lang w:val="en-AU"/>
        </w:rPr>
        <w:t xml:space="preserve">the </w:t>
      </w:r>
      <w:r w:rsidRPr="00FC1976">
        <w:rPr>
          <w:lang w:val="en-AU"/>
        </w:rPr>
        <w:t>patient on active transplantation lists, where relevant;</w:t>
      </w:r>
      <w:r w:rsidR="00B51DC9" w:rsidRPr="00FC1976">
        <w:rPr>
          <w:lang w:val="en-AU"/>
        </w:rPr>
        <w:t xml:space="preserve"> and</w:t>
      </w:r>
    </w:p>
    <w:p w14:paraId="775F1282" w14:textId="77777777" w:rsidR="00ED6CCD" w:rsidRPr="00FC1976" w:rsidRDefault="00ED6CCD" w:rsidP="008460E3">
      <w:pPr>
        <w:pStyle w:val="Bullet3"/>
        <w:rPr>
          <w:lang w:val="en-AU"/>
        </w:rPr>
      </w:pPr>
      <w:r w:rsidRPr="00FC1976">
        <w:rPr>
          <w:lang w:val="en-AU"/>
        </w:rPr>
        <w:t>Referral to, and communication with, other specialists involved in the care of the patient; and</w:t>
      </w:r>
    </w:p>
    <w:p w14:paraId="15560BCD" w14:textId="77777777" w:rsidR="00ED6CCD" w:rsidRPr="00FC1976" w:rsidRDefault="00ED6CCD" w:rsidP="008460E3">
      <w:pPr>
        <w:pStyle w:val="Bullet3"/>
        <w:rPr>
          <w:lang w:val="en-AU"/>
        </w:rPr>
      </w:pPr>
      <w:r w:rsidRPr="00FC1976">
        <w:rPr>
          <w:lang w:val="en-AU"/>
        </w:rPr>
        <w:t>Being available to advise the patient or the patient</w:t>
      </w:r>
      <w:r w:rsidR="0095278D">
        <w:rPr>
          <w:lang w:val="en-AU"/>
        </w:rPr>
        <w:t>’</w:t>
      </w:r>
      <w:r w:rsidRPr="00FC1976">
        <w:rPr>
          <w:lang w:val="en-AU"/>
        </w:rPr>
        <w:t>s agent; and</w:t>
      </w:r>
    </w:p>
    <w:p w14:paraId="210F73A4" w14:textId="77777777" w:rsidR="00ED6CCD" w:rsidRPr="00FC1976" w:rsidRDefault="00ED6CCD" w:rsidP="008460E3">
      <w:pPr>
        <w:pStyle w:val="Bullet3"/>
        <w:rPr>
          <w:lang w:val="en-AU"/>
        </w:rPr>
      </w:pPr>
      <w:r w:rsidRPr="00FC1976">
        <w:rPr>
          <w:lang w:val="en-AU"/>
        </w:rPr>
        <w:t>Participation by the consultant physician in patient management discussions coordinated by renal centres.</w:t>
      </w:r>
    </w:p>
    <w:p w14:paraId="68D42EF2" w14:textId="77777777" w:rsidR="00C50CB5" w:rsidRPr="00FC1976" w:rsidRDefault="00C50CB5" w:rsidP="008460E3">
      <w:pPr>
        <w:pStyle w:val="01squarebullet"/>
        <w:numPr>
          <w:ilvl w:val="0"/>
          <w:numId w:val="0"/>
        </w:numPr>
        <w:ind w:left="360"/>
        <w:rPr>
          <w:lang w:val="en-AU"/>
        </w:rPr>
      </w:pPr>
      <w:r w:rsidRPr="00FC1976">
        <w:rPr>
          <w:lang w:val="en-AU"/>
        </w:rPr>
        <w:t xml:space="preserve">Some elements of care may be </w:t>
      </w:r>
      <w:r w:rsidR="00794741" w:rsidRPr="00FC1976">
        <w:rPr>
          <w:lang w:val="en-AU"/>
        </w:rPr>
        <w:t xml:space="preserve">reasonably provided by another health care provider such as a nurse or nurse practitioner, however no services should be charged in addition to </w:t>
      </w:r>
      <w:r w:rsidR="003802F0">
        <w:rPr>
          <w:lang w:val="en-AU"/>
        </w:rPr>
        <w:t>this item</w:t>
      </w:r>
      <w:r w:rsidR="00794741" w:rsidRPr="00FC1976">
        <w:rPr>
          <w:lang w:val="en-AU"/>
        </w:rPr>
        <w:t xml:space="preserve"> for the routine care of the dialysis patient as described above.</w:t>
      </w:r>
    </w:p>
    <w:p w14:paraId="2F19E7FC" w14:textId="77777777" w:rsidR="00F6641F" w:rsidRPr="00FC1976" w:rsidRDefault="00F6641F" w:rsidP="008460E3">
      <w:pPr>
        <w:pStyle w:val="01squarebullet"/>
        <w:numPr>
          <w:ilvl w:val="0"/>
          <w:numId w:val="0"/>
        </w:numPr>
        <w:ind w:left="360"/>
        <w:rPr>
          <w:lang w:val="en-AU"/>
        </w:rPr>
      </w:pPr>
      <w:r w:rsidRPr="00FC1976">
        <w:rPr>
          <w:lang w:val="en-AU"/>
        </w:rPr>
        <w:t xml:space="preserve">It is expected that the item will be claimed once per calendar week for a patient, to a maximum of 52 claims per year. The patient must be informed that they will incur a charge for this service for which a Medicare rebate will be payable. </w:t>
      </w:r>
    </w:p>
    <w:p w14:paraId="0FE581DF" w14:textId="77777777" w:rsidR="00E05FDE" w:rsidRPr="00FC1976" w:rsidRDefault="0095278D" w:rsidP="00237ECB">
      <w:pPr>
        <w:pStyle w:val="01squarebullet"/>
        <w:rPr>
          <w:lang w:val="en-AU"/>
        </w:rPr>
      </w:pPr>
      <w:r>
        <w:rPr>
          <w:lang w:val="en-AU"/>
        </w:rPr>
        <w:t>Set</w:t>
      </w:r>
      <w:r w:rsidRPr="00FC1976">
        <w:rPr>
          <w:lang w:val="en-AU"/>
        </w:rPr>
        <w:t xml:space="preserve"> </w:t>
      </w:r>
      <w:r w:rsidR="00F6641F" w:rsidRPr="00FC1976">
        <w:rPr>
          <w:lang w:val="en-AU"/>
        </w:rPr>
        <w:t xml:space="preserve">an appropriate fee to reflect the work involved in the clinical care </w:t>
      </w:r>
      <w:r w:rsidR="008D217D" w:rsidRPr="00FC1976">
        <w:rPr>
          <w:lang w:val="en-AU"/>
        </w:rPr>
        <w:t>of the patient</w:t>
      </w:r>
      <w:r w:rsidR="00110FAC">
        <w:rPr>
          <w:lang w:val="en-AU"/>
        </w:rPr>
        <w:t>,</w:t>
      </w:r>
      <w:r w:rsidR="008D217D" w:rsidRPr="00FC1976">
        <w:rPr>
          <w:lang w:val="en-AU"/>
        </w:rPr>
        <w:t xml:space="preserve"> </w:t>
      </w:r>
      <w:r w:rsidR="00110FAC">
        <w:rPr>
          <w:lang w:val="en-AU"/>
        </w:rPr>
        <w:t>as well as</w:t>
      </w:r>
      <w:r w:rsidR="00110FAC" w:rsidRPr="00FC1976">
        <w:rPr>
          <w:lang w:val="en-AU"/>
        </w:rPr>
        <w:t xml:space="preserve"> </w:t>
      </w:r>
      <w:r w:rsidR="008D217D" w:rsidRPr="00FC1976">
        <w:rPr>
          <w:lang w:val="en-AU"/>
        </w:rPr>
        <w:t>the reasonable practice costs</w:t>
      </w:r>
      <w:r w:rsidR="00917A4C">
        <w:rPr>
          <w:lang w:val="en-AU"/>
        </w:rPr>
        <w:t>—</w:t>
      </w:r>
      <w:r w:rsidR="008D217D" w:rsidRPr="00FC1976">
        <w:rPr>
          <w:lang w:val="en-AU"/>
        </w:rPr>
        <w:t>including education and quality assurance</w:t>
      </w:r>
      <w:r w:rsidR="00917A4C">
        <w:rPr>
          <w:lang w:val="en-AU"/>
        </w:rPr>
        <w:t>—</w:t>
      </w:r>
      <w:r w:rsidR="008D217D" w:rsidRPr="00FC1976">
        <w:rPr>
          <w:lang w:val="en-AU"/>
        </w:rPr>
        <w:t>of an efficient</w:t>
      </w:r>
      <w:r w:rsidR="00AC3D53">
        <w:rPr>
          <w:lang w:val="en-AU"/>
        </w:rPr>
        <w:t>,</w:t>
      </w:r>
      <w:r w:rsidR="008D217D" w:rsidRPr="00FC1976">
        <w:rPr>
          <w:lang w:val="en-AU"/>
        </w:rPr>
        <w:t xml:space="preserve"> full</w:t>
      </w:r>
      <w:r w:rsidR="002F6827">
        <w:rPr>
          <w:lang w:val="en-AU"/>
        </w:rPr>
        <w:t>-</w:t>
      </w:r>
      <w:r w:rsidR="008D217D" w:rsidRPr="00FC1976">
        <w:rPr>
          <w:lang w:val="en-AU"/>
        </w:rPr>
        <w:t>time dialysis service.</w:t>
      </w:r>
      <w:r w:rsidR="009737C5" w:rsidRPr="00FC1976">
        <w:rPr>
          <w:lang w:val="en-AU"/>
        </w:rPr>
        <w:t xml:space="preserve"> </w:t>
      </w:r>
    </w:p>
    <w:p w14:paraId="72B3FAE3" w14:textId="77777777" w:rsidR="00207450" w:rsidRPr="00FC1976" w:rsidRDefault="00207450" w:rsidP="00EE7BD8">
      <w:pPr>
        <w:pStyle w:val="H3"/>
      </w:pPr>
      <w:r w:rsidRPr="00FC1976">
        <w:t>Rationale</w:t>
      </w:r>
    </w:p>
    <w:p w14:paraId="7DACBD1D" w14:textId="77777777" w:rsidR="00130E34" w:rsidRDefault="00130E34" w:rsidP="00634A4F">
      <w:pPr>
        <w:pStyle w:val="01squarebullet"/>
        <w:numPr>
          <w:ilvl w:val="0"/>
          <w:numId w:val="0"/>
        </w:numPr>
        <w:spacing w:before="200"/>
        <w:ind w:left="357" w:hanging="357"/>
        <w:rPr>
          <w:lang w:val="en-AU"/>
        </w:rPr>
      </w:pPr>
      <w:r>
        <w:rPr>
          <w:lang w:val="en-AU"/>
        </w:rPr>
        <w:t xml:space="preserve">The recommendations focus on </w:t>
      </w:r>
      <w:r w:rsidR="00E87FB8">
        <w:rPr>
          <w:lang w:val="en-AU"/>
        </w:rPr>
        <w:t>supporting</w:t>
      </w:r>
      <w:r w:rsidR="00BC6EC3">
        <w:rPr>
          <w:lang w:val="en-AU"/>
        </w:rPr>
        <w:t xml:space="preserve"> best-practice care, </w:t>
      </w:r>
      <w:r>
        <w:rPr>
          <w:lang w:val="en-AU"/>
        </w:rPr>
        <w:t>and are based on the following observations.</w:t>
      </w:r>
    </w:p>
    <w:p w14:paraId="66DFFC0A" w14:textId="77777777" w:rsidR="001D7927" w:rsidRPr="00FC1976" w:rsidRDefault="00F23B90" w:rsidP="00E15A50">
      <w:pPr>
        <w:pStyle w:val="01squarebullet"/>
        <w:rPr>
          <w:lang w:val="en-AU"/>
        </w:rPr>
      </w:pPr>
      <w:r w:rsidRPr="00FC1976">
        <w:rPr>
          <w:lang w:val="en-AU"/>
        </w:rPr>
        <w:t xml:space="preserve">The Committee </w:t>
      </w:r>
      <w:r w:rsidR="001D7927" w:rsidRPr="00FC1976">
        <w:rPr>
          <w:lang w:val="en-AU"/>
        </w:rPr>
        <w:t xml:space="preserve">noted that the current item number </w:t>
      </w:r>
      <w:r w:rsidR="00202E80" w:rsidRPr="00FC1976">
        <w:rPr>
          <w:lang w:val="en-AU"/>
        </w:rPr>
        <w:t>only</w:t>
      </w:r>
      <w:r w:rsidR="001D7927" w:rsidRPr="00FC1976">
        <w:rPr>
          <w:lang w:val="en-AU"/>
        </w:rPr>
        <w:t xml:space="preserve"> </w:t>
      </w:r>
      <w:r w:rsidR="00202E80" w:rsidRPr="00FC1976">
        <w:rPr>
          <w:lang w:val="en-AU"/>
        </w:rPr>
        <w:t>covers</w:t>
      </w:r>
      <w:r w:rsidR="005E37D3" w:rsidRPr="00FC1976">
        <w:rPr>
          <w:lang w:val="en-AU"/>
        </w:rPr>
        <w:t xml:space="preserve"> </w:t>
      </w:r>
      <w:r w:rsidR="001D7927" w:rsidRPr="00FC1976">
        <w:rPr>
          <w:lang w:val="en-AU"/>
        </w:rPr>
        <w:t>direct contact with</w:t>
      </w:r>
      <w:r w:rsidR="00D273C8" w:rsidRPr="00FC1976">
        <w:rPr>
          <w:lang w:val="en-AU"/>
        </w:rPr>
        <w:t xml:space="preserve"> a</w:t>
      </w:r>
      <w:r w:rsidR="001D7927" w:rsidRPr="00FC1976">
        <w:rPr>
          <w:lang w:val="en-AU"/>
        </w:rPr>
        <w:t xml:space="preserve"> patient during a dialysis session. This does not account for the fact that much of the activity involved in caring for a dialysis patient does not require</w:t>
      </w:r>
      <w:r w:rsidR="000E2BA4" w:rsidRPr="00FC1976">
        <w:rPr>
          <w:lang w:val="en-AU"/>
        </w:rPr>
        <w:t xml:space="preserve"> or </w:t>
      </w:r>
      <w:r w:rsidR="001D7927" w:rsidRPr="00FC1976">
        <w:rPr>
          <w:lang w:val="en-AU"/>
        </w:rPr>
        <w:t>involve direct physician</w:t>
      </w:r>
      <w:r w:rsidR="00F927E5" w:rsidRPr="00FC1976">
        <w:rPr>
          <w:lang w:val="en-AU"/>
        </w:rPr>
        <w:t>–</w:t>
      </w:r>
      <w:r w:rsidR="001D7927" w:rsidRPr="00FC1976">
        <w:rPr>
          <w:lang w:val="en-AU"/>
        </w:rPr>
        <w:t xml:space="preserve">patient contact. </w:t>
      </w:r>
      <w:r w:rsidR="00B7329E">
        <w:rPr>
          <w:lang w:val="en-AU"/>
        </w:rPr>
        <w:t xml:space="preserve">For private dialysis patients, </w:t>
      </w:r>
      <w:r w:rsidR="001313C0">
        <w:rPr>
          <w:lang w:val="en-AU"/>
        </w:rPr>
        <w:t xml:space="preserve">for example, </w:t>
      </w:r>
      <w:r w:rsidR="00B7329E">
        <w:rPr>
          <w:lang w:val="en-AU"/>
        </w:rPr>
        <w:t xml:space="preserve">activities such as phone calls to obtain authority prescriptions and the </w:t>
      </w:r>
      <w:r w:rsidR="00380E39">
        <w:rPr>
          <w:lang w:val="en-AU"/>
        </w:rPr>
        <w:t xml:space="preserve">fortnightly </w:t>
      </w:r>
      <w:r w:rsidR="00B7329E">
        <w:rPr>
          <w:lang w:val="en-AU"/>
        </w:rPr>
        <w:t>recharting of medications can be time</w:t>
      </w:r>
      <w:r w:rsidR="00856BF7">
        <w:rPr>
          <w:lang w:val="en-AU"/>
        </w:rPr>
        <w:t>-</w:t>
      </w:r>
      <w:r w:rsidR="00B7329E">
        <w:rPr>
          <w:lang w:val="en-AU"/>
        </w:rPr>
        <w:t xml:space="preserve">consuming. </w:t>
      </w:r>
      <w:r w:rsidR="003815AE" w:rsidRPr="00FC1976">
        <w:rPr>
          <w:lang w:val="en-AU"/>
        </w:rPr>
        <w:t xml:space="preserve">The Committee </w:t>
      </w:r>
      <w:r w:rsidR="001D7927" w:rsidRPr="00FC1976">
        <w:rPr>
          <w:lang w:val="en-AU"/>
        </w:rPr>
        <w:t xml:space="preserve">acknowledged that many providers </w:t>
      </w:r>
      <w:r w:rsidR="00DC6760" w:rsidRPr="00FC1976">
        <w:rPr>
          <w:lang w:val="en-AU"/>
        </w:rPr>
        <w:t>may be</w:t>
      </w:r>
      <w:r w:rsidR="001D7927" w:rsidRPr="00FC1976">
        <w:rPr>
          <w:lang w:val="en-AU"/>
        </w:rPr>
        <w:t xml:space="preserve"> claiming </w:t>
      </w:r>
      <w:r w:rsidR="00FA39EB" w:rsidRPr="00FC1976">
        <w:rPr>
          <w:lang w:val="en-AU"/>
        </w:rPr>
        <w:t xml:space="preserve">item </w:t>
      </w:r>
      <w:r w:rsidR="001D7927" w:rsidRPr="00FC1976">
        <w:rPr>
          <w:lang w:val="en-AU"/>
        </w:rPr>
        <w:t>13103 without physically attending the patient</w:t>
      </w:r>
      <w:r w:rsidR="00B5174C" w:rsidRPr="00FC1976">
        <w:rPr>
          <w:lang w:val="en-AU"/>
        </w:rPr>
        <w:t>. In</w:t>
      </w:r>
      <w:r w:rsidR="001D7927" w:rsidRPr="00FC1976">
        <w:rPr>
          <w:lang w:val="en-AU"/>
        </w:rPr>
        <w:t xml:space="preserve"> regional and remote clinics</w:t>
      </w:r>
      <w:r w:rsidR="00B5174C" w:rsidRPr="00FC1976">
        <w:rPr>
          <w:lang w:val="en-AU"/>
        </w:rPr>
        <w:t xml:space="preserve">, </w:t>
      </w:r>
      <w:r w:rsidR="006153C7" w:rsidRPr="00FC1976">
        <w:rPr>
          <w:lang w:val="en-AU"/>
        </w:rPr>
        <w:t xml:space="preserve">for example, </w:t>
      </w:r>
      <w:r w:rsidR="00B5174C" w:rsidRPr="00FC1976">
        <w:rPr>
          <w:lang w:val="en-AU"/>
        </w:rPr>
        <w:t>anecdotal evidence suggests</w:t>
      </w:r>
      <w:r w:rsidR="001D7927" w:rsidRPr="00FC1976">
        <w:rPr>
          <w:lang w:val="en-AU"/>
        </w:rPr>
        <w:t xml:space="preserve"> </w:t>
      </w:r>
      <w:r w:rsidR="00B5174C" w:rsidRPr="00FC1976">
        <w:rPr>
          <w:lang w:val="en-AU"/>
        </w:rPr>
        <w:t xml:space="preserve">that </w:t>
      </w:r>
      <w:r w:rsidR="00062ADD" w:rsidRPr="00FC1976">
        <w:rPr>
          <w:lang w:val="en-AU"/>
        </w:rPr>
        <w:t xml:space="preserve">nurses and nurse practitioners provide </w:t>
      </w:r>
      <w:r w:rsidR="001D7927" w:rsidRPr="00FC1976">
        <w:rPr>
          <w:lang w:val="en-AU"/>
        </w:rPr>
        <w:t xml:space="preserve">services </w:t>
      </w:r>
      <w:r w:rsidR="00A42FED" w:rsidRPr="00FC1976">
        <w:rPr>
          <w:lang w:val="en-AU"/>
        </w:rPr>
        <w:t xml:space="preserve">for </w:t>
      </w:r>
      <w:r w:rsidR="00121562" w:rsidRPr="00FC1976">
        <w:rPr>
          <w:lang w:val="en-AU"/>
        </w:rPr>
        <w:t xml:space="preserve">months at a time </w:t>
      </w:r>
      <w:r w:rsidR="001D7927" w:rsidRPr="00FC1976">
        <w:rPr>
          <w:lang w:val="en-AU"/>
        </w:rPr>
        <w:t>without a medical practitioner</w:t>
      </w:r>
      <w:r w:rsidR="00D9459E" w:rsidRPr="00FC1976">
        <w:rPr>
          <w:lang w:val="en-AU"/>
        </w:rPr>
        <w:t xml:space="preserve"> being physically present</w:t>
      </w:r>
      <w:r w:rsidR="001D7927" w:rsidRPr="00FC1976">
        <w:rPr>
          <w:lang w:val="en-AU"/>
        </w:rPr>
        <w:t xml:space="preserve">. </w:t>
      </w:r>
    </w:p>
    <w:p w14:paraId="39D50B3D" w14:textId="77777777" w:rsidR="00175189" w:rsidRPr="00FC1976" w:rsidRDefault="00856BF7" w:rsidP="00E15A50">
      <w:pPr>
        <w:pStyle w:val="01squarebullet"/>
        <w:rPr>
          <w:lang w:val="en-AU"/>
        </w:rPr>
      </w:pPr>
      <w:r>
        <w:rPr>
          <w:lang w:val="en-AU"/>
        </w:rPr>
        <w:t>The Committee</w:t>
      </w:r>
      <w:r w:rsidRPr="00FC1976">
        <w:rPr>
          <w:lang w:val="en-AU"/>
        </w:rPr>
        <w:t xml:space="preserve"> </w:t>
      </w:r>
      <w:r w:rsidR="001D7927" w:rsidRPr="00FC1976">
        <w:rPr>
          <w:lang w:val="en-AU"/>
        </w:rPr>
        <w:t xml:space="preserve">agreed that there is extremely wide variation in </w:t>
      </w:r>
      <w:r w:rsidR="00C6032E" w:rsidRPr="00FC1976">
        <w:rPr>
          <w:lang w:val="en-AU"/>
        </w:rPr>
        <w:t xml:space="preserve">use of </w:t>
      </w:r>
      <w:r w:rsidR="001D7927" w:rsidRPr="00FC1976">
        <w:rPr>
          <w:lang w:val="en-AU"/>
        </w:rPr>
        <w:t>the current item number</w:t>
      </w:r>
      <w:r w:rsidR="00C6032E" w:rsidRPr="00FC1976">
        <w:rPr>
          <w:lang w:val="en-AU"/>
        </w:rPr>
        <w:t xml:space="preserve"> across physicians</w:t>
      </w:r>
      <w:r w:rsidR="001D7927" w:rsidRPr="00FC1976">
        <w:rPr>
          <w:lang w:val="en-AU"/>
        </w:rPr>
        <w:t xml:space="preserve">, which may reflect differences in </w:t>
      </w:r>
      <w:r w:rsidR="00636221" w:rsidRPr="00FC1976">
        <w:rPr>
          <w:lang w:val="en-AU"/>
        </w:rPr>
        <w:t xml:space="preserve">clinical </w:t>
      </w:r>
      <w:r w:rsidR="001D7927" w:rsidRPr="00FC1976">
        <w:rPr>
          <w:lang w:val="en-AU"/>
        </w:rPr>
        <w:t xml:space="preserve">practice or differences </w:t>
      </w:r>
      <w:r w:rsidR="00876D42" w:rsidRPr="00FC1976">
        <w:rPr>
          <w:lang w:val="en-AU"/>
        </w:rPr>
        <w:t>in</w:t>
      </w:r>
      <w:r w:rsidR="001D7927" w:rsidRPr="00FC1976">
        <w:rPr>
          <w:lang w:val="en-AU"/>
        </w:rPr>
        <w:t xml:space="preserve"> </w:t>
      </w:r>
      <w:r w:rsidR="00636221" w:rsidRPr="00FC1976">
        <w:rPr>
          <w:lang w:val="en-AU"/>
        </w:rPr>
        <w:t>billing/claiming practices</w:t>
      </w:r>
      <w:r w:rsidR="001D7927" w:rsidRPr="00FC1976">
        <w:rPr>
          <w:lang w:val="en-AU"/>
        </w:rPr>
        <w:t xml:space="preserve">. Within the </w:t>
      </w:r>
      <w:r>
        <w:rPr>
          <w:lang w:val="en-AU"/>
        </w:rPr>
        <w:t>C</w:t>
      </w:r>
      <w:r w:rsidR="001D7927" w:rsidRPr="00FC1976">
        <w:rPr>
          <w:lang w:val="en-AU"/>
        </w:rPr>
        <w:t>ommittee</w:t>
      </w:r>
      <w:r w:rsidR="005B3597" w:rsidRPr="00FC1976">
        <w:rPr>
          <w:lang w:val="en-AU"/>
        </w:rPr>
        <w:t>,</w:t>
      </w:r>
      <w:r w:rsidR="001D7927" w:rsidRPr="00FC1976">
        <w:rPr>
          <w:lang w:val="en-AU"/>
        </w:rPr>
        <w:t xml:space="preserve"> there was a lack of agreement about the appropriate frequency </w:t>
      </w:r>
      <w:r w:rsidR="007367B4" w:rsidRPr="00FC1976">
        <w:rPr>
          <w:lang w:val="en-AU"/>
        </w:rPr>
        <w:t xml:space="preserve">with </w:t>
      </w:r>
      <w:r w:rsidR="001D7927" w:rsidRPr="00FC1976">
        <w:rPr>
          <w:lang w:val="en-AU"/>
        </w:rPr>
        <w:t xml:space="preserve">which </w:t>
      </w:r>
      <w:r w:rsidR="002B5E78" w:rsidRPr="00FC1976">
        <w:rPr>
          <w:lang w:val="en-AU"/>
        </w:rPr>
        <w:t>item</w:t>
      </w:r>
      <w:r w:rsidR="001D7927" w:rsidRPr="00FC1976">
        <w:rPr>
          <w:lang w:val="en-AU"/>
        </w:rPr>
        <w:t xml:space="preserve"> 13103 </w:t>
      </w:r>
      <w:r w:rsidR="002B5E78" w:rsidRPr="00FC1976">
        <w:rPr>
          <w:lang w:val="en-AU"/>
        </w:rPr>
        <w:t>(</w:t>
      </w:r>
      <w:r w:rsidR="001D7927" w:rsidRPr="00FC1976">
        <w:rPr>
          <w:lang w:val="en-AU"/>
        </w:rPr>
        <w:t>with the current item descriptor</w:t>
      </w:r>
      <w:r w:rsidR="002B5E78" w:rsidRPr="00FC1976">
        <w:rPr>
          <w:lang w:val="en-AU"/>
        </w:rPr>
        <w:t>)</w:t>
      </w:r>
      <w:r w:rsidR="001D7927" w:rsidRPr="00FC1976">
        <w:rPr>
          <w:lang w:val="en-AU"/>
        </w:rPr>
        <w:t xml:space="preserve"> </w:t>
      </w:r>
      <w:r w:rsidR="00665CF8" w:rsidRPr="00FC1976">
        <w:rPr>
          <w:lang w:val="en-AU"/>
        </w:rPr>
        <w:t>could</w:t>
      </w:r>
      <w:r w:rsidR="006C7D68" w:rsidRPr="00FC1976">
        <w:rPr>
          <w:lang w:val="en-AU"/>
        </w:rPr>
        <w:t xml:space="preserve"> </w:t>
      </w:r>
      <w:r w:rsidR="001D7927" w:rsidRPr="00FC1976">
        <w:rPr>
          <w:lang w:val="en-AU"/>
        </w:rPr>
        <w:t>be reasonably claimed for a stable dialysis patient</w:t>
      </w:r>
      <w:r w:rsidR="00A341D0" w:rsidRPr="00FC1976">
        <w:rPr>
          <w:lang w:val="en-AU"/>
        </w:rPr>
        <w:t>,</w:t>
      </w:r>
      <w:r w:rsidR="00DF3245" w:rsidRPr="00FC1976">
        <w:rPr>
          <w:lang w:val="en-AU"/>
        </w:rPr>
        <w:t xml:space="preserve"> </w:t>
      </w:r>
      <w:r w:rsidR="00D9343D" w:rsidRPr="00FC1976">
        <w:rPr>
          <w:lang w:val="en-AU"/>
        </w:rPr>
        <w:t xml:space="preserve">with opinions ranging </w:t>
      </w:r>
      <w:r w:rsidR="00DF3245" w:rsidRPr="00FC1976">
        <w:rPr>
          <w:lang w:val="en-AU"/>
        </w:rPr>
        <w:t>from</w:t>
      </w:r>
      <w:r w:rsidR="001D7927" w:rsidRPr="00FC1976">
        <w:rPr>
          <w:lang w:val="en-AU"/>
        </w:rPr>
        <w:t xml:space="preserve"> every attendance </w:t>
      </w:r>
      <w:r w:rsidR="00636221" w:rsidRPr="00FC1976">
        <w:rPr>
          <w:lang w:val="en-AU"/>
        </w:rPr>
        <w:t xml:space="preserve">for dialysis </w:t>
      </w:r>
      <w:r w:rsidR="001D7927" w:rsidRPr="00FC1976">
        <w:rPr>
          <w:lang w:val="en-AU"/>
        </w:rPr>
        <w:t>to less than once per week</w:t>
      </w:r>
      <w:r w:rsidR="00636221" w:rsidRPr="00FC1976">
        <w:rPr>
          <w:lang w:val="en-AU"/>
        </w:rPr>
        <w:t xml:space="preserve"> and only with physical attendance by the provider</w:t>
      </w:r>
      <w:r w:rsidR="001D7927" w:rsidRPr="00FC1976">
        <w:rPr>
          <w:lang w:val="en-AU"/>
        </w:rPr>
        <w:t xml:space="preserve">. </w:t>
      </w:r>
      <w:r w:rsidR="00175189" w:rsidRPr="00FC1976">
        <w:rPr>
          <w:lang w:val="en-AU"/>
        </w:rPr>
        <w:t>The Committee agreed that the current fee-for-service model may incentivise some providers to provide more frequent dialysis services (up to six per week). Although this is not harmful to patients if the sessions are of an appropriate duration, there is no robust evidence to support this approach. MBS data showed that 4 per cent of providers claimed more than four dialysis services per patient in up to 7 per cent of patient treatment weeks. The remaining 96 per cent of providers did not claim more than four dialysis services in more than 1 per cent of patient treatment weeks</w:t>
      </w:r>
      <w:r w:rsidR="00416114" w:rsidRPr="00FC1976">
        <w:rPr>
          <w:lang w:val="en-AU"/>
        </w:rPr>
        <w:t xml:space="preserve"> </w:t>
      </w:r>
      <w:r w:rsidR="00416114" w:rsidRPr="00FC1976">
        <w:rPr>
          <w:lang w:val="en-AU"/>
        </w:rPr>
        <w:fldChar w:fldCharType="begin" w:fldLock="1"/>
      </w:r>
      <w:r w:rsidR="00B409DB">
        <w:rPr>
          <w:lang w:val="en-AU"/>
        </w:rPr>
        <w:instrText>ADDIN CSL_CITATION { "citationItems" : [ { "id" : "ITEM-1", "itemData" : { "author" : [ { "dropping-particle" : "", "family" : "MBS", "given" : "", "non-dropping-particle" : "", "parse-names" : false, "suffix" : "" } ], "id" : "ITEM-1", "issued" : { "date-parts" : [ [ "0" ] ] }, "title" : "MBS data Q20321", "type" : "article-journal" }, "uris" : [ "http://www.mendeley.com/documents/?uuid=c5df19a8-7214-4b69-bc94-f9d0582c2510" ] } ], "mendeley" : { "formattedCitation" : "(23)", "plainTextFormattedCitation" : "(23)", "previouslyFormattedCitation" : "(23)" }, "properties" : { "noteIndex" : 0 }, "schema" : "https://github.com/citation-style-language/schema/raw/master/csl-citation.json" }</w:instrText>
      </w:r>
      <w:r w:rsidR="00416114" w:rsidRPr="00FC1976">
        <w:rPr>
          <w:lang w:val="en-AU"/>
        </w:rPr>
        <w:fldChar w:fldCharType="separate"/>
      </w:r>
      <w:r w:rsidR="0099742A" w:rsidRPr="0099742A">
        <w:rPr>
          <w:noProof/>
          <w:lang w:val="en-AU"/>
        </w:rPr>
        <w:t>(23)</w:t>
      </w:r>
      <w:r w:rsidR="00416114" w:rsidRPr="00FC1976">
        <w:rPr>
          <w:lang w:val="en-AU"/>
        </w:rPr>
        <w:fldChar w:fldCharType="end"/>
      </w:r>
      <w:r w:rsidR="00175189" w:rsidRPr="00FC1976">
        <w:rPr>
          <w:lang w:val="en-AU"/>
        </w:rPr>
        <w:t xml:space="preserve">. </w:t>
      </w:r>
    </w:p>
    <w:p w14:paraId="3D1CE373" w14:textId="79F11BB9" w:rsidR="00FF4FEF" w:rsidRPr="00FC1976" w:rsidRDefault="001D7927" w:rsidP="00E15A50">
      <w:pPr>
        <w:pStyle w:val="01squarebullet"/>
        <w:rPr>
          <w:lang w:val="en-AU"/>
        </w:rPr>
      </w:pPr>
      <w:r w:rsidRPr="00FC1976">
        <w:rPr>
          <w:lang w:val="en-AU"/>
        </w:rPr>
        <w:t xml:space="preserve">It was noted that the MBS data on </w:t>
      </w:r>
      <w:r w:rsidR="00A63533" w:rsidRPr="00FC1976">
        <w:rPr>
          <w:lang w:val="en-AU"/>
        </w:rPr>
        <w:t xml:space="preserve">item </w:t>
      </w:r>
      <w:r w:rsidRPr="00FC1976">
        <w:rPr>
          <w:lang w:val="en-AU"/>
        </w:rPr>
        <w:t xml:space="preserve">13103 is </w:t>
      </w:r>
      <w:r w:rsidR="007E4FBC" w:rsidRPr="00FC1976">
        <w:rPr>
          <w:lang w:val="en-AU"/>
        </w:rPr>
        <w:t xml:space="preserve">also </w:t>
      </w:r>
      <w:r w:rsidRPr="00FC1976">
        <w:rPr>
          <w:lang w:val="en-AU"/>
        </w:rPr>
        <w:t xml:space="preserve">likely to </w:t>
      </w:r>
      <w:r w:rsidR="007F4FBC" w:rsidRPr="00FC1976">
        <w:rPr>
          <w:lang w:val="en-AU"/>
        </w:rPr>
        <w:t xml:space="preserve">provide </w:t>
      </w:r>
      <w:r w:rsidRPr="00FC1976">
        <w:rPr>
          <w:lang w:val="en-AU"/>
        </w:rPr>
        <w:t>an incomplete picture of MBS</w:t>
      </w:r>
      <w:r w:rsidR="006324EE" w:rsidRPr="00FC1976">
        <w:rPr>
          <w:lang w:val="en-AU"/>
        </w:rPr>
        <w:t>-</w:t>
      </w:r>
      <w:r w:rsidRPr="00FC1976">
        <w:rPr>
          <w:lang w:val="en-AU"/>
        </w:rPr>
        <w:t>supported dialysis</w:t>
      </w:r>
      <w:r w:rsidR="006F5015" w:rsidRPr="00FC1976">
        <w:rPr>
          <w:lang w:val="en-AU"/>
        </w:rPr>
        <w:t>,</w:t>
      </w:r>
      <w:r w:rsidRPr="00FC1976">
        <w:rPr>
          <w:lang w:val="en-AU"/>
        </w:rPr>
        <w:t xml:space="preserve"> as there are providers who bill specialist attendance items </w:t>
      </w:r>
      <w:r w:rsidR="002F264B" w:rsidRPr="00FC1976">
        <w:rPr>
          <w:lang w:val="en-AU"/>
        </w:rPr>
        <w:t xml:space="preserve">(e.g., item </w:t>
      </w:r>
      <w:r w:rsidRPr="00FC1976">
        <w:rPr>
          <w:lang w:val="en-AU"/>
        </w:rPr>
        <w:t>116</w:t>
      </w:r>
      <w:r w:rsidR="002F264B" w:rsidRPr="00FC1976">
        <w:rPr>
          <w:lang w:val="en-AU"/>
        </w:rPr>
        <w:t>)</w:t>
      </w:r>
      <w:r w:rsidRPr="00FC1976">
        <w:rPr>
          <w:lang w:val="en-AU"/>
        </w:rPr>
        <w:t xml:space="preserve"> in place of </w:t>
      </w:r>
      <w:r w:rsidR="003D453E" w:rsidRPr="00FC1976">
        <w:rPr>
          <w:lang w:val="en-AU"/>
        </w:rPr>
        <w:t xml:space="preserve">item </w:t>
      </w:r>
      <w:r w:rsidRPr="00FC1976">
        <w:rPr>
          <w:lang w:val="en-AU"/>
        </w:rPr>
        <w:t xml:space="preserve">13103 due to the higher rebate. It was agreed that it is appropriate to claim </w:t>
      </w:r>
      <w:r w:rsidR="002B06DD" w:rsidRPr="00FC1976">
        <w:rPr>
          <w:lang w:val="en-AU"/>
        </w:rPr>
        <w:t xml:space="preserve">item </w:t>
      </w:r>
      <w:r w:rsidRPr="00FC1976">
        <w:rPr>
          <w:lang w:val="en-AU"/>
        </w:rPr>
        <w:t xml:space="preserve">116 </w:t>
      </w:r>
      <w:r w:rsidR="00DF1303" w:rsidRPr="00FC1976">
        <w:rPr>
          <w:lang w:val="en-AU"/>
        </w:rPr>
        <w:t xml:space="preserve">when </w:t>
      </w:r>
      <w:r w:rsidRPr="00FC1976">
        <w:rPr>
          <w:lang w:val="en-AU"/>
        </w:rPr>
        <w:t>a patient is reviewed</w:t>
      </w:r>
      <w:r w:rsidR="00603395">
        <w:rPr>
          <w:lang w:val="en-AU"/>
        </w:rPr>
        <w:t>,</w:t>
      </w:r>
      <w:r w:rsidRPr="00FC1976">
        <w:rPr>
          <w:lang w:val="en-AU"/>
        </w:rPr>
        <w:t xml:space="preserve"> and a face</w:t>
      </w:r>
      <w:r w:rsidR="002F67A0" w:rsidRPr="00FC1976">
        <w:rPr>
          <w:lang w:val="en-AU"/>
        </w:rPr>
        <w:t>-</w:t>
      </w:r>
      <w:r w:rsidRPr="00FC1976">
        <w:rPr>
          <w:lang w:val="en-AU"/>
        </w:rPr>
        <w:t>to</w:t>
      </w:r>
      <w:r w:rsidR="002F67A0" w:rsidRPr="00FC1976">
        <w:rPr>
          <w:lang w:val="en-AU"/>
        </w:rPr>
        <w:t>-</w:t>
      </w:r>
      <w:r w:rsidRPr="00FC1976">
        <w:rPr>
          <w:lang w:val="en-AU"/>
        </w:rPr>
        <w:t xml:space="preserve">face consultation </w:t>
      </w:r>
      <w:r w:rsidR="006334E9" w:rsidRPr="00FC1976">
        <w:rPr>
          <w:lang w:val="en-AU"/>
        </w:rPr>
        <w:t xml:space="preserve">is </w:t>
      </w:r>
      <w:r w:rsidRPr="00FC1976">
        <w:rPr>
          <w:lang w:val="en-AU"/>
        </w:rPr>
        <w:t xml:space="preserve">performed and documented in line with </w:t>
      </w:r>
      <w:r w:rsidR="00D2523A" w:rsidRPr="00FC1976">
        <w:rPr>
          <w:lang w:val="en-AU"/>
        </w:rPr>
        <w:t xml:space="preserve">item </w:t>
      </w:r>
      <w:r w:rsidRPr="00FC1976">
        <w:rPr>
          <w:lang w:val="en-AU"/>
        </w:rPr>
        <w:t xml:space="preserve">116 requirements. However, </w:t>
      </w:r>
      <w:r w:rsidR="002E64D2" w:rsidRPr="00FC1976">
        <w:rPr>
          <w:lang w:val="en-AU"/>
        </w:rPr>
        <w:t xml:space="preserve">the Committee </w:t>
      </w:r>
      <w:r w:rsidR="007C2E00">
        <w:rPr>
          <w:lang w:val="en-AU"/>
        </w:rPr>
        <w:t>felt</w:t>
      </w:r>
      <w:r w:rsidR="007C2E00" w:rsidRPr="00FC1976">
        <w:rPr>
          <w:lang w:val="en-AU"/>
        </w:rPr>
        <w:t xml:space="preserve"> </w:t>
      </w:r>
      <w:r w:rsidR="002E64D2" w:rsidRPr="00FC1976">
        <w:rPr>
          <w:lang w:val="en-AU"/>
        </w:rPr>
        <w:t xml:space="preserve">that </w:t>
      </w:r>
      <w:r w:rsidRPr="00FC1976">
        <w:rPr>
          <w:lang w:val="en-AU"/>
        </w:rPr>
        <w:t>it is inappropriate to claim</w:t>
      </w:r>
      <w:r w:rsidR="00C440C1" w:rsidRPr="00FC1976">
        <w:rPr>
          <w:lang w:val="en-AU"/>
        </w:rPr>
        <w:t xml:space="preserve"> item 116</w:t>
      </w:r>
      <w:r w:rsidRPr="00FC1976">
        <w:rPr>
          <w:lang w:val="en-AU"/>
        </w:rPr>
        <w:t xml:space="preserve"> for </w:t>
      </w:r>
      <w:r w:rsidR="00DF4BDE" w:rsidRPr="00FC1976">
        <w:rPr>
          <w:lang w:val="en-AU"/>
        </w:rPr>
        <w:t xml:space="preserve">routine </w:t>
      </w:r>
      <w:r w:rsidRPr="00FC1976">
        <w:rPr>
          <w:lang w:val="en-AU"/>
        </w:rPr>
        <w:t>dialysis supervision.</w:t>
      </w:r>
      <w:r w:rsidR="005C1053" w:rsidRPr="00FC1976">
        <w:rPr>
          <w:lang w:val="en-AU"/>
        </w:rPr>
        <w:t xml:space="preserve"> </w:t>
      </w:r>
      <w:r w:rsidR="00075123" w:rsidRPr="00FC1976">
        <w:rPr>
          <w:lang w:val="en-AU"/>
        </w:rPr>
        <w:t>Claim</w:t>
      </w:r>
      <w:r w:rsidR="00FF4FEF" w:rsidRPr="00FC1976">
        <w:rPr>
          <w:lang w:val="en-AU"/>
        </w:rPr>
        <w:t xml:space="preserve">s of </w:t>
      </w:r>
      <w:r w:rsidR="00B63D9E">
        <w:rPr>
          <w:lang w:val="en-AU"/>
        </w:rPr>
        <w:t xml:space="preserve">item </w:t>
      </w:r>
      <w:r w:rsidR="00FF4FEF" w:rsidRPr="00FC1976">
        <w:rPr>
          <w:lang w:val="en-AU"/>
        </w:rPr>
        <w:t xml:space="preserve">116 can be seen in </w:t>
      </w:r>
      <w:r w:rsidR="004D68DE" w:rsidRPr="00FC1976">
        <w:rPr>
          <w:lang w:val="en-AU"/>
        </w:rPr>
        <w:fldChar w:fldCharType="begin"/>
      </w:r>
      <w:r w:rsidR="004D68DE" w:rsidRPr="00FC1976">
        <w:rPr>
          <w:lang w:val="en-AU"/>
        </w:rPr>
        <w:instrText xml:space="preserve"> REF _Ref459985190 \h </w:instrText>
      </w:r>
      <w:r w:rsidR="004D68DE" w:rsidRPr="00FC1976">
        <w:rPr>
          <w:lang w:val="en-AU"/>
        </w:rPr>
      </w:r>
      <w:r w:rsidR="004D68DE" w:rsidRPr="00FC1976">
        <w:rPr>
          <w:lang w:val="en-AU"/>
        </w:rPr>
        <w:fldChar w:fldCharType="separate"/>
      </w:r>
      <w:r w:rsidR="00D17FB0" w:rsidRPr="00FC1976">
        <w:rPr>
          <w:lang w:val="en-AU"/>
        </w:rPr>
        <w:t xml:space="preserve">Figure </w:t>
      </w:r>
      <w:r w:rsidR="00D17FB0">
        <w:rPr>
          <w:noProof/>
          <w:lang w:val="en-AU"/>
        </w:rPr>
        <w:t>4</w:t>
      </w:r>
      <w:r w:rsidR="004D68DE" w:rsidRPr="00FC1976">
        <w:rPr>
          <w:lang w:val="en-AU"/>
        </w:rPr>
        <w:fldChar w:fldCharType="end"/>
      </w:r>
      <w:r w:rsidR="00075123" w:rsidRPr="00FC1976">
        <w:rPr>
          <w:lang w:val="en-AU"/>
        </w:rPr>
        <w:t xml:space="preserve">. </w:t>
      </w:r>
      <w:r w:rsidR="006B4DF1" w:rsidRPr="00FC1976">
        <w:rPr>
          <w:lang w:val="en-AU"/>
        </w:rPr>
        <w:t>C</w:t>
      </w:r>
      <w:r w:rsidRPr="00FC1976">
        <w:rPr>
          <w:lang w:val="en-AU"/>
        </w:rPr>
        <w:t xml:space="preserve">o-claiming </w:t>
      </w:r>
      <w:r w:rsidR="00AC5F93" w:rsidRPr="00FC1976">
        <w:rPr>
          <w:lang w:val="en-AU"/>
        </w:rPr>
        <w:t>item</w:t>
      </w:r>
      <w:r w:rsidRPr="00FC1976">
        <w:rPr>
          <w:lang w:val="en-AU"/>
        </w:rPr>
        <w:t xml:space="preserve"> 116 </w:t>
      </w:r>
      <w:r w:rsidR="00603395">
        <w:rPr>
          <w:lang w:val="en-AU"/>
        </w:rPr>
        <w:t>with</w:t>
      </w:r>
      <w:r w:rsidR="00603395" w:rsidRPr="00FC1976">
        <w:rPr>
          <w:lang w:val="en-AU"/>
        </w:rPr>
        <w:t xml:space="preserve"> </w:t>
      </w:r>
      <w:r w:rsidR="00D72CA9" w:rsidRPr="00FC1976">
        <w:rPr>
          <w:lang w:val="en-AU"/>
        </w:rPr>
        <w:t>dialysis supervision</w:t>
      </w:r>
      <w:r w:rsidR="00AC5F93" w:rsidRPr="00FC1976">
        <w:rPr>
          <w:lang w:val="en-AU"/>
        </w:rPr>
        <w:t xml:space="preserve"> item</w:t>
      </w:r>
      <w:r w:rsidR="00D72CA9" w:rsidRPr="00FC1976">
        <w:rPr>
          <w:lang w:val="en-AU"/>
        </w:rPr>
        <w:t>s 13100 or</w:t>
      </w:r>
      <w:r w:rsidRPr="00FC1976">
        <w:rPr>
          <w:lang w:val="en-AU"/>
        </w:rPr>
        <w:t xml:space="preserve"> 13103 was a</w:t>
      </w:r>
      <w:r w:rsidR="001639C0" w:rsidRPr="00FC1976">
        <w:rPr>
          <w:lang w:val="en-AU"/>
        </w:rPr>
        <w:t>lso noted as a</w:t>
      </w:r>
      <w:r w:rsidRPr="00FC1976">
        <w:rPr>
          <w:lang w:val="en-AU"/>
        </w:rPr>
        <w:t xml:space="preserve"> concern</w:t>
      </w:r>
      <w:r w:rsidR="00A95F3A" w:rsidRPr="00FC1976">
        <w:rPr>
          <w:lang w:val="en-AU"/>
        </w:rPr>
        <w:t xml:space="preserve">, </w:t>
      </w:r>
      <w:r w:rsidR="00CE6A77">
        <w:rPr>
          <w:lang w:val="en-AU"/>
        </w:rPr>
        <w:t>although</w:t>
      </w:r>
      <w:r w:rsidR="00CE6A77" w:rsidRPr="00FC1976">
        <w:rPr>
          <w:lang w:val="en-AU"/>
        </w:rPr>
        <w:t xml:space="preserve"> </w:t>
      </w:r>
      <w:r w:rsidR="00A95F3A" w:rsidRPr="00FC1976">
        <w:rPr>
          <w:lang w:val="en-AU"/>
        </w:rPr>
        <w:t>the Committee</w:t>
      </w:r>
      <w:r w:rsidRPr="00FC1976">
        <w:rPr>
          <w:lang w:val="en-AU"/>
        </w:rPr>
        <w:t xml:space="preserve"> found </w:t>
      </w:r>
      <w:r w:rsidR="00A95F3A" w:rsidRPr="00FC1976">
        <w:rPr>
          <w:lang w:val="en-AU"/>
        </w:rPr>
        <w:t>that this occurred</w:t>
      </w:r>
      <w:r w:rsidR="00FF58D2">
        <w:rPr>
          <w:lang w:val="en-AU"/>
        </w:rPr>
        <w:t xml:space="preserve"> in</w:t>
      </w:r>
      <w:r w:rsidR="00834300" w:rsidRPr="00FC1976">
        <w:rPr>
          <w:lang w:val="en-AU"/>
        </w:rPr>
        <w:t xml:space="preserve"> </w:t>
      </w:r>
      <w:r w:rsidR="00D72CA9" w:rsidRPr="00FC1976">
        <w:rPr>
          <w:lang w:val="en-AU"/>
        </w:rPr>
        <w:t>less than 1</w:t>
      </w:r>
      <w:r w:rsidR="00DF726A">
        <w:rPr>
          <w:lang w:val="en-AU"/>
        </w:rPr>
        <w:t xml:space="preserve"> per cent</w:t>
      </w:r>
      <w:r w:rsidR="00D72CA9" w:rsidRPr="00FC1976">
        <w:rPr>
          <w:lang w:val="en-AU"/>
        </w:rPr>
        <w:t xml:space="preserve"> of all dialysis supervision claims</w:t>
      </w:r>
      <w:r w:rsidR="00DD0737" w:rsidRPr="00FC1976">
        <w:rPr>
          <w:lang w:val="en-AU"/>
        </w:rPr>
        <w:t xml:space="preserve"> </w:t>
      </w:r>
      <w:r w:rsidR="00DD0737" w:rsidRPr="00FC1976">
        <w:rPr>
          <w:lang w:val="en-AU"/>
        </w:rPr>
        <w:fldChar w:fldCharType="begin" w:fldLock="1"/>
      </w:r>
      <w:r w:rsidR="00B409DB">
        <w:rPr>
          <w:lang w:val="en-AU"/>
        </w:rPr>
        <w:instrText>ADDIN CSL_CITATION { "citationItems" : [ { "id" : "ITEM-1", "itemData" : { "author" : [ { "dropping-particle" : "", "family" : "MBS", "given" : "", "non-dropping-particle" : "", "parse-names" : false, "suffix" : "" } ], "id" : "ITEM-1", "issued" : { "date-parts" : [ [ "0" ] ] }, "title" : "MBS data Q20321", "type" : "article-journal" }, "uris" : [ "http://www.mendeley.com/documents/?uuid=c5df19a8-7214-4b69-bc94-f9d0582c2510" ] } ], "mendeley" : { "formattedCitation" : "(23)", "plainTextFormattedCitation" : "(23)", "previouslyFormattedCitation" : "(23)" }, "properties" : { "noteIndex" : 0 }, "schema" : "https://github.com/citation-style-language/schema/raw/master/csl-citation.json" }</w:instrText>
      </w:r>
      <w:r w:rsidR="00DD0737" w:rsidRPr="00FC1976">
        <w:rPr>
          <w:lang w:val="en-AU"/>
        </w:rPr>
        <w:fldChar w:fldCharType="separate"/>
      </w:r>
      <w:r w:rsidR="0099742A" w:rsidRPr="0099742A">
        <w:rPr>
          <w:noProof/>
          <w:lang w:val="en-AU"/>
        </w:rPr>
        <w:t>(23)</w:t>
      </w:r>
      <w:r w:rsidR="00DD0737" w:rsidRPr="00FC1976">
        <w:rPr>
          <w:lang w:val="en-AU"/>
        </w:rPr>
        <w:fldChar w:fldCharType="end"/>
      </w:r>
      <w:r w:rsidR="009661E7" w:rsidRPr="00FC1976">
        <w:rPr>
          <w:lang w:val="en-AU"/>
        </w:rPr>
        <w:t>.</w:t>
      </w:r>
      <w:r w:rsidR="00FF7F14" w:rsidRPr="00FC1976">
        <w:rPr>
          <w:lang w:val="en-AU"/>
        </w:rPr>
        <w:t xml:space="preserve"> This data may not capture all patients</w:t>
      </w:r>
      <w:r w:rsidR="008F25EA">
        <w:rPr>
          <w:lang w:val="en-AU"/>
        </w:rPr>
        <w:t>, however,</w:t>
      </w:r>
      <w:r w:rsidR="00FF7F14" w:rsidRPr="00FC1976">
        <w:rPr>
          <w:lang w:val="en-AU"/>
        </w:rPr>
        <w:t xml:space="preserve"> as nephrologists who never bill renal</w:t>
      </w:r>
      <w:r w:rsidR="00C3465D">
        <w:rPr>
          <w:lang w:val="en-AU"/>
        </w:rPr>
        <w:t>-</w:t>
      </w:r>
      <w:r w:rsidR="00FF7F14" w:rsidRPr="00FC1976">
        <w:rPr>
          <w:lang w:val="en-AU"/>
        </w:rPr>
        <w:t xml:space="preserve">specific services (such as </w:t>
      </w:r>
      <w:r w:rsidR="00604E97">
        <w:rPr>
          <w:lang w:val="en-AU"/>
        </w:rPr>
        <w:t xml:space="preserve">item </w:t>
      </w:r>
      <w:r w:rsidR="00FF7F14" w:rsidRPr="00FC1976">
        <w:rPr>
          <w:lang w:val="en-AU"/>
        </w:rPr>
        <w:t xml:space="preserve">13013) may be classified by </w:t>
      </w:r>
      <w:r w:rsidR="003B4838">
        <w:rPr>
          <w:lang w:val="en-AU"/>
        </w:rPr>
        <w:t xml:space="preserve">the </w:t>
      </w:r>
      <w:r w:rsidR="00FF7F14" w:rsidRPr="00FC1976">
        <w:rPr>
          <w:lang w:val="en-AU"/>
        </w:rPr>
        <w:t xml:space="preserve">DHS as </w:t>
      </w:r>
      <w:r w:rsidR="00B10B07">
        <w:rPr>
          <w:lang w:val="en-AU"/>
        </w:rPr>
        <w:t>“</w:t>
      </w:r>
      <w:r w:rsidR="00FF7F14" w:rsidRPr="00FC1976">
        <w:rPr>
          <w:lang w:val="en-AU"/>
        </w:rPr>
        <w:t>internal medicine</w:t>
      </w:r>
      <w:r w:rsidR="00B10B07">
        <w:rPr>
          <w:lang w:val="en-AU"/>
        </w:rPr>
        <w:t>”</w:t>
      </w:r>
      <w:r w:rsidR="00FF7F14" w:rsidRPr="00FC1976">
        <w:rPr>
          <w:lang w:val="en-AU"/>
        </w:rPr>
        <w:t xml:space="preserve"> and </w:t>
      </w:r>
      <w:r w:rsidR="00E00365">
        <w:rPr>
          <w:lang w:val="en-AU"/>
        </w:rPr>
        <w:t>therefore may</w:t>
      </w:r>
      <w:r w:rsidR="00E00365" w:rsidRPr="00FC1976">
        <w:rPr>
          <w:lang w:val="en-AU"/>
        </w:rPr>
        <w:t xml:space="preserve"> </w:t>
      </w:r>
      <w:r w:rsidR="00FF7F14" w:rsidRPr="00FC1976">
        <w:rPr>
          <w:lang w:val="en-AU"/>
        </w:rPr>
        <w:t xml:space="preserve">not be included. The Committee noted that there are approximately </w:t>
      </w:r>
      <w:r w:rsidR="00DC6760" w:rsidRPr="00FC1976">
        <w:rPr>
          <w:lang w:val="en-AU"/>
        </w:rPr>
        <w:t>9,5</w:t>
      </w:r>
      <w:r w:rsidR="00FF7F14" w:rsidRPr="00FC1976">
        <w:rPr>
          <w:lang w:val="en-AU"/>
        </w:rPr>
        <w:t>00 patients dialysing in Australia</w:t>
      </w:r>
      <w:r w:rsidR="00AB43AA">
        <w:rPr>
          <w:lang w:val="en-AU"/>
        </w:rPr>
        <w:t>,</w:t>
      </w:r>
      <w:r w:rsidR="00FF7F14" w:rsidRPr="00FC1976">
        <w:rPr>
          <w:lang w:val="en-AU"/>
        </w:rPr>
        <w:t xml:space="preserve"> and the data obtained accounts for approximately 12.5</w:t>
      </w:r>
      <w:r w:rsidR="00E54955">
        <w:rPr>
          <w:lang w:val="en-AU"/>
        </w:rPr>
        <w:t xml:space="preserve"> per cent</w:t>
      </w:r>
      <w:r w:rsidR="00FF7F14" w:rsidRPr="00FC1976">
        <w:rPr>
          <w:lang w:val="en-AU"/>
        </w:rPr>
        <w:t xml:space="preserve"> of this population. </w:t>
      </w:r>
      <w:r w:rsidR="003678AE">
        <w:rPr>
          <w:lang w:val="en-AU"/>
        </w:rPr>
        <w:t>The Committee</w:t>
      </w:r>
      <w:r w:rsidR="00FF7F14" w:rsidRPr="00FC1976">
        <w:rPr>
          <w:lang w:val="en-AU"/>
        </w:rPr>
        <w:t xml:space="preserve"> agreed that the </w:t>
      </w:r>
      <w:r w:rsidR="00D17E44" w:rsidRPr="00FC1976">
        <w:rPr>
          <w:lang w:val="en-AU"/>
        </w:rPr>
        <w:t xml:space="preserve">majority of patients are likely to have been captured in this data. </w:t>
      </w:r>
    </w:p>
    <w:p w14:paraId="184E86C6" w14:textId="1D2130D9" w:rsidR="00FF4FEF" w:rsidRPr="00FC1976" w:rsidRDefault="004D68DE" w:rsidP="004D68DE">
      <w:pPr>
        <w:pStyle w:val="Caption"/>
        <w:rPr>
          <w:lang w:val="en-AU"/>
        </w:rPr>
      </w:pPr>
      <w:bookmarkStart w:id="95" w:name="_Ref459985190"/>
      <w:bookmarkStart w:id="96" w:name="_Toc459996846"/>
      <w:bookmarkStart w:id="97" w:name="_Toc459985373"/>
      <w:bookmarkStart w:id="98" w:name="_Toc463984900"/>
      <w:r w:rsidRPr="00FC1976">
        <w:rPr>
          <w:lang w:val="en-AU"/>
        </w:rPr>
        <w:t xml:space="preserve">Figure </w:t>
      </w:r>
      <w:r w:rsidRPr="00FC1976">
        <w:rPr>
          <w:lang w:val="en-AU"/>
        </w:rPr>
        <w:fldChar w:fldCharType="begin"/>
      </w:r>
      <w:r w:rsidRPr="00FC1976">
        <w:rPr>
          <w:lang w:val="en-AU"/>
        </w:rPr>
        <w:instrText xml:space="preserve"> SEQ Figure \* ARABIC </w:instrText>
      </w:r>
      <w:r w:rsidRPr="00FC1976">
        <w:rPr>
          <w:lang w:val="en-AU"/>
        </w:rPr>
        <w:fldChar w:fldCharType="separate"/>
      </w:r>
      <w:r w:rsidR="00D17FB0">
        <w:rPr>
          <w:noProof/>
          <w:lang w:val="en-AU"/>
        </w:rPr>
        <w:t>4</w:t>
      </w:r>
      <w:r w:rsidRPr="00FC1976">
        <w:rPr>
          <w:lang w:val="en-AU"/>
        </w:rPr>
        <w:fldChar w:fldCharType="end"/>
      </w:r>
      <w:bookmarkEnd w:id="95"/>
      <w:r w:rsidRPr="00FC1976">
        <w:rPr>
          <w:lang w:val="en-AU"/>
        </w:rPr>
        <w:t xml:space="preserve">: </w:t>
      </w:r>
      <w:r w:rsidR="008855E4" w:rsidRPr="00FC1976">
        <w:rPr>
          <w:lang w:val="en-AU"/>
        </w:rPr>
        <w:t>Dialysis and consult claim frequency per week</w:t>
      </w:r>
      <w:bookmarkEnd w:id="96"/>
      <w:bookmarkEnd w:id="97"/>
      <w:bookmarkEnd w:id="98"/>
    </w:p>
    <w:p w14:paraId="4CBAAE56" w14:textId="77777777" w:rsidR="00D0416D" w:rsidRPr="00FC1976" w:rsidRDefault="00D0416D" w:rsidP="00082595">
      <w:pPr>
        <w:pStyle w:val="70exhtblnormal"/>
        <w:rPr>
          <w:lang w:val="en-AU"/>
        </w:rPr>
      </w:pPr>
      <w:r>
        <w:rPr>
          <w:rStyle w:val="CommentReference"/>
          <w:rFonts w:cs="Arial"/>
          <w:sz w:val="24"/>
          <w:szCs w:val="20"/>
          <w:lang w:val="en-AU"/>
        </w:rPr>
        <w:t xml:space="preserve"> </w:t>
      </w:r>
      <w:r w:rsidRPr="00337817">
        <w:rPr>
          <w:rStyle w:val="CommentReference"/>
          <w:rFonts w:cs="Arial"/>
          <w:noProof/>
          <w:sz w:val="24"/>
          <w:szCs w:val="20"/>
          <w:lang w:val="en-AU" w:eastAsia="en-AU"/>
        </w:rPr>
        <w:drawing>
          <wp:inline distT="0" distB="0" distL="0" distR="0" wp14:anchorId="30BF024B" wp14:editId="2AC7C40D">
            <wp:extent cx="4475480" cy="2945980"/>
            <wp:effectExtent l="0" t="0" r="1270" b="6985"/>
            <wp:docPr id="11" name="Picture 11" descr="Figure 4 is a bar graph which shows the dialysis and consult claim frequency per week. The y axis shows the count of patient weeks meeting a criteria. A patient week is a week of treatments for a single patient. The x axis shows the number of episodes per patient week. &#10;&#10;The figure shows counts for three items. Consults (item 116), standard dialysis supervision (13103) and long supervision (13100). There are very few 13100 services. Services for 13103 are predominately 1-3 episodes per week. Consult services decrease in count as the number of episodes per week increases from 1 to 7 or more. There is a callout on the chart which highlights that there are 23,840 episodes in which patients are recieving more than 4 consultations per week." title="Figure 4: Dialysis and consult claim frequency per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2548"/>
                    <a:stretch/>
                  </pic:blipFill>
                  <pic:spPr bwMode="auto">
                    <a:xfrm>
                      <a:off x="0" y="0"/>
                      <a:ext cx="4475480" cy="2945980"/>
                    </a:xfrm>
                    <a:prstGeom prst="rect">
                      <a:avLst/>
                    </a:prstGeom>
                    <a:noFill/>
                    <a:ln>
                      <a:noFill/>
                    </a:ln>
                    <a:extLst>
                      <a:ext uri="{53640926-AAD7-44D8-BBD7-CCE9431645EC}">
                        <a14:shadowObscured xmlns:a14="http://schemas.microsoft.com/office/drawing/2010/main"/>
                      </a:ext>
                    </a:extLst>
                  </pic:spPr>
                </pic:pic>
              </a:graphicData>
            </a:graphic>
          </wp:inline>
        </w:drawing>
      </w:r>
      <w:r w:rsidRPr="00FC1976">
        <w:rPr>
          <w:rStyle w:val="CommentReference"/>
          <w:rFonts w:cs="Arial"/>
          <w:sz w:val="24"/>
          <w:szCs w:val="20"/>
          <w:lang w:val="en-AU"/>
        </w:rPr>
        <w:t xml:space="preserve"> </w:t>
      </w:r>
    </w:p>
    <w:p w14:paraId="40C70EE9" w14:textId="77777777" w:rsidR="001D7927" w:rsidRPr="00FC1976" w:rsidRDefault="00CA5648" w:rsidP="00E15A50">
      <w:pPr>
        <w:pStyle w:val="01squarebullet"/>
        <w:rPr>
          <w:lang w:val="en-AU"/>
        </w:rPr>
      </w:pPr>
      <w:r w:rsidRPr="00FC1976">
        <w:rPr>
          <w:lang w:val="en-AU"/>
        </w:rPr>
        <w:t>The Committee found that s</w:t>
      </w:r>
      <w:r w:rsidR="002E74A9" w:rsidRPr="00FC1976">
        <w:rPr>
          <w:lang w:val="en-AU"/>
        </w:rPr>
        <w:t>ervice</w:t>
      </w:r>
      <w:r w:rsidR="006729E5" w:rsidRPr="00FC1976">
        <w:rPr>
          <w:lang w:val="en-AU"/>
        </w:rPr>
        <w:t xml:space="preserve"> </w:t>
      </w:r>
      <w:r w:rsidR="001D7927" w:rsidRPr="00FC1976">
        <w:rPr>
          <w:lang w:val="en-AU"/>
        </w:rPr>
        <w:t xml:space="preserve">volumes </w:t>
      </w:r>
      <w:r w:rsidR="006729E5" w:rsidRPr="00FC1976">
        <w:rPr>
          <w:lang w:val="en-AU"/>
        </w:rPr>
        <w:t>for item</w:t>
      </w:r>
      <w:r w:rsidR="001D7927" w:rsidRPr="00FC1976">
        <w:rPr>
          <w:lang w:val="en-AU"/>
        </w:rPr>
        <w:t xml:space="preserve"> 13100</w:t>
      </w:r>
      <w:r w:rsidR="00821A99" w:rsidRPr="00FC1976">
        <w:rPr>
          <w:lang w:val="en-AU"/>
        </w:rPr>
        <w:t xml:space="preserve"> </w:t>
      </w:r>
      <w:r w:rsidR="001D7927" w:rsidRPr="00FC1976">
        <w:rPr>
          <w:lang w:val="en-AU"/>
        </w:rPr>
        <w:t>were higher than expected</w:t>
      </w:r>
      <w:r w:rsidR="00D02D77" w:rsidRPr="00FC1976">
        <w:rPr>
          <w:lang w:val="en-AU"/>
        </w:rPr>
        <w:t xml:space="preserve">. </w:t>
      </w:r>
      <w:r w:rsidR="000C3060" w:rsidRPr="00FC1976">
        <w:rPr>
          <w:lang w:val="en-AU"/>
        </w:rPr>
        <w:t>It</w:t>
      </w:r>
      <w:r w:rsidR="00D02D77" w:rsidRPr="00FC1976">
        <w:rPr>
          <w:lang w:val="en-AU"/>
        </w:rPr>
        <w:t xml:space="preserve"> </w:t>
      </w:r>
      <w:r w:rsidR="006B629B" w:rsidRPr="00FC1976">
        <w:rPr>
          <w:lang w:val="en-AU"/>
        </w:rPr>
        <w:t>was</w:t>
      </w:r>
      <w:r w:rsidR="00D02D77" w:rsidRPr="00FC1976">
        <w:rPr>
          <w:lang w:val="en-AU"/>
        </w:rPr>
        <w:t xml:space="preserve"> </w:t>
      </w:r>
      <w:r w:rsidR="001D7927" w:rsidRPr="00FC1976">
        <w:rPr>
          <w:lang w:val="en-AU"/>
        </w:rPr>
        <w:t>agreed that there was a financial incentive to claim this item</w:t>
      </w:r>
      <w:r w:rsidR="003D0D16" w:rsidRPr="00FC1976">
        <w:rPr>
          <w:lang w:val="en-AU"/>
        </w:rPr>
        <w:t>, and that</w:t>
      </w:r>
      <w:r w:rsidR="001D7927" w:rsidRPr="00FC1976">
        <w:rPr>
          <w:lang w:val="en-AU"/>
        </w:rPr>
        <w:t xml:space="preserve"> combining </w:t>
      </w:r>
      <w:r w:rsidR="00765B09" w:rsidRPr="00FC1976">
        <w:rPr>
          <w:lang w:val="en-AU"/>
        </w:rPr>
        <w:t xml:space="preserve">items </w:t>
      </w:r>
      <w:r w:rsidR="001D7927" w:rsidRPr="00FC1976">
        <w:rPr>
          <w:lang w:val="en-AU"/>
        </w:rPr>
        <w:t>13100 and 13103 in a cost</w:t>
      </w:r>
      <w:r w:rsidR="009B5963" w:rsidRPr="00FC1976">
        <w:rPr>
          <w:lang w:val="en-AU"/>
        </w:rPr>
        <w:t>-</w:t>
      </w:r>
      <w:r w:rsidR="001D7927" w:rsidRPr="00FC1976">
        <w:rPr>
          <w:lang w:val="en-AU"/>
        </w:rPr>
        <w:t xml:space="preserve">neutral manner would remove this incentive </w:t>
      </w:r>
      <w:r w:rsidR="009B5963" w:rsidRPr="00FC1976">
        <w:rPr>
          <w:lang w:val="en-AU"/>
        </w:rPr>
        <w:t>without</w:t>
      </w:r>
      <w:r w:rsidR="001D7927" w:rsidRPr="00FC1976">
        <w:rPr>
          <w:lang w:val="en-AU"/>
        </w:rPr>
        <w:t xml:space="preserve"> unfairly penalis</w:t>
      </w:r>
      <w:r w:rsidR="009B5963" w:rsidRPr="00FC1976">
        <w:rPr>
          <w:lang w:val="en-AU"/>
        </w:rPr>
        <w:t>ing</w:t>
      </w:r>
      <w:r w:rsidR="001D7927" w:rsidRPr="00FC1976">
        <w:rPr>
          <w:lang w:val="en-AU"/>
        </w:rPr>
        <w:t xml:space="preserve"> providers.</w:t>
      </w:r>
    </w:p>
    <w:p w14:paraId="2F93C8A7" w14:textId="77777777" w:rsidR="00A40D36" w:rsidRPr="00FC1976" w:rsidRDefault="001D7927" w:rsidP="00E15A50">
      <w:pPr>
        <w:pStyle w:val="01squarebullet"/>
        <w:rPr>
          <w:lang w:val="en-AU"/>
        </w:rPr>
      </w:pPr>
      <w:r w:rsidRPr="00FC1976">
        <w:rPr>
          <w:lang w:val="en-AU"/>
        </w:rPr>
        <w:t>In light of th</w:t>
      </w:r>
      <w:r w:rsidR="003A0D43" w:rsidRPr="00FC1976">
        <w:rPr>
          <w:lang w:val="en-AU"/>
        </w:rPr>
        <w:t>is</w:t>
      </w:r>
      <w:r w:rsidRPr="00FC1976">
        <w:rPr>
          <w:lang w:val="en-AU"/>
        </w:rPr>
        <w:t xml:space="preserve"> data and in-session discussions, the Committee agreed that the dialysis items should be re-drafted to achieve </w:t>
      </w:r>
      <w:r w:rsidR="008E0D45" w:rsidRPr="00FC1976">
        <w:rPr>
          <w:lang w:val="en-AU"/>
        </w:rPr>
        <w:t>three</w:t>
      </w:r>
      <w:r w:rsidRPr="00FC1976">
        <w:rPr>
          <w:lang w:val="en-AU"/>
        </w:rPr>
        <w:t xml:space="preserve"> outcomes</w:t>
      </w:r>
      <w:r w:rsidR="00FB50F6" w:rsidRPr="00FC1976">
        <w:rPr>
          <w:lang w:val="en-AU"/>
        </w:rPr>
        <w:t>: (i) t</w:t>
      </w:r>
      <w:r w:rsidRPr="00FC1976">
        <w:rPr>
          <w:lang w:val="en-AU"/>
        </w:rPr>
        <w:t xml:space="preserve">he item(s) should reflect the ongoing care required </w:t>
      </w:r>
      <w:r w:rsidR="008060A5" w:rsidRPr="00FC1976">
        <w:rPr>
          <w:lang w:val="en-AU"/>
        </w:rPr>
        <w:t>by a</w:t>
      </w:r>
      <w:r w:rsidRPr="00FC1976">
        <w:rPr>
          <w:lang w:val="en-AU"/>
        </w:rPr>
        <w:t xml:space="preserve"> dialysis patient, including between sessions</w:t>
      </w:r>
      <w:r w:rsidR="000452BA" w:rsidRPr="00FC1976">
        <w:rPr>
          <w:lang w:val="en-AU"/>
        </w:rPr>
        <w:t>; (ii) t</w:t>
      </w:r>
      <w:r w:rsidRPr="00FC1976">
        <w:rPr>
          <w:lang w:val="en-AU"/>
        </w:rPr>
        <w:t xml:space="preserve">he item(s) should remove the financial incentives for specific treatment options, including in-centre </w:t>
      </w:r>
      <w:r w:rsidR="00AE7983" w:rsidRPr="00FC1976">
        <w:rPr>
          <w:lang w:val="en-AU"/>
        </w:rPr>
        <w:t xml:space="preserve">versus </w:t>
      </w:r>
      <w:r w:rsidRPr="00FC1976">
        <w:rPr>
          <w:lang w:val="en-AU"/>
        </w:rPr>
        <w:t>home or community dialysis</w:t>
      </w:r>
      <w:r w:rsidR="00CD2270" w:rsidRPr="00FC1976">
        <w:rPr>
          <w:lang w:val="en-AU"/>
        </w:rPr>
        <w:t>; and (iii) t</w:t>
      </w:r>
      <w:r w:rsidRPr="00FC1976">
        <w:rPr>
          <w:lang w:val="en-AU"/>
        </w:rPr>
        <w:t>he item(s) should be linked to quality care or patient outcomes</w:t>
      </w:r>
      <w:r w:rsidR="00E00CE5" w:rsidRPr="00FC1976">
        <w:rPr>
          <w:lang w:val="en-AU"/>
        </w:rPr>
        <w:t xml:space="preserve">. </w:t>
      </w:r>
      <w:r w:rsidRPr="00FC1976">
        <w:rPr>
          <w:lang w:val="en-AU"/>
        </w:rPr>
        <w:t xml:space="preserve">The Committee </w:t>
      </w:r>
      <w:r w:rsidR="00E00CE5" w:rsidRPr="00FC1976">
        <w:rPr>
          <w:lang w:val="en-AU"/>
        </w:rPr>
        <w:t xml:space="preserve">also </w:t>
      </w:r>
      <w:r w:rsidRPr="00FC1976">
        <w:rPr>
          <w:lang w:val="en-AU"/>
        </w:rPr>
        <w:t>agreed that any change should be cost neutral</w:t>
      </w:r>
      <w:r w:rsidR="00DD3B3D" w:rsidRPr="00FC1976">
        <w:rPr>
          <w:lang w:val="en-AU"/>
        </w:rPr>
        <w:t>,</w:t>
      </w:r>
      <w:r w:rsidRPr="00FC1976">
        <w:rPr>
          <w:lang w:val="en-AU"/>
        </w:rPr>
        <w:t xml:space="preserve"> and </w:t>
      </w:r>
      <w:r w:rsidR="00DD3B3D" w:rsidRPr="00FC1976">
        <w:rPr>
          <w:lang w:val="en-AU"/>
        </w:rPr>
        <w:t>should</w:t>
      </w:r>
      <w:r w:rsidRPr="00FC1976">
        <w:rPr>
          <w:lang w:val="en-AU"/>
        </w:rPr>
        <w:t xml:space="preserve"> target the existing population of private patients who dialyse in the private setting</w:t>
      </w:r>
      <w:r w:rsidR="004F2671" w:rsidRPr="00FC1976">
        <w:rPr>
          <w:lang w:val="en-AU"/>
        </w:rPr>
        <w:t xml:space="preserve">. </w:t>
      </w:r>
    </w:p>
    <w:p w14:paraId="5385777F" w14:textId="77777777" w:rsidR="00F7028D" w:rsidRPr="00FC1976" w:rsidRDefault="0090333C" w:rsidP="00E15A50">
      <w:pPr>
        <w:pStyle w:val="01squarebullet"/>
        <w:rPr>
          <w:lang w:val="en-AU"/>
        </w:rPr>
      </w:pPr>
      <w:r w:rsidRPr="00FC1976">
        <w:rPr>
          <w:lang w:val="en-AU"/>
        </w:rPr>
        <w:t xml:space="preserve">The Committee </w:t>
      </w:r>
      <w:r w:rsidR="001D7927" w:rsidRPr="00FC1976">
        <w:rPr>
          <w:lang w:val="en-AU"/>
        </w:rPr>
        <w:t xml:space="preserve">agreed that </w:t>
      </w:r>
      <w:r w:rsidR="008A31B1" w:rsidRPr="00FC1976">
        <w:rPr>
          <w:lang w:val="en-AU"/>
        </w:rPr>
        <w:t>introducing a</w:t>
      </w:r>
      <w:r w:rsidR="00DB5F36">
        <w:rPr>
          <w:lang w:val="en-AU"/>
        </w:rPr>
        <w:t>n item that provides a</w:t>
      </w:r>
      <w:r w:rsidR="008A31B1" w:rsidRPr="00FC1976">
        <w:rPr>
          <w:lang w:val="en-AU"/>
        </w:rPr>
        <w:t xml:space="preserve"> weekly </w:t>
      </w:r>
      <w:r w:rsidR="000968E7" w:rsidRPr="00FC1976">
        <w:rPr>
          <w:lang w:val="en-AU"/>
        </w:rPr>
        <w:t>payment</w:t>
      </w:r>
      <w:r w:rsidR="004D22EE" w:rsidRPr="00FC1976" w:rsidDel="004D22EE">
        <w:rPr>
          <w:lang w:val="en-AU"/>
        </w:rPr>
        <w:t xml:space="preserve"> </w:t>
      </w:r>
      <w:r w:rsidR="003802F0">
        <w:rPr>
          <w:lang w:val="en-AU"/>
        </w:rPr>
        <w:t xml:space="preserve">model </w:t>
      </w:r>
      <w:r w:rsidR="001D7927" w:rsidRPr="00FC1976">
        <w:rPr>
          <w:lang w:val="en-AU"/>
        </w:rPr>
        <w:t xml:space="preserve">could achieve </w:t>
      </w:r>
      <w:r w:rsidR="00DA52C1" w:rsidRPr="00FC1976">
        <w:rPr>
          <w:lang w:val="en-AU"/>
        </w:rPr>
        <w:t>the first outcome</w:t>
      </w:r>
      <w:r w:rsidR="001F4DF5" w:rsidRPr="00FC1976">
        <w:rPr>
          <w:lang w:val="en-AU"/>
        </w:rPr>
        <w:t>—reflect the ongoing care required by a dialysis patient—</w:t>
      </w:r>
      <w:r w:rsidR="009124BC" w:rsidRPr="00FC1976">
        <w:rPr>
          <w:lang w:val="en-AU"/>
        </w:rPr>
        <w:t xml:space="preserve">by </w:t>
      </w:r>
      <w:r w:rsidR="00BE2449" w:rsidRPr="00FC1976">
        <w:rPr>
          <w:lang w:val="en-AU"/>
        </w:rPr>
        <w:t>facilitating</w:t>
      </w:r>
      <w:r w:rsidR="002467CB" w:rsidRPr="00FC1976">
        <w:rPr>
          <w:lang w:val="en-AU"/>
        </w:rPr>
        <w:t xml:space="preserve"> </w:t>
      </w:r>
      <w:r w:rsidR="00E9472A" w:rsidRPr="00FC1976">
        <w:rPr>
          <w:lang w:val="en-AU"/>
        </w:rPr>
        <w:t xml:space="preserve">ongoing planning, care and monitoring for patients receiving dialysis (see the proposed explanatory notes). </w:t>
      </w:r>
      <w:r w:rsidR="00625156" w:rsidRPr="00FC1976">
        <w:rPr>
          <w:lang w:val="en-AU"/>
        </w:rPr>
        <w:t xml:space="preserve">It </w:t>
      </w:r>
      <w:r w:rsidR="001A025B" w:rsidRPr="00FC1976">
        <w:rPr>
          <w:lang w:val="en-AU"/>
        </w:rPr>
        <w:t xml:space="preserve">also </w:t>
      </w:r>
      <w:r w:rsidR="009B18FE" w:rsidRPr="00FC1976">
        <w:rPr>
          <w:lang w:val="en-AU"/>
        </w:rPr>
        <w:t>agreed that the second outcome—remove financial incentives for specific treatment options—</w:t>
      </w:r>
      <w:r w:rsidR="001D209A" w:rsidRPr="00FC1976">
        <w:rPr>
          <w:lang w:val="en-AU"/>
        </w:rPr>
        <w:t>could</w:t>
      </w:r>
      <w:r w:rsidR="009B18FE" w:rsidRPr="00FC1976">
        <w:rPr>
          <w:lang w:val="en-AU"/>
        </w:rPr>
        <w:t xml:space="preserve"> be partially addressed through this </w:t>
      </w:r>
      <w:r w:rsidR="00DB5F36">
        <w:rPr>
          <w:lang w:val="en-AU"/>
        </w:rPr>
        <w:t>weekly</w:t>
      </w:r>
      <w:r w:rsidR="009B18FE" w:rsidRPr="00FC1976">
        <w:rPr>
          <w:lang w:val="en-AU"/>
        </w:rPr>
        <w:t xml:space="preserve"> </w:t>
      </w:r>
      <w:r w:rsidR="00B133E5" w:rsidRPr="00FC1976">
        <w:rPr>
          <w:lang w:val="en-AU"/>
        </w:rPr>
        <w:t>payment</w:t>
      </w:r>
      <w:r w:rsidR="001233B2">
        <w:rPr>
          <w:lang w:val="en-AU"/>
        </w:rPr>
        <w:t>,</w:t>
      </w:r>
      <w:r w:rsidR="00FA1ADF" w:rsidRPr="00FC1976">
        <w:rPr>
          <w:lang w:val="en-AU"/>
        </w:rPr>
        <w:t xml:space="preserve"> which would </w:t>
      </w:r>
      <w:r w:rsidR="0042752C" w:rsidRPr="00FC1976">
        <w:rPr>
          <w:lang w:val="en-AU"/>
        </w:rPr>
        <w:t>remove</w:t>
      </w:r>
      <w:r w:rsidR="0042752C">
        <w:rPr>
          <w:lang w:val="en-AU"/>
        </w:rPr>
        <w:t xml:space="preserve"> the </w:t>
      </w:r>
      <w:r w:rsidR="00FA1ADF" w:rsidRPr="00FC1976">
        <w:rPr>
          <w:lang w:val="en-AU"/>
        </w:rPr>
        <w:t>incentive to provide a specific number of services per week</w:t>
      </w:r>
      <w:r w:rsidR="003F2676">
        <w:rPr>
          <w:lang w:val="en-AU"/>
        </w:rPr>
        <w:t>. However,</w:t>
      </w:r>
      <w:r w:rsidR="009B18FE" w:rsidRPr="00FC1976">
        <w:rPr>
          <w:lang w:val="en-AU"/>
        </w:rPr>
        <w:t xml:space="preserve"> </w:t>
      </w:r>
      <w:r w:rsidR="003F2676">
        <w:rPr>
          <w:lang w:val="en-AU"/>
        </w:rPr>
        <w:t xml:space="preserve">the </w:t>
      </w:r>
      <w:r w:rsidR="00DB5F36">
        <w:rPr>
          <w:lang w:val="en-AU"/>
        </w:rPr>
        <w:t xml:space="preserve">weekly </w:t>
      </w:r>
      <w:r w:rsidR="003F2676">
        <w:rPr>
          <w:lang w:val="en-AU"/>
        </w:rPr>
        <w:t>payment</w:t>
      </w:r>
      <w:r w:rsidR="003F2676" w:rsidRPr="00FC1976">
        <w:rPr>
          <w:lang w:val="en-AU"/>
        </w:rPr>
        <w:t xml:space="preserve"> </w:t>
      </w:r>
      <w:r w:rsidR="00DB5F36">
        <w:rPr>
          <w:lang w:val="en-AU"/>
        </w:rPr>
        <w:t xml:space="preserve">model </w:t>
      </w:r>
      <w:r w:rsidR="009B18FE" w:rsidRPr="00FC1976">
        <w:rPr>
          <w:lang w:val="en-AU"/>
        </w:rPr>
        <w:t>would not address the significant remuneration disparity between in-hospital and home dialysis supervision</w:t>
      </w:r>
      <w:r w:rsidR="006745E6" w:rsidRPr="00FC1976">
        <w:rPr>
          <w:lang w:val="en-AU"/>
        </w:rPr>
        <w:t xml:space="preserve">. </w:t>
      </w:r>
      <w:r w:rsidR="00A54B21" w:rsidRPr="00FC1976">
        <w:rPr>
          <w:lang w:val="en-AU"/>
        </w:rPr>
        <w:t xml:space="preserve">It was noted that home </w:t>
      </w:r>
      <w:r w:rsidR="00C82C73" w:rsidRPr="00FC1976">
        <w:rPr>
          <w:lang w:val="en-AU"/>
        </w:rPr>
        <w:t>peritoneal dialysis</w:t>
      </w:r>
      <w:r w:rsidR="00A54B21" w:rsidRPr="00FC1976">
        <w:rPr>
          <w:lang w:val="en-AU"/>
        </w:rPr>
        <w:t xml:space="preserve"> is not </w:t>
      </w:r>
      <w:r w:rsidR="00C82118" w:rsidRPr="00FC1976">
        <w:rPr>
          <w:lang w:val="en-AU"/>
        </w:rPr>
        <w:t xml:space="preserve">available for many private patients as this service requires transfer of care to a public hospital service. This is necessary to cover the non-medical </w:t>
      </w:r>
      <w:r w:rsidR="00B7329E">
        <w:rPr>
          <w:lang w:val="en-AU"/>
        </w:rPr>
        <w:t xml:space="preserve">supervision </w:t>
      </w:r>
      <w:r w:rsidR="00C82118" w:rsidRPr="00FC1976">
        <w:rPr>
          <w:lang w:val="en-AU"/>
        </w:rPr>
        <w:t xml:space="preserve">costs, </w:t>
      </w:r>
      <w:r w:rsidR="002E3398">
        <w:rPr>
          <w:lang w:val="en-AU"/>
        </w:rPr>
        <w:t xml:space="preserve">which are </w:t>
      </w:r>
      <w:r w:rsidR="00C82118" w:rsidRPr="00FC1976">
        <w:rPr>
          <w:lang w:val="en-AU"/>
        </w:rPr>
        <w:t xml:space="preserve">not currently funded by private health insurers for home dialysis </w:t>
      </w:r>
      <w:r w:rsidR="00D73701">
        <w:rPr>
          <w:lang w:val="en-AU"/>
        </w:rPr>
        <w:t>that</w:t>
      </w:r>
      <w:r w:rsidR="00D73701" w:rsidRPr="00FC1976">
        <w:rPr>
          <w:lang w:val="en-AU"/>
        </w:rPr>
        <w:t xml:space="preserve"> </w:t>
      </w:r>
      <w:r w:rsidR="00C82118" w:rsidRPr="00FC1976">
        <w:rPr>
          <w:lang w:val="en-AU"/>
        </w:rPr>
        <w:t>do</w:t>
      </w:r>
      <w:r w:rsidR="00B7329E">
        <w:rPr>
          <w:lang w:val="en-AU"/>
        </w:rPr>
        <w:t>es</w:t>
      </w:r>
      <w:r w:rsidR="00C82118" w:rsidRPr="00FC1976">
        <w:rPr>
          <w:lang w:val="en-AU"/>
        </w:rPr>
        <w:t xml:space="preserve"> not require an ‘admission’ to a hospital or satellite service. It was noted that home dialysis </w:t>
      </w:r>
      <w:r w:rsidR="00A23BE1" w:rsidRPr="00FC1976">
        <w:rPr>
          <w:lang w:val="en-AU"/>
        </w:rPr>
        <w:t>(</w:t>
      </w:r>
      <w:r w:rsidR="00985B8E">
        <w:rPr>
          <w:lang w:val="en-AU"/>
        </w:rPr>
        <w:t xml:space="preserve">item </w:t>
      </w:r>
      <w:r w:rsidR="00A23BE1" w:rsidRPr="00FC1976">
        <w:rPr>
          <w:lang w:val="en-AU"/>
        </w:rPr>
        <w:t xml:space="preserve">13104) </w:t>
      </w:r>
      <w:r w:rsidR="00985B8E">
        <w:rPr>
          <w:lang w:val="en-AU"/>
        </w:rPr>
        <w:t xml:space="preserve">currently </w:t>
      </w:r>
      <w:r w:rsidR="00A23BE1" w:rsidRPr="00FC1976">
        <w:rPr>
          <w:lang w:val="en-AU"/>
        </w:rPr>
        <w:t xml:space="preserve">attracts rebates of </w:t>
      </w:r>
      <w:r w:rsidR="0034240E">
        <w:rPr>
          <w:lang w:val="en-AU"/>
        </w:rPr>
        <w:t xml:space="preserve">approximately </w:t>
      </w:r>
      <w:r w:rsidR="00A23BE1" w:rsidRPr="00FC1976">
        <w:rPr>
          <w:lang w:val="en-AU"/>
        </w:rPr>
        <w:t xml:space="preserve">$125 per month or </w:t>
      </w:r>
      <w:r w:rsidR="008E74E3">
        <w:rPr>
          <w:lang w:val="en-AU"/>
        </w:rPr>
        <w:t xml:space="preserve">approximately </w:t>
      </w:r>
      <w:r w:rsidR="00A23BE1" w:rsidRPr="00FC1976">
        <w:rPr>
          <w:lang w:val="en-AU"/>
        </w:rPr>
        <w:t>$1,500 per year, while in-centre dialysis (</w:t>
      </w:r>
      <w:r w:rsidR="00BF2E8C">
        <w:rPr>
          <w:lang w:val="en-AU"/>
        </w:rPr>
        <w:t xml:space="preserve">item </w:t>
      </w:r>
      <w:r w:rsidR="00A23BE1" w:rsidRPr="00FC1976">
        <w:rPr>
          <w:lang w:val="en-AU"/>
        </w:rPr>
        <w:t xml:space="preserve">13103) attracts rebates of </w:t>
      </w:r>
      <w:r w:rsidR="0024325A">
        <w:rPr>
          <w:lang w:val="en-AU"/>
        </w:rPr>
        <w:t xml:space="preserve">approximately </w:t>
      </w:r>
      <w:r w:rsidR="00A23BE1" w:rsidRPr="00FC1976">
        <w:rPr>
          <w:lang w:val="en-AU"/>
        </w:rPr>
        <w:t>$60 per service, which</w:t>
      </w:r>
      <w:r w:rsidR="002B276D">
        <w:rPr>
          <w:lang w:val="en-AU"/>
        </w:rPr>
        <w:t>,</w:t>
      </w:r>
      <w:r w:rsidR="00A23BE1" w:rsidRPr="00FC1976">
        <w:rPr>
          <w:lang w:val="en-AU"/>
        </w:rPr>
        <w:t xml:space="preserve"> if claimed three times per week for 40 weeks in a year, </w:t>
      </w:r>
      <w:r w:rsidR="00072697" w:rsidRPr="00FC1976">
        <w:rPr>
          <w:lang w:val="en-AU"/>
        </w:rPr>
        <w:t>equates to over $7,200 per year (excluding payments by private health insurers for each service provided). It was noted that some in-centre patients are more acutely unwell and do have higher care needs</w:t>
      </w:r>
      <w:r w:rsidR="002162A1">
        <w:rPr>
          <w:lang w:val="en-AU"/>
        </w:rPr>
        <w:t>.</w:t>
      </w:r>
      <w:r w:rsidR="002162A1" w:rsidRPr="00FC1976">
        <w:rPr>
          <w:lang w:val="en-AU"/>
        </w:rPr>
        <w:t xml:space="preserve"> </w:t>
      </w:r>
      <w:r w:rsidR="002162A1">
        <w:rPr>
          <w:lang w:val="en-AU"/>
        </w:rPr>
        <w:t>H</w:t>
      </w:r>
      <w:r w:rsidR="00072697" w:rsidRPr="00FC1976">
        <w:rPr>
          <w:lang w:val="en-AU"/>
        </w:rPr>
        <w:t>owever</w:t>
      </w:r>
      <w:r w:rsidR="002162A1">
        <w:rPr>
          <w:lang w:val="en-AU"/>
        </w:rPr>
        <w:t>,</w:t>
      </w:r>
      <w:r w:rsidR="00072697" w:rsidRPr="00FC1976">
        <w:rPr>
          <w:lang w:val="en-AU"/>
        </w:rPr>
        <w:t xml:space="preserve"> many stable in-centre patients do not have significantly higher complexity than home dialysis patients. </w:t>
      </w:r>
      <w:r w:rsidR="00AF1F95">
        <w:rPr>
          <w:lang w:val="en-AU"/>
        </w:rPr>
        <w:t>The</w:t>
      </w:r>
      <w:r w:rsidR="00AF1F95" w:rsidRPr="00FC1976">
        <w:rPr>
          <w:lang w:val="en-AU"/>
        </w:rPr>
        <w:t xml:space="preserve"> </w:t>
      </w:r>
      <w:r w:rsidR="00BF29CB" w:rsidRPr="00FC1976">
        <w:rPr>
          <w:lang w:val="en-AU"/>
        </w:rPr>
        <w:t xml:space="preserve">40 weeks </w:t>
      </w:r>
      <w:r w:rsidR="009721B6">
        <w:rPr>
          <w:lang w:val="en-AU"/>
        </w:rPr>
        <w:t>referenced</w:t>
      </w:r>
      <w:r w:rsidR="00BF29CB" w:rsidRPr="00FC1976">
        <w:rPr>
          <w:lang w:val="en-AU"/>
        </w:rPr>
        <w:t xml:space="preserve"> in this example </w:t>
      </w:r>
      <w:r w:rsidR="00403ECA">
        <w:rPr>
          <w:lang w:val="en-AU"/>
        </w:rPr>
        <w:t>represent</w:t>
      </w:r>
      <w:r w:rsidR="005F29B7" w:rsidRPr="00FC1976">
        <w:rPr>
          <w:lang w:val="en-AU"/>
        </w:rPr>
        <w:t xml:space="preserve"> </w:t>
      </w:r>
      <w:r w:rsidR="00BF29CB" w:rsidRPr="00FC1976">
        <w:rPr>
          <w:lang w:val="en-AU"/>
        </w:rPr>
        <w:t>a very conservative estimate</w:t>
      </w:r>
      <w:r w:rsidR="00360BDB">
        <w:rPr>
          <w:lang w:val="en-AU"/>
        </w:rPr>
        <w:t>,</w:t>
      </w:r>
      <w:r w:rsidR="00BF29CB" w:rsidRPr="00FC1976">
        <w:rPr>
          <w:lang w:val="en-AU"/>
        </w:rPr>
        <w:t xml:space="preserve"> reflecting that patients are acutely unwell </w:t>
      </w:r>
      <w:r w:rsidR="00C559F9">
        <w:rPr>
          <w:lang w:val="en-AU"/>
        </w:rPr>
        <w:t xml:space="preserve">for </w:t>
      </w:r>
      <w:r w:rsidR="00BF29CB" w:rsidRPr="00FC1976">
        <w:rPr>
          <w:lang w:val="en-AU"/>
        </w:rPr>
        <w:t>part of the year</w:t>
      </w:r>
      <w:r w:rsidR="005E7DB7">
        <w:rPr>
          <w:lang w:val="en-AU"/>
        </w:rPr>
        <w:t>,</w:t>
      </w:r>
      <w:r w:rsidR="00BF29CB" w:rsidRPr="00FC1976">
        <w:rPr>
          <w:lang w:val="en-AU"/>
        </w:rPr>
        <w:t xml:space="preserve"> and</w:t>
      </w:r>
      <w:r w:rsidR="005E7DB7">
        <w:rPr>
          <w:lang w:val="en-AU"/>
        </w:rPr>
        <w:t xml:space="preserve"> that</w:t>
      </w:r>
      <w:r w:rsidR="00BF29CB" w:rsidRPr="00FC1976">
        <w:rPr>
          <w:lang w:val="en-AU"/>
        </w:rPr>
        <w:t xml:space="preserve"> some commence or cease dialysis part way through the year</w:t>
      </w:r>
      <w:r w:rsidR="003F5919">
        <w:rPr>
          <w:lang w:val="en-AU"/>
        </w:rPr>
        <w:t>.</w:t>
      </w:r>
      <w:r w:rsidR="00BF29CB" w:rsidRPr="00FC1976">
        <w:rPr>
          <w:lang w:val="en-AU"/>
        </w:rPr>
        <w:t xml:space="preserve"> </w:t>
      </w:r>
      <w:r w:rsidR="003F5919">
        <w:rPr>
          <w:lang w:val="en-AU"/>
        </w:rPr>
        <w:t xml:space="preserve">The differential would be higher </w:t>
      </w:r>
      <w:r w:rsidR="00BF29CB" w:rsidRPr="00FC1976">
        <w:rPr>
          <w:lang w:val="en-AU"/>
        </w:rPr>
        <w:t xml:space="preserve">for a full year. </w:t>
      </w:r>
    </w:p>
    <w:p w14:paraId="42463241" w14:textId="77777777" w:rsidR="00D17E44" w:rsidRPr="00FC1976" w:rsidRDefault="00103857" w:rsidP="00E15A50">
      <w:pPr>
        <w:pStyle w:val="01squarebullet"/>
        <w:rPr>
          <w:lang w:val="en-AU"/>
        </w:rPr>
      </w:pPr>
      <w:r>
        <w:rPr>
          <w:lang w:val="en-AU"/>
        </w:rPr>
        <w:t>The Committee agreed that</w:t>
      </w:r>
      <w:r w:rsidR="00A54B21" w:rsidRPr="00FC1976">
        <w:rPr>
          <w:lang w:val="en-AU"/>
        </w:rPr>
        <w:t xml:space="preserve"> a weekly </w:t>
      </w:r>
      <w:r w:rsidR="00DB5F36">
        <w:rPr>
          <w:lang w:val="en-AU"/>
        </w:rPr>
        <w:t xml:space="preserve">consolidated </w:t>
      </w:r>
      <w:r w:rsidR="00A54B21" w:rsidRPr="00FC1976">
        <w:rPr>
          <w:lang w:val="en-AU"/>
        </w:rPr>
        <w:t>payment for care of a dialysis patient</w:t>
      </w:r>
      <w:r w:rsidR="00E265F0" w:rsidRPr="00FC1976">
        <w:rPr>
          <w:lang w:val="en-AU"/>
        </w:rPr>
        <w:t xml:space="preserve"> </w:t>
      </w:r>
      <w:r w:rsidR="00946236" w:rsidRPr="00FC1976">
        <w:rPr>
          <w:lang w:val="en-AU"/>
        </w:rPr>
        <w:t xml:space="preserve">would </w:t>
      </w:r>
      <w:r w:rsidR="003A0C79" w:rsidRPr="00FC1976">
        <w:rPr>
          <w:lang w:val="en-AU"/>
        </w:rPr>
        <w:t xml:space="preserve">reduce inter-provider variability and </w:t>
      </w:r>
      <w:r w:rsidR="00E3706E" w:rsidRPr="00FC1976">
        <w:rPr>
          <w:lang w:val="en-AU"/>
        </w:rPr>
        <w:t>simplif</w:t>
      </w:r>
      <w:r w:rsidR="00946236" w:rsidRPr="00FC1976">
        <w:rPr>
          <w:lang w:val="en-AU"/>
        </w:rPr>
        <w:t>y</w:t>
      </w:r>
      <w:r w:rsidR="00E3706E" w:rsidRPr="00FC1976">
        <w:rPr>
          <w:lang w:val="en-AU"/>
        </w:rPr>
        <w:t xml:space="preserve"> the billing and administration of dialysis</w:t>
      </w:r>
      <w:r w:rsidR="003A0C79" w:rsidRPr="00FC1976">
        <w:rPr>
          <w:lang w:val="en-AU"/>
        </w:rPr>
        <w:t xml:space="preserve">, particularly for </w:t>
      </w:r>
      <w:r w:rsidR="008D60DA" w:rsidRPr="00FC1976">
        <w:rPr>
          <w:lang w:val="en-AU"/>
        </w:rPr>
        <w:t>patients</w:t>
      </w:r>
      <w:r w:rsidR="00E3706E" w:rsidRPr="00FC1976">
        <w:rPr>
          <w:lang w:val="en-AU"/>
        </w:rPr>
        <w:t xml:space="preserve"> </w:t>
      </w:r>
      <w:r w:rsidR="008D60DA" w:rsidRPr="00FC1976">
        <w:rPr>
          <w:lang w:val="en-AU"/>
        </w:rPr>
        <w:t>who were</w:t>
      </w:r>
      <w:r w:rsidR="00E3706E" w:rsidRPr="00FC1976">
        <w:rPr>
          <w:lang w:val="en-AU"/>
        </w:rPr>
        <w:t xml:space="preserve"> being reviewed and b</w:t>
      </w:r>
      <w:r w:rsidR="0051010D" w:rsidRPr="00FC1976">
        <w:rPr>
          <w:lang w:val="en-AU"/>
        </w:rPr>
        <w:t xml:space="preserve">illed three times per week </w:t>
      </w:r>
      <w:r w:rsidR="003A0C79" w:rsidRPr="00FC1976">
        <w:rPr>
          <w:lang w:val="en-AU"/>
        </w:rPr>
        <w:t xml:space="preserve">and would </w:t>
      </w:r>
      <w:r w:rsidR="00E3706E" w:rsidRPr="00FC1976">
        <w:rPr>
          <w:lang w:val="en-AU"/>
        </w:rPr>
        <w:t xml:space="preserve">now be covered in a single claim. </w:t>
      </w:r>
      <w:r w:rsidR="003A0C79" w:rsidRPr="00FC1976">
        <w:rPr>
          <w:lang w:val="en-AU"/>
        </w:rPr>
        <w:t>P</w:t>
      </w:r>
      <w:r w:rsidR="00E3706E" w:rsidRPr="00FC1976">
        <w:rPr>
          <w:lang w:val="en-AU"/>
        </w:rPr>
        <w:t xml:space="preserve">ractices utilising shared care models with multiple nephrologists </w:t>
      </w:r>
      <w:r w:rsidR="00550E23" w:rsidRPr="00FC1976">
        <w:rPr>
          <w:lang w:val="en-AU"/>
        </w:rPr>
        <w:t xml:space="preserve">would </w:t>
      </w:r>
      <w:r w:rsidR="00854D06" w:rsidRPr="00FC1976">
        <w:rPr>
          <w:lang w:val="en-AU"/>
        </w:rPr>
        <w:t xml:space="preserve">be required to </w:t>
      </w:r>
      <w:r w:rsidR="00550E23" w:rsidRPr="00FC1976">
        <w:rPr>
          <w:lang w:val="en-AU"/>
        </w:rPr>
        <w:t>implement appropriate fee-</w:t>
      </w:r>
      <w:r w:rsidR="00E3706E" w:rsidRPr="00FC1976">
        <w:rPr>
          <w:lang w:val="en-AU"/>
        </w:rPr>
        <w:t>sharing models.</w:t>
      </w:r>
      <w:r w:rsidR="00FD5357" w:rsidRPr="00FC1976">
        <w:rPr>
          <w:lang w:val="en-AU"/>
        </w:rPr>
        <w:t xml:space="preserve"> </w:t>
      </w:r>
      <w:r w:rsidR="004F571C" w:rsidRPr="00FC1976">
        <w:rPr>
          <w:lang w:val="en-AU"/>
        </w:rPr>
        <w:t xml:space="preserve">Providers who currently claim fewer than </w:t>
      </w:r>
      <w:r w:rsidR="00F82E9A">
        <w:rPr>
          <w:lang w:val="en-AU"/>
        </w:rPr>
        <w:t>12</w:t>
      </w:r>
      <w:r w:rsidR="00F82E9A" w:rsidRPr="00FC1976">
        <w:rPr>
          <w:lang w:val="en-AU"/>
        </w:rPr>
        <w:t xml:space="preserve"> </w:t>
      </w:r>
      <w:r w:rsidR="004F571C" w:rsidRPr="00FC1976">
        <w:rPr>
          <w:lang w:val="en-AU"/>
        </w:rPr>
        <w:t xml:space="preserve">services per patient per year </w:t>
      </w:r>
      <w:r w:rsidR="00BB5393">
        <w:rPr>
          <w:lang w:val="en-AU"/>
        </w:rPr>
        <w:t>would</w:t>
      </w:r>
      <w:r w:rsidR="00BB5393" w:rsidRPr="00FC1976">
        <w:rPr>
          <w:lang w:val="en-AU"/>
        </w:rPr>
        <w:t xml:space="preserve"> </w:t>
      </w:r>
      <w:r w:rsidR="00D17E44" w:rsidRPr="00FC1976">
        <w:rPr>
          <w:lang w:val="en-AU"/>
        </w:rPr>
        <w:t xml:space="preserve">need to </w:t>
      </w:r>
      <w:r w:rsidR="004F571C" w:rsidRPr="00FC1976">
        <w:rPr>
          <w:lang w:val="en-AU"/>
        </w:rPr>
        <w:t xml:space="preserve">bill </w:t>
      </w:r>
      <w:r w:rsidR="00D17E44" w:rsidRPr="00FC1976">
        <w:rPr>
          <w:lang w:val="en-AU"/>
        </w:rPr>
        <w:t xml:space="preserve">patients </w:t>
      </w:r>
      <w:r w:rsidR="004F571C" w:rsidRPr="00FC1976">
        <w:rPr>
          <w:lang w:val="en-AU"/>
        </w:rPr>
        <w:t xml:space="preserve">more frequently, </w:t>
      </w:r>
      <w:r w:rsidR="005B2CB0">
        <w:rPr>
          <w:lang w:val="en-AU"/>
        </w:rPr>
        <w:t>but</w:t>
      </w:r>
      <w:r w:rsidR="005B2CB0" w:rsidRPr="00FC1976">
        <w:rPr>
          <w:lang w:val="en-AU"/>
        </w:rPr>
        <w:t xml:space="preserve"> </w:t>
      </w:r>
      <w:r w:rsidR="004F571C" w:rsidRPr="00FC1976">
        <w:rPr>
          <w:lang w:val="en-AU"/>
        </w:rPr>
        <w:t xml:space="preserve">this </w:t>
      </w:r>
      <w:r w:rsidR="00E00618">
        <w:rPr>
          <w:lang w:val="en-AU"/>
        </w:rPr>
        <w:t>would</w:t>
      </w:r>
      <w:r w:rsidR="00E00618" w:rsidRPr="00FC1976">
        <w:rPr>
          <w:lang w:val="en-AU"/>
        </w:rPr>
        <w:t xml:space="preserve"> </w:t>
      </w:r>
      <w:r w:rsidR="00A8283F">
        <w:rPr>
          <w:lang w:val="en-AU"/>
        </w:rPr>
        <w:t>involve</w:t>
      </w:r>
      <w:r w:rsidR="00A8283F" w:rsidRPr="00FC1976">
        <w:rPr>
          <w:lang w:val="en-AU"/>
        </w:rPr>
        <w:t xml:space="preserve"> </w:t>
      </w:r>
      <w:r w:rsidR="004F571C" w:rsidRPr="00FC1976">
        <w:rPr>
          <w:lang w:val="en-AU"/>
        </w:rPr>
        <w:t xml:space="preserve">a streamlined weekly billing process. </w:t>
      </w:r>
    </w:p>
    <w:p w14:paraId="1A02CFC4" w14:textId="77777777" w:rsidR="00D17E44" w:rsidRPr="00FC1976" w:rsidRDefault="00F0106E" w:rsidP="00E15A50">
      <w:pPr>
        <w:pStyle w:val="01squarebullet"/>
        <w:rPr>
          <w:lang w:val="en-AU"/>
        </w:rPr>
      </w:pPr>
      <w:r>
        <w:rPr>
          <w:lang w:val="en-AU"/>
        </w:rPr>
        <w:t>Although</w:t>
      </w:r>
      <w:r w:rsidRPr="00FC1976">
        <w:rPr>
          <w:lang w:val="en-AU"/>
        </w:rPr>
        <w:t xml:space="preserve"> </w:t>
      </w:r>
      <w:r w:rsidR="00D17E44" w:rsidRPr="00FC1976">
        <w:rPr>
          <w:lang w:val="en-AU"/>
        </w:rPr>
        <w:t xml:space="preserve">weekly billing would </w:t>
      </w:r>
      <w:r w:rsidR="00C62F0C">
        <w:rPr>
          <w:lang w:val="en-AU"/>
        </w:rPr>
        <w:t xml:space="preserve">simplify </w:t>
      </w:r>
      <w:r w:rsidR="00E15315">
        <w:rPr>
          <w:lang w:val="en-AU"/>
        </w:rPr>
        <w:t>things</w:t>
      </w:r>
      <w:r w:rsidR="00D17E44" w:rsidRPr="00FC1976">
        <w:rPr>
          <w:lang w:val="en-AU"/>
        </w:rPr>
        <w:t xml:space="preserve"> for many providers, </w:t>
      </w:r>
      <w:r w:rsidR="00777FB4">
        <w:rPr>
          <w:lang w:val="en-AU"/>
        </w:rPr>
        <w:t>it</w:t>
      </w:r>
      <w:r w:rsidR="00777FB4" w:rsidRPr="00FC1976">
        <w:rPr>
          <w:lang w:val="en-AU"/>
        </w:rPr>
        <w:t xml:space="preserve"> </w:t>
      </w:r>
      <w:r w:rsidR="00D17E44" w:rsidRPr="00FC1976">
        <w:rPr>
          <w:lang w:val="en-AU"/>
        </w:rPr>
        <w:t xml:space="preserve">may result in increased complexity and inconvenience for </w:t>
      </w:r>
      <w:r w:rsidR="00C82C73" w:rsidRPr="00FC1976">
        <w:rPr>
          <w:lang w:val="en-AU"/>
        </w:rPr>
        <w:t xml:space="preserve">some </w:t>
      </w:r>
      <w:r w:rsidR="00D17E44" w:rsidRPr="00FC1976">
        <w:rPr>
          <w:lang w:val="en-AU"/>
        </w:rPr>
        <w:t xml:space="preserve">patients. This is particularly true for </w:t>
      </w:r>
      <w:r w:rsidR="00544CC7">
        <w:rPr>
          <w:lang w:val="en-AU"/>
        </w:rPr>
        <w:t xml:space="preserve">patients of </w:t>
      </w:r>
      <w:r w:rsidR="00D17E44" w:rsidRPr="00FC1976">
        <w:rPr>
          <w:lang w:val="en-AU"/>
        </w:rPr>
        <w:t>providers who do not offer claim delegation or automatic claiming</w:t>
      </w:r>
      <w:r w:rsidR="008826F0">
        <w:rPr>
          <w:lang w:val="en-AU"/>
        </w:rPr>
        <w:t>. (A</w:t>
      </w:r>
      <w:r w:rsidR="00D17E44" w:rsidRPr="00FC1976">
        <w:rPr>
          <w:lang w:val="en-AU"/>
        </w:rPr>
        <w:t xml:space="preserve">utomatic claiming may </w:t>
      </w:r>
      <w:r w:rsidR="00C102A4">
        <w:rPr>
          <w:lang w:val="en-AU"/>
        </w:rPr>
        <w:t>also</w:t>
      </w:r>
      <w:r w:rsidR="00C102A4" w:rsidRPr="00FC1976">
        <w:rPr>
          <w:lang w:val="en-AU"/>
        </w:rPr>
        <w:t xml:space="preserve"> </w:t>
      </w:r>
      <w:r w:rsidR="00D17E44" w:rsidRPr="00FC1976">
        <w:rPr>
          <w:lang w:val="en-AU"/>
        </w:rPr>
        <w:t>increase the inconvenience for patients who receive rebates via cheque.</w:t>
      </w:r>
      <w:r w:rsidR="004A790E">
        <w:rPr>
          <w:lang w:val="en-AU"/>
        </w:rPr>
        <w:t>)</w:t>
      </w:r>
      <w:r w:rsidR="00D17E44" w:rsidRPr="00FC1976">
        <w:rPr>
          <w:lang w:val="en-AU"/>
        </w:rPr>
        <w:t xml:space="preserve"> </w:t>
      </w:r>
      <w:r w:rsidR="00CD686D">
        <w:rPr>
          <w:lang w:val="en-AU"/>
        </w:rPr>
        <w:t>H</w:t>
      </w:r>
      <w:r w:rsidR="00C82C73" w:rsidRPr="00FC1976">
        <w:rPr>
          <w:lang w:val="en-AU"/>
        </w:rPr>
        <w:t>owever</w:t>
      </w:r>
      <w:r w:rsidR="00C453B0">
        <w:rPr>
          <w:lang w:val="en-AU"/>
        </w:rPr>
        <w:t>, the process would</w:t>
      </w:r>
      <w:r w:rsidR="00C82C73" w:rsidRPr="00FC1976">
        <w:rPr>
          <w:lang w:val="en-AU"/>
        </w:rPr>
        <w:t xml:space="preserve"> be simplified for patients who are billed three times per week, assuming </w:t>
      </w:r>
      <w:r w:rsidR="009E50DD">
        <w:rPr>
          <w:lang w:val="en-AU"/>
        </w:rPr>
        <w:t>their</w:t>
      </w:r>
      <w:r w:rsidR="009E50DD" w:rsidRPr="00FC1976">
        <w:rPr>
          <w:lang w:val="en-AU"/>
        </w:rPr>
        <w:t xml:space="preserve"> </w:t>
      </w:r>
      <w:r w:rsidR="00C82C73" w:rsidRPr="00FC1976">
        <w:rPr>
          <w:lang w:val="en-AU"/>
        </w:rPr>
        <w:t xml:space="preserve">practices have not already implemented </w:t>
      </w:r>
      <w:r w:rsidR="00496478">
        <w:rPr>
          <w:lang w:val="en-AU"/>
        </w:rPr>
        <w:t xml:space="preserve">a </w:t>
      </w:r>
      <w:r w:rsidR="00C82C73" w:rsidRPr="00FC1976">
        <w:rPr>
          <w:lang w:val="en-AU"/>
        </w:rPr>
        <w:t xml:space="preserve">process to simplify this for patients. </w:t>
      </w:r>
      <w:r w:rsidR="00252BBC" w:rsidRPr="00FC1976">
        <w:rPr>
          <w:lang w:val="en-AU"/>
        </w:rPr>
        <w:t>The Committee agreed that the care of the patient should include regular assessment of patient satisfaction</w:t>
      </w:r>
      <w:r w:rsidR="009738E5">
        <w:rPr>
          <w:lang w:val="en-AU"/>
        </w:rPr>
        <w:t>,</w:t>
      </w:r>
      <w:r w:rsidR="00252BBC" w:rsidRPr="00FC1976">
        <w:rPr>
          <w:lang w:val="en-AU"/>
        </w:rPr>
        <w:t xml:space="preserve"> </w:t>
      </w:r>
      <w:r w:rsidR="00C24363">
        <w:rPr>
          <w:lang w:val="en-AU"/>
        </w:rPr>
        <w:t xml:space="preserve">which </w:t>
      </w:r>
      <w:r w:rsidR="00252BBC" w:rsidRPr="00FC1976">
        <w:rPr>
          <w:lang w:val="en-AU"/>
        </w:rPr>
        <w:t xml:space="preserve">would allow for patient experience improvements to be made. </w:t>
      </w:r>
    </w:p>
    <w:p w14:paraId="78E9581C" w14:textId="77777777" w:rsidR="004F571C" w:rsidRPr="00FC1976" w:rsidRDefault="004F571C" w:rsidP="00E15A50">
      <w:pPr>
        <w:pStyle w:val="01squarebullet"/>
        <w:rPr>
          <w:lang w:val="en-AU"/>
        </w:rPr>
      </w:pPr>
      <w:r w:rsidRPr="00FC1976">
        <w:rPr>
          <w:lang w:val="en-AU"/>
        </w:rPr>
        <w:t xml:space="preserve">The Committee noted that for a </w:t>
      </w:r>
      <w:r w:rsidR="00903158">
        <w:rPr>
          <w:lang w:val="en-AU"/>
        </w:rPr>
        <w:t>large</w:t>
      </w:r>
      <w:r w:rsidR="00903158" w:rsidRPr="00FC1976">
        <w:rPr>
          <w:lang w:val="en-AU"/>
        </w:rPr>
        <w:t xml:space="preserve"> </w:t>
      </w:r>
      <w:r w:rsidRPr="00FC1976">
        <w:rPr>
          <w:lang w:val="en-AU"/>
        </w:rPr>
        <w:t>number of patients, dialysis supervision items were claimed infrequently. It was agreed that</w:t>
      </w:r>
      <w:r w:rsidR="00197FA2">
        <w:rPr>
          <w:lang w:val="en-AU"/>
        </w:rPr>
        <w:t xml:space="preserve"> the</w:t>
      </w:r>
      <w:r w:rsidRPr="00FC1976">
        <w:rPr>
          <w:lang w:val="en-AU"/>
        </w:rPr>
        <w:t xml:space="preserve"> vast majority of patients undergo dialysis three times per week, every week</w:t>
      </w:r>
      <w:r w:rsidR="00F13F3D">
        <w:rPr>
          <w:lang w:val="en-AU"/>
        </w:rPr>
        <w:t>. However,</w:t>
      </w:r>
      <w:r w:rsidRPr="00FC1976">
        <w:rPr>
          <w:lang w:val="en-AU"/>
        </w:rPr>
        <w:t xml:space="preserve"> MBS data revealed that over a one- to two-year period, 32 per cent of patients received only one claim for dialysis, and 69 per cent of patients received less than 12 claims. The Committee considered a number of explanations for this disparity:</w:t>
      </w:r>
    </w:p>
    <w:p w14:paraId="2AE61612" w14:textId="77777777" w:rsidR="004F571C" w:rsidRPr="00FC1976" w:rsidRDefault="004F571C" w:rsidP="008460E3">
      <w:pPr>
        <w:pStyle w:val="02dash"/>
        <w:rPr>
          <w:lang w:val="en-AU"/>
        </w:rPr>
      </w:pPr>
      <w:r w:rsidRPr="00FC1976">
        <w:rPr>
          <w:lang w:val="en-AU"/>
        </w:rPr>
        <w:t>The Committee felt that some of these patients may be accounted for by acute short</w:t>
      </w:r>
      <w:r w:rsidR="00251931">
        <w:rPr>
          <w:lang w:val="en-AU"/>
        </w:rPr>
        <w:t>-</w:t>
      </w:r>
      <w:r w:rsidRPr="00FC1976">
        <w:rPr>
          <w:lang w:val="en-AU"/>
        </w:rPr>
        <w:t>term dialysis, holiday dialysis of public patients in a private facility or other extraordinary circumstance</w:t>
      </w:r>
      <w:r w:rsidR="00251931">
        <w:rPr>
          <w:lang w:val="en-AU"/>
        </w:rPr>
        <w:t>s</w:t>
      </w:r>
      <w:r w:rsidRPr="00FC1976">
        <w:rPr>
          <w:lang w:val="en-AU"/>
        </w:rPr>
        <w:t xml:space="preserve">. It was also considered that providers may be claiming item 116 instead of item 13103, </w:t>
      </w:r>
      <w:r w:rsidR="00C61F4E">
        <w:rPr>
          <w:lang w:val="en-AU"/>
        </w:rPr>
        <w:t>although</w:t>
      </w:r>
      <w:r w:rsidR="00C61F4E" w:rsidRPr="00FC1976">
        <w:rPr>
          <w:lang w:val="en-AU"/>
        </w:rPr>
        <w:t xml:space="preserve"> </w:t>
      </w:r>
      <w:r w:rsidRPr="00FC1976">
        <w:rPr>
          <w:lang w:val="en-AU"/>
        </w:rPr>
        <w:t>it seem</w:t>
      </w:r>
      <w:r w:rsidR="00CD3822">
        <w:rPr>
          <w:lang w:val="en-AU"/>
        </w:rPr>
        <w:t xml:space="preserve">s </w:t>
      </w:r>
      <w:r w:rsidRPr="00FC1976">
        <w:rPr>
          <w:lang w:val="en-AU"/>
        </w:rPr>
        <w:t xml:space="preserve">unusual that a provider who routinely bills </w:t>
      </w:r>
      <w:r w:rsidR="00402696">
        <w:rPr>
          <w:lang w:val="en-AU"/>
        </w:rPr>
        <w:t xml:space="preserve">item </w:t>
      </w:r>
      <w:r w:rsidRPr="00FC1976">
        <w:rPr>
          <w:lang w:val="en-AU"/>
        </w:rPr>
        <w:t xml:space="preserve">116 for the supervision of dialysis would periodically bill </w:t>
      </w:r>
      <w:r w:rsidR="000D3DE1">
        <w:rPr>
          <w:lang w:val="en-AU"/>
        </w:rPr>
        <w:t>item</w:t>
      </w:r>
      <w:r w:rsidRPr="00FC1976">
        <w:rPr>
          <w:lang w:val="en-AU"/>
        </w:rPr>
        <w:t xml:space="preserve"> 13013, except </w:t>
      </w:r>
      <w:r w:rsidR="00752230">
        <w:rPr>
          <w:lang w:val="en-AU"/>
        </w:rPr>
        <w:t>if</w:t>
      </w:r>
      <w:r w:rsidR="00752230" w:rsidRPr="00FC1976">
        <w:rPr>
          <w:lang w:val="en-AU"/>
        </w:rPr>
        <w:t xml:space="preserve"> </w:t>
      </w:r>
      <w:r w:rsidR="00A119F6">
        <w:rPr>
          <w:lang w:val="en-AU"/>
        </w:rPr>
        <w:t>he or she</w:t>
      </w:r>
      <w:r w:rsidR="00A119F6" w:rsidRPr="00FC1976">
        <w:rPr>
          <w:lang w:val="en-AU"/>
        </w:rPr>
        <w:t xml:space="preserve"> </w:t>
      </w:r>
      <w:r w:rsidR="00A119F6">
        <w:rPr>
          <w:lang w:val="en-AU"/>
        </w:rPr>
        <w:t>was</w:t>
      </w:r>
      <w:r w:rsidRPr="00FC1976">
        <w:rPr>
          <w:lang w:val="en-AU"/>
        </w:rPr>
        <w:t xml:space="preserve"> unable to document in the patient’s notes</w:t>
      </w:r>
      <w:r w:rsidR="00406DCB">
        <w:rPr>
          <w:lang w:val="en-AU"/>
        </w:rPr>
        <w:t>,</w:t>
      </w:r>
      <w:r w:rsidRPr="00FC1976">
        <w:rPr>
          <w:lang w:val="en-AU"/>
        </w:rPr>
        <w:t xml:space="preserve"> which is a requirement of a professional attendance. </w:t>
      </w:r>
    </w:p>
    <w:p w14:paraId="57E97998" w14:textId="4FB229A1" w:rsidR="000B4557" w:rsidRPr="00FC1976" w:rsidRDefault="004F571C" w:rsidP="008460E3">
      <w:pPr>
        <w:pStyle w:val="02dash"/>
        <w:rPr>
          <w:lang w:val="en-AU"/>
        </w:rPr>
      </w:pPr>
      <w:r w:rsidRPr="00FC1976">
        <w:rPr>
          <w:lang w:val="en-AU"/>
        </w:rPr>
        <w:t>The Committee agreed that the majority of this unexpected data demonstrated that providers were claiming item 13103/13100 services infrequently</w:t>
      </w:r>
      <w:r w:rsidR="000B4557" w:rsidRPr="00FC1976">
        <w:rPr>
          <w:lang w:val="en-AU"/>
        </w:rPr>
        <w:t>, such as w</w:t>
      </w:r>
      <w:r w:rsidRPr="00FC1976">
        <w:rPr>
          <w:lang w:val="en-AU"/>
        </w:rPr>
        <w:t xml:space="preserve">hen they physically attended and reviewed the patient, rather than for all dialysis services the patient received. </w:t>
      </w:r>
      <w:r w:rsidR="000B4557" w:rsidRPr="00FC1976">
        <w:rPr>
          <w:lang w:val="en-AU"/>
        </w:rPr>
        <w:t xml:space="preserve">It was noted that </w:t>
      </w:r>
      <w:r w:rsidR="00C76B6B" w:rsidRPr="00FC1976">
        <w:rPr>
          <w:lang w:val="en-AU"/>
        </w:rPr>
        <w:t xml:space="preserve">as </w:t>
      </w:r>
      <w:r w:rsidR="00D90823" w:rsidRPr="00FC1976">
        <w:rPr>
          <w:lang w:val="en-AU"/>
        </w:rPr>
        <w:t xml:space="preserve">the </w:t>
      </w:r>
      <w:r w:rsidR="00C76B6B" w:rsidRPr="00FC1976">
        <w:rPr>
          <w:lang w:val="en-AU"/>
        </w:rPr>
        <w:t>item</w:t>
      </w:r>
      <w:r w:rsidR="00D90823" w:rsidRPr="00FC1976">
        <w:rPr>
          <w:lang w:val="en-AU"/>
        </w:rPr>
        <w:t>s</w:t>
      </w:r>
      <w:r w:rsidR="00C76B6B" w:rsidRPr="00FC1976">
        <w:rPr>
          <w:lang w:val="en-AU"/>
        </w:rPr>
        <w:t xml:space="preserve"> refer to a professional attendance </w:t>
      </w:r>
      <w:r w:rsidR="00D90823" w:rsidRPr="00FC1976">
        <w:rPr>
          <w:lang w:val="en-AU"/>
        </w:rPr>
        <w:t>(</w:t>
      </w:r>
      <w:r w:rsidR="00C76B6B" w:rsidRPr="00FC1976">
        <w:rPr>
          <w:lang w:val="en-AU"/>
        </w:rPr>
        <w:t>of up to 45 minutes</w:t>
      </w:r>
      <w:r w:rsidR="00D90823" w:rsidRPr="00FC1976">
        <w:rPr>
          <w:lang w:val="en-AU"/>
        </w:rPr>
        <w:t xml:space="preserve"> for </w:t>
      </w:r>
      <w:r w:rsidR="007068FE">
        <w:rPr>
          <w:lang w:val="en-AU"/>
        </w:rPr>
        <w:t xml:space="preserve">item </w:t>
      </w:r>
      <w:r w:rsidR="00D90823" w:rsidRPr="00FC1976">
        <w:rPr>
          <w:lang w:val="en-AU"/>
        </w:rPr>
        <w:t>13013)</w:t>
      </w:r>
      <w:r w:rsidR="00C76B6B" w:rsidRPr="00FC1976">
        <w:rPr>
          <w:lang w:val="en-AU"/>
        </w:rPr>
        <w:t>, many providers interpret this as requiring attendance</w:t>
      </w:r>
      <w:r w:rsidR="00D90823" w:rsidRPr="00FC1976">
        <w:rPr>
          <w:lang w:val="en-AU"/>
        </w:rPr>
        <w:t xml:space="preserve"> for direct clinical involvement in the care of the patient</w:t>
      </w:r>
      <w:r w:rsidR="00FE37B5">
        <w:rPr>
          <w:lang w:val="en-AU"/>
        </w:rPr>
        <w:t>—</w:t>
      </w:r>
      <w:r w:rsidR="00C76B6B" w:rsidRPr="00FC1976">
        <w:rPr>
          <w:lang w:val="en-AU"/>
        </w:rPr>
        <w:t>an interpretation shared by the Department</w:t>
      </w:r>
      <w:r w:rsidR="008B1293">
        <w:rPr>
          <w:lang w:val="en-AU"/>
        </w:rPr>
        <w:t xml:space="preserve"> of Health</w:t>
      </w:r>
      <w:r w:rsidR="00271B85">
        <w:rPr>
          <w:lang w:val="en-AU"/>
        </w:rPr>
        <w:t xml:space="preserve"> (the Department)</w:t>
      </w:r>
      <w:r w:rsidR="00C76B6B" w:rsidRPr="00FC1976">
        <w:rPr>
          <w:lang w:val="en-AU"/>
        </w:rPr>
        <w:t xml:space="preserve">. </w:t>
      </w:r>
      <w:r w:rsidR="00D90823" w:rsidRPr="00FC1976">
        <w:rPr>
          <w:lang w:val="en-AU"/>
        </w:rPr>
        <w:t>However</w:t>
      </w:r>
      <w:r w:rsidR="0082158E">
        <w:rPr>
          <w:lang w:val="en-AU"/>
        </w:rPr>
        <w:t>,</w:t>
      </w:r>
      <w:r w:rsidR="00D90823" w:rsidRPr="00FC1976">
        <w:rPr>
          <w:lang w:val="en-AU"/>
        </w:rPr>
        <w:t xml:space="preserve"> it was noted that some providers consider attendance on a dialysis unit, or being available remotely, as fulfilling the requirements for this item. </w:t>
      </w:r>
    </w:p>
    <w:p w14:paraId="32EA99E1" w14:textId="259D98C5" w:rsidR="00115189" w:rsidRPr="00FC1976" w:rsidRDefault="00A06596" w:rsidP="00E15A50">
      <w:pPr>
        <w:pStyle w:val="01squarebullet"/>
        <w:rPr>
          <w:lang w:val="en-AU"/>
        </w:rPr>
      </w:pPr>
      <w:r w:rsidRPr="00FC1976">
        <w:rPr>
          <w:lang w:val="en-AU"/>
        </w:rPr>
        <w:t xml:space="preserve">The </w:t>
      </w:r>
      <w:r w:rsidR="00A963CA" w:rsidRPr="00FC1976">
        <w:rPr>
          <w:lang w:val="en-AU"/>
        </w:rPr>
        <w:t xml:space="preserve">Committee </w:t>
      </w:r>
      <w:r w:rsidR="00115189" w:rsidRPr="00FC1976">
        <w:rPr>
          <w:lang w:val="en-AU"/>
        </w:rPr>
        <w:t xml:space="preserve">noted that </w:t>
      </w:r>
      <w:r w:rsidR="00A13674" w:rsidRPr="00FC1976">
        <w:rPr>
          <w:lang w:val="en-AU"/>
        </w:rPr>
        <w:t>introducing this</w:t>
      </w:r>
      <w:r w:rsidR="00CF0399" w:rsidRPr="00FC1976">
        <w:rPr>
          <w:lang w:val="en-AU"/>
        </w:rPr>
        <w:t xml:space="preserve"> weekly </w:t>
      </w:r>
      <w:r w:rsidR="00DB5F36">
        <w:rPr>
          <w:lang w:val="en-AU"/>
        </w:rPr>
        <w:t>payment model</w:t>
      </w:r>
      <w:r w:rsidR="00115189" w:rsidRPr="00FC1976">
        <w:rPr>
          <w:lang w:val="en-AU"/>
        </w:rPr>
        <w:t xml:space="preserve"> would </w:t>
      </w:r>
      <w:r w:rsidR="00A849F5" w:rsidRPr="00FC1976">
        <w:rPr>
          <w:lang w:val="en-AU"/>
        </w:rPr>
        <w:t>have a</w:t>
      </w:r>
      <w:r w:rsidR="00115189" w:rsidRPr="00FC1976">
        <w:rPr>
          <w:lang w:val="en-AU"/>
        </w:rPr>
        <w:t xml:space="preserve"> m</w:t>
      </w:r>
      <w:r w:rsidR="00C26A78" w:rsidRPr="00FC1976">
        <w:rPr>
          <w:lang w:val="en-AU"/>
        </w:rPr>
        <w:t>oderate economic impact</w:t>
      </w:r>
      <w:r w:rsidR="00115189" w:rsidRPr="00FC1976">
        <w:rPr>
          <w:lang w:val="en-AU"/>
        </w:rPr>
        <w:t xml:space="preserve"> </w:t>
      </w:r>
      <w:r w:rsidR="00A0682B" w:rsidRPr="00FC1976">
        <w:rPr>
          <w:lang w:val="en-AU"/>
        </w:rPr>
        <w:t>on</w:t>
      </w:r>
      <w:r w:rsidR="00115189" w:rsidRPr="00FC1976">
        <w:rPr>
          <w:lang w:val="en-AU"/>
        </w:rPr>
        <w:t xml:space="preserve"> </w:t>
      </w:r>
      <w:r w:rsidR="004C2D73" w:rsidRPr="00FC1976">
        <w:rPr>
          <w:lang w:val="en-AU"/>
        </w:rPr>
        <w:t xml:space="preserve">providers who are </w:t>
      </w:r>
      <w:r w:rsidRPr="00FC1976">
        <w:rPr>
          <w:lang w:val="en-AU"/>
        </w:rPr>
        <w:t xml:space="preserve">at </w:t>
      </w:r>
      <w:r w:rsidR="004C2D73" w:rsidRPr="00FC1976">
        <w:rPr>
          <w:lang w:val="en-AU"/>
        </w:rPr>
        <w:t xml:space="preserve">the </w:t>
      </w:r>
      <w:r w:rsidRPr="00FC1976">
        <w:rPr>
          <w:lang w:val="en-AU"/>
        </w:rPr>
        <w:t xml:space="preserve">high </w:t>
      </w:r>
      <w:r w:rsidR="004C2D73" w:rsidRPr="00FC1976">
        <w:rPr>
          <w:lang w:val="en-AU"/>
        </w:rPr>
        <w:t xml:space="preserve">and </w:t>
      </w:r>
      <w:r w:rsidRPr="00FC1976">
        <w:rPr>
          <w:lang w:val="en-AU"/>
        </w:rPr>
        <w:t>low</w:t>
      </w:r>
      <w:r w:rsidR="004C2D73" w:rsidRPr="00FC1976">
        <w:rPr>
          <w:lang w:val="en-AU"/>
        </w:rPr>
        <w:t xml:space="preserve"> ends of claim practices</w:t>
      </w:r>
      <w:r w:rsidR="004758C4" w:rsidRPr="00FC1976">
        <w:rPr>
          <w:lang w:val="en-AU"/>
        </w:rPr>
        <w:t>.</w:t>
      </w:r>
      <w:r w:rsidR="00B5667F" w:rsidRPr="00FC1976">
        <w:rPr>
          <w:lang w:val="en-AU"/>
        </w:rPr>
        <w:t xml:space="preserve"> </w:t>
      </w:r>
      <w:r w:rsidR="00F060B7">
        <w:rPr>
          <w:lang w:val="en-AU"/>
        </w:rPr>
        <w:t xml:space="preserve">However, </w:t>
      </w:r>
      <w:r w:rsidR="00006020">
        <w:rPr>
          <w:lang w:val="en-AU"/>
        </w:rPr>
        <w:t xml:space="preserve">it noted that </w:t>
      </w:r>
      <w:r w:rsidR="00F060B7">
        <w:rPr>
          <w:lang w:val="en-AU"/>
        </w:rPr>
        <w:t>r</w:t>
      </w:r>
      <w:r w:rsidR="00A7421E" w:rsidRPr="00FC1976">
        <w:rPr>
          <w:lang w:val="en-AU"/>
        </w:rPr>
        <w:t>educing the variability in billing and the impact of this</w:t>
      </w:r>
      <w:r w:rsidR="005B0053" w:rsidRPr="00FC1976">
        <w:rPr>
          <w:lang w:val="en-AU"/>
        </w:rPr>
        <w:t xml:space="preserve"> on both patients and providers, </w:t>
      </w:r>
      <w:r w:rsidR="00027D1B">
        <w:rPr>
          <w:lang w:val="en-AU"/>
        </w:rPr>
        <w:t>as well as</w:t>
      </w:r>
      <w:r w:rsidR="00027D1B" w:rsidRPr="00FC1976">
        <w:rPr>
          <w:lang w:val="en-AU"/>
        </w:rPr>
        <w:t xml:space="preserve"> </w:t>
      </w:r>
      <w:r w:rsidR="005B0053" w:rsidRPr="00FC1976">
        <w:rPr>
          <w:lang w:val="en-AU"/>
        </w:rPr>
        <w:t>recogni</w:t>
      </w:r>
      <w:r w:rsidR="00027D1B">
        <w:rPr>
          <w:lang w:val="en-AU"/>
        </w:rPr>
        <w:t>sing</w:t>
      </w:r>
      <w:r w:rsidR="005B0053" w:rsidRPr="00FC1976">
        <w:rPr>
          <w:lang w:val="en-AU"/>
        </w:rPr>
        <w:t xml:space="preserve"> the non-face-to-face time of clinicians, were</w:t>
      </w:r>
      <w:r w:rsidR="00A7421E" w:rsidRPr="00FC1976">
        <w:rPr>
          <w:lang w:val="en-AU"/>
        </w:rPr>
        <w:t xml:space="preserve"> the main driver</w:t>
      </w:r>
      <w:r w:rsidR="00031E84" w:rsidRPr="00FC1976">
        <w:rPr>
          <w:lang w:val="en-AU"/>
        </w:rPr>
        <w:t>s</w:t>
      </w:r>
      <w:r w:rsidR="00A7421E" w:rsidRPr="00FC1976">
        <w:rPr>
          <w:lang w:val="en-AU"/>
        </w:rPr>
        <w:t xml:space="preserve"> for </w:t>
      </w:r>
      <w:r w:rsidR="00DB5F36">
        <w:rPr>
          <w:lang w:val="en-AU"/>
        </w:rPr>
        <w:t>recommending</w:t>
      </w:r>
      <w:r w:rsidR="00A7421E" w:rsidRPr="00FC1976">
        <w:rPr>
          <w:lang w:val="en-AU"/>
        </w:rPr>
        <w:t xml:space="preserve"> the </w:t>
      </w:r>
      <w:r w:rsidR="00DB5F36">
        <w:rPr>
          <w:lang w:val="en-AU"/>
        </w:rPr>
        <w:t>change</w:t>
      </w:r>
      <w:r w:rsidR="00A7421E" w:rsidRPr="00FC1976">
        <w:rPr>
          <w:lang w:val="en-AU"/>
        </w:rPr>
        <w:t xml:space="preserve">. </w:t>
      </w:r>
      <w:r w:rsidR="00B34839">
        <w:rPr>
          <w:lang w:val="en-AU"/>
        </w:rPr>
        <w:t>Although</w:t>
      </w:r>
      <w:r w:rsidR="00B34839" w:rsidRPr="00FC1976">
        <w:rPr>
          <w:lang w:val="en-AU"/>
        </w:rPr>
        <w:t xml:space="preserve"> </w:t>
      </w:r>
      <w:r w:rsidR="003D0276">
        <w:rPr>
          <w:lang w:val="en-AU"/>
        </w:rPr>
        <w:t xml:space="preserve">setting </w:t>
      </w:r>
      <w:r w:rsidR="004C2D73" w:rsidRPr="00FC1976">
        <w:rPr>
          <w:lang w:val="en-AU"/>
        </w:rPr>
        <w:t xml:space="preserve">the fee for this item is not </w:t>
      </w:r>
      <w:r w:rsidR="00A93E1B">
        <w:rPr>
          <w:lang w:val="en-AU"/>
        </w:rPr>
        <w:t>within the</w:t>
      </w:r>
      <w:r w:rsidR="004C2D73" w:rsidRPr="00FC1976">
        <w:rPr>
          <w:lang w:val="en-AU"/>
        </w:rPr>
        <w:t xml:space="preserve"> scope</w:t>
      </w:r>
      <w:r w:rsidR="00A93E1B">
        <w:rPr>
          <w:lang w:val="en-AU"/>
        </w:rPr>
        <w:t xml:space="preserve"> of this </w:t>
      </w:r>
      <w:r w:rsidR="00E54055">
        <w:rPr>
          <w:lang w:val="en-AU"/>
        </w:rPr>
        <w:t>Review</w:t>
      </w:r>
      <w:r w:rsidR="004C2D73" w:rsidRPr="00FC1976">
        <w:rPr>
          <w:lang w:val="en-AU"/>
        </w:rPr>
        <w:t xml:space="preserve">, analysis was conducted to estimate economic impacts. </w:t>
      </w:r>
      <w:r w:rsidR="00CB5355">
        <w:rPr>
          <w:lang w:val="en-AU"/>
        </w:rPr>
        <w:t>However, d</w:t>
      </w:r>
      <w:r w:rsidR="00BB30CF" w:rsidRPr="00FC1976">
        <w:rPr>
          <w:lang w:val="en-AU"/>
        </w:rPr>
        <w:t xml:space="preserve">ue to the marked variation in claim practices, and the </w:t>
      </w:r>
      <w:r w:rsidR="0009183B">
        <w:rPr>
          <w:lang w:val="en-AU"/>
        </w:rPr>
        <w:t xml:space="preserve">Committee’s </w:t>
      </w:r>
      <w:r w:rsidR="00BB30CF" w:rsidRPr="00FC1976">
        <w:rPr>
          <w:lang w:val="en-AU"/>
        </w:rPr>
        <w:t>view that a significant proportion of patients are billed 116 services</w:t>
      </w:r>
      <w:r w:rsidR="00765421">
        <w:rPr>
          <w:lang w:val="en-AU"/>
        </w:rPr>
        <w:t xml:space="preserve"> only</w:t>
      </w:r>
      <w:r w:rsidR="00BB30CF" w:rsidRPr="00FC1976">
        <w:rPr>
          <w:lang w:val="en-AU"/>
        </w:rPr>
        <w:t>, the Department did not have the resources to accurately model the impact of these changes on providers. High</w:t>
      </w:r>
      <w:r w:rsidR="008B6F35">
        <w:rPr>
          <w:lang w:val="en-AU"/>
        </w:rPr>
        <w:t>-</w:t>
      </w:r>
      <w:r w:rsidR="00BB30CF" w:rsidRPr="00FC1976">
        <w:rPr>
          <w:lang w:val="en-AU"/>
        </w:rPr>
        <w:t xml:space="preserve">level estimates indicate that the </w:t>
      </w:r>
      <w:r w:rsidR="00866B24" w:rsidRPr="00FC1976">
        <w:rPr>
          <w:lang w:val="en-AU"/>
        </w:rPr>
        <w:t xml:space="preserve">impact on the </w:t>
      </w:r>
      <w:r w:rsidR="00BB30CF" w:rsidRPr="00FC1976">
        <w:rPr>
          <w:lang w:val="en-AU"/>
        </w:rPr>
        <w:t xml:space="preserve">top 10 per cent of providers </w:t>
      </w:r>
      <w:r w:rsidR="00866B24" w:rsidRPr="00FC1976">
        <w:rPr>
          <w:lang w:val="en-AU"/>
        </w:rPr>
        <w:t xml:space="preserve">would be in excess of $20,000 per year </w:t>
      </w:r>
      <w:r w:rsidR="009C18C8" w:rsidRPr="00FC1976">
        <w:rPr>
          <w:lang w:val="en-AU"/>
        </w:rPr>
        <w:fldChar w:fldCharType="begin" w:fldLock="1"/>
      </w:r>
      <w:r w:rsidR="00B409DB">
        <w:rPr>
          <w:lang w:val="en-AU"/>
        </w:rPr>
        <w:instrText>ADDIN CSL_CITATION { "citationItems" : [ { "id" : "ITEM-1", "itemData" : { "author" : [ { "dropping-particle" : "", "family" : "MBS", "given" : "", "non-dropping-particle" : "", "parse-names" : false, "suffix" : "" } ], "id" : "ITEM-1", "issued" : { "date-parts" : [ [ "0" ] ] }, "title" : "MBS data Q20348 FY14/15", "type" : "article-journal" }, "uris" : [ "http://www.mendeley.com/documents/?uuid=a773a5e8-5097-4fe5-9539-79e0fde7cb4f" ] } ], "mendeley" : { "formattedCitation" : "(24)", "plainTextFormattedCitation" : "(24)", "previouslyFormattedCitation" : "(24)" }, "properties" : { "noteIndex" : 0 }, "schema" : "https://github.com/citation-style-language/schema/raw/master/csl-citation.json" }</w:instrText>
      </w:r>
      <w:r w:rsidR="009C18C8" w:rsidRPr="00FC1976">
        <w:rPr>
          <w:lang w:val="en-AU"/>
        </w:rPr>
        <w:fldChar w:fldCharType="separate"/>
      </w:r>
      <w:r w:rsidR="0099742A" w:rsidRPr="0099742A">
        <w:rPr>
          <w:noProof/>
          <w:lang w:val="en-AU"/>
        </w:rPr>
        <w:t>(24)</w:t>
      </w:r>
      <w:r w:rsidR="009C18C8" w:rsidRPr="00FC1976">
        <w:rPr>
          <w:lang w:val="en-AU"/>
        </w:rPr>
        <w:fldChar w:fldCharType="end"/>
      </w:r>
      <w:r w:rsidR="00B5667F" w:rsidRPr="00FC1976">
        <w:rPr>
          <w:lang w:val="en-AU"/>
        </w:rPr>
        <w:t>.</w:t>
      </w:r>
      <w:r w:rsidR="00115189" w:rsidRPr="00FC1976">
        <w:rPr>
          <w:lang w:val="en-AU"/>
        </w:rPr>
        <w:t xml:space="preserve"> </w:t>
      </w:r>
      <w:r w:rsidR="00866B24" w:rsidRPr="00FC1976">
        <w:rPr>
          <w:lang w:val="en-AU"/>
        </w:rPr>
        <w:t xml:space="preserve">Unless a significant number of patients </w:t>
      </w:r>
      <w:r w:rsidR="000967E6">
        <w:rPr>
          <w:lang w:val="en-AU"/>
        </w:rPr>
        <w:t xml:space="preserve">are </w:t>
      </w:r>
      <w:r w:rsidR="00866B24" w:rsidRPr="00FC1976">
        <w:rPr>
          <w:lang w:val="en-AU"/>
        </w:rPr>
        <w:t>being billed 116 services</w:t>
      </w:r>
      <w:r w:rsidR="00DF7236">
        <w:rPr>
          <w:lang w:val="en-AU"/>
        </w:rPr>
        <w:t xml:space="preserve"> exclusively and</w:t>
      </w:r>
      <w:r w:rsidR="00866B24" w:rsidRPr="00FC1976">
        <w:rPr>
          <w:lang w:val="en-AU"/>
        </w:rPr>
        <w:t xml:space="preserve"> at a high frequency, this is likely to be an under</w:t>
      </w:r>
      <w:r w:rsidR="00B53558">
        <w:rPr>
          <w:lang w:val="en-AU"/>
        </w:rPr>
        <w:t>-</w:t>
      </w:r>
      <w:r w:rsidR="00866B24" w:rsidRPr="00FC1976">
        <w:rPr>
          <w:lang w:val="en-AU"/>
        </w:rPr>
        <w:t xml:space="preserve">estimation. However, it should be noted that </w:t>
      </w:r>
      <w:r w:rsidR="008E7030" w:rsidRPr="00FC1976">
        <w:rPr>
          <w:lang w:val="en-AU"/>
        </w:rPr>
        <w:t>this change is intended to be cost neutral, and as such there would be a commensurate positive economic impact for other providers</w:t>
      </w:r>
      <w:r w:rsidR="00B53558">
        <w:rPr>
          <w:lang w:val="en-AU"/>
        </w:rPr>
        <w:t xml:space="preserve"> (although </w:t>
      </w:r>
      <w:r w:rsidR="008E7030" w:rsidRPr="00FC1976">
        <w:rPr>
          <w:lang w:val="en-AU"/>
        </w:rPr>
        <w:t xml:space="preserve">not necessarily the current bottom 10 per cent, as these providers may have low patient volumes and thus </w:t>
      </w:r>
      <w:r w:rsidR="00F47702">
        <w:rPr>
          <w:lang w:val="en-AU"/>
        </w:rPr>
        <w:t xml:space="preserve">may </w:t>
      </w:r>
      <w:r w:rsidR="008E7030" w:rsidRPr="00FC1976">
        <w:rPr>
          <w:lang w:val="en-AU"/>
        </w:rPr>
        <w:t xml:space="preserve">be minimally </w:t>
      </w:r>
      <w:r w:rsidR="00F47702">
        <w:rPr>
          <w:lang w:val="en-AU"/>
        </w:rPr>
        <w:t>affected</w:t>
      </w:r>
      <w:r w:rsidR="00F47702" w:rsidRPr="00FC1976">
        <w:rPr>
          <w:lang w:val="en-AU"/>
        </w:rPr>
        <w:t xml:space="preserve"> </w:t>
      </w:r>
      <w:r w:rsidR="008E7030" w:rsidRPr="00FC1976">
        <w:rPr>
          <w:lang w:val="en-AU"/>
        </w:rPr>
        <w:t>by any changes</w:t>
      </w:r>
      <w:r w:rsidR="00F47702">
        <w:rPr>
          <w:lang w:val="en-AU"/>
        </w:rPr>
        <w:t>)</w:t>
      </w:r>
      <w:r w:rsidR="008E7030" w:rsidRPr="00FC1976">
        <w:rPr>
          <w:lang w:val="en-AU"/>
        </w:rPr>
        <w:t xml:space="preserve">. </w:t>
      </w:r>
    </w:p>
    <w:p w14:paraId="6D1E2886" w14:textId="77777777" w:rsidR="00B2752A" w:rsidRPr="001E1192" w:rsidRDefault="00F5423C" w:rsidP="00E15A50">
      <w:pPr>
        <w:pStyle w:val="01squarebullet"/>
        <w:rPr>
          <w:lang w:val="en-AU"/>
        </w:rPr>
      </w:pPr>
      <w:r w:rsidRPr="00FC1976">
        <w:rPr>
          <w:lang w:val="en-AU"/>
        </w:rPr>
        <w:t>The Committee</w:t>
      </w:r>
      <w:r w:rsidR="00373E4B" w:rsidRPr="00FC1976">
        <w:rPr>
          <w:lang w:val="en-AU"/>
        </w:rPr>
        <w:t xml:space="preserve"> </w:t>
      </w:r>
      <w:r w:rsidRPr="00FC1976">
        <w:rPr>
          <w:lang w:val="en-AU"/>
        </w:rPr>
        <w:t>did consider</w:t>
      </w:r>
      <w:r w:rsidR="00DB5F36">
        <w:rPr>
          <w:lang w:val="en-AU"/>
        </w:rPr>
        <w:t xml:space="preserve"> creating an item </w:t>
      </w:r>
      <w:r w:rsidR="00373E4B" w:rsidRPr="00FC1976">
        <w:rPr>
          <w:lang w:val="en-AU"/>
        </w:rPr>
        <w:t xml:space="preserve">that included </w:t>
      </w:r>
      <w:r w:rsidR="00C76CDE" w:rsidRPr="00FC1976">
        <w:rPr>
          <w:lang w:val="en-AU"/>
        </w:rPr>
        <w:t xml:space="preserve">all </w:t>
      </w:r>
      <w:r w:rsidR="00373E4B" w:rsidRPr="00FC1976">
        <w:rPr>
          <w:lang w:val="en-AU"/>
        </w:rPr>
        <w:t xml:space="preserve">specialist consultations </w:t>
      </w:r>
      <w:r w:rsidR="00D77B3F" w:rsidRPr="00FC1976">
        <w:rPr>
          <w:lang w:val="en-AU"/>
        </w:rPr>
        <w:t>(such as item 116)</w:t>
      </w:r>
      <w:r w:rsidR="00834300" w:rsidRPr="00FC1976">
        <w:rPr>
          <w:lang w:val="en-AU"/>
        </w:rPr>
        <w:t xml:space="preserve"> </w:t>
      </w:r>
      <w:r w:rsidR="00C76CDE" w:rsidRPr="00FC1976">
        <w:rPr>
          <w:lang w:val="en-AU"/>
        </w:rPr>
        <w:t xml:space="preserve">in addition to </w:t>
      </w:r>
      <w:r w:rsidR="00373E4B" w:rsidRPr="00FC1976">
        <w:rPr>
          <w:lang w:val="en-AU"/>
        </w:rPr>
        <w:t>items 13100/13103</w:t>
      </w:r>
      <w:r w:rsidR="00DB5F36">
        <w:rPr>
          <w:lang w:val="en-AU"/>
        </w:rPr>
        <w:t xml:space="preserve"> without exception</w:t>
      </w:r>
      <w:r w:rsidR="00373E4B" w:rsidRPr="00FC1976">
        <w:rPr>
          <w:lang w:val="en-AU"/>
        </w:rPr>
        <w:t xml:space="preserve">. </w:t>
      </w:r>
      <w:r w:rsidR="00C76CDE" w:rsidRPr="00FC1976">
        <w:rPr>
          <w:lang w:val="en-AU"/>
        </w:rPr>
        <w:t>The final recommendation</w:t>
      </w:r>
      <w:r w:rsidR="005B1DA0">
        <w:rPr>
          <w:lang w:val="en-AU"/>
        </w:rPr>
        <w:t>, however, was</w:t>
      </w:r>
      <w:r w:rsidR="00C76CDE" w:rsidRPr="00FC1976">
        <w:rPr>
          <w:lang w:val="en-AU"/>
        </w:rPr>
        <w:t xml:space="preserve"> that routine attendance </w:t>
      </w:r>
      <w:r w:rsidR="00E06501">
        <w:rPr>
          <w:lang w:val="en-AU"/>
        </w:rPr>
        <w:t xml:space="preserve">and reviews </w:t>
      </w:r>
      <w:r w:rsidR="00C76CDE" w:rsidRPr="00FC1976">
        <w:rPr>
          <w:lang w:val="en-AU"/>
        </w:rPr>
        <w:t xml:space="preserve">during dialysis services should be included in the </w:t>
      </w:r>
      <w:r w:rsidR="001E1192">
        <w:rPr>
          <w:lang w:val="en-AU"/>
        </w:rPr>
        <w:t xml:space="preserve">weekly payment </w:t>
      </w:r>
      <w:r w:rsidR="00C76CDE" w:rsidRPr="00FC1976">
        <w:rPr>
          <w:lang w:val="en-AU"/>
        </w:rPr>
        <w:t xml:space="preserve">for care of the patient, </w:t>
      </w:r>
      <w:r w:rsidR="0099085F">
        <w:rPr>
          <w:lang w:val="en-AU"/>
        </w:rPr>
        <w:t>and that</w:t>
      </w:r>
      <w:r w:rsidR="00C76CDE" w:rsidRPr="00FC1976">
        <w:rPr>
          <w:lang w:val="en-AU"/>
        </w:rPr>
        <w:t xml:space="preserve"> where a non-routine consultation occurs in consulting suites, it would be appropriate to claim a professional attendance </w:t>
      </w:r>
      <w:r w:rsidR="00B2517B">
        <w:rPr>
          <w:lang w:val="en-AU"/>
        </w:rPr>
        <w:t>item</w:t>
      </w:r>
      <w:r w:rsidR="00BF0DDD">
        <w:rPr>
          <w:lang w:val="en-AU"/>
        </w:rPr>
        <w:t xml:space="preserve"> </w:t>
      </w:r>
      <w:r w:rsidR="00C76CDE" w:rsidRPr="00FC1976">
        <w:rPr>
          <w:lang w:val="en-AU"/>
        </w:rPr>
        <w:t>such as item 116</w:t>
      </w:r>
      <w:r w:rsidR="00373E4B" w:rsidRPr="00FC1976">
        <w:rPr>
          <w:lang w:val="en-AU"/>
        </w:rPr>
        <w:t>.</w:t>
      </w:r>
      <w:r w:rsidR="00C76CDE" w:rsidRPr="00FC1976">
        <w:rPr>
          <w:lang w:val="en-AU"/>
        </w:rPr>
        <w:t xml:space="preserve"> </w:t>
      </w:r>
      <w:r w:rsidR="007F5F81">
        <w:rPr>
          <w:lang w:val="en-AU"/>
        </w:rPr>
        <w:t>W</w:t>
      </w:r>
      <w:r w:rsidR="00C76CDE" w:rsidRPr="00FC1976">
        <w:rPr>
          <w:lang w:val="en-AU"/>
        </w:rPr>
        <w:t>hen a patient is admitted to hospital for an acute deterioration or non-kidney</w:t>
      </w:r>
      <w:r w:rsidR="00BF0DDD">
        <w:rPr>
          <w:lang w:val="en-AU"/>
        </w:rPr>
        <w:t>-</w:t>
      </w:r>
      <w:r w:rsidR="00C76CDE" w:rsidRPr="00FC1976">
        <w:rPr>
          <w:lang w:val="en-AU"/>
        </w:rPr>
        <w:t xml:space="preserve">related </w:t>
      </w:r>
      <w:r w:rsidR="00192436" w:rsidRPr="00FC1976">
        <w:rPr>
          <w:lang w:val="en-AU"/>
        </w:rPr>
        <w:t xml:space="preserve">reason, the attending doctors routinely bill specialist attendance items. The Committee felt that it was </w:t>
      </w:r>
      <w:r w:rsidR="00192436" w:rsidRPr="001E1192">
        <w:rPr>
          <w:lang w:val="en-AU"/>
        </w:rPr>
        <w:t>impractical to require in</w:t>
      </w:r>
      <w:r w:rsidR="00574CCF" w:rsidRPr="001E1192">
        <w:rPr>
          <w:lang w:val="en-AU"/>
        </w:rPr>
        <w:t>-</w:t>
      </w:r>
      <w:r w:rsidR="00192436" w:rsidRPr="001E1192">
        <w:rPr>
          <w:lang w:val="en-AU"/>
        </w:rPr>
        <w:t xml:space="preserve">hospital attendances to be covered by the primary nephrologist under the </w:t>
      </w:r>
      <w:r w:rsidR="0095608F" w:rsidRPr="001E1192">
        <w:rPr>
          <w:lang w:val="en-AU"/>
        </w:rPr>
        <w:t>consolidated item</w:t>
      </w:r>
      <w:r w:rsidR="00192436" w:rsidRPr="001E1192">
        <w:rPr>
          <w:lang w:val="en-AU"/>
        </w:rPr>
        <w:t>, as would be the case in a full capitation model.</w:t>
      </w:r>
      <w:r w:rsidR="001F50F6" w:rsidRPr="001E1192">
        <w:rPr>
          <w:lang w:val="en-AU"/>
        </w:rPr>
        <w:t xml:space="preserve"> </w:t>
      </w:r>
    </w:p>
    <w:p w14:paraId="39058A13" w14:textId="77777777" w:rsidR="0034437F" w:rsidRPr="001E1192" w:rsidRDefault="00484D3B" w:rsidP="00E15A50">
      <w:pPr>
        <w:pStyle w:val="01squarebullet"/>
        <w:rPr>
          <w:lang w:val="en-AU"/>
        </w:rPr>
      </w:pPr>
      <w:r w:rsidRPr="001E1192">
        <w:rPr>
          <w:lang w:val="en-AU"/>
        </w:rPr>
        <w:t xml:space="preserve">The Committee </w:t>
      </w:r>
      <w:r w:rsidR="0034437F" w:rsidRPr="001E1192">
        <w:rPr>
          <w:lang w:val="en-AU"/>
        </w:rPr>
        <w:t>a</w:t>
      </w:r>
      <w:r w:rsidR="00D27A6D" w:rsidRPr="001E1192">
        <w:rPr>
          <w:lang w:val="en-AU"/>
        </w:rPr>
        <w:t xml:space="preserve">lso considered a monthly </w:t>
      </w:r>
      <w:r w:rsidR="0095608F" w:rsidRPr="001E1192">
        <w:rPr>
          <w:lang w:val="en-AU"/>
        </w:rPr>
        <w:t>payment model</w:t>
      </w:r>
      <w:r w:rsidR="00920814" w:rsidRPr="001E1192">
        <w:rPr>
          <w:lang w:val="en-AU"/>
        </w:rPr>
        <w:t>, but it</w:t>
      </w:r>
      <w:r w:rsidR="00D27A6D" w:rsidRPr="001E1192">
        <w:rPr>
          <w:lang w:val="en-AU"/>
        </w:rPr>
        <w:t xml:space="preserve"> </w:t>
      </w:r>
      <w:r w:rsidR="0034437F" w:rsidRPr="001E1192">
        <w:rPr>
          <w:lang w:val="en-AU"/>
        </w:rPr>
        <w:t xml:space="preserve">felt </w:t>
      </w:r>
      <w:r w:rsidR="00920814" w:rsidRPr="001E1192">
        <w:rPr>
          <w:lang w:val="en-AU"/>
        </w:rPr>
        <w:t xml:space="preserve">that this would </w:t>
      </w:r>
      <w:r w:rsidR="0034437F" w:rsidRPr="001E1192">
        <w:rPr>
          <w:lang w:val="en-AU"/>
        </w:rPr>
        <w:t xml:space="preserve">be impractical due to the issues created by the retention of 116 access for some circumstances </w:t>
      </w:r>
      <w:r w:rsidR="00976066" w:rsidRPr="001E1192">
        <w:rPr>
          <w:lang w:val="en-AU"/>
        </w:rPr>
        <w:t>(</w:t>
      </w:r>
      <w:r w:rsidR="0034437F" w:rsidRPr="001E1192">
        <w:rPr>
          <w:lang w:val="en-AU"/>
        </w:rPr>
        <w:t>as described above</w:t>
      </w:r>
      <w:r w:rsidR="00976066" w:rsidRPr="001E1192">
        <w:rPr>
          <w:lang w:val="en-AU"/>
        </w:rPr>
        <w:t>)</w:t>
      </w:r>
      <w:r w:rsidR="0034437F" w:rsidRPr="001E1192">
        <w:rPr>
          <w:lang w:val="en-AU"/>
        </w:rPr>
        <w:t xml:space="preserve">. As it is not reasonable to double pay for the care of a patient, the monthly </w:t>
      </w:r>
      <w:r w:rsidR="0095608F" w:rsidRPr="001E1192">
        <w:rPr>
          <w:lang w:val="en-AU"/>
        </w:rPr>
        <w:t>payment</w:t>
      </w:r>
      <w:r w:rsidR="0034437F" w:rsidRPr="001E1192">
        <w:rPr>
          <w:lang w:val="en-AU"/>
        </w:rPr>
        <w:t xml:space="preserve"> would be </w:t>
      </w:r>
      <w:r w:rsidR="00AF4B7A" w:rsidRPr="001E1192">
        <w:rPr>
          <w:lang w:val="en-AU"/>
        </w:rPr>
        <w:t>inappropriate for any month in which a patient had an acute inpatient admission, and for that month, the fee</w:t>
      </w:r>
      <w:r w:rsidR="00046AB1" w:rsidRPr="001E1192">
        <w:rPr>
          <w:lang w:val="en-AU"/>
        </w:rPr>
        <w:t>-</w:t>
      </w:r>
      <w:r w:rsidR="00AF4B7A" w:rsidRPr="001E1192">
        <w:rPr>
          <w:lang w:val="en-AU"/>
        </w:rPr>
        <w:t>for</w:t>
      </w:r>
      <w:r w:rsidR="00046AB1" w:rsidRPr="001E1192">
        <w:rPr>
          <w:lang w:val="en-AU"/>
        </w:rPr>
        <w:t>-</w:t>
      </w:r>
      <w:r w:rsidR="00AF4B7A" w:rsidRPr="001E1192">
        <w:rPr>
          <w:lang w:val="en-AU"/>
        </w:rPr>
        <w:t xml:space="preserve">service dialysis items would need to be billed as appropriate. </w:t>
      </w:r>
      <w:r w:rsidR="00046AB1" w:rsidRPr="001E1192">
        <w:rPr>
          <w:lang w:val="en-AU"/>
        </w:rPr>
        <w:t xml:space="preserve">Given </w:t>
      </w:r>
      <w:r w:rsidR="00AF4B7A" w:rsidRPr="001E1192">
        <w:rPr>
          <w:lang w:val="en-AU"/>
        </w:rPr>
        <w:t xml:space="preserve">this complexity, it was agreed that a monthly </w:t>
      </w:r>
      <w:r w:rsidR="0095608F" w:rsidRPr="001E1192">
        <w:rPr>
          <w:lang w:val="en-AU"/>
        </w:rPr>
        <w:t>payment model</w:t>
      </w:r>
      <w:r w:rsidR="00AF4B7A" w:rsidRPr="001E1192">
        <w:rPr>
          <w:lang w:val="en-AU"/>
        </w:rPr>
        <w:t xml:space="preserve"> was impractical, </w:t>
      </w:r>
      <w:r w:rsidR="00316FFE" w:rsidRPr="001E1192">
        <w:rPr>
          <w:lang w:val="en-AU"/>
        </w:rPr>
        <w:t xml:space="preserve">but that </w:t>
      </w:r>
      <w:r w:rsidR="00AF4B7A" w:rsidRPr="001E1192">
        <w:rPr>
          <w:lang w:val="en-AU"/>
        </w:rPr>
        <w:t xml:space="preserve">a weekly </w:t>
      </w:r>
      <w:r w:rsidR="0095608F" w:rsidRPr="001E1192">
        <w:rPr>
          <w:lang w:val="en-AU"/>
        </w:rPr>
        <w:t>model</w:t>
      </w:r>
      <w:r w:rsidR="00AF4B7A" w:rsidRPr="001E1192">
        <w:rPr>
          <w:lang w:val="en-AU"/>
        </w:rPr>
        <w:t xml:space="preserve"> </w:t>
      </w:r>
      <w:r w:rsidR="00145A1D" w:rsidRPr="001E1192">
        <w:rPr>
          <w:lang w:val="en-AU"/>
        </w:rPr>
        <w:t>would</w:t>
      </w:r>
      <w:r w:rsidR="00AF4B7A" w:rsidRPr="001E1192">
        <w:rPr>
          <w:lang w:val="en-AU"/>
        </w:rPr>
        <w:t xml:space="preserve"> provide a reasonable balance</w:t>
      </w:r>
      <w:r w:rsidR="00ED04AA" w:rsidRPr="001E1192">
        <w:rPr>
          <w:lang w:val="en-AU"/>
        </w:rPr>
        <w:t>.</w:t>
      </w:r>
      <w:r w:rsidR="00AF4B7A" w:rsidRPr="001E1192">
        <w:rPr>
          <w:lang w:val="en-AU"/>
        </w:rPr>
        <w:t xml:space="preserve"> </w:t>
      </w:r>
      <w:r w:rsidR="00ED04AA" w:rsidRPr="001E1192">
        <w:rPr>
          <w:lang w:val="en-AU"/>
        </w:rPr>
        <w:t>I</w:t>
      </w:r>
      <w:r w:rsidR="00AF4B7A" w:rsidRPr="001E1192">
        <w:rPr>
          <w:lang w:val="en-AU"/>
        </w:rPr>
        <w:t>t was</w:t>
      </w:r>
      <w:r w:rsidR="00ED04AA" w:rsidRPr="001E1192">
        <w:rPr>
          <w:lang w:val="en-AU"/>
        </w:rPr>
        <w:t xml:space="preserve"> also</w:t>
      </w:r>
      <w:r w:rsidR="00AF4B7A" w:rsidRPr="001E1192">
        <w:rPr>
          <w:lang w:val="en-AU"/>
        </w:rPr>
        <w:t xml:space="preserve"> agreed that the </w:t>
      </w:r>
      <w:r w:rsidR="0095608F" w:rsidRPr="001E1192">
        <w:rPr>
          <w:lang w:val="en-AU"/>
        </w:rPr>
        <w:t>consolidated item</w:t>
      </w:r>
      <w:r w:rsidR="00AF4B7A" w:rsidRPr="001E1192">
        <w:rPr>
          <w:lang w:val="en-AU"/>
        </w:rPr>
        <w:t xml:space="preserve"> should only be claimed </w:t>
      </w:r>
      <w:r w:rsidR="00874E23" w:rsidRPr="001E1192">
        <w:rPr>
          <w:lang w:val="en-AU"/>
        </w:rPr>
        <w:t xml:space="preserve">if </w:t>
      </w:r>
      <w:r w:rsidR="00AF4B7A" w:rsidRPr="001E1192">
        <w:rPr>
          <w:lang w:val="en-AU"/>
        </w:rPr>
        <w:t xml:space="preserve">the majority of dialysis services in the week (usually </w:t>
      </w:r>
      <w:r w:rsidR="008F0F75" w:rsidRPr="001E1192">
        <w:rPr>
          <w:lang w:val="en-AU"/>
        </w:rPr>
        <w:t>two</w:t>
      </w:r>
      <w:r w:rsidR="00AF4B7A" w:rsidRPr="001E1192">
        <w:rPr>
          <w:lang w:val="en-AU"/>
        </w:rPr>
        <w:t xml:space="preserve"> out of </w:t>
      </w:r>
      <w:r w:rsidR="008F0F75" w:rsidRPr="001E1192">
        <w:rPr>
          <w:lang w:val="en-AU"/>
        </w:rPr>
        <w:t>three</w:t>
      </w:r>
      <w:r w:rsidR="00AF4B7A" w:rsidRPr="001E1192">
        <w:rPr>
          <w:lang w:val="en-AU"/>
        </w:rPr>
        <w:t xml:space="preserve">) were provided </w:t>
      </w:r>
      <w:r w:rsidR="001E37EA" w:rsidRPr="001E1192">
        <w:rPr>
          <w:lang w:val="en-AU"/>
        </w:rPr>
        <w:t xml:space="preserve">privately by the claiming provider. </w:t>
      </w:r>
    </w:p>
    <w:p w14:paraId="248EDC3C" w14:textId="77777777" w:rsidR="00E85D3B" w:rsidRPr="001E1192" w:rsidRDefault="00CF257C" w:rsidP="00E15A50">
      <w:pPr>
        <w:pStyle w:val="01squarebullet"/>
        <w:rPr>
          <w:lang w:val="en-AU"/>
        </w:rPr>
      </w:pPr>
      <w:r w:rsidRPr="001E1192">
        <w:rPr>
          <w:lang w:val="en-AU"/>
        </w:rPr>
        <w:t xml:space="preserve">With regards to </w:t>
      </w:r>
      <w:r w:rsidR="006765EE" w:rsidRPr="001E1192">
        <w:rPr>
          <w:lang w:val="en-AU"/>
        </w:rPr>
        <w:t xml:space="preserve">the </w:t>
      </w:r>
      <w:r w:rsidR="0010529D" w:rsidRPr="001E1192">
        <w:rPr>
          <w:lang w:val="en-AU"/>
        </w:rPr>
        <w:t xml:space="preserve">third intended </w:t>
      </w:r>
      <w:r w:rsidR="002505A8" w:rsidRPr="001E1192">
        <w:rPr>
          <w:lang w:val="en-AU"/>
        </w:rPr>
        <w:t>outcome</w:t>
      </w:r>
      <w:r w:rsidRPr="001E1192">
        <w:rPr>
          <w:lang w:val="en-AU"/>
        </w:rPr>
        <w:t xml:space="preserve"> </w:t>
      </w:r>
      <w:r w:rsidR="00EA641A" w:rsidRPr="001E1192">
        <w:rPr>
          <w:lang w:val="en-AU"/>
        </w:rPr>
        <w:t xml:space="preserve">of </w:t>
      </w:r>
      <w:r w:rsidR="00584DA6" w:rsidRPr="001E1192">
        <w:rPr>
          <w:lang w:val="en-AU"/>
        </w:rPr>
        <w:t xml:space="preserve">drafting </w:t>
      </w:r>
      <w:r w:rsidR="00EA641A" w:rsidRPr="001E1192">
        <w:rPr>
          <w:lang w:val="en-AU"/>
        </w:rPr>
        <w:t>this</w:t>
      </w:r>
      <w:r w:rsidR="0010529D" w:rsidRPr="001E1192">
        <w:rPr>
          <w:lang w:val="en-AU"/>
        </w:rPr>
        <w:t xml:space="preserve"> item</w:t>
      </w:r>
      <w:r w:rsidRPr="001E1192">
        <w:rPr>
          <w:lang w:val="en-AU"/>
        </w:rPr>
        <w:t>—</w:t>
      </w:r>
      <w:r w:rsidR="001D7927" w:rsidRPr="001E1192">
        <w:rPr>
          <w:lang w:val="en-AU"/>
        </w:rPr>
        <w:t>that the item(s) should be linked to quality or outcome measures</w:t>
      </w:r>
      <w:r w:rsidR="00A95F46" w:rsidRPr="001E1192">
        <w:rPr>
          <w:lang w:val="en-AU"/>
        </w:rPr>
        <w:t>—</w:t>
      </w:r>
      <w:r w:rsidR="00BA4ACB" w:rsidRPr="001E1192">
        <w:rPr>
          <w:lang w:val="en-AU"/>
        </w:rPr>
        <w:t>the Committee discussed the possibility of</w:t>
      </w:r>
      <w:r w:rsidR="001D7927" w:rsidRPr="001E1192">
        <w:rPr>
          <w:lang w:val="en-AU"/>
        </w:rPr>
        <w:t xml:space="preserve"> </w:t>
      </w:r>
      <w:r w:rsidR="00092967" w:rsidRPr="001E1192">
        <w:rPr>
          <w:lang w:val="en-AU"/>
        </w:rPr>
        <w:t>including</w:t>
      </w:r>
      <w:r w:rsidR="001D7927" w:rsidRPr="001E1192">
        <w:rPr>
          <w:lang w:val="en-AU"/>
        </w:rPr>
        <w:t xml:space="preserve"> an incentive for care quality and outcome tracking</w:t>
      </w:r>
      <w:r w:rsidR="00773C6F" w:rsidRPr="001E1192">
        <w:rPr>
          <w:lang w:val="en-AU"/>
        </w:rPr>
        <w:t xml:space="preserve">. </w:t>
      </w:r>
      <w:r w:rsidR="00B74911" w:rsidRPr="001E1192">
        <w:rPr>
          <w:lang w:val="en-AU"/>
        </w:rPr>
        <w:t>It was noted that international examples of capitated or episode</w:t>
      </w:r>
      <w:r w:rsidR="002C0E5E" w:rsidRPr="001E1192">
        <w:rPr>
          <w:lang w:val="en-AU"/>
        </w:rPr>
        <w:t>-</w:t>
      </w:r>
      <w:r w:rsidR="00B74911" w:rsidRPr="001E1192">
        <w:rPr>
          <w:lang w:val="en-AU"/>
        </w:rPr>
        <w:t>based payment models general</w:t>
      </w:r>
      <w:r w:rsidR="000B328A" w:rsidRPr="001E1192">
        <w:rPr>
          <w:lang w:val="en-AU"/>
        </w:rPr>
        <w:t>ly</w:t>
      </w:r>
      <w:r w:rsidR="00B74911" w:rsidRPr="001E1192">
        <w:rPr>
          <w:lang w:val="en-AU"/>
        </w:rPr>
        <w:t xml:space="preserve"> incorporate robust quality frameworks to ensure appropriate care is provided</w:t>
      </w:r>
      <w:r w:rsidR="00503B15" w:rsidRPr="001E1192">
        <w:rPr>
          <w:lang w:val="en-AU"/>
        </w:rPr>
        <w:t>,</w:t>
      </w:r>
      <w:r w:rsidR="00B74911" w:rsidRPr="001E1192">
        <w:rPr>
          <w:lang w:val="en-AU"/>
        </w:rPr>
        <w:t xml:space="preserve"> as there is a financial incentive for providers to provide cheaper care to patients. It was noted that the current fee</w:t>
      </w:r>
      <w:r w:rsidR="000A10E3" w:rsidRPr="001E1192">
        <w:rPr>
          <w:lang w:val="en-AU"/>
        </w:rPr>
        <w:t>-</w:t>
      </w:r>
      <w:r w:rsidR="00B74911" w:rsidRPr="001E1192">
        <w:rPr>
          <w:lang w:val="en-AU"/>
        </w:rPr>
        <w:t>for</w:t>
      </w:r>
      <w:r w:rsidR="000A10E3" w:rsidRPr="001E1192">
        <w:rPr>
          <w:lang w:val="en-AU"/>
        </w:rPr>
        <w:t>-</w:t>
      </w:r>
      <w:r w:rsidR="00B74911" w:rsidRPr="001E1192">
        <w:rPr>
          <w:lang w:val="en-AU"/>
        </w:rPr>
        <w:t>service model of the MBS assumes that simply because a service is provided, it is of sufficient quality</w:t>
      </w:r>
      <w:r w:rsidR="00F37BB4" w:rsidRPr="001E1192">
        <w:rPr>
          <w:lang w:val="en-AU"/>
        </w:rPr>
        <w:t xml:space="preserve"> due to self-regulation of the profession</w:t>
      </w:r>
      <w:r w:rsidR="00272707" w:rsidRPr="001E1192">
        <w:rPr>
          <w:lang w:val="en-AU"/>
        </w:rPr>
        <w:t>. However, it also</w:t>
      </w:r>
      <w:r w:rsidR="00B74911" w:rsidRPr="001E1192">
        <w:rPr>
          <w:lang w:val="en-AU"/>
        </w:rPr>
        <w:t xml:space="preserve"> not</w:t>
      </w:r>
      <w:r w:rsidR="00272707" w:rsidRPr="001E1192">
        <w:rPr>
          <w:lang w:val="en-AU"/>
        </w:rPr>
        <w:t>ed</w:t>
      </w:r>
      <w:r w:rsidR="00B74911" w:rsidRPr="001E1192">
        <w:rPr>
          <w:lang w:val="en-AU"/>
        </w:rPr>
        <w:t xml:space="preserve"> that in </w:t>
      </w:r>
      <w:r w:rsidR="00F37BB4" w:rsidRPr="001E1192">
        <w:rPr>
          <w:lang w:val="en-AU"/>
        </w:rPr>
        <w:t xml:space="preserve">some </w:t>
      </w:r>
      <w:r w:rsidR="00B74911" w:rsidRPr="001E1192">
        <w:rPr>
          <w:lang w:val="en-AU"/>
        </w:rPr>
        <w:t xml:space="preserve">cases </w:t>
      </w:r>
      <w:r w:rsidR="00ED1B11" w:rsidRPr="001E1192">
        <w:rPr>
          <w:lang w:val="en-AU"/>
        </w:rPr>
        <w:t xml:space="preserve">this </w:t>
      </w:r>
      <w:r w:rsidR="00B74911" w:rsidRPr="001E1192">
        <w:rPr>
          <w:lang w:val="en-AU"/>
        </w:rPr>
        <w:t xml:space="preserve">may not be true. The </w:t>
      </w:r>
      <w:r w:rsidR="00F37BB4" w:rsidRPr="001E1192">
        <w:rPr>
          <w:lang w:val="en-AU"/>
        </w:rPr>
        <w:t xml:space="preserve">Committee discussed potential quality assurance approaches and agreed </w:t>
      </w:r>
      <w:r w:rsidR="00773C6F" w:rsidRPr="001E1192">
        <w:rPr>
          <w:lang w:val="en-AU"/>
        </w:rPr>
        <w:t xml:space="preserve">that there are </w:t>
      </w:r>
      <w:r w:rsidR="00F37BB4" w:rsidRPr="001E1192">
        <w:rPr>
          <w:lang w:val="en-AU"/>
        </w:rPr>
        <w:t xml:space="preserve">currently </w:t>
      </w:r>
      <w:r w:rsidR="00773C6F" w:rsidRPr="001E1192">
        <w:rPr>
          <w:lang w:val="en-AU"/>
        </w:rPr>
        <w:t>no widely accepted markers of high-quality care</w:t>
      </w:r>
      <w:r w:rsidR="0042692C" w:rsidRPr="001E1192">
        <w:rPr>
          <w:lang w:val="en-AU"/>
        </w:rPr>
        <w:t>, and that</w:t>
      </w:r>
      <w:r w:rsidR="00773C6F" w:rsidRPr="001E1192">
        <w:rPr>
          <w:lang w:val="en-AU"/>
        </w:rPr>
        <w:t xml:space="preserve"> existing metrics are significantly </w:t>
      </w:r>
      <w:r w:rsidR="00DE138F" w:rsidRPr="001E1192">
        <w:rPr>
          <w:lang w:val="en-AU"/>
        </w:rPr>
        <w:t>affected</w:t>
      </w:r>
      <w:r w:rsidR="00773C6F" w:rsidRPr="001E1192">
        <w:rPr>
          <w:lang w:val="en-AU"/>
        </w:rPr>
        <w:t xml:space="preserve"> by factors such as patient mix. </w:t>
      </w:r>
    </w:p>
    <w:p w14:paraId="17A3C1C4" w14:textId="77777777" w:rsidR="00F85CCB" w:rsidRPr="00802112" w:rsidRDefault="00F85CCB" w:rsidP="00F85CCB">
      <w:pPr>
        <w:pStyle w:val="01squarebullet"/>
        <w:rPr>
          <w:lang w:val="en-AU"/>
        </w:rPr>
      </w:pPr>
      <w:r w:rsidRPr="001E1192">
        <w:rPr>
          <w:lang w:val="en-AU"/>
        </w:rPr>
        <w:t>The Committee agreed that patients dialysing with a central venous catheter</w:t>
      </w:r>
      <w:r w:rsidR="008C2257" w:rsidRPr="001E1192">
        <w:rPr>
          <w:lang w:val="en-AU"/>
        </w:rPr>
        <w:t xml:space="preserve"> (CVC)</w:t>
      </w:r>
      <w:r w:rsidRPr="001E1192">
        <w:rPr>
          <w:lang w:val="en-AU"/>
        </w:rPr>
        <w:t xml:space="preserve"> are more susceptible to infections, hospitalisations and increased risk of death when compared to patients with an arteriovenou</w:t>
      </w:r>
      <w:r w:rsidR="0065107B" w:rsidRPr="001E1192">
        <w:rPr>
          <w:lang w:val="en-AU"/>
        </w:rPr>
        <w:t>s</w:t>
      </w:r>
      <w:r w:rsidRPr="001E1192">
        <w:rPr>
          <w:lang w:val="en-AU"/>
        </w:rPr>
        <w:t xml:space="preserve"> (AV) fistula or graft for vascular access</w:t>
      </w:r>
      <w:r w:rsidR="0030740B" w:rsidRPr="001E1192">
        <w:rPr>
          <w:lang w:val="en-AU"/>
        </w:rPr>
        <w:t xml:space="preserve"> </w:t>
      </w:r>
      <w:r w:rsidR="00423AB9" w:rsidRPr="001E1192">
        <w:rPr>
          <w:lang w:val="en-AU"/>
        </w:rPr>
        <w:fldChar w:fldCharType="begin" w:fldLock="1"/>
      </w:r>
      <w:r w:rsidR="00B409DB">
        <w:rPr>
          <w:lang w:val="en-AU"/>
        </w:rPr>
        <w:instrText>ADDIN CSL_CITATION { "citationItems" : [ { "id" : "ITEM-1", "itemData" : { "author" : [ { "dropping-particle" : "", "family" : "Lopez-Vargas", "given" : "Pamela", "non-dropping-particle" : "", "parse-names" : false, "suffix" : "" }, { "dropping-particle" : "", "family" : "Polkinghorne", "given" : "Kevan", "non-dropping-particle" : "", "parse-names" : false, "suffix" : "" } ], "container-title" : "KHA-CARI guidelines", "id" : "ITEM-1", "issue" : "February", "issued" : { "date-parts" : [ [ "2012" ] ] }, "page" : "1-10", "title" : "Preparation and placement of vascular access", "type" : "article-journal" }, "uris" : [ "http://www.mendeley.com/documents/?uuid=b7a176ef-b445-42ab-b271-5a4d232f6fa7" ] } ], "mendeley" : { "formattedCitation" : "(25)", "plainTextFormattedCitation" : "(25)", "previouslyFormattedCitation" : "(25)" }, "properties" : { "noteIndex" : 0 }, "schema" : "https://github.com/citation-style-language/schema/raw/master/csl-citation.json" }</w:instrText>
      </w:r>
      <w:r w:rsidR="00423AB9" w:rsidRPr="001E1192">
        <w:rPr>
          <w:lang w:val="en-AU"/>
        </w:rPr>
        <w:fldChar w:fldCharType="separate"/>
      </w:r>
      <w:r w:rsidR="0099742A" w:rsidRPr="0099742A">
        <w:rPr>
          <w:noProof/>
          <w:lang w:val="en-AU"/>
        </w:rPr>
        <w:t>(25)</w:t>
      </w:r>
      <w:r w:rsidR="00423AB9" w:rsidRPr="001E1192">
        <w:rPr>
          <w:lang w:val="en-AU"/>
        </w:rPr>
        <w:fldChar w:fldCharType="end"/>
      </w:r>
      <w:r w:rsidR="00423AB9" w:rsidRPr="001E1192">
        <w:rPr>
          <w:lang w:val="en-AU"/>
        </w:rPr>
        <w:t>.</w:t>
      </w:r>
      <w:r w:rsidRPr="001E1192">
        <w:rPr>
          <w:lang w:val="en-AU"/>
        </w:rPr>
        <w:t xml:space="preserve"> </w:t>
      </w:r>
      <w:r w:rsidR="0030740B" w:rsidRPr="001E1192">
        <w:rPr>
          <w:lang w:val="en-AU"/>
        </w:rPr>
        <w:t xml:space="preserve">The </w:t>
      </w:r>
      <w:r w:rsidR="0030740B">
        <w:rPr>
          <w:lang w:val="en-AU"/>
        </w:rPr>
        <w:t xml:space="preserve">Committee </w:t>
      </w:r>
      <w:r w:rsidRPr="00802112">
        <w:rPr>
          <w:lang w:val="en-AU"/>
        </w:rPr>
        <w:t xml:space="preserve">considered whether </w:t>
      </w:r>
      <w:r w:rsidR="008B3C57">
        <w:rPr>
          <w:lang w:val="en-AU"/>
        </w:rPr>
        <w:t>it would</w:t>
      </w:r>
      <w:r w:rsidRPr="00802112">
        <w:rPr>
          <w:lang w:val="en-AU"/>
        </w:rPr>
        <w:t xml:space="preserve"> be appropriate to </w:t>
      </w:r>
      <w:r w:rsidR="001E1192">
        <w:rPr>
          <w:lang w:val="en-AU"/>
        </w:rPr>
        <w:t xml:space="preserve">create </w:t>
      </w:r>
      <w:r w:rsidRPr="00802112">
        <w:rPr>
          <w:lang w:val="en-AU"/>
        </w:rPr>
        <w:t>differentiate</w:t>
      </w:r>
      <w:r w:rsidR="001E1192">
        <w:rPr>
          <w:lang w:val="en-AU"/>
        </w:rPr>
        <w:t>d</w:t>
      </w:r>
      <w:r w:rsidRPr="00802112">
        <w:rPr>
          <w:lang w:val="en-AU"/>
        </w:rPr>
        <w:t xml:space="preserve"> </w:t>
      </w:r>
      <w:r w:rsidR="001E1192" w:rsidRPr="001E1192">
        <w:rPr>
          <w:lang w:val="en-AU"/>
        </w:rPr>
        <w:t>items</w:t>
      </w:r>
      <w:r w:rsidRPr="001E1192">
        <w:rPr>
          <w:lang w:val="en-AU"/>
        </w:rPr>
        <w:t xml:space="preserve"> </w:t>
      </w:r>
      <w:r w:rsidRPr="00802112">
        <w:rPr>
          <w:lang w:val="en-AU"/>
        </w:rPr>
        <w:t xml:space="preserve">based on either commencement of dialysis with </w:t>
      </w:r>
      <w:r w:rsidR="009C4808" w:rsidRPr="00802112">
        <w:rPr>
          <w:lang w:val="en-AU"/>
        </w:rPr>
        <w:t>long</w:t>
      </w:r>
      <w:r w:rsidR="009C4808">
        <w:rPr>
          <w:lang w:val="en-AU"/>
        </w:rPr>
        <w:t>-</w:t>
      </w:r>
      <w:r w:rsidRPr="00802112">
        <w:rPr>
          <w:lang w:val="en-AU"/>
        </w:rPr>
        <w:t xml:space="preserve">term access in place, or based on the type of access used for each service. Regarding commencement, it was agreed that unplanned commencement often occurs in patients who have not previously seen a nephrologist, or when an acute and unexpected deterioration occurs. As such, it was agreed that differentiating the </w:t>
      </w:r>
      <w:r w:rsidR="001E1192">
        <w:rPr>
          <w:lang w:val="en-AU"/>
        </w:rPr>
        <w:t>items</w:t>
      </w:r>
      <w:r w:rsidRPr="00802112">
        <w:rPr>
          <w:lang w:val="en-AU"/>
        </w:rPr>
        <w:t xml:space="preserve"> would be unlikely to </w:t>
      </w:r>
      <w:r w:rsidR="002C323E">
        <w:rPr>
          <w:lang w:val="en-AU"/>
        </w:rPr>
        <w:t>affect</w:t>
      </w:r>
      <w:r w:rsidR="002C323E" w:rsidRPr="00802112">
        <w:rPr>
          <w:lang w:val="en-AU"/>
        </w:rPr>
        <w:t xml:space="preserve"> </w:t>
      </w:r>
      <w:r w:rsidRPr="00802112">
        <w:rPr>
          <w:lang w:val="en-AU"/>
        </w:rPr>
        <w:t xml:space="preserve">these patient populations. </w:t>
      </w:r>
      <w:r w:rsidR="00B809A0">
        <w:rPr>
          <w:lang w:val="en-AU"/>
        </w:rPr>
        <w:t>The Committee</w:t>
      </w:r>
      <w:r w:rsidR="00B809A0" w:rsidRPr="00802112">
        <w:rPr>
          <w:lang w:val="en-AU"/>
        </w:rPr>
        <w:t xml:space="preserve"> </w:t>
      </w:r>
      <w:r w:rsidRPr="00802112">
        <w:rPr>
          <w:lang w:val="en-AU"/>
        </w:rPr>
        <w:t xml:space="preserve">also considered a separate item for any service provided via CVC, regardless of commencement access. </w:t>
      </w:r>
      <w:r w:rsidR="00291680">
        <w:rPr>
          <w:lang w:val="en-AU"/>
        </w:rPr>
        <w:t>However, t</w:t>
      </w:r>
      <w:r w:rsidRPr="00802112">
        <w:rPr>
          <w:lang w:val="en-AU"/>
        </w:rPr>
        <w:t>he Committee</w:t>
      </w:r>
      <w:r w:rsidR="002020DE">
        <w:rPr>
          <w:lang w:val="en-AU"/>
        </w:rPr>
        <w:t xml:space="preserve"> ultimately</w:t>
      </w:r>
      <w:r w:rsidRPr="00802112">
        <w:rPr>
          <w:lang w:val="en-AU"/>
        </w:rPr>
        <w:t xml:space="preserve"> felt that this was inappropriate for several reasons. Firstly, there are situations when it would be clinically appropriate to use a CVC</w:t>
      </w:r>
      <w:r w:rsidR="005001C8">
        <w:rPr>
          <w:lang w:val="en-AU"/>
        </w:rPr>
        <w:t>—</w:t>
      </w:r>
      <w:r w:rsidRPr="00802112">
        <w:rPr>
          <w:lang w:val="en-AU"/>
        </w:rPr>
        <w:t>for example</w:t>
      </w:r>
      <w:r w:rsidR="00042C25">
        <w:rPr>
          <w:lang w:val="en-AU"/>
        </w:rPr>
        <w:t>,</w:t>
      </w:r>
      <w:r w:rsidRPr="00802112">
        <w:rPr>
          <w:lang w:val="en-AU"/>
        </w:rPr>
        <w:t xml:space="preserve"> in an elderly patient who only requires short</w:t>
      </w:r>
      <w:r w:rsidR="00752B5E">
        <w:rPr>
          <w:lang w:val="en-AU"/>
        </w:rPr>
        <w:t>-</w:t>
      </w:r>
      <w:r w:rsidRPr="00802112">
        <w:rPr>
          <w:lang w:val="en-AU"/>
        </w:rPr>
        <w:t>term access. In such patients</w:t>
      </w:r>
      <w:r w:rsidR="00734908">
        <w:rPr>
          <w:lang w:val="en-AU"/>
        </w:rPr>
        <w:t xml:space="preserve">, </w:t>
      </w:r>
      <w:r w:rsidRPr="00802112">
        <w:rPr>
          <w:lang w:val="en-AU"/>
        </w:rPr>
        <w:t>a lower rebate</w:t>
      </w:r>
      <w:r w:rsidR="00734908">
        <w:rPr>
          <w:lang w:val="en-AU"/>
        </w:rPr>
        <w:t>—</w:t>
      </w:r>
      <w:r w:rsidRPr="00802112">
        <w:rPr>
          <w:lang w:val="en-AU"/>
        </w:rPr>
        <w:t xml:space="preserve">whether passed on to the patient </w:t>
      </w:r>
      <w:r w:rsidR="00926688">
        <w:rPr>
          <w:lang w:val="en-AU"/>
        </w:rPr>
        <w:t>through</w:t>
      </w:r>
      <w:r w:rsidR="00926688" w:rsidRPr="00802112">
        <w:rPr>
          <w:lang w:val="en-AU"/>
        </w:rPr>
        <w:t xml:space="preserve"> </w:t>
      </w:r>
      <w:r w:rsidRPr="00802112">
        <w:rPr>
          <w:lang w:val="en-AU"/>
        </w:rPr>
        <w:t xml:space="preserve">increased </w:t>
      </w:r>
      <w:r w:rsidR="003706DF">
        <w:rPr>
          <w:lang w:val="en-AU"/>
        </w:rPr>
        <w:t xml:space="preserve">out-of-pocket expense </w:t>
      </w:r>
      <w:r w:rsidRPr="00802112">
        <w:rPr>
          <w:lang w:val="en-AU"/>
        </w:rPr>
        <w:t>or absorbed by the provider</w:t>
      </w:r>
      <w:r w:rsidR="00D665FB">
        <w:rPr>
          <w:lang w:val="en-AU"/>
        </w:rPr>
        <w:t>—</w:t>
      </w:r>
      <w:r w:rsidRPr="00802112">
        <w:rPr>
          <w:lang w:val="en-AU"/>
        </w:rPr>
        <w:t>may create inequity in situations where appropriate patient</w:t>
      </w:r>
      <w:r w:rsidR="00022FC4">
        <w:rPr>
          <w:lang w:val="en-AU"/>
        </w:rPr>
        <w:t>-</w:t>
      </w:r>
      <w:r w:rsidRPr="00802112">
        <w:rPr>
          <w:lang w:val="en-AU"/>
        </w:rPr>
        <w:t>centred care was provided. Consideration was also given to the creation of split items without a fee differential for tracking purposes. This was not favoured</w:t>
      </w:r>
      <w:r w:rsidR="00022FC4">
        <w:rPr>
          <w:lang w:val="en-AU"/>
        </w:rPr>
        <w:t>, however,</w:t>
      </w:r>
      <w:r w:rsidRPr="00802112">
        <w:rPr>
          <w:lang w:val="en-AU"/>
        </w:rPr>
        <w:t xml:space="preserve"> as it was noted that unique codes </w:t>
      </w:r>
      <w:r w:rsidR="00475940">
        <w:rPr>
          <w:lang w:val="en-AU"/>
        </w:rPr>
        <w:t>that</w:t>
      </w:r>
      <w:r w:rsidR="00475940" w:rsidRPr="00802112">
        <w:rPr>
          <w:lang w:val="en-AU"/>
        </w:rPr>
        <w:t xml:space="preserve"> </w:t>
      </w:r>
      <w:r w:rsidRPr="00802112">
        <w:rPr>
          <w:lang w:val="en-AU"/>
        </w:rPr>
        <w:t>carry equal remuneration are often not appropriately coded. Finally, it was noted that any differentiation based on access type would be very difficult to enforce. It was agreed that the majority of patients in Australia dialyse using long</w:t>
      </w:r>
      <w:r w:rsidR="00AD5B59">
        <w:rPr>
          <w:lang w:val="en-AU"/>
        </w:rPr>
        <w:t>-</w:t>
      </w:r>
      <w:r w:rsidRPr="00802112">
        <w:rPr>
          <w:lang w:val="en-AU"/>
        </w:rPr>
        <w:t xml:space="preserve">term AV fistula or graft access. Any audit of providers in an attempt to identify CVC patients being claimed under the AV fistula item would </w:t>
      </w:r>
      <w:r w:rsidR="00AD5B59">
        <w:rPr>
          <w:lang w:val="en-AU"/>
        </w:rPr>
        <w:t>require analysis of</w:t>
      </w:r>
      <w:r w:rsidRPr="00802112">
        <w:rPr>
          <w:lang w:val="en-AU"/>
        </w:rPr>
        <w:t xml:space="preserve"> a high volume of records in order to have a reasonable probability of detecting a case if misuse had occurred. The Committee would be willing to consider the creation of differentiated items by access again, if this was felt to offer additional value to the health system.</w:t>
      </w:r>
    </w:p>
    <w:p w14:paraId="004D3920" w14:textId="77777777" w:rsidR="00007E33" w:rsidRPr="00802112" w:rsidRDefault="00F37BB4" w:rsidP="00007E33">
      <w:pPr>
        <w:pStyle w:val="01squarebullet"/>
      </w:pPr>
      <w:r w:rsidRPr="00802112">
        <w:t>I</w:t>
      </w:r>
      <w:r w:rsidR="00D27A6D" w:rsidRPr="00802112">
        <w:t>t was agreed that implementing an episode</w:t>
      </w:r>
      <w:r w:rsidR="009E498A">
        <w:t>-</w:t>
      </w:r>
      <w:r w:rsidR="00D27A6D" w:rsidRPr="00802112">
        <w:t xml:space="preserve">based payment model without quality metrics </w:t>
      </w:r>
      <w:r w:rsidRPr="00802112">
        <w:t>presented a risk</w:t>
      </w:r>
      <w:r w:rsidR="009E498A">
        <w:t>.</w:t>
      </w:r>
      <w:r w:rsidRPr="00802112">
        <w:t xml:space="preserve"> </w:t>
      </w:r>
      <w:r w:rsidR="009E498A">
        <w:t>H</w:t>
      </w:r>
      <w:r w:rsidRPr="00802112">
        <w:t xml:space="preserve">owever, </w:t>
      </w:r>
      <w:r w:rsidR="0012677A">
        <w:t>the Committee</w:t>
      </w:r>
      <w:r w:rsidR="0012677A" w:rsidRPr="00802112">
        <w:t xml:space="preserve"> </w:t>
      </w:r>
      <w:r w:rsidR="00D27A6D" w:rsidRPr="00802112">
        <w:t xml:space="preserve">felt </w:t>
      </w:r>
      <w:r w:rsidR="00103C7A">
        <w:t xml:space="preserve">that </w:t>
      </w:r>
      <w:r w:rsidR="00D27A6D" w:rsidRPr="00802112">
        <w:t xml:space="preserve">this </w:t>
      </w:r>
      <w:r w:rsidRPr="00802112">
        <w:t xml:space="preserve">risk </w:t>
      </w:r>
      <w:r w:rsidR="00D27A6D" w:rsidRPr="00802112">
        <w:t xml:space="preserve">was small due to the fragility of the patient population, who would deteriorate </w:t>
      </w:r>
      <w:r w:rsidR="00F85CCB" w:rsidRPr="00802112">
        <w:t>rapidly with inappropriate care. This risk is</w:t>
      </w:r>
      <w:r w:rsidR="00AD59C0">
        <w:t xml:space="preserve"> also</w:t>
      </w:r>
      <w:r w:rsidR="00F85CCB" w:rsidRPr="00802112">
        <w:t xml:space="preserve"> </w:t>
      </w:r>
      <w:r w:rsidR="00451311" w:rsidRPr="008F0B94">
        <w:t>significantly mitigated by the current</w:t>
      </w:r>
      <w:r w:rsidR="00F85CCB" w:rsidRPr="00802112">
        <w:t xml:space="preserve"> </w:t>
      </w:r>
      <w:r w:rsidR="0069187F" w:rsidRPr="00802112">
        <w:t>near</w:t>
      </w:r>
      <w:r w:rsidR="00AF699A">
        <w:t>-</w:t>
      </w:r>
      <w:r w:rsidR="0069187F" w:rsidRPr="00802112">
        <w:t xml:space="preserve">universal participation </w:t>
      </w:r>
      <w:r w:rsidR="00416279" w:rsidRPr="00802112">
        <w:t xml:space="preserve">of dialysis providers </w:t>
      </w:r>
      <w:r w:rsidR="0069187F" w:rsidRPr="00802112">
        <w:t xml:space="preserve">in the </w:t>
      </w:r>
      <w:r w:rsidR="00E822F6" w:rsidRPr="008F0B94">
        <w:rPr>
          <w:lang w:val="en-AU"/>
        </w:rPr>
        <w:t>Australia and New Zealand Dialysis and Transplant</w:t>
      </w:r>
      <w:r w:rsidR="00E822F6" w:rsidRPr="00802112">
        <w:rPr>
          <w:lang w:val="en-AU"/>
        </w:rPr>
        <w:t xml:space="preserve"> Registry</w:t>
      </w:r>
      <w:r w:rsidR="00E822F6" w:rsidRPr="008F0B94">
        <w:rPr>
          <w:lang w:val="en-AU"/>
        </w:rPr>
        <w:t xml:space="preserve"> (</w:t>
      </w:r>
      <w:r w:rsidR="003A0C79" w:rsidRPr="008F0B94">
        <w:t>ANZDATA</w:t>
      </w:r>
      <w:r w:rsidR="00E822F6" w:rsidRPr="008F0B94">
        <w:t>)</w:t>
      </w:r>
      <w:r w:rsidR="0069187F" w:rsidRPr="008F0B94">
        <w:t>.</w:t>
      </w:r>
      <w:r w:rsidR="005F079D" w:rsidRPr="008F0B94">
        <w:t xml:space="preserve"> </w:t>
      </w:r>
      <w:r w:rsidR="00451311" w:rsidRPr="008F0B94">
        <w:t xml:space="preserve">ANZDATA provides </w:t>
      </w:r>
      <w:r w:rsidR="00451311" w:rsidRPr="008F0B94">
        <w:rPr>
          <w:lang w:val="en-AU"/>
        </w:rPr>
        <w:t>quarterly</w:t>
      </w:r>
      <w:r w:rsidR="00007E33" w:rsidRPr="008F0B94">
        <w:rPr>
          <w:lang w:val="en-AU"/>
        </w:rPr>
        <w:t xml:space="preserve"> </w:t>
      </w:r>
      <w:r w:rsidR="00451311" w:rsidRPr="008F0B94">
        <w:rPr>
          <w:lang w:val="en-AU"/>
        </w:rPr>
        <w:t xml:space="preserve">haemodialysis </w:t>
      </w:r>
      <w:r w:rsidR="00A636D5">
        <w:rPr>
          <w:lang w:val="en-AU"/>
        </w:rPr>
        <w:t>key performance indicator</w:t>
      </w:r>
      <w:r w:rsidR="00451311" w:rsidRPr="008F0B94">
        <w:rPr>
          <w:lang w:val="en-AU"/>
        </w:rPr>
        <w:t xml:space="preserve"> reports</w:t>
      </w:r>
      <w:r w:rsidR="00007E33" w:rsidRPr="00802112">
        <w:rPr>
          <w:lang w:val="en-AU"/>
        </w:rPr>
        <w:t xml:space="preserve"> to participating dialysis units</w:t>
      </w:r>
      <w:r w:rsidR="00115A3B">
        <w:rPr>
          <w:lang w:val="en-AU"/>
        </w:rPr>
        <w:t>,</w:t>
      </w:r>
      <w:r w:rsidR="00007E33" w:rsidRPr="00802112">
        <w:rPr>
          <w:lang w:val="en-AU"/>
        </w:rPr>
        <w:t xml:space="preserve"> including metrics such as percentage starting with an AV fistula or graft, number of early referrals and percentage of early referrals with planned access. Hospital reports are</w:t>
      </w:r>
      <w:r w:rsidR="00135512">
        <w:rPr>
          <w:lang w:val="en-AU"/>
        </w:rPr>
        <w:t xml:space="preserve"> also</w:t>
      </w:r>
      <w:r w:rsidR="00007E33" w:rsidRPr="00802112">
        <w:rPr>
          <w:lang w:val="en-AU"/>
        </w:rPr>
        <w:t xml:space="preserve"> provided </w:t>
      </w:r>
      <w:r w:rsidR="00135512">
        <w:rPr>
          <w:lang w:val="en-AU"/>
        </w:rPr>
        <w:t>(</w:t>
      </w:r>
      <w:r w:rsidR="00007E33" w:rsidRPr="00802112">
        <w:rPr>
          <w:lang w:val="en-AU"/>
        </w:rPr>
        <w:t xml:space="preserve">which cover a rolling </w:t>
      </w:r>
      <w:r w:rsidR="00135512">
        <w:rPr>
          <w:lang w:val="en-AU"/>
        </w:rPr>
        <w:t>six-</w:t>
      </w:r>
      <w:r w:rsidR="00007E33" w:rsidRPr="00802112">
        <w:rPr>
          <w:lang w:val="en-AU"/>
        </w:rPr>
        <w:t>year window</w:t>
      </w:r>
      <w:r w:rsidR="00397141">
        <w:rPr>
          <w:lang w:val="en-AU"/>
        </w:rPr>
        <w:t>)</w:t>
      </w:r>
      <w:r w:rsidR="00007E33" w:rsidRPr="00802112">
        <w:rPr>
          <w:lang w:val="en-AU"/>
        </w:rPr>
        <w:t xml:space="preserve">, and a transplant centre report </w:t>
      </w:r>
      <w:r w:rsidR="00451311" w:rsidRPr="008F0B94">
        <w:rPr>
          <w:lang w:val="en-AU"/>
        </w:rPr>
        <w:t>summarise</w:t>
      </w:r>
      <w:r w:rsidR="008A35AF">
        <w:rPr>
          <w:lang w:val="en-AU"/>
        </w:rPr>
        <w:t>s</w:t>
      </w:r>
      <w:r w:rsidR="00007E33" w:rsidRPr="00802112">
        <w:rPr>
          <w:lang w:val="en-AU"/>
        </w:rPr>
        <w:t xml:space="preserve"> the outcome of transplant patients (patient and graft survival) over the six</w:t>
      </w:r>
      <w:r w:rsidR="00AA1141">
        <w:rPr>
          <w:lang w:val="en-AU"/>
        </w:rPr>
        <w:t>-</w:t>
      </w:r>
      <w:r w:rsidR="00007E33" w:rsidRPr="00802112">
        <w:rPr>
          <w:lang w:val="en-AU"/>
        </w:rPr>
        <w:t>year period. All reports compare the recipient unit or hospital to the average across Australia and New Zealand. ANZDATA also publishes public reports</w:t>
      </w:r>
      <w:r w:rsidR="00DF05A4">
        <w:rPr>
          <w:lang w:val="en-AU"/>
        </w:rPr>
        <w:t>,</w:t>
      </w:r>
      <w:r w:rsidR="00007E33" w:rsidRPr="00802112">
        <w:rPr>
          <w:lang w:val="en-AU"/>
        </w:rPr>
        <w:t xml:space="preserve"> including an annual report and annual dialysis </w:t>
      </w:r>
      <w:r w:rsidR="00351916" w:rsidRPr="008F0B94">
        <w:rPr>
          <w:lang w:val="en-AU"/>
        </w:rPr>
        <w:t xml:space="preserve">and transplant </w:t>
      </w:r>
      <w:r w:rsidR="00007E33" w:rsidRPr="00802112">
        <w:rPr>
          <w:lang w:val="en-AU"/>
        </w:rPr>
        <w:t xml:space="preserve">hospital </w:t>
      </w:r>
      <w:r w:rsidR="00007E33" w:rsidRPr="008F0B94">
        <w:rPr>
          <w:lang w:val="en-AU"/>
        </w:rPr>
        <w:t>report</w:t>
      </w:r>
      <w:r w:rsidR="00351916" w:rsidRPr="008F0B94">
        <w:rPr>
          <w:lang w:val="en-AU"/>
        </w:rPr>
        <w:t>s</w:t>
      </w:r>
      <w:r w:rsidR="00351916" w:rsidRPr="00802112">
        <w:rPr>
          <w:lang w:val="en-AU"/>
        </w:rPr>
        <w:t xml:space="preserve">. These </w:t>
      </w:r>
      <w:r w:rsidR="00351916" w:rsidRPr="008F0B94">
        <w:rPr>
          <w:lang w:val="en-AU"/>
        </w:rPr>
        <w:t>reports provide information</w:t>
      </w:r>
      <w:r w:rsidR="00351916" w:rsidRPr="00802112">
        <w:rPr>
          <w:lang w:val="en-AU"/>
        </w:rPr>
        <w:t xml:space="preserve"> on</w:t>
      </w:r>
      <w:r w:rsidR="00351916" w:rsidRPr="008F0B94">
        <w:rPr>
          <w:lang w:val="en-AU"/>
        </w:rPr>
        <w:t xml:space="preserve"> the</w:t>
      </w:r>
      <w:r w:rsidR="00351916" w:rsidRPr="00802112">
        <w:rPr>
          <w:lang w:val="en-AU"/>
        </w:rPr>
        <w:t xml:space="preserve"> </w:t>
      </w:r>
      <w:r w:rsidR="00007E33" w:rsidRPr="00802112">
        <w:rPr>
          <w:lang w:val="en-AU"/>
        </w:rPr>
        <w:t>incidence and prevalence of end</w:t>
      </w:r>
      <w:r w:rsidR="00820A20">
        <w:rPr>
          <w:lang w:val="en-AU"/>
        </w:rPr>
        <w:t>-</w:t>
      </w:r>
      <w:r w:rsidR="00007E33" w:rsidRPr="00802112">
        <w:rPr>
          <w:lang w:val="en-AU"/>
        </w:rPr>
        <w:t>stage kidney disease</w:t>
      </w:r>
      <w:r w:rsidR="00F13C76">
        <w:rPr>
          <w:lang w:val="en-AU"/>
        </w:rPr>
        <w:t>, as well as</w:t>
      </w:r>
      <w:r w:rsidR="00223899">
        <w:rPr>
          <w:lang w:val="en-AU"/>
        </w:rPr>
        <w:t xml:space="preserve"> the</w:t>
      </w:r>
      <w:r w:rsidR="00007E33" w:rsidRPr="00802112">
        <w:rPr>
          <w:lang w:val="en-AU"/>
        </w:rPr>
        <w:t xml:space="preserve"> outcomes of dialysis and transplantation treatment performed in Australia and New Zealand. They contain comprehensive analysis </w:t>
      </w:r>
      <w:r w:rsidR="000919D8">
        <w:rPr>
          <w:lang w:val="en-AU"/>
        </w:rPr>
        <w:t>of</w:t>
      </w:r>
      <w:r w:rsidR="000919D8" w:rsidRPr="008F0B94">
        <w:rPr>
          <w:lang w:val="en-AU"/>
        </w:rPr>
        <w:t xml:space="preserve"> </w:t>
      </w:r>
      <w:r w:rsidR="00007E33" w:rsidRPr="00802112">
        <w:rPr>
          <w:lang w:val="en-AU"/>
        </w:rPr>
        <w:t>patient care outcomes, such as technique and patient survival</w:t>
      </w:r>
      <w:r w:rsidR="00865C60" w:rsidRPr="008F0B94">
        <w:rPr>
          <w:lang w:val="en-AU"/>
        </w:rPr>
        <w:t>, as well as trends and variations in</w:t>
      </w:r>
      <w:r w:rsidR="00072B98">
        <w:rPr>
          <w:lang w:val="en-AU"/>
        </w:rPr>
        <w:t xml:space="preserve"> the</w:t>
      </w:r>
      <w:r w:rsidR="00865C60" w:rsidRPr="008F0B94">
        <w:rPr>
          <w:lang w:val="en-AU"/>
        </w:rPr>
        <w:t xml:space="preserve"> treatment of patients</w:t>
      </w:r>
      <w:r w:rsidR="00007E33" w:rsidRPr="00802112">
        <w:rPr>
          <w:lang w:val="en-AU"/>
        </w:rPr>
        <w:t xml:space="preserve">. The annual hospital reports (for dialysis and transplants) </w:t>
      </w:r>
      <w:r w:rsidR="006C56B2">
        <w:rPr>
          <w:lang w:val="en-AU"/>
        </w:rPr>
        <w:t xml:space="preserve">also </w:t>
      </w:r>
      <w:r w:rsidR="00462C86">
        <w:rPr>
          <w:lang w:val="en-AU"/>
        </w:rPr>
        <w:t>include</w:t>
      </w:r>
      <w:r w:rsidR="00462C86" w:rsidRPr="00802112">
        <w:rPr>
          <w:lang w:val="en-AU"/>
        </w:rPr>
        <w:t xml:space="preserve"> </w:t>
      </w:r>
      <w:r w:rsidR="00007E33" w:rsidRPr="00802112">
        <w:rPr>
          <w:lang w:val="en-AU"/>
        </w:rPr>
        <w:t>some of the outcomes of dialysis treatment performed in Australia and New Zealand, including a “standardised mortality ratio” for each hospital</w:t>
      </w:r>
      <w:r w:rsidR="00C67AC1">
        <w:rPr>
          <w:lang w:val="en-AU"/>
        </w:rPr>
        <w:t>,</w:t>
      </w:r>
      <w:r w:rsidR="00007E33" w:rsidRPr="00802112">
        <w:rPr>
          <w:lang w:val="en-AU"/>
        </w:rPr>
        <w:t xml:space="preserve"> which reflects </w:t>
      </w:r>
      <w:r w:rsidR="00D9300B">
        <w:rPr>
          <w:lang w:val="en-AU"/>
        </w:rPr>
        <w:t xml:space="preserve">the </w:t>
      </w:r>
      <w:r w:rsidR="00007E33" w:rsidRPr="00802112">
        <w:rPr>
          <w:lang w:val="en-AU"/>
        </w:rPr>
        <w:t xml:space="preserve">number of deaths over </w:t>
      </w:r>
      <w:r w:rsidR="0063494C">
        <w:rPr>
          <w:lang w:val="en-AU"/>
        </w:rPr>
        <w:t xml:space="preserve">the </w:t>
      </w:r>
      <w:r w:rsidR="00007E33" w:rsidRPr="00802112">
        <w:rPr>
          <w:lang w:val="en-AU"/>
        </w:rPr>
        <w:t>number of “expected deaths</w:t>
      </w:r>
      <w:r w:rsidR="006C3698">
        <w:rPr>
          <w:lang w:val="en-AU"/>
        </w:rPr>
        <w:t>,</w:t>
      </w:r>
      <w:r w:rsidR="00007E33" w:rsidRPr="00802112">
        <w:rPr>
          <w:lang w:val="en-AU"/>
        </w:rPr>
        <w:t xml:space="preserve">” based on the patient population of each hospital. The data collected by the registry is also regularly used for publications, with over 40 articles published in the last </w:t>
      </w:r>
      <w:r w:rsidR="00C95E5C">
        <w:rPr>
          <w:lang w:val="en-AU"/>
        </w:rPr>
        <w:t>two</w:t>
      </w:r>
      <w:r w:rsidR="00007E33" w:rsidRPr="00802112">
        <w:rPr>
          <w:lang w:val="en-AU"/>
        </w:rPr>
        <w:t xml:space="preserve"> years. </w:t>
      </w:r>
    </w:p>
    <w:p w14:paraId="2D952797" w14:textId="77777777" w:rsidR="001D7927" w:rsidRPr="00802112" w:rsidRDefault="00552C69" w:rsidP="00007E33">
      <w:pPr>
        <w:pStyle w:val="01squarebullet"/>
      </w:pPr>
      <w:r>
        <w:t>Although</w:t>
      </w:r>
      <w:r w:rsidRPr="00802112">
        <w:t xml:space="preserve"> </w:t>
      </w:r>
      <w:r w:rsidR="00007E33" w:rsidRPr="00802112">
        <w:t>nearly all dialysis units contribute to ANZDATA, t</w:t>
      </w:r>
      <w:r w:rsidR="005F079D" w:rsidRPr="00802112">
        <w:t xml:space="preserve">he Committee noted that </w:t>
      </w:r>
      <w:r w:rsidR="00E822F6" w:rsidRPr="008F0B94">
        <w:t>a very small number of</w:t>
      </w:r>
      <w:r w:rsidR="00E822F6" w:rsidRPr="00802112">
        <w:t xml:space="preserve"> providers </w:t>
      </w:r>
      <w:r w:rsidR="00E822F6" w:rsidRPr="008F0B94">
        <w:t>elect</w:t>
      </w:r>
      <w:r w:rsidR="00E822F6" w:rsidRPr="00802112">
        <w:t xml:space="preserve"> </w:t>
      </w:r>
      <w:r w:rsidR="005F079D" w:rsidRPr="00802112">
        <w:t>not to participate</w:t>
      </w:r>
      <w:r w:rsidR="00577783">
        <w:t>,</w:t>
      </w:r>
      <w:r w:rsidR="00007E33" w:rsidRPr="00802112">
        <w:t xml:space="preserve"> and</w:t>
      </w:r>
      <w:r w:rsidR="00577783">
        <w:t xml:space="preserve"> that</w:t>
      </w:r>
      <w:r w:rsidR="00007E33" w:rsidRPr="00802112">
        <w:t xml:space="preserve"> some patients at contributing units </w:t>
      </w:r>
      <w:r w:rsidR="00BE6D26">
        <w:t>do</w:t>
      </w:r>
      <w:r w:rsidR="00BE6D26" w:rsidRPr="00802112">
        <w:t xml:space="preserve"> </w:t>
      </w:r>
      <w:r w:rsidR="00007E33" w:rsidRPr="00802112">
        <w:t>not consent to their data being provided</w:t>
      </w:r>
      <w:r w:rsidR="005F079D" w:rsidRPr="00802112">
        <w:t xml:space="preserve">. </w:t>
      </w:r>
      <w:r w:rsidR="00187A24">
        <w:t>For this reason</w:t>
      </w:r>
      <w:r w:rsidR="005F079D" w:rsidRPr="00802112">
        <w:t>, the Committee recommend</w:t>
      </w:r>
      <w:r w:rsidR="000F0295">
        <w:t>ed</w:t>
      </w:r>
      <w:r w:rsidR="005F079D" w:rsidRPr="00802112">
        <w:t xml:space="preserve"> that where registry data is not provided, an equivalent patient safety and quality assurance system </w:t>
      </w:r>
      <w:r w:rsidR="00C215E4">
        <w:t xml:space="preserve">should </w:t>
      </w:r>
      <w:r w:rsidR="005F079D" w:rsidRPr="00802112">
        <w:t>be instituted</w:t>
      </w:r>
      <w:r w:rsidR="00B74911" w:rsidRPr="00802112">
        <w:t xml:space="preserve">. </w:t>
      </w:r>
      <w:r w:rsidR="00B759A7">
        <w:t>I</w:t>
      </w:r>
      <w:r w:rsidR="000202DB" w:rsidRPr="00802112">
        <w:t>mplementation of this aspect of the recommendation</w:t>
      </w:r>
      <w:r w:rsidR="00A40DBB">
        <w:t>—</w:t>
      </w:r>
      <w:r w:rsidR="000202DB" w:rsidRPr="00802112">
        <w:t>including confirmation of participation</w:t>
      </w:r>
      <w:r w:rsidR="00B94CCF">
        <w:t>,</w:t>
      </w:r>
      <w:r w:rsidR="000202DB" w:rsidRPr="00802112">
        <w:t xml:space="preserve"> and </w:t>
      </w:r>
      <w:r w:rsidR="00007E33" w:rsidRPr="00802112">
        <w:t xml:space="preserve">appropriate </w:t>
      </w:r>
      <w:r w:rsidR="000202DB" w:rsidRPr="00802112">
        <w:t>use by the Department of the registry data to monitor quality of care by claiming providers</w:t>
      </w:r>
      <w:r w:rsidR="00A40DBB">
        <w:t>—</w:t>
      </w:r>
      <w:r w:rsidR="000202DB" w:rsidRPr="00802112">
        <w:t xml:space="preserve">was not discussed. </w:t>
      </w:r>
      <w:r w:rsidR="001E113F" w:rsidRPr="00802112">
        <w:t xml:space="preserve">The Committee agrees that the quality of care currently provided under the MBS is already of a high standard. It is not expected that the move to a </w:t>
      </w:r>
      <w:r w:rsidR="001E1192">
        <w:t>weekly</w:t>
      </w:r>
      <w:r w:rsidR="001E113F" w:rsidRPr="00802112">
        <w:t xml:space="preserve"> payment model will have any material negative impacts on patient health outcomes or experience</w:t>
      </w:r>
      <w:r w:rsidR="00252BBC" w:rsidRPr="00802112">
        <w:t>.</w:t>
      </w:r>
      <w:r w:rsidR="001E113F" w:rsidRPr="00802112">
        <w:t xml:space="preserve"> </w:t>
      </w:r>
    </w:p>
    <w:p w14:paraId="4E1C90B7" w14:textId="77777777" w:rsidR="00A54B21" w:rsidRPr="00802112" w:rsidRDefault="00A54B21" w:rsidP="00E15A50">
      <w:pPr>
        <w:pStyle w:val="01squarebullet"/>
        <w:rPr>
          <w:lang w:val="en-AU"/>
        </w:rPr>
      </w:pPr>
      <w:r w:rsidRPr="00802112">
        <w:rPr>
          <w:lang w:val="en-AU"/>
        </w:rPr>
        <w:t xml:space="preserve">The Committee discussed the </w:t>
      </w:r>
      <w:r w:rsidR="006C5B5E" w:rsidRPr="00802112">
        <w:rPr>
          <w:lang w:val="en-AU"/>
        </w:rPr>
        <w:t xml:space="preserve">broader </w:t>
      </w:r>
      <w:r w:rsidR="00D17E44" w:rsidRPr="00802112">
        <w:rPr>
          <w:lang w:val="en-AU"/>
        </w:rPr>
        <w:t xml:space="preserve">implications </w:t>
      </w:r>
      <w:r w:rsidR="006C5B5E" w:rsidRPr="00802112">
        <w:rPr>
          <w:lang w:val="en-AU"/>
        </w:rPr>
        <w:t xml:space="preserve">of this recommendation for the MBS. </w:t>
      </w:r>
      <w:r w:rsidR="00986067" w:rsidRPr="00802112">
        <w:rPr>
          <w:lang w:val="en-AU"/>
        </w:rPr>
        <w:t xml:space="preserve">It was noted that there </w:t>
      </w:r>
      <w:r w:rsidR="003B25AE" w:rsidRPr="00802112">
        <w:rPr>
          <w:lang w:val="en-AU"/>
        </w:rPr>
        <w:t xml:space="preserve">is a risk that this item </w:t>
      </w:r>
      <w:r w:rsidR="006A740A">
        <w:rPr>
          <w:lang w:val="en-AU"/>
        </w:rPr>
        <w:t>will be</w:t>
      </w:r>
      <w:r w:rsidR="006A740A" w:rsidRPr="00802112">
        <w:rPr>
          <w:lang w:val="en-AU"/>
        </w:rPr>
        <w:t xml:space="preserve"> </w:t>
      </w:r>
      <w:r w:rsidR="003B25AE" w:rsidRPr="00802112">
        <w:rPr>
          <w:lang w:val="en-AU"/>
        </w:rPr>
        <w:t xml:space="preserve">seen as </w:t>
      </w:r>
      <w:r w:rsidR="0077741D">
        <w:rPr>
          <w:lang w:val="en-AU"/>
        </w:rPr>
        <w:t xml:space="preserve">establishing </w:t>
      </w:r>
      <w:r w:rsidR="003B25AE" w:rsidRPr="00802112">
        <w:rPr>
          <w:lang w:val="en-AU"/>
        </w:rPr>
        <w:t xml:space="preserve">a precedent </w:t>
      </w:r>
      <w:r w:rsidR="009824CE">
        <w:rPr>
          <w:lang w:val="en-AU"/>
        </w:rPr>
        <w:t>by</w:t>
      </w:r>
      <w:r w:rsidR="009824CE" w:rsidRPr="00802112">
        <w:rPr>
          <w:lang w:val="en-AU"/>
        </w:rPr>
        <w:t xml:space="preserve"> </w:t>
      </w:r>
      <w:r w:rsidR="003B25AE" w:rsidRPr="00802112">
        <w:rPr>
          <w:lang w:val="en-AU"/>
        </w:rPr>
        <w:t>other providers</w:t>
      </w:r>
      <w:r w:rsidR="006C2F4F" w:rsidRPr="00802112">
        <w:rPr>
          <w:lang w:val="en-AU"/>
        </w:rPr>
        <w:t>, both general practitioners</w:t>
      </w:r>
      <w:r w:rsidR="00CE2BAE">
        <w:rPr>
          <w:lang w:val="en-AU"/>
        </w:rPr>
        <w:t xml:space="preserve"> (GPs)</w:t>
      </w:r>
      <w:r w:rsidR="006C2F4F" w:rsidRPr="00802112">
        <w:rPr>
          <w:lang w:val="en-AU"/>
        </w:rPr>
        <w:t xml:space="preserve"> and specialists,</w:t>
      </w:r>
      <w:r w:rsidR="003B25AE" w:rsidRPr="00802112">
        <w:rPr>
          <w:lang w:val="en-AU"/>
        </w:rPr>
        <w:t xml:space="preserve"> who care </w:t>
      </w:r>
      <w:r w:rsidR="006C2F4F" w:rsidRPr="00802112">
        <w:rPr>
          <w:lang w:val="en-AU"/>
        </w:rPr>
        <w:t>for</w:t>
      </w:r>
      <w:r w:rsidR="003B25AE" w:rsidRPr="00802112">
        <w:rPr>
          <w:lang w:val="en-AU"/>
        </w:rPr>
        <w:t xml:space="preserve"> patients</w:t>
      </w:r>
      <w:r w:rsidR="006C2F4F" w:rsidRPr="00802112">
        <w:rPr>
          <w:lang w:val="en-AU"/>
        </w:rPr>
        <w:t xml:space="preserve"> with complex chronic diseases. Generally</w:t>
      </w:r>
      <w:r w:rsidR="00C20854">
        <w:rPr>
          <w:lang w:val="en-AU"/>
        </w:rPr>
        <w:t>,</w:t>
      </w:r>
      <w:r w:rsidR="006C2F4F" w:rsidRPr="00802112">
        <w:rPr>
          <w:lang w:val="en-AU"/>
        </w:rPr>
        <w:t xml:space="preserve"> care coordination between consultations is considered part of the routine care of that patient.</w:t>
      </w:r>
      <w:r w:rsidR="001E113F" w:rsidRPr="00802112">
        <w:rPr>
          <w:lang w:val="en-AU"/>
        </w:rPr>
        <w:t xml:space="preserve"> </w:t>
      </w:r>
    </w:p>
    <w:p w14:paraId="38E8A1EF" w14:textId="77777777" w:rsidR="00EB0C21" w:rsidRDefault="00A7421E" w:rsidP="00E15A50">
      <w:pPr>
        <w:pStyle w:val="01squarebullet"/>
        <w:rPr>
          <w:lang w:val="en-AU"/>
        </w:rPr>
      </w:pPr>
      <w:r w:rsidRPr="00802112">
        <w:rPr>
          <w:lang w:val="en-AU"/>
        </w:rPr>
        <w:t xml:space="preserve">The Committee agreed that there was a degree of </w:t>
      </w:r>
      <w:r w:rsidR="00C76F89" w:rsidRPr="00802112">
        <w:rPr>
          <w:lang w:val="en-AU"/>
        </w:rPr>
        <w:t xml:space="preserve">economic </w:t>
      </w:r>
      <w:r w:rsidRPr="00802112">
        <w:rPr>
          <w:lang w:val="en-AU"/>
        </w:rPr>
        <w:t>r</w:t>
      </w:r>
      <w:r w:rsidR="00C76F89" w:rsidRPr="00802112">
        <w:rPr>
          <w:lang w:val="en-AU"/>
        </w:rPr>
        <w:t>isk in</w:t>
      </w:r>
      <w:r w:rsidR="00AE745D">
        <w:rPr>
          <w:lang w:val="en-AU"/>
        </w:rPr>
        <w:t>volved in</w:t>
      </w:r>
      <w:r w:rsidR="00C76F89" w:rsidRPr="00802112">
        <w:rPr>
          <w:lang w:val="en-AU"/>
        </w:rPr>
        <w:t xml:space="preserve"> implementing this </w:t>
      </w:r>
      <w:r w:rsidR="001E1192">
        <w:rPr>
          <w:lang w:val="en-AU"/>
        </w:rPr>
        <w:t>weekly payment model</w:t>
      </w:r>
      <w:r w:rsidR="00C76F89" w:rsidRPr="00802112">
        <w:rPr>
          <w:lang w:val="en-AU"/>
        </w:rPr>
        <w:t xml:space="preserve"> due to a lack of data transparency</w:t>
      </w:r>
      <w:r w:rsidR="0030579C">
        <w:rPr>
          <w:lang w:val="en-AU"/>
        </w:rPr>
        <w:t>,</w:t>
      </w:r>
      <w:r w:rsidR="00C76F89" w:rsidRPr="00802112">
        <w:rPr>
          <w:lang w:val="en-AU"/>
        </w:rPr>
        <w:t xml:space="preserve"> caused by providers claiming </w:t>
      </w:r>
      <w:r w:rsidR="00605796">
        <w:rPr>
          <w:lang w:val="en-AU"/>
        </w:rPr>
        <w:t xml:space="preserve">item </w:t>
      </w:r>
      <w:r w:rsidR="00C76F89" w:rsidRPr="00802112">
        <w:rPr>
          <w:lang w:val="en-AU"/>
        </w:rPr>
        <w:t>116 for the supervision of dialysis</w:t>
      </w:r>
      <w:r w:rsidRPr="00802112">
        <w:rPr>
          <w:lang w:val="en-AU"/>
        </w:rPr>
        <w:t xml:space="preserve">. </w:t>
      </w:r>
      <w:r w:rsidR="006E186B">
        <w:rPr>
          <w:lang w:val="en-AU"/>
        </w:rPr>
        <w:t>The</w:t>
      </w:r>
      <w:r w:rsidRPr="00802112">
        <w:rPr>
          <w:lang w:val="en-AU"/>
        </w:rPr>
        <w:t xml:space="preserve"> Committee </w:t>
      </w:r>
      <w:r w:rsidR="006E186B">
        <w:rPr>
          <w:lang w:val="en-AU"/>
        </w:rPr>
        <w:t xml:space="preserve">therefore </w:t>
      </w:r>
      <w:r w:rsidRPr="00802112">
        <w:rPr>
          <w:lang w:val="en-AU"/>
        </w:rPr>
        <w:t>recommend</w:t>
      </w:r>
      <w:r w:rsidR="006E186B">
        <w:rPr>
          <w:lang w:val="en-AU"/>
        </w:rPr>
        <w:t>ed introducing</w:t>
      </w:r>
      <w:r w:rsidRPr="00802112">
        <w:rPr>
          <w:lang w:val="en-AU"/>
        </w:rPr>
        <w:t xml:space="preserve"> the change on a </w:t>
      </w:r>
      <w:r w:rsidR="00F72CE1">
        <w:rPr>
          <w:lang w:val="en-AU"/>
        </w:rPr>
        <w:t>trial</w:t>
      </w:r>
      <w:r w:rsidRPr="00802112">
        <w:rPr>
          <w:lang w:val="en-AU"/>
        </w:rPr>
        <w:t xml:space="preserve"> basis, </w:t>
      </w:r>
      <w:r w:rsidR="006D18B2" w:rsidRPr="00802112">
        <w:rPr>
          <w:lang w:val="en-AU"/>
        </w:rPr>
        <w:t>for 1</w:t>
      </w:r>
      <w:r w:rsidR="00C76F89" w:rsidRPr="00802112">
        <w:rPr>
          <w:lang w:val="en-AU"/>
        </w:rPr>
        <w:t>2</w:t>
      </w:r>
      <w:r w:rsidR="00470033">
        <w:rPr>
          <w:lang w:val="en-AU"/>
        </w:rPr>
        <w:t xml:space="preserve"> to </w:t>
      </w:r>
      <w:r w:rsidR="006D18B2" w:rsidRPr="00802112">
        <w:rPr>
          <w:lang w:val="en-AU"/>
        </w:rPr>
        <w:t>24</w:t>
      </w:r>
      <w:r w:rsidRPr="00802112">
        <w:rPr>
          <w:lang w:val="en-AU"/>
        </w:rPr>
        <w:t xml:space="preserve"> months</w:t>
      </w:r>
      <w:r w:rsidR="00F72CE1">
        <w:rPr>
          <w:lang w:val="en-AU"/>
        </w:rPr>
        <w:t>, with a subsequent economic evaluation</w:t>
      </w:r>
      <w:r w:rsidRPr="00802112">
        <w:rPr>
          <w:lang w:val="en-AU"/>
        </w:rPr>
        <w:t>.</w:t>
      </w:r>
      <w:r w:rsidR="0002237C" w:rsidRPr="00802112">
        <w:rPr>
          <w:lang w:val="en-AU"/>
        </w:rPr>
        <w:t xml:space="preserve"> The primary end point would be decreased</w:t>
      </w:r>
      <w:r w:rsidRPr="00802112">
        <w:rPr>
          <w:lang w:val="en-AU"/>
        </w:rPr>
        <w:t xml:space="preserve"> </w:t>
      </w:r>
      <w:r w:rsidR="0002237C" w:rsidRPr="00802112">
        <w:rPr>
          <w:lang w:val="en-AU"/>
        </w:rPr>
        <w:t xml:space="preserve">claim variability while remaining net cost-neutral. </w:t>
      </w:r>
      <w:r w:rsidR="00C76F89" w:rsidRPr="00802112">
        <w:rPr>
          <w:lang w:val="en-AU"/>
        </w:rPr>
        <w:t xml:space="preserve">If the change is found to have increased or decreased dialysis funding, steps should be taken to correct this imbalance. </w:t>
      </w:r>
      <w:r w:rsidR="00C603F7">
        <w:rPr>
          <w:lang w:val="en-AU"/>
        </w:rPr>
        <w:t xml:space="preserve">The Committee </w:t>
      </w:r>
      <w:r w:rsidR="00DB6FB6">
        <w:rPr>
          <w:lang w:val="en-AU"/>
        </w:rPr>
        <w:t xml:space="preserve">emphasised </w:t>
      </w:r>
      <w:r w:rsidR="00C603F7">
        <w:rPr>
          <w:lang w:val="en-AU"/>
        </w:rPr>
        <w:t>that it is important that this change does not inadvertently reduce the funding available for private dialysis services. Consultations with some providers who practi</w:t>
      </w:r>
      <w:r w:rsidR="00184ECD">
        <w:rPr>
          <w:lang w:val="en-AU"/>
        </w:rPr>
        <w:t>s</w:t>
      </w:r>
      <w:r w:rsidR="00C603F7">
        <w:rPr>
          <w:lang w:val="en-AU"/>
        </w:rPr>
        <w:t xml:space="preserve">e predominately in private settings </w:t>
      </w:r>
      <w:r w:rsidR="00A25439">
        <w:rPr>
          <w:lang w:val="en-AU"/>
        </w:rPr>
        <w:t xml:space="preserve">revealed </w:t>
      </w:r>
      <w:r w:rsidR="00C603F7">
        <w:rPr>
          <w:lang w:val="en-AU"/>
        </w:rPr>
        <w:t xml:space="preserve">that </w:t>
      </w:r>
      <w:r w:rsidR="001F50F6">
        <w:rPr>
          <w:lang w:val="en-AU"/>
        </w:rPr>
        <w:t xml:space="preserve">some </w:t>
      </w:r>
      <w:r w:rsidR="00C603F7">
        <w:rPr>
          <w:lang w:val="en-AU"/>
        </w:rPr>
        <w:t xml:space="preserve">small </w:t>
      </w:r>
      <w:r w:rsidR="001F50F6">
        <w:rPr>
          <w:lang w:val="en-AU"/>
        </w:rPr>
        <w:t xml:space="preserve">facilities are already at the edge of financial viability. </w:t>
      </w:r>
    </w:p>
    <w:p w14:paraId="4F99256A" w14:textId="77777777" w:rsidR="00A7421E" w:rsidRPr="00802112" w:rsidRDefault="0002237C" w:rsidP="00EB0C21">
      <w:pPr>
        <w:pStyle w:val="01squarebullet"/>
        <w:numPr>
          <w:ilvl w:val="0"/>
          <w:numId w:val="0"/>
        </w:numPr>
        <w:ind w:left="360"/>
        <w:rPr>
          <w:lang w:val="en-AU"/>
        </w:rPr>
      </w:pPr>
      <w:r w:rsidRPr="00802112">
        <w:rPr>
          <w:lang w:val="en-AU"/>
        </w:rPr>
        <w:t>Secondary outcomes could be quite varied</w:t>
      </w:r>
      <w:r w:rsidR="00EB0C21">
        <w:rPr>
          <w:lang w:val="en-AU"/>
        </w:rPr>
        <w:t>,</w:t>
      </w:r>
      <w:r w:rsidRPr="00802112">
        <w:rPr>
          <w:lang w:val="en-AU"/>
        </w:rPr>
        <w:t xml:space="preserve"> </w:t>
      </w:r>
      <w:r w:rsidR="0034005E" w:rsidRPr="00802112">
        <w:rPr>
          <w:lang w:val="en-AU"/>
        </w:rPr>
        <w:t xml:space="preserve">including </w:t>
      </w:r>
      <w:r w:rsidR="006D18B2" w:rsidRPr="00802112">
        <w:rPr>
          <w:lang w:val="en-AU"/>
        </w:rPr>
        <w:t>p</w:t>
      </w:r>
      <w:r w:rsidR="0034005E" w:rsidRPr="00802112">
        <w:rPr>
          <w:lang w:val="en-AU"/>
        </w:rPr>
        <w:t>atient satisfaction, quality of care</w:t>
      </w:r>
      <w:r w:rsidR="008462C3">
        <w:rPr>
          <w:lang w:val="en-AU"/>
        </w:rPr>
        <w:t xml:space="preserve"> and</w:t>
      </w:r>
      <w:r w:rsidR="0034005E" w:rsidRPr="00802112">
        <w:rPr>
          <w:lang w:val="en-AU"/>
        </w:rPr>
        <w:t xml:space="preserve"> provider satisfaction</w:t>
      </w:r>
      <w:r w:rsidR="00460C41">
        <w:rPr>
          <w:lang w:val="en-AU"/>
        </w:rPr>
        <w:t xml:space="preserve"> outcomes</w:t>
      </w:r>
      <w:r w:rsidR="00CB684A">
        <w:rPr>
          <w:lang w:val="en-AU"/>
        </w:rPr>
        <w:t>, and</w:t>
      </w:r>
      <w:r w:rsidR="0034005E" w:rsidRPr="00802112">
        <w:rPr>
          <w:lang w:val="en-AU"/>
        </w:rPr>
        <w:t xml:space="preserve"> </w:t>
      </w:r>
      <w:r w:rsidR="00CB684A">
        <w:rPr>
          <w:lang w:val="en-AU"/>
        </w:rPr>
        <w:t>i</w:t>
      </w:r>
      <w:r w:rsidR="00113725">
        <w:rPr>
          <w:lang w:val="en-AU"/>
        </w:rPr>
        <w:t xml:space="preserve">t is essential to </w:t>
      </w:r>
      <w:r w:rsidRPr="00802112">
        <w:rPr>
          <w:lang w:val="en-AU"/>
        </w:rPr>
        <w:t xml:space="preserve">confirm that there </w:t>
      </w:r>
      <w:r w:rsidR="00601FA1">
        <w:rPr>
          <w:lang w:val="en-AU"/>
        </w:rPr>
        <w:t>is</w:t>
      </w:r>
      <w:r w:rsidR="00601FA1" w:rsidRPr="00802112">
        <w:rPr>
          <w:lang w:val="en-AU"/>
        </w:rPr>
        <w:t xml:space="preserve"> </w:t>
      </w:r>
      <w:r w:rsidRPr="00802112">
        <w:rPr>
          <w:lang w:val="en-AU"/>
        </w:rPr>
        <w:t xml:space="preserve">no decline in </w:t>
      </w:r>
      <w:r w:rsidR="006D18B2" w:rsidRPr="00802112">
        <w:rPr>
          <w:lang w:val="en-AU"/>
        </w:rPr>
        <w:t xml:space="preserve">patient </w:t>
      </w:r>
      <w:r w:rsidRPr="00802112">
        <w:rPr>
          <w:lang w:val="en-AU"/>
        </w:rPr>
        <w:t xml:space="preserve">health outcomes. </w:t>
      </w:r>
      <w:r w:rsidR="00BC0530">
        <w:rPr>
          <w:lang w:val="en-AU"/>
        </w:rPr>
        <w:t>The Committee</w:t>
      </w:r>
      <w:r w:rsidR="00BC0530" w:rsidRPr="00802112">
        <w:rPr>
          <w:lang w:val="en-AU"/>
        </w:rPr>
        <w:t xml:space="preserve"> </w:t>
      </w:r>
      <w:r w:rsidRPr="00802112">
        <w:rPr>
          <w:lang w:val="en-AU"/>
        </w:rPr>
        <w:t xml:space="preserve">noted that </w:t>
      </w:r>
      <w:r w:rsidR="00143804">
        <w:rPr>
          <w:lang w:val="en-AU"/>
        </w:rPr>
        <w:t>this</w:t>
      </w:r>
      <w:r w:rsidR="004B43A4">
        <w:rPr>
          <w:lang w:val="en-AU"/>
        </w:rPr>
        <w:t xml:space="preserve"> could</w:t>
      </w:r>
      <w:r w:rsidR="0034005E" w:rsidRPr="00802112">
        <w:rPr>
          <w:lang w:val="en-AU"/>
        </w:rPr>
        <w:t xml:space="preserve"> be done in partnership with an academic institution </w:t>
      </w:r>
      <w:r w:rsidR="00235975" w:rsidRPr="00802112">
        <w:rPr>
          <w:lang w:val="en-AU"/>
        </w:rPr>
        <w:t xml:space="preserve">and ANZDATA </w:t>
      </w:r>
      <w:r w:rsidR="0034005E" w:rsidRPr="00802112">
        <w:rPr>
          <w:lang w:val="en-AU"/>
        </w:rPr>
        <w:t>in order to allow more robust research to be completed. The details of</w:t>
      </w:r>
      <w:r w:rsidR="00235975" w:rsidRPr="00802112">
        <w:rPr>
          <w:lang w:val="en-AU"/>
        </w:rPr>
        <w:t xml:space="preserve"> this should be discussed if this</w:t>
      </w:r>
      <w:r w:rsidR="0034005E" w:rsidRPr="00802112">
        <w:rPr>
          <w:lang w:val="en-AU"/>
        </w:rPr>
        <w:t xml:space="preserve"> recommendation is to be implemented, noting that baseline data must be established prior to implementing the change.</w:t>
      </w:r>
    </w:p>
    <w:p w14:paraId="64F2CAA1" w14:textId="77777777" w:rsidR="00512F2C" w:rsidRPr="00FC1976" w:rsidRDefault="00BF18D3" w:rsidP="005076E4">
      <w:pPr>
        <w:pStyle w:val="Heading2"/>
        <w:rPr>
          <w:lang w:val="en-AU"/>
        </w:rPr>
      </w:pPr>
      <w:bookmarkStart w:id="99" w:name="_Toc459996815"/>
      <w:bookmarkStart w:id="100" w:name="_Toc458167003"/>
      <w:bookmarkStart w:id="101" w:name="_Toc467668958"/>
      <w:r w:rsidRPr="00FC1976">
        <w:rPr>
          <w:lang w:val="en-AU"/>
        </w:rPr>
        <w:t xml:space="preserve">Arteriovenous </w:t>
      </w:r>
      <w:r w:rsidR="0045067A" w:rsidRPr="00FC1976">
        <w:rPr>
          <w:lang w:val="en-AU"/>
        </w:rPr>
        <w:t>s</w:t>
      </w:r>
      <w:r w:rsidRPr="00FC1976">
        <w:rPr>
          <w:lang w:val="en-AU"/>
        </w:rPr>
        <w:t>hunt</w:t>
      </w:r>
      <w:r w:rsidR="00F61A12" w:rsidRPr="00FC1976">
        <w:rPr>
          <w:lang w:val="en-AU"/>
        </w:rPr>
        <w:t>:</w:t>
      </w:r>
      <w:r w:rsidRPr="00FC1976">
        <w:rPr>
          <w:lang w:val="en-AU"/>
        </w:rPr>
        <w:t xml:space="preserve"> </w:t>
      </w:r>
      <w:r w:rsidR="00F61A12" w:rsidRPr="00FC1976">
        <w:rPr>
          <w:lang w:val="en-AU"/>
        </w:rPr>
        <w:t>I</w:t>
      </w:r>
      <w:r w:rsidRPr="00FC1976">
        <w:rPr>
          <w:lang w:val="en-AU"/>
        </w:rPr>
        <w:t>tem</w:t>
      </w:r>
      <w:r w:rsidR="00F61A12" w:rsidRPr="00FC1976">
        <w:rPr>
          <w:lang w:val="en-AU"/>
        </w:rPr>
        <w:t xml:space="preserve"> 13106</w:t>
      </w:r>
      <w:bookmarkEnd w:id="99"/>
      <w:bookmarkEnd w:id="100"/>
      <w:bookmarkEnd w:id="101"/>
    </w:p>
    <w:p w14:paraId="51546BD6" w14:textId="4108AA20" w:rsidR="00C82A6E" w:rsidRDefault="00F42786" w:rsidP="00082595">
      <w:pPr>
        <w:pStyle w:val="Caption"/>
        <w:rPr>
          <w:lang w:val="en-AU"/>
        </w:rPr>
      </w:pPr>
      <w:bookmarkStart w:id="102" w:name="_Toc458167028"/>
      <w:bookmarkStart w:id="103" w:name="_Toc459971210"/>
      <w:bookmarkStart w:id="104" w:name="_Toc459996837"/>
      <w:bookmarkStart w:id="105" w:name="_Toc459891298"/>
      <w:bookmarkStart w:id="106" w:name="_Toc463984891"/>
      <w:r w:rsidRPr="00FC1976">
        <w:rPr>
          <w:lang w:val="en-AU"/>
        </w:rPr>
        <w:t xml:space="preserve">Table </w:t>
      </w:r>
      <w:r w:rsidR="002A3C45" w:rsidRPr="00FC1976">
        <w:rPr>
          <w:lang w:val="en-AU"/>
        </w:rPr>
        <w:fldChar w:fldCharType="begin"/>
      </w:r>
      <w:r w:rsidR="002A3C45" w:rsidRPr="00FC1976">
        <w:rPr>
          <w:lang w:val="en-AU"/>
        </w:rPr>
        <w:instrText xml:space="preserve"> SEQ Table \* ARABIC </w:instrText>
      </w:r>
      <w:r w:rsidR="002A3C45" w:rsidRPr="00FC1976">
        <w:rPr>
          <w:lang w:val="en-AU"/>
        </w:rPr>
        <w:fldChar w:fldCharType="separate"/>
      </w:r>
      <w:r w:rsidR="00D17FB0">
        <w:rPr>
          <w:noProof/>
          <w:lang w:val="en-AU"/>
        </w:rPr>
        <w:t>4</w:t>
      </w:r>
      <w:r w:rsidR="002A3C45" w:rsidRPr="00FC1976">
        <w:rPr>
          <w:lang w:val="en-AU"/>
        </w:rPr>
        <w:fldChar w:fldCharType="end"/>
      </w:r>
      <w:r w:rsidRPr="00FC1976">
        <w:rPr>
          <w:lang w:val="en-AU"/>
        </w:rPr>
        <w:t xml:space="preserve">: </w:t>
      </w:r>
      <w:r w:rsidR="00001B0E" w:rsidRPr="00FC1976">
        <w:rPr>
          <w:lang w:val="en-AU"/>
        </w:rPr>
        <w:t xml:space="preserve">Item introduction table for item </w:t>
      </w:r>
      <w:r w:rsidR="00C06153" w:rsidRPr="00FC1976">
        <w:rPr>
          <w:lang w:val="en-AU"/>
        </w:rPr>
        <w:t>13106</w:t>
      </w:r>
      <w:bookmarkEnd w:id="102"/>
      <w:bookmarkEnd w:id="103"/>
      <w:bookmarkEnd w:id="104"/>
      <w:bookmarkEnd w:id="105"/>
      <w:bookmarkEnd w:id="106"/>
      <w:r w:rsidR="00C06153" w:rsidRPr="00FC1976">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4 shows the item introduction table for item 13106 which is for arteriovenous shunt. There are 6 columns: column 1. Item number, column 2. Descriptor, column 3. Schedule fee, column 4. Volume of services for financial year 2014-15, column 5. Total benefits, and column 6. Percentage of the services average annual growth."/>
      </w:tblPr>
      <w:tblGrid>
        <w:gridCol w:w="717"/>
        <w:gridCol w:w="3688"/>
        <w:gridCol w:w="990"/>
        <w:gridCol w:w="1260"/>
        <w:gridCol w:w="996"/>
        <w:gridCol w:w="1365"/>
      </w:tblGrid>
      <w:tr w:rsidR="00183FEE" w:rsidRPr="00B0157E" w14:paraId="5E067F61" w14:textId="77777777" w:rsidTr="00183FEE">
        <w:trPr>
          <w:tblHeader/>
        </w:trPr>
        <w:tc>
          <w:tcPr>
            <w:tcW w:w="717" w:type="dxa"/>
            <w:shd w:val="clear" w:color="auto" w:fill="F2F2F2" w:themeFill="background1" w:themeFillShade="F2"/>
            <w:vAlign w:val="bottom"/>
          </w:tcPr>
          <w:p w14:paraId="2EB9D96B" w14:textId="77777777" w:rsidR="009F0F02" w:rsidRPr="009F0F02" w:rsidRDefault="009F0F02" w:rsidP="009F0F02">
            <w:pPr>
              <w:pStyle w:val="02Tabletext"/>
              <w:spacing w:before="100" w:beforeAutospacing="1" w:after="100" w:afterAutospacing="1"/>
              <w:rPr>
                <w:b/>
              </w:rPr>
            </w:pPr>
            <w:r w:rsidRPr="00B0157E">
              <w:rPr>
                <w:b/>
              </w:rPr>
              <w:t>Item</w:t>
            </w:r>
            <w:r>
              <w:rPr>
                <w:b/>
              </w:rPr>
              <w:t xml:space="preserve"> number</w:t>
            </w:r>
          </w:p>
        </w:tc>
        <w:tc>
          <w:tcPr>
            <w:tcW w:w="3688" w:type="dxa"/>
            <w:shd w:val="clear" w:color="auto" w:fill="F2F2F2" w:themeFill="background1" w:themeFillShade="F2"/>
            <w:vAlign w:val="bottom"/>
          </w:tcPr>
          <w:p w14:paraId="2AD6AE32" w14:textId="77777777" w:rsidR="009F0F02" w:rsidRPr="00B0157E" w:rsidRDefault="009F0F02" w:rsidP="009F0F02">
            <w:pPr>
              <w:pStyle w:val="02Tabletext"/>
              <w:spacing w:before="100" w:beforeAutospacing="1" w:after="100" w:afterAutospacing="1"/>
              <w:rPr>
                <w:b/>
              </w:rPr>
            </w:pPr>
            <w:r w:rsidRPr="00B0157E">
              <w:rPr>
                <w:b/>
              </w:rPr>
              <w:t>Descriptor</w:t>
            </w:r>
          </w:p>
        </w:tc>
        <w:tc>
          <w:tcPr>
            <w:tcW w:w="990" w:type="dxa"/>
            <w:shd w:val="clear" w:color="auto" w:fill="F2F2F2" w:themeFill="background1" w:themeFillShade="F2"/>
            <w:vAlign w:val="bottom"/>
          </w:tcPr>
          <w:p w14:paraId="08E58338" w14:textId="77777777" w:rsidR="009F0F02" w:rsidRPr="00B0157E" w:rsidRDefault="009F0F02" w:rsidP="00495DE2">
            <w:pPr>
              <w:pStyle w:val="02Tabletext"/>
              <w:spacing w:before="100" w:beforeAutospacing="1" w:after="100" w:afterAutospacing="1"/>
              <w:rPr>
                <w:b/>
              </w:rPr>
            </w:pPr>
            <w:r w:rsidRPr="00B0157E">
              <w:rPr>
                <w:b/>
              </w:rPr>
              <w:t>Schedule fee</w:t>
            </w:r>
          </w:p>
        </w:tc>
        <w:tc>
          <w:tcPr>
            <w:tcW w:w="1260" w:type="dxa"/>
            <w:shd w:val="clear" w:color="auto" w:fill="F2F2F2" w:themeFill="background1" w:themeFillShade="F2"/>
            <w:vAlign w:val="bottom"/>
          </w:tcPr>
          <w:p w14:paraId="67E7A0A8" w14:textId="77777777" w:rsidR="009F0F02" w:rsidRPr="00B0157E" w:rsidRDefault="006338B4" w:rsidP="00495DE2">
            <w:pPr>
              <w:pStyle w:val="02Tabletext"/>
              <w:spacing w:before="100" w:beforeAutospacing="1" w:after="100" w:afterAutospacing="1"/>
              <w:rPr>
                <w:b/>
              </w:rPr>
            </w:pPr>
            <w:r>
              <w:rPr>
                <w:b/>
              </w:rPr>
              <w:t>Volume of services</w:t>
            </w:r>
            <w:r w:rsidRPr="00B0157E">
              <w:rPr>
                <w:b/>
              </w:rPr>
              <w:t xml:space="preserve"> FY2014/15</w:t>
            </w:r>
          </w:p>
        </w:tc>
        <w:tc>
          <w:tcPr>
            <w:tcW w:w="996" w:type="dxa"/>
            <w:shd w:val="clear" w:color="auto" w:fill="F2F2F2" w:themeFill="background1" w:themeFillShade="F2"/>
            <w:vAlign w:val="bottom"/>
          </w:tcPr>
          <w:p w14:paraId="3C0B3867" w14:textId="77777777" w:rsidR="009F0F02" w:rsidRPr="00B0157E" w:rsidRDefault="006338B4" w:rsidP="00495DE2">
            <w:pPr>
              <w:pStyle w:val="02Tabletext"/>
              <w:spacing w:before="100" w:beforeAutospacing="1" w:after="100" w:afterAutospacing="1"/>
              <w:rPr>
                <w:b/>
              </w:rPr>
            </w:pPr>
            <w:r>
              <w:rPr>
                <w:b/>
              </w:rPr>
              <w:t>Total benefits</w:t>
            </w:r>
          </w:p>
        </w:tc>
        <w:tc>
          <w:tcPr>
            <w:tcW w:w="1365" w:type="dxa"/>
            <w:shd w:val="clear" w:color="auto" w:fill="F2F2F2" w:themeFill="background1" w:themeFillShade="F2"/>
            <w:vAlign w:val="bottom"/>
          </w:tcPr>
          <w:p w14:paraId="157FAC6D" w14:textId="77777777" w:rsidR="009F0F02" w:rsidRPr="00B0157E" w:rsidRDefault="00BF07CB" w:rsidP="00BF07CB">
            <w:pPr>
              <w:pStyle w:val="02Tabletext"/>
              <w:spacing w:before="100" w:beforeAutospacing="1" w:after="100" w:afterAutospacing="1"/>
              <w:rPr>
                <w:b/>
              </w:rPr>
            </w:pPr>
            <w:r>
              <w:rPr>
                <w:b/>
              </w:rPr>
              <w:t>Services average</w:t>
            </w:r>
            <w:r w:rsidR="007D479F">
              <w:rPr>
                <w:b/>
              </w:rPr>
              <w:t xml:space="preserve"> </w:t>
            </w:r>
            <w:r w:rsidR="009F0F02" w:rsidRPr="00B0157E">
              <w:rPr>
                <w:b/>
              </w:rPr>
              <w:t>annual growth</w:t>
            </w:r>
          </w:p>
        </w:tc>
      </w:tr>
      <w:tr w:rsidR="00183FEE" w:rsidRPr="00B0157E" w14:paraId="5F685EA0" w14:textId="77777777" w:rsidTr="00183FEE">
        <w:tc>
          <w:tcPr>
            <w:tcW w:w="717" w:type="dxa"/>
          </w:tcPr>
          <w:p w14:paraId="3A518567" w14:textId="77777777" w:rsidR="009F0F02" w:rsidRPr="00B0157E" w:rsidRDefault="009F0F02" w:rsidP="00495DE2">
            <w:pPr>
              <w:pStyle w:val="02Tabletext"/>
              <w:spacing w:before="100" w:beforeAutospacing="1" w:after="100" w:afterAutospacing="1"/>
            </w:pPr>
            <w:r w:rsidRPr="00FC1976">
              <w:rPr>
                <w:lang w:val="en-AU"/>
              </w:rPr>
              <w:t>13106</w:t>
            </w:r>
          </w:p>
        </w:tc>
        <w:tc>
          <w:tcPr>
            <w:tcW w:w="3688" w:type="dxa"/>
          </w:tcPr>
          <w:p w14:paraId="6477A019" w14:textId="77777777" w:rsidR="009F0F02" w:rsidRPr="00B0157E" w:rsidRDefault="009F0F02" w:rsidP="00495DE2">
            <w:pPr>
              <w:pStyle w:val="02Tabletext"/>
              <w:spacing w:before="100" w:beforeAutospacing="1" w:after="100" w:afterAutospacing="1"/>
            </w:pPr>
            <w:r w:rsidRPr="00FC1976">
              <w:rPr>
                <w:shd w:val="clear" w:color="auto" w:fill="FBFBFB"/>
                <w:lang w:val="en-AU"/>
              </w:rPr>
              <w:t>Declotting of an arteriovenous shunt</w:t>
            </w:r>
            <w:r>
              <w:rPr>
                <w:shd w:val="clear" w:color="auto" w:fill="FBFBFB"/>
                <w:lang w:val="en-AU"/>
              </w:rPr>
              <w:t>.</w:t>
            </w:r>
          </w:p>
        </w:tc>
        <w:tc>
          <w:tcPr>
            <w:tcW w:w="990" w:type="dxa"/>
          </w:tcPr>
          <w:p w14:paraId="5C45DD8F" w14:textId="77777777" w:rsidR="009F0F02" w:rsidRPr="00B0157E" w:rsidRDefault="00BF07CB" w:rsidP="00495DE2">
            <w:pPr>
              <w:pStyle w:val="02Tabletext"/>
              <w:spacing w:before="100" w:beforeAutospacing="1" w:after="100" w:afterAutospacing="1"/>
              <w:jc w:val="center"/>
            </w:pPr>
            <w:r w:rsidRPr="00FC1976">
              <w:rPr>
                <w:shd w:val="clear" w:color="auto" w:fill="FBFBFB"/>
                <w:lang w:val="en-AU"/>
              </w:rPr>
              <w:t>$121.35</w:t>
            </w:r>
          </w:p>
        </w:tc>
        <w:tc>
          <w:tcPr>
            <w:tcW w:w="1260" w:type="dxa"/>
          </w:tcPr>
          <w:p w14:paraId="7F51A82A" w14:textId="77777777" w:rsidR="009F0F02" w:rsidRPr="00B0157E" w:rsidRDefault="006338B4" w:rsidP="00495DE2">
            <w:pPr>
              <w:pStyle w:val="02Tabletext"/>
              <w:spacing w:before="100" w:beforeAutospacing="1" w:after="100" w:afterAutospacing="1"/>
              <w:jc w:val="center"/>
            </w:pPr>
            <w:r>
              <w:t>6</w:t>
            </w:r>
          </w:p>
        </w:tc>
        <w:tc>
          <w:tcPr>
            <w:tcW w:w="996" w:type="dxa"/>
          </w:tcPr>
          <w:p w14:paraId="7AAD3EB4" w14:textId="77777777" w:rsidR="009F0F02" w:rsidRPr="00B0157E" w:rsidRDefault="006338B4" w:rsidP="00BF07CB">
            <w:pPr>
              <w:pStyle w:val="02Tabletext"/>
              <w:spacing w:before="100" w:beforeAutospacing="1" w:after="100" w:afterAutospacing="1"/>
              <w:jc w:val="center"/>
            </w:pPr>
            <w:r w:rsidRPr="00FC1976">
              <w:rPr>
                <w:shd w:val="clear" w:color="auto" w:fill="FBFBFB"/>
                <w:lang w:val="en-AU"/>
              </w:rPr>
              <w:t>$571</w:t>
            </w:r>
          </w:p>
        </w:tc>
        <w:tc>
          <w:tcPr>
            <w:tcW w:w="1365" w:type="dxa"/>
          </w:tcPr>
          <w:p w14:paraId="634B6B83" w14:textId="77777777" w:rsidR="009F0F02" w:rsidRPr="00B0157E" w:rsidRDefault="00BF07CB" w:rsidP="00495DE2">
            <w:pPr>
              <w:pStyle w:val="02Tabletext"/>
              <w:spacing w:before="100" w:beforeAutospacing="1" w:after="100" w:afterAutospacing="1"/>
              <w:jc w:val="center"/>
            </w:pPr>
            <w:r>
              <w:t>8.4%</w:t>
            </w:r>
          </w:p>
        </w:tc>
      </w:tr>
    </w:tbl>
    <w:p w14:paraId="4202F864" w14:textId="77777777" w:rsidR="00497BD4" w:rsidRPr="00FC1976" w:rsidRDefault="00497BD4" w:rsidP="00EE7BD8">
      <w:pPr>
        <w:pStyle w:val="H3"/>
      </w:pPr>
      <w:r w:rsidRPr="00FC1976">
        <w:t>Recommendation</w:t>
      </w:r>
    </w:p>
    <w:p w14:paraId="06FFED1F" w14:textId="77777777" w:rsidR="00497BD4" w:rsidRPr="00FC1976" w:rsidRDefault="00497BD4" w:rsidP="00E15A50">
      <w:pPr>
        <w:pStyle w:val="01squarebullet"/>
        <w:rPr>
          <w:lang w:val="en-AU"/>
        </w:rPr>
      </w:pPr>
      <w:r w:rsidRPr="00FC1976">
        <w:rPr>
          <w:lang w:val="en-AU"/>
        </w:rPr>
        <w:t xml:space="preserve">Delete </w:t>
      </w:r>
      <w:r w:rsidR="00321E01">
        <w:rPr>
          <w:lang w:val="en-AU"/>
        </w:rPr>
        <w:t>this</w:t>
      </w:r>
      <w:r w:rsidR="00BD6061">
        <w:rPr>
          <w:lang w:val="en-AU"/>
        </w:rPr>
        <w:t xml:space="preserve"> item</w:t>
      </w:r>
      <w:r w:rsidRPr="00FC1976">
        <w:rPr>
          <w:lang w:val="en-AU"/>
        </w:rPr>
        <w:t xml:space="preserve"> from the MBS</w:t>
      </w:r>
      <w:r w:rsidR="00C06153" w:rsidRPr="00FC1976">
        <w:rPr>
          <w:lang w:val="en-AU"/>
        </w:rPr>
        <w:t>.</w:t>
      </w:r>
    </w:p>
    <w:p w14:paraId="23387B1B" w14:textId="77777777" w:rsidR="00497BD4" w:rsidRPr="00FC1976" w:rsidRDefault="00497BD4" w:rsidP="00EE7BD8">
      <w:pPr>
        <w:pStyle w:val="H3"/>
      </w:pPr>
      <w:r w:rsidRPr="00FC1976">
        <w:t>Rationale</w:t>
      </w:r>
    </w:p>
    <w:p w14:paraId="48D7812B" w14:textId="77777777" w:rsidR="00497BD4" w:rsidRPr="00FC1976" w:rsidRDefault="00497BD4" w:rsidP="00082595">
      <w:pPr>
        <w:rPr>
          <w:lang w:val="en-AU" w:eastAsia="en-US"/>
        </w:rPr>
      </w:pPr>
      <w:r w:rsidRPr="00FC1976">
        <w:rPr>
          <w:lang w:val="en-AU" w:eastAsia="en-US"/>
        </w:rPr>
        <w:t xml:space="preserve">The </w:t>
      </w:r>
      <w:r w:rsidR="005E2160" w:rsidRPr="00FC1976">
        <w:rPr>
          <w:lang w:val="en-AU" w:eastAsia="en-US"/>
        </w:rPr>
        <w:t>r</w:t>
      </w:r>
      <w:r w:rsidRPr="00FC1976">
        <w:rPr>
          <w:lang w:val="en-AU" w:eastAsia="en-US"/>
        </w:rPr>
        <w:t xml:space="preserve">ecommendation </w:t>
      </w:r>
      <w:r w:rsidR="007A382D" w:rsidRPr="00FC1976">
        <w:rPr>
          <w:lang w:val="en-AU" w:eastAsia="en-US"/>
        </w:rPr>
        <w:t>focuses on</w:t>
      </w:r>
      <w:r w:rsidRPr="00FC1976">
        <w:rPr>
          <w:lang w:val="en-AU" w:eastAsia="en-US"/>
        </w:rPr>
        <w:t xml:space="preserve"> modernis</w:t>
      </w:r>
      <w:r w:rsidR="00556519" w:rsidRPr="00FC1976">
        <w:rPr>
          <w:lang w:val="en-AU" w:eastAsia="en-US"/>
        </w:rPr>
        <w:t>ing</w:t>
      </w:r>
      <w:r w:rsidRPr="00FC1976">
        <w:rPr>
          <w:lang w:val="en-AU" w:eastAsia="en-US"/>
        </w:rPr>
        <w:t xml:space="preserve"> the MBS </w:t>
      </w:r>
      <w:r w:rsidR="00782D36" w:rsidRPr="00FC1976">
        <w:rPr>
          <w:lang w:val="en-AU" w:eastAsia="en-US"/>
        </w:rPr>
        <w:t xml:space="preserve">and </w:t>
      </w:r>
      <w:r w:rsidR="00C555A4" w:rsidRPr="00FC1976">
        <w:rPr>
          <w:lang w:val="en-AU" w:eastAsia="en-US"/>
        </w:rPr>
        <w:t xml:space="preserve">is </w:t>
      </w:r>
      <w:r w:rsidRPr="00FC1976">
        <w:rPr>
          <w:lang w:val="en-AU" w:eastAsia="en-US"/>
        </w:rPr>
        <w:t>based on the following observation</w:t>
      </w:r>
      <w:r w:rsidR="00513CD2" w:rsidRPr="00FC1976">
        <w:rPr>
          <w:lang w:val="en-AU" w:eastAsia="en-US"/>
        </w:rPr>
        <w:t>.</w:t>
      </w:r>
    </w:p>
    <w:p w14:paraId="0E83179B" w14:textId="77777777" w:rsidR="00497BD4" w:rsidRPr="00FC1976" w:rsidRDefault="00F26954" w:rsidP="00E15A50">
      <w:pPr>
        <w:pStyle w:val="01squarebullet"/>
        <w:rPr>
          <w:lang w:val="en-AU"/>
        </w:rPr>
      </w:pPr>
      <w:r w:rsidRPr="00FC1976">
        <w:rPr>
          <w:lang w:val="en-AU"/>
        </w:rPr>
        <w:t>The Committee agreed that a</w:t>
      </w:r>
      <w:r w:rsidR="00497BD4" w:rsidRPr="00FC1976">
        <w:rPr>
          <w:lang w:val="en-AU"/>
        </w:rPr>
        <w:t xml:space="preserve">rteriovenous shunts </w:t>
      </w:r>
      <w:r w:rsidR="00B602FA">
        <w:rPr>
          <w:lang w:val="en-AU"/>
        </w:rPr>
        <w:t xml:space="preserve">are </w:t>
      </w:r>
      <w:r w:rsidR="00497BD4" w:rsidRPr="00FC1976">
        <w:rPr>
          <w:lang w:val="en-AU"/>
        </w:rPr>
        <w:t xml:space="preserve">no longer </w:t>
      </w:r>
      <w:r w:rsidR="00B602FA">
        <w:rPr>
          <w:lang w:val="en-AU"/>
        </w:rPr>
        <w:t xml:space="preserve">part of </w:t>
      </w:r>
      <w:r w:rsidR="00497BD4" w:rsidRPr="00FC1976">
        <w:rPr>
          <w:lang w:val="en-AU"/>
        </w:rPr>
        <w:t>contemporary clinical practice</w:t>
      </w:r>
      <w:r w:rsidR="00C06153" w:rsidRPr="00FC1976">
        <w:rPr>
          <w:lang w:val="en-AU"/>
        </w:rPr>
        <w:t>.</w:t>
      </w:r>
      <w:r w:rsidR="00497BD4" w:rsidRPr="00FC1976">
        <w:rPr>
          <w:lang w:val="en-AU"/>
        </w:rPr>
        <w:t xml:space="preserve"> This is </w:t>
      </w:r>
      <w:r w:rsidR="00544701" w:rsidRPr="00FC1976">
        <w:rPr>
          <w:lang w:val="en-AU"/>
        </w:rPr>
        <w:t>reflected in</w:t>
      </w:r>
      <w:r w:rsidR="00497BD4" w:rsidRPr="00FC1976">
        <w:rPr>
          <w:lang w:val="en-AU"/>
        </w:rPr>
        <w:t xml:space="preserve"> the extremely low volume of items claimed</w:t>
      </w:r>
      <w:r w:rsidR="00C44A86" w:rsidRPr="00FC1976">
        <w:rPr>
          <w:lang w:val="en-AU"/>
        </w:rPr>
        <w:t xml:space="preserve">. In FY2014/15, for example, </w:t>
      </w:r>
      <w:r w:rsidR="004A0BD2" w:rsidRPr="00FC1976">
        <w:rPr>
          <w:lang w:val="en-AU"/>
        </w:rPr>
        <w:t xml:space="preserve">only </w:t>
      </w:r>
      <w:r w:rsidR="00C44A86" w:rsidRPr="00FC1976">
        <w:rPr>
          <w:lang w:val="en-AU"/>
        </w:rPr>
        <w:t>six</w:t>
      </w:r>
      <w:r w:rsidR="004A0BD2" w:rsidRPr="00FC1976">
        <w:rPr>
          <w:lang w:val="en-AU"/>
        </w:rPr>
        <w:t xml:space="preserve"> services </w:t>
      </w:r>
      <w:r w:rsidR="00C81C24" w:rsidRPr="00FC1976">
        <w:rPr>
          <w:lang w:val="en-AU"/>
        </w:rPr>
        <w:t xml:space="preserve">were </w:t>
      </w:r>
      <w:r w:rsidR="004A0BD2" w:rsidRPr="00FC1976">
        <w:rPr>
          <w:lang w:val="en-AU"/>
        </w:rPr>
        <w:t>claimed</w:t>
      </w:r>
      <w:r w:rsidR="00C06153" w:rsidRPr="00FC1976">
        <w:rPr>
          <w:lang w:val="en-AU"/>
        </w:rPr>
        <w:t>.</w:t>
      </w:r>
      <w:r w:rsidR="005B0053" w:rsidRPr="00FC1976">
        <w:rPr>
          <w:lang w:val="en-AU"/>
        </w:rPr>
        <w:t xml:space="preserve"> All patients should now have venous access established</w:t>
      </w:r>
      <w:r w:rsidR="00315B01">
        <w:rPr>
          <w:lang w:val="en-AU"/>
        </w:rPr>
        <w:t>,</w:t>
      </w:r>
      <w:r w:rsidR="005B0053" w:rsidRPr="00FC1976">
        <w:rPr>
          <w:lang w:val="en-AU"/>
        </w:rPr>
        <w:t xml:space="preserve"> using either fistulas or grafts. </w:t>
      </w:r>
    </w:p>
    <w:p w14:paraId="562D45A3" w14:textId="77777777" w:rsidR="00BF18D3" w:rsidRPr="00FC1976" w:rsidRDefault="001C5746" w:rsidP="005076E4">
      <w:pPr>
        <w:pStyle w:val="Heading2"/>
        <w:rPr>
          <w:lang w:val="en-AU"/>
        </w:rPr>
      </w:pPr>
      <w:bookmarkStart w:id="107" w:name="_Toc459996816"/>
      <w:bookmarkStart w:id="108" w:name="_Toc458167004"/>
      <w:bookmarkStart w:id="109" w:name="_Toc467668959"/>
      <w:r w:rsidRPr="00FC1976">
        <w:rPr>
          <w:lang w:val="en-AU"/>
        </w:rPr>
        <w:t xml:space="preserve">Insertion of temporary catheter: </w:t>
      </w:r>
      <w:r w:rsidR="00BF18D3" w:rsidRPr="00FC1976">
        <w:rPr>
          <w:lang w:val="en-AU"/>
        </w:rPr>
        <w:t>Item</w:t>
      </w:r>
      <w:r w:rsidR="00996980" w:rsidRPr="00FC1976">
        <w:rPr>
          <w:lang w:val="en-AU"/>
        </w:rPr>
        <w:t xml:space="preserve"> 13112</w:t>
      </w:r>
      <w:bookmarkEnd w:id="107"/>
      <w:bookmarkEnd w:id="108"/>
      <w:bookmarkEnd w:id="109"/>
    </w:p>
    <w:p w14:paraId="21D55E20" w14:textId="42DC56AD" w:rsidR="008E3AF5" w:rsidRDefault="00C82A37" w:rsidP="00082595">
      <w:pPr>
        <w:pStyle w:val="Caption"/>
        <w:rPr>
          <w:lang w:val="en-AU"/>
        </w:rPr>
      </w:pPr>
      <w:bookmarkStart w:id="110" w:name="_Toc458167029"/>
      <w:bookmarkStart w:id="111" w:name="_Toc459971211"/>
      <w:bookmarkStart w:id="112" w:name="_Toc459996838"/>
      <w:bookmarkStart w:id="113" w:name="_Toc459891299"/>
      <w:bookmarkStart w:id="114" w:name="_Toc463984892"/>
      <w:r w:rsidRPr="00FC1976">
        <w:rPr>
          <w:lang w:val="en-AU"/>
        </w:rPr>
        <w:t xml:space="preserve">Table </w:t>
      </w:r>
      <w:r w:rsidRPr="00FC1976">
        <w:rPr>
          <w:lang w:val="en-AU"/>
        </w:rPr>
        <w:fldChar w:fldCharType="begin"/>
      </w:r>
      <w:r w:rsidRPr="00FC1976">
        <w:rPr>
          <w:lang w:val="en-AU"/>
        </w:rPr>
        <w:instrText xml:space="preserve"> SEQ Table \* ARABIC </w:instrText>
      </w:r>
      <w:r w:rsidRPr="00FC1976">
        <w:rPr>
          <w:lang w:val="en-AU"/>
        </w:rPr>
        <w:fldChar w:fldCharType="separate"/>
      </w:r>
      <w:r w:rsidR="00D17FB0">
        <w:rPr>
          <w:noProof/>
          <w:lang w:val="en-AU"/>
        </w:rPr>
        <w:t>5</w:t>
      </w:r>
      <w:r w:rsidRPr="00FC1976">
        <w:rPr>
          <w:lang w:val="en-AU"/>
        </w:rPr>
        <w:fldChar w:fldCharType="end"/>
      </w:r>
      <w:r w:rsidRPr="00FC1976">
        <w:rPr>
          <w:lang w:val="en-AU"/>
        </w:rPr>
        <w:t xml:space="preserve">: </w:t>
      </w:r>
      <w:r w:rsidR="0095472F" w:rsidRPr="00FC1976">
        <w:rPr>
          <w:lang w:val="en-AU"/>
        </w:rPr>
        <w:t xml:space="preserve">Item introduction table for item </w:t>
      </w:r>
      <w:r w:rsidRPr="00FC1976">
        <w:rPr>
          <w:lang w:val="en-AU"/>
        </w:rPr>
        <w:t>13112</w:t>
      </w:r>
      <w:bookmarkEnd w:id="110"/>
      <w:bookmarkEnd w:id="111"/>
      <w:bookmarkEnd w:id="112"/>
      <w:bookmarkEnd w:id="113"/>
      <w:bookmarkEnd w:id="114"/>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5 shows the item introduction table for item 13112 which is for insertion of temporary catheter. There are 6 columns: column 1. Item number, column 2. Descriptor, column 3. Schedule fee, column 4. Volume of services for financial year 2014-15, column 5. Total benefits, and column 6. Percentage of the services average annual growth."/>
      </w:tblPr>
      <w:tblGrid>
        <w:gridCol w:w="717"/>
        <w:gridCol w:w="3931"/>
        <w:gridCol w:w="900"/>
        <w:gridCol w:w="1107"/>
        <w:gridCol w:w="996"/>
        <w:gridCol w:w="1365"/>
      </w:tblGrid>
      <w:tr w:rsidR="008E3AF5" w:rsidRPr="00B0157E" w14:paraId="7B926F53" w14:textId="77777777" w:rsidTr="00B8524C">
        <w:trPr>
          <w:tblHeader/>
        </w:trPr>
        <w:tc>
          <w:tcPr>
            <w:tcW w:w="717" w:type="dxa"/>
            <w:shd w:val="clear" w:color="auto" w:fill="F2F2F2" w:themeFill="background1" w:themeFillShade="F2"/>
            <w:vAlign w:val="bottom"/>
          </w:tcPr>
          <w:p w14:paraId="1188B849" w14:textId="77777777" w:rsidR="008E3AF5" w:rsidRPr="009F0F02" w:rsidRDefault="008E3AF5" w:rsidP="00495DE2">
            <w:pPr>
              <w:pStyle w:val="02Tabletext"/>
              <w:spacing w:before="100" w:beforeAutospacing="1" w:after="100" w:afterAutospacing="1"/>
              <w:rPr>
                <w:b/>
              </w:rPr>
            </w:pPr>
            <w:r w:rsidRPr="00B0157E">
              <w:rPr>
                <w:b/>
              </w:rPr>
              <w:t>Item</w:t>
            </w:r>
            <w:r>
              <w:rPr>
                <w:b/>
              </w:rPr>
              <w:t xml:space="preserve"> number</w:t>
            </w:r>
          </w:p>
        </w:tc>
        <w:tc>
          <w:tcPr>
            <w:tcW w:w="3931" w:type="dxa"/>
            <w:shd w:val="clear" w:color="auto" w:fill="F2F2F2" w:themeFill="background1" w:themeFillShade="F2"/>
            <w:vAlign w:val="bottom"/>
          </w:tcPr>
          <w:p w14:paraId="45128702" w14:textId="77777777" w:rsidR="008E3AF5" w:rsidRPr="00B0157E" w:rsidRDefault="008E3AF5" w:rsidP="00495DE2">
            <w:pPr>
              <w:pStyle w:val="02Tabletext"/>
              <w:spacing w:before="100" w:beforeAutospacing="1" w:after="100" w:afterAutospacing="1"/>
              <w:rPr>
                <w:b/>
              </w:rPr>
            </w:pPr>
            <w:r w:rsidRPr="00B0157E">
              <w:rPr>
                <w:b/>
              </w:rPr>
              <w:t>Descriptor</w:t>
            </w:r>
          </w:p>
        </w:tc>
        <w:tc>
          <w:tcPr>
            <w:tcW w:w="900" w:type="dxa"/>
            <w:shd w:val="clear" w:color="auto" w:fill="F2F2F2" w:themeFill="background1" w:themeFillShade="F2"/>
            <w:vAlign w:val="bottom"/>
          </w:tcPr>
          <w:p w14:paraId="72D2444B" w14:textId="77777777" w:rsidR="008E3AF5" w:rsidRPr="00B0157E" w:rsidRDefault="008E3AF5" w:rsidP="00495DE2">
            <w:pPr>
              <w:pStyle w:val="02Tabletext"/>
              <w:spacing w:before="100" w:beforeAutospacing="1" w:after="100" w:afterAutospacing="1"/>
              <w:rPr>
                <w:b/>
              </w:rPr>
            </w:pPr>
            <w:r w:rsidRPr="00B0157E">
              <w:rPr>
                <w:b/>
              </w:rPr>
              <w:t>Schedule fee</w:t>
            </w:r>
          </w:p>
        </w:tc>
        <w:tc>
          <w:tcPr>
            <w:tcW w:w="1107" w:type="dxa"/>
            <w:shd w:val="clear" w:color="auto" w:fill="F2F2F2" w:themeFill="background1" w:themeFillShade="F2"/>
            <w:vAlign w:val="bottom"/>
          </w:tcPr>
          <w:p w14:paraId="0792F905" w14:textId="77777777" w:rsidR="008E3AF5" w:rsidRPr="00B0157E" w:rsidRDefault="00B8524C" w:rsidP="00495DE2">
            <w:pPr>
              <w:pStyle w:val="02Tabletext"/>
              <w:spacing w:before="100" w:beforeAutospacing="1" w:after="100" w:afterAutospacing="1"/>
              <w:rPr>
                <w:b/>
              </w:rPr>
            </w:pPr>
            <w:r>
              <w:rPr>
                <w:b/>
              </w:rPr>
              <w:t>Volume of services</w:t>
            </w:r>
            <w:r w:rsidRPr="00B0157E">
              <w:rPr>
                <w:b/>
              </w:rPr>
              <w:t xml:space="preserve"> FY2014/15</w:t>
            </w:r>
          </w:p>
        </w:tc>
        <w:tc>
          <w:tcPr>
            <w:tcW w:w="996" w:type="dxa"/>
            <w:shd w:val="clear" w:color="auto" w:fill="F2F2F2" w:themeFill="background1" w:themeFillShade="F2"/>
            <w:vAlign w:val="bottom"/>
          </w:tcPr>
          <w:p w14:paraId="2C67ED64" w14:textId="77777777" w:rsidR="008E3AF5" w:rsidRPr="00B0157E" w:rsidRDefault="00B8524C" w:rsidP="00495DE2">
            <w:pPr>
              <w:pStyle w:val="02Tabletext"/>
              <w:spacing w:before="100" w:beforeAutospacing="1" w:after="100" w:afterAutospacing="1"/>
              <w:rPr>
                <w:b/>
              </w:rPr>
            </w:pPr>
            <w:r>
              <w:rPr>
                <w:b/>
              </w:rPr>
              <w:t>Total benefits</w:t>
            </w:r>
          </w:p>
        </w:tc>
        <w:tc>
          <w:tcPr>
            <w:tcW w:w="1365" w:type="dxa"/>
            <w:shd w:val="clear" w:color="auto" w:fill="F2F2F2" w:themeFill="background1" w:themeFillShade="F2"/>
            <w:vAlign w:val="bottom"/>
          </w:tcPr>
          <w:p w14:paraId="2A0ACE20" w14:textId="77777777" w:rsidR="008E3AF5" w:rsidRPr="00B0157E" w:rsidRDefault="008E3AF5" w:rsidP="00495DE2">
            <w:pPr>
              <w:pStyle w:val="02Tabletext"/>
              <w:spacing w:before="100" w:beforeAutospacing="1" w:after="100" w:afterAutospacing="1"/>
              <w:rPr>
                <w:b/>
              </w:rPr>
            </w:pPr>
            <w:r>
              <w:rPr>
                <w:b/>
              </w:rPr>
              <w:t>Services average</w:t>
            </w:r>
            <w:r w:rsidR="007D479F">
              <w:rPr>
                <w:b/>
              </w:rPr>
              <w:t xml:space="preserve"> </w:t>
            </w:r>
            <w:r w:rsidRPr="00B0157E">
              <w:rPr>
                <w:b/>
              </w:rPr>
              <w:t>annual growth</w:t>
            </w:r>
          </w:p>
        </w:tc>
      </w:tr>
      <w:tr w:rsidR="008E3AF5" w:rsidRPr="00B0157E" w14:paraId="69E90383" w14:textId="77777777" w:rsidTr="00B8524C">
        <w:tc>
          <w:tcPr>
            <w:tcW w:w="717" w:type="dxa"/>
          </w:tcPr>
          <w:p w14:paraId="3BC5AADB" w14:textId="77777777" w:rsidR="008E3AF5" w:rsidRPr="00B0157E" w:rsidRDefault="008E3AF5" w:rsidP="00495DE2">
            <w:pPr>
              <w:pStyle w:val="02Tabletext"/>
              <w:spacing w:before="100" w:beforeAutospacing="1" w:after="100" w:afterAutospacing="1"/>
            </w:pPr>
            <w:r w:rsidRPr="00FC1976">
              <w:rPr>
                <w:lang w:val="en-AU"/>
              </w:rPr>
              <w:t>13112</w:t>
            </w:r>
          </w:p>
        </w:tc>
        <w:tc>
          <w:tcPr>
            <w:tcW w:w="3931" w:type="dxa"/>
          </w:tcPr>
          <w:p w14:paraId="29385606" w14:textId="77777777" w:rsidR="008E3AF5" w:rsidRPr="00B0157E" w:rsidRDefault="008E3AF5" w:rsidP="00495DE2">
            <w:pPr>
              <w:pStyle w:val="02Tabletext"/>
              <w:spacing w:before="100" w:beforeAutospacing="1" w:after="100" w:afterAutospacing="1"/>
            </w:pPr>
            <w:r w:rsidRPr="00FC1976">
              <w:rPr>
                <w:shd w:val="clear" w:color="auto" w:fill="FBFBFB"/>
                <w:lang w:val="en-AU"/>
              </w:rPr>
              <w:t>Peritoneal dialysis, establishment of, by abdominal puncture and insertion of temporary catheter (including associated consultation)</w:t>
            </w:r>
            <w:r>
              <w:rPr>
                <w:shd w:val="clear" w:color="auto" w:fill="FBFBFB"/>
                <w:lang w:val="en-AU"/>
              </w:rPr>
              <w:t>.</w:t>
            </w:r>
          </w:p>
        </w:tc>
        <w:tc>
          <w:tcPr>
            <w:tcW w:w="900" w:type="dxa"/>
          </w:tcPr>
          <w:p w14:paraId="7148DC13" w14:textId="77777777" w:rsidR="008E3AF5" w:rsidRPr="00B0157E" w:rsidRDefault="008E3AF5" w:rsidP="00495DE2">
            <w:pPr>
              <w:pStyle w:val="02Tabletext"/>
              <w:spacing w:before="100" w:beforeAutospacing="1" w:after="100" w:afterAutospacing="1"/>
              <w:jc w:val="center"/>
            </w:pPr>
            <w:r w:rsidRPr="00FC1976">
              <w:rPr>
                <w:shd w:val="clear" w:color="auto" w:fill="FBFBFB"/>
                <w:lang w:val="en-AU"/>
              </w:rPr>
              <w:t>$136.65</w:t>
            </w:r>
          </w:p>
        </w:tc>
        <w:tc>
          <w:tcPr>
            <w:tcW w:w="1107" w:type="dxa"/>
          </w:tcPr>
          <w:p w14:paraId="132FB213" w14:textId="77777777" w:rsidR="008E3AF5" w:rsidRPr="00B0157E" w:rsidRDefault="00B8524C" w:rsidP="00495DE2">
            <w:pPr>
              <w:pStyle w:val="02Tabletext"/>
              <w:spacing w:before="100" w:beforeAutospacing="1" w:after="100" w:afterAutospacing="1"/>
              <w:jc w:val="center"/>
            </w:pPr>
            <w:r>
              <w:t>3</w:t>
            </w:r>
          </w:p>
        </w:tc>
        <w:tc>
          <w:tcPr>
            <w:tcW w:w="996" w:type="dxa"/>
          </w:tcPr>
          <w:p w14:paraId="27CF4F68" w14:textId="77777777" w:rsidR="008E3AF5" w:rsidRPr="00B0157E" w:rsidRDefault="00B8524C" w:rsidP="00581B71">
            <w:pPr>
              <w:pStyle w:val="02Tabletext"/>
              <w:spacing w:before="100" w:beforeAutospacing="1" w:after="100" w:afterAutospacing="1"/>
              <w:jc w:val="center"/>
            </w:pPr>
            <w:r w:rsidRPr="00FC1976">
              <w:rPr>
                <w:shd w:val="clear" w:color="auto" w:fill="FBFBFB"/>
                <w:lang w:val="en-AU"/>
              </w:rPr>
              <w:t>$508</w:t>
            </w:r>
          </w:p>
        </w:tc>
        <w:tc>
          <w:tcPr>
            <w:tcW w:w="1365" w:type="dxa"/>
          </w:tcPr>
          <w:p w14:paraId="57260DB7" w14:textId="77777777" w:rsidR="008E3AF5" w:rsidRPr="00B0157E" w:rsidRDefault="00581B71" w:rsidP="00495DE2">
            <w:pPr>
              <w:pStyle w:val="02Tabletext"/>
              <w:spacing w:before="100" w:beforeAutospacing="1" w:after="100" w:afterAutospacing="1"/>
              <w:jc w:val="center"/>
            </w:pPr>
            <w:r w:rsidRPr="00FC1976">
              <w:rPr>
                <w:shd w:val="clear" w:color="auto" w:fill="FBFBFB"/>
                <w:lang w:val="en-AU"/>
              </w:rPr>
              <w:t>-38.8%</w:t>
            </w:r>
          </w:p>
        </w:tc>
      </w:tr>
    </w:tbl>
    <w:p w14:paraId="2B38B738" w14:textId="77777777" w:rsidR="00497BD4" w:rsidRPr="00FC1976" w:rsidRDefault="00497BD4" w:rsidP="00EE7BD8">
      <w:pPr>
        <w:pStyle w:val="H3"/>
      </w:pPr>
      <w:r w:rsidRPr="00FC1976">
        <w:t>Recommendation</w:t>
      </w:r>
    </w:p>
    <w:p w14:paraId="39D9B822" w14:textId="77777777" w:rsidR="00497BD4" w:rsidRPr="00FC1976" w:rsidRDefault="00497BD4" w:rsidP="00E15A50">
      <w:pPr>
        <w:pStyle w:val="01squarebullet"/>
        <w:rPr>
          <w:lang w:val="en-AU"/>
        </w:rPr>
      </w:pPr>
      <w:r w:rsidRPr="00FC1976">
        <w:rPr>
          <w:lang w:val="en-AU"/>
        </w:rPr>
        <w:t xml:space="preserve">Delete </w:t>
      </w:r>
      <w:r w:rsidR="00D55FBD">
        <w:rPr>
          <w:lang w:val="en-AU"/>
        </w:rPr>
        <w:t>this item</w:t>
      </w:r>
      <w:r w:rsidRPr="00FC1976">
        <w:rPr>
          <w:lang w:val="en-AU"/>
        </w:rPr>
        <w:t xml:space="preserve"> from the MBS</w:t>
      </w:r>
      <w:r w:rsidR="00C06153" w:rsidRPr="00FC1976">
        <w:rPr>
          <w:lang w:val="en-AU"/>
        </w:rPr>
        <w:t>.</w:t>
      </w:r>
    </w:p>
    <w:p w14:paraId="7079D38E" w14:textId="77777777" w:rsidR="00497BD4" w:rsidRPr="00FC1976" w:rsidRDefault="00497BD4" w:rsidP="00EE7BD8">
      <w:pPr>
        <w:pStyle w:val="H3"/>
      </w:pPr>
      <w:r w:rsidRPr="00FC1976">
        <w:t>Rationale</w:t>
      </w:r>
    </w:p>
    <w:p w14:paraId="0CB5DB4F" w14:textId="77777777" w:rsidR="00497BD4" w:rsidRPr="00FC1976" w:rsidRDefault="00497BD4" w:rsidP="00082595">
      <w:pPr>
        <w:rPr>
          <w:lang w:val="en-AU" w:eastAsia="en-US"/>
        </w:rPr>
      </w:pPr>
      <w:r w:rsidRPr="00FC1976">
        <w:rPr>
          <w:lang w:val="en-AU" w:eastAsia="en-US"/>
        </w:rPr>
        <w:t xml:space="preserve">The </w:t>
      </w:r>
      <w:r w:rsidR="00000EF0" w:rsidRPr="00FC1976">
        <w:rPr>
          <w:lang w:val="en-AU" w:eastAsia="en-US"/>
        </w:rPr>
        <w:t>r</w:t>
      </w:r>
      <w:r w:rsidRPr="00FC1976">
        <w:rPr>
          <w:lang w:val="en-AU" w:eastAsia="en-US"/>
        </w:rPr>
        <w:t xml:space="preserve">ecommendation </w:t>
      </w:r>
      <w:r w:rsidR="00852EC6" w:rsidRPr="00FC1976">
        <w:rPr>
          <w:lang w:val="en-AU" w:eastAsia="en-US"/>
        </w:rPr>
        <w:t>focuses on</w:t>
      </w:r>
      <w:r w:rsidRPr="00FC1976">
        <w:rPr>
          <w:lang w:val="en-AU" w:eastAsia="en-US"/>
        </w:rPr>
        <w:t xml:space="preserve"> modernis</w:t>
      </w:r>
      <w:r w:rsidR="00FD7221" w:rsidRPr="00FC1976">
        <w:rPr>
          <w:lang w:val="en-AU" w:eastAsia="en-US"/>
        </w:rPr>
        <w:t>ing</w:t>
      </w:r>
      <w:r w:rsidRPr="00FC1976">
        <w:rPr>
          <w:lang w:val="en-AU" w:eastAsia="en-US"/>
        </w:rPr>
        <w:t xml:space="preserve"> the MBS </w:t>
      </w:r>
      <w:r w:rsidR="00521A61" w:rsidRPr="00FC1976">
        <w:rPr>
          <w:lang w:val="en-AU" w:eastAsia="en-US"/>
        </w:rPr>
        <w:t>and is</w:t>
      </w:r>
      <w:r w:rsidRPr="00FC1976">
        <w:rPr>
          <w:lang w:val="en-AU" w:eastAsia="en-US"/>
        </w:rPr>
        <w:t xml:space="preserve"> based on the following observation</w:t>
      </w:r>
      <w:r w:rsidR="00ED47E3" w:rsidRPr="00FC1976">
        <w:rPr>
          <w:lang w:val="en-AU" w:eastAsia="en-US"/>
        </w:rPr>
        <w:t>.</w:t>
      </w:r>
    </w:p>
    <w:p w14:paraId="37AB2EC1" w14:textId="77777777" w:rsidR="00497BD4" w:rsidRPr="00FC1976" w:rsidRDefault="00497BD4" w:rsidP="00E15A50">
      <w:pPr>
        <w:pStyle w:val="01squarebullet"/>
        <w:rPr>
          <w:lang w:val="en-AU"/>
        </w:rPr>
      </w:pPr>
      <w:r w:rsidRPr="00FC1976">
        <w:rPr>
          <w:lang w:val="en-AU"/>
        </w:rPr>
        <w:t xml:space="preserve">The Committee unanimously agreed that item 13112 </w:t>
      </w:r>
      <w:r w:rsidR="004E145C" w:rsidRPr="00FC1976">
        <w:rPr>
          <w:lang w:val="en-AU"/>
        </w:rPr>
        <w:t xml:space="preserve">covers </w:t>
      </w:r>
      <w:r w:rsidRPr="00FC1976">
        <w:rPr>
          <w:lang w:val="en-AU"/>
        </w:rPr>
        <w:t xml:space="preserve">a procedure </w:t>
      </w:r>
      <w:r w:rsidR="00693A3C" w:rsidRPr="00FC1976">
        <w:rPr>
          <w:lang w:val="en-AU"/>
        </w:rPr>
        <w:t xml:space="preserve">that </w:t>
      </w:r>
      <w:r w:rsidRPr="00FC1976">
        <w:rPr>
          <w:bCs/>
          <w:lang w:val="en-AU"/>
        </w:rPr>
        <w:t xml:space="preserve">no longer </w:t>
      </w:r>
      <w:r w:rsidR="00835F78" w:rsidRPr="00FC1976">
        <w:rPr>
          <w:bCs/>
          <w:lang w:val="en-AU"/>
        </w:rPr>
        <w:t xml:space="preserve">reflects </w:t>
      </w:r>
      <w:r w:rsidRPr="00FC1976">
        <w:rPr>
          <w:bCs/>
          <w:lang w:val="en-AU"/>
        </w:rPr>
        <w:t xml:space="preserve">contemporary clinical practice </w:t>
      </w:r>
      <w:r w:rsidR="00051D6D" w:rsidRPr="00FC1976">
        <w:rPr>
          <w:lang w:val="en-AU"/>
        </w:rPr>
        <w:t xml:space="preserve">and has </w:t>
      </w:r>
      <w:r w:rsidRPr="00FC1976">
        <w:rPr>
          <w:lang w:val="en-AU"/>
        </w:rPr>
        <w:t>been replaced by alternative procedures</w:t>
      </w:r>
      <w:r w:rsidR="00D4447F" w:rsidRPr="00FC1976">
        <w:rPr>
          <w:lang w:val="en-AU"/>
        </w:rPr>
        <w:t>,</w:t>
      </w:r>
      <w:r w:rsidRPr="00FC1976">
        <w:rPr>
          <w:lang w:val="en-AU"/>
        </w:rPr>
        <w:t xml:space="preserve"> such as insertion of catheters via laparoscopy</w:t>
      </w:r>
      <w:r w:rsidR="007F722B" w:rsidRPr="00FC1976">
        <w:rPr>
          <w:lang w:val="en-AU"/>
        </w:rPr>
        <w:t xml:space="preserve"> (</w:t>
      </w:r>
      <w:r w:rsidR="008E61D1">
        <w:rPr>
          <w:lang w:val="en-AU"/>
        </w:rPr>
        <w:t xml:space="preserve">item </w:t>
      </w:r>
      <w:r w:rsidR="007F722B" w:rsidRPr="00FC1976">
        <w:rPr>
          <w:lang w:val="en-AU"/>
        </w:rPr>
        <w:t>13109)</w:t>
      </w:r>
      <w:r w:rsidRPr="00FC1976">
        <w:rPr>
          <w:lang w:val="en-AU"/>
        </w:rPr>
        <w:t>.</w:t>
      </w:r>
      <w:r w:rsidR="00322403" w:rsidRPr="00FC1976">
        <w:rPr>
          <w:lang w:val="en-AU"/>
        </w:rPr>
        <w:t xml:space="preserve"> </w:t>
      </w:r>
      <w:r w:rsidRPr="00FC1976">
        <w:rPr>
          <w:lang w:val="en-AU"/>
        </w:rPr>
        <w:t xml:space="preserve">This is </w:t>
      </w:r>
      <w:r w:rsidR="00176E59" w:rsidRPr="00FC1976">
        <w:rPr>
          <w:lang w:val="en-AU"/>
        </w:rPr>
        <w:t>reflected</w:t>
      </w:r>
      <w:r w:rsidRPr="00FC1976">
        <w:rPr>
          <w:lang w:val="en-AU"/>
        </w:rPr>
        <w:t xml:space="preserve"> </w:t>
      </w:r>
      <w:r w:rsidR="00176E59" w:rsidRPr="00FC1976">
        <w:rPr>
          <w:lang w:val="en-AU"/>
        </w:rPr>
        <w:t>in</w:t>
      </w:r>
      <w:r w:rsidRPr="00FC1976">
        <w:rPr>
          <w:lang w:val="en-AU"/>
        </w:rPr>
        <w:t xml:space="preserve"> </w:t>
      </w:r>
      <w:r w:rsidR="00A12952" w:rsidRPr="00FC1976">
        <w:rPr>
          <w:lang w:val="en-AU"/>
        </w:rPr>
        <w:t xml:space="preserve">the </w:t>
      </w:r>
      <w:r w:rsidRPr="00FC1976">
        <w:rPr>
          <w:lang w:val="en-AU"/>
        </w:rPr>
        <w:t>extremely low volume of items claimed</w:t>
      </w:r>
      <w:r w:rsidR="00BA3AB6" w:rsidRPr="00FC1976">
        <w:rPr>
          <w:lang w:val="en-AU"/>
        </w:rPr>
        <w:t>. In FY2014/15</w:t>
      </w:r>
      <w:r w:rsidR="00454176" w:rsidRPr="00FC1976">
        <w:rPr>
          <w:lang w:val="en-AU"/>
        </w:rPr>
        <w:t>, for example,</w:t>
      </w:r>
      <w:r w:rsidR="00BA3AB6" w:rsidRPr="00FC1976">
        <w:rPr>
          <w:lang w:val="en-AU"/>
        </w:rPr>
        <w:t xml:space="preserve"> </w:t>
      </w:r>
      <w:r w:rsidR="004A0BD2" w:rsidRPr="00FC1976">
        <w:rPr>
          <w:lang w:val="en-AU"/>
        </w:rPr>
        <w:t xml:space="preserve">only </w:t>
      </w:r>
      <w:r w:rsidR="00454176" w:rsidRPr="00FC1976">
        <w:rPr>
          <w:lang w:val="en-AU"/>
        </w:rPr>
        <w:t>three</w:t>
      </w:r>
      <w:r w:rsidR="004A0BD2" w:rsidRPr="00FC1976">
        <w:rPr>
          <w:lang w:val="en-AU"/>
        </w:rPr>
        <w:t xml:space="preserve"> services </w:t>
      </w:r>
      <w:r w:rsidR="000A014A" w:rsidRPr="00FC1976">
        <w:rPr>
          <w:lang w:val="en-AU"/>
        </w:rPr>
        <w:t xml:space="preserve">were </w:t>
      </w:r>
      <w:r w:rsidR="004A0BD2" w:rsidRPr="00FC1976">
        <w:rPr>
          <w:lang w:val="en-AU"/>
        </w:rPr>
        <w:t>claimed</w:t>
      </w:r>
      <w:r w:rsidR="00C06153" w:rsidRPr="00FC1976">
        <w:rPr>
          <w:lang w:val="en-AU"/>
        </w:rPr>
        <w:t>.</w:t>
      </w:r>
    </w:p>
    <w:p w14:paraId="3D2D7FC6" w14:textId="77777777" w:rsidR="00F352AA" w:rsidRPr="00FC1976" w:rsidRDefault="00A26557" w:rsidP="005076E4">
      <w:pPr>
        <w:pStyle w:val="Heading2"/>
        <w:rPr>
          <w:lang w:val="en-AU"/>
        </w:rPr>
      </w:pPr>
      <w:bookmarkStart w:id="115" w:name="_Toc459996817"/>
      <w:bookmarkStart w:id="116" w:name="_Toc458167005"/>
      <w:bookmarkStart w:id="117" w:name="_Toc467668960"/>
      <w:bookmarkStart w:id="118" w:name="_Toc455435945"/>
      <w:bookmarkStart w:id="119" w:name="_Toc456045441"/>
      <w:r w:rsidRPr="00FC1976">
        <w:rPr>
          <w:lang w:val="en-AU"/>
        </w:rPr>
        <w:t xml:space="preserve">Indwelling </w:t>
      </w:r>
      <w:r w:rsidR="00394D35" w:rsidRPr="00FC1976">
        <w:rPr>
          <w:lang w:val="en-AU"/>
        </w:rPr>
        <w:t>p</w:t>
      </w:r>
      <w:r w:rsidRPr="00FC1976">
        <w:rPr>
          <w:lang w:val="en-AU"/>
        </w:rPr>
        <w:t xml:space="preserve">eritoneal </w:t>
      </w:r>
      <w:r w:rsidR="00394D35" w:rsidRPr="00FC1976">
        <w:rPr>
          <w:lang w:val="en-AU"/>
        </w:rPr>
        <w:t>c</w:t>
      </w:r>
      <w:r w:rsidRPr="00FC1976">
        <w:rPr>
          <w:lang w:val="en-AU"/>
        </w:rPr>
        <w:t xml:space="preserve">atheter for </w:t>
      </w:r>
      <w:r w:rsidR="00394D35" w:rsidRPr="00FC1976">
        <w:rPr>
          <w:lang w:val="en-AU"/>
        </w:rPr>
        <w:t>d</w:t>
      </w:r>
      <w:r w:rsidRPr="00FC1976">
        <w:rPr>
          <w:lang w:val="en-AU"/>
        </w:rPr>
        <w:t>ialysis</w:t>
      </w:r>
      <w:r w:rsidR="00394D35" w:rsidRPr="00FC1976">
        <w:rPr>
          <w:lang w:val="en-AU"/>
        </w:rPr>
        <w:t>: Items 13109 and 13110</w:t>
      </w:r>
      <w:bookmarkEnd w:id="115"/>
      <w:bookmarkEnd w:id="116"/>
      <w:bookmarkEnd w:id="117"/>
    </w:p>
    <w:p w14:paraId="158BAAB8" w14:textId="3C0DCA13" w:rsidR="00F352AA" w:rsidRPr="00FC1976" w:rsidRDefault="00F352AA" w:rsidP="00082595">
      <w:pPr>
        <w:pStyle w:val="Caption"/>
        <w:rPr>
          <w:lang w:val="en-AU"/>
        </w:rPr>
      </w:pPr>
      <w:bookmarkStart w:id="120" w:name="_Toc458167030"/>
      <w:bookmarkStart w:id="121" w:name="_Toc459971212"/>
      <w:bookmarkStart w:id="122" w:name="_Toc459996839"/>
      <w:bookmarkStart w:id="123" w:name="_Toc459891300"/>
      <w:bookmarkStart w:id="124" w:name="_Toc463984893"/>
      <w:r w:rsidRPr="00FC1976">
        <w:rPr>
          <w:lang w:val="en-AU"/>
        </w:rPr>
        <w:t xml:space="preserve">Table </w:t>
      </w:r>
      <w:r w:rsidR="002A3C45" w:rsidRPr="00FC1976">
        <w:rPr>
          <w:lang w:val="en-AU"/>
        </w:rPr>
        <w:fldChar w:fldCharType="begin"/>
      </w:r>
      <w:r w:rsidR="002A3C45" w:rsidRPr="00FC1976">
        <w:rPr>
          <w:lang w:val="en-AU"/>
        </w:rPr>
        <w:instrText xml:space="preserve"> SEQ Table \* ARABIC </w:instrText>
      </w:r>
      <w:r w:rsidR="002A3C45" w:rsidRPr="00FC1976">
        <w:rPr>
          <w:lang w:val="en-AU"/>
        </w:rPr>
        <w:fldChar w:fldCharType="separate"/>
      </w:r>
      <w:r w:rsidR="00D17FB0">
        <w:rPr>
          <w:noProof/>
          <w:lang w:val="en-AU"/>
        </w:rPr>
        <w:t>6</w:t>
      </w:r>
      <w:r w:rsidR="002A3C45" w:rsidRPr="00FC1976">
        <w:rPr>
          <w:lang w:val="en-AU"/>
        </w:rPr>
        <w:fldChar w:fldCharType="end"/>
      </w:r>
      <w:r w:rsidRPr="00FC1976">
        <w:rPr>
          <w:lang w:val="en-AU"/>
        </w:rPr>
        <w:t xml:space="preserve">: </w:t>
      </w:r>
      <w:r w:rsidR="00467409" w:rsidRPr="00FC1976">
        <w:rPr>
          <w:lang w:val="en-AU"/>
        </w:rPr>
        <w:t xml:space="preserve">Item introduction table for items </w:t>
      </w:r>
      <w:r w:rsidRPr="00FC1976">
        <w:rPr>
          <w:lang w:val="en-AU"/>
        </w:rPr>
        <w:t>13109 and 13110</w:t>
      </w:r>
      <w:bookmarkEnd w:id="120"/>
      <w:bookmarkEnd w:id="121"/>
      <w:bookmarkEnd w:id="122"/>
      <w:bookmarkEnd w:id="123"/>
      <w:bookmarkEnd w:id="124"/>
      <w:r w:rsidRPr="00FC1976">
        <w:rPr>
          <w:lang w:val="en-AU"/>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6 shows the item introduction table for items 13109 and 13110 which are for indwelling peritoneal catheter for dialysis. There are 6 columns: column 1. List of items, column 2. Descriptor, column 3. Schedule fee, column 4. Volume of services for financial year 2014-15,  column 5. Total benefits, and column 6. Percentage of the services average annual growth."/>
      </w:tblPr>
      <w:tblGrid>
        <w:gridCol w:w="716"/>
        <w:gridCol w:w="4111"/>
        <w:gridCol w:w="917"/>
        <w:gridCol w:w="997"/>
        <w:gridCol w:w="1080"/>
        <w:gridCol w:w="1195"/>
      </w:tblGrid>
      <w:tr w:rsidR="00802112" w:rsidRPr="00FC1976" w14:paraId="523556EF" w14:textId="77777777" w:rsidTr="00802112">
        <w:trPr>
          <w:tblHeader/>
        </w:trPr>
        <w:tc>
          <w:tcPr>
            <w:tcW w:w="716" w:type="dxa"/>
            <w:shd w:val="clear" w:color="auto" w:fill="F2F2F2" w:themeFill="background1" w:themeFillShade="F2"/>
            <w:tcMar>
              <w:top w:w="57" w:type="dxa"/>
              <w:left w:w="57" w:type="dxa"/>
              <w:bottom w:w="57" w:type="dxa"/>
              <w:right w:w="57" w:type="dxa"/>
            </w:tcMar>
            <w:vAlign w:val="bottom"/>
          </w:tcPr>
          <w:p w14:paraId="2A211BE1" w14:textId="77777777" w:rsidR="00F26954" w:rsidRPr="00FC1976" w:rsidRDefault="00F26954" w:rsidP="005E1809">
            <w:pPr>
              <w:pStyle w:val="01Tableheaderrow"/>
              <w:rPr>
                <w:lang w:val="en-AU"/>
              </w:rPr>
            </w:pPr>
            <w:r w:rsidRPr="00FC1976">
              <w:rPr>
                <w:lang w:val="en-AU"/>
              </w:rPr>
              <w:t>Item</w:t>
            </w:r>
          </w:p>
        </w:tc>
        <w:tc>
          <w:tcPr>
            <w:tcW w:w="4111" w:type="dxa"/>
            <w:shd w:val="clear" w:color="auto" w:fill="F2F2F2" w:themeFill="background1" w:themeFillShade="F2"/>
            <w:tcMar>
              <w:top w:w="57" w:type="dxa"/>
              <w:left w:w="57" w:type="dxa"/>
              <w:bottom w:w="57" w:type="dxa"/>
              <w:right w:w="57" w:type="dxa"/>
            </w:tcMar>
            <w:vAlign w:val="bottom"/>
          </w:tcPr>
          <w:p w14:paraId="533741B5" w14:textId="77777777" w:rsidR="00F26954" w:rsidRPr="00FC1976" w:rsidRDefault="00F26954" w:rsidP="005E1809">
            <w:pPr>
              <w:pStyle w:val="01Tableheaderrow"/>
              <w:rPr>
                <w:lang w:val="en-AU"/>
              </w:rPr>
            </w:pPr>
            <w:r w:rsidRPr="00FC1976">
              <w:rPr>
                <w:lang w:val="en-AU"/>
              </w:rPr>
              <w:t>Descriptor</w:t>
            </w:r>
          </w:p>
        </w:tc>
        <w:tc>
          <w:tcPr>
            <w:tcW w:w="917" w:type="dxa"/>
            <w:shd w:val="clear" w:color="auto" w:fill="F2F2F2" w:themeFill="background1" w:themeFillShade="F2"/>
            <w:tcMar>
              <w:top w:w="57" w:type="dxa"/>
              <w:left w:w="57" w:type="dxa"/>
              <w:bottom w:w="57" w:type="dxa"/>
              <w:right w:w="57" w:type="dxa"/>
            </w:tcMar>
            <w:vAlign w:val="bottom"/>
          </w:tcPr>
          <w:p w14:paraId="09E094B9" w14:textId="77777777" w:rsidR="00F26954" w:rsidRPr="00FC1976" w:rsidRDefault="00F26954" w:rsidP="005E1809">
            <w:pPr>
              <w:pStyle w:val="01Tableheaderrow"/>
              <w:rPr>
                <w:lang w:val="en-AU"/>
              </w:rPr>
            </w:pPr>
            <w:r w:rsidRPr="00FC1976">
              <w:rPr>
                <w:lang w:val="en-AU"/>
              </w:rPr>
              <w:t>Schedule</w:t>
            </w:r>
          </w:p>
          <w:p w14:paraId="07B63A21" w14:textId="77777777" w:rsidR="00F26954" w:rsidRPr="00FC1976" w:rsidRDefault="00B7475B" w:rsidP="005E1809">
            <w:pPr>
              <w:pStyle w:val="01Tableheaderrow"/>
              <w:rPr>
                <w:lang w:val="en-AU"/>
              </w:rPr>
            </w:pPr>
            <w:r w:rsidRPr="00FC1976">
              <w:rPr>
                <w:lang w:val="en-AU"/>
              </w:rPr>
              <w:t>F</w:t>
            </w:r>
            <w:r w:rsidR="00F26954" w:rsidRPr="00FC1976">
              <w:rPr>
                <w:lang w:val="en-AU"/>
              </w:rPr>
              <w:t>ee</w:t>
            </w:r>
          </w:p>
        </w:tc>
        <w:tc>
          <w:tcPr>
            <w:tcW w:w="997" w:type="dxa"/>
            <w:shd w:val="clear" w:color="auto" w:fill="F2F2F2" w:themeFill="background1" w:themeFillShade="F2"/>
            <w:tcMar>
              <w:top w:w="57" w:type="dxa"/>
              <w:left w:w="57" w:type="dxa"/>
              <w:bottom w:w="57" w:type="dxa"/>
              <w:right w:w="57" w:type="dxa"/>
            </w:tcMar>
            <w:vAlign w:val="bottom"/>
          </w:tcPr>
          <w:p w14:paraId="74E0AAF3" w14:textId="77777777" w:rsidR="00F26954" w:rsidRPr="00FC1976" w:rsidRDefault="00703ED7" w:rsidP="005E1809">
            <w:pPr>
              <w:pStyle w:val="01Tableheaderrow"/>
              <w:rPr>
                <w:lang w:val="en-AU"/>
              </w:rPr>
            </w:pPr>
            <w:r>
              <w:rPr>
                <w:lang w:val="en-AU"/>
              </w:rPr>
              <w:t>Volume of s</w:t>
            </w:r>
            <w:r w:rsidR="00F26954" w:rsidRPr="00FC1976">
              <w:rPr>
                <w:lang w:val="en-AU"/>
              </w:rPr>
              <w:t>ervices FY2014/15</w:t>
            </w:r>
          </w:p>
        </w:tc>
        <w:tc>
          <w:tcPr>
            <w:tcW w:w="1080" w:type="dxa"/>
            <w:shd w:val="clear" w:color="auto" w:fill="F2F2F2" w:themeFill="background1" w:themeFillShade="F2"/>
            <w:tcMar>
              <w:top w:w="57" w:type="dxa"/>
              <w:left w:w="57" w:type="dxa"/>
              <w:bottom w:w="57" w:type="dxa"/>
              <w:right w:w="57" w:type="dxa"/>
            </w:tcMar>
            <w:vAlign w:val="bottom"/>
          </w:tcPr>
          <w:p w14:paraId="6A0B177F" w14:textId="77777777" w:rsidR="00F26954" w:rsidRPr="00FC1976" w:rsidRDefault="000D5AEE" w:rsidP="005E1809">
            <w:pPr>
              <w:pStyle w:val="01Tableheaderrow"/>
              <w:rPr>
                <w:lang w:val="en-AU"/>
              </w:rPr>
            </w:pPr>
            <w:r w:rsidRPr="00FC1976">
              <w:rPr>
                <w:lang w:val="en-AU"/>
              </w:rPr>
              <w:t>Total benefits</w:t>
            </w:r>
          </w:p>
        </w:tc>
        <w:tc>
          <w:tcPr>
            <w:tcW w:w="1195" w:type="dxa"/>
            <w:shd w:val="clear" w:color="auto" w:fill="F2F2F2" w:themeFill="background1" w:themeFillShade="F2"/>
            <w:tcMar>
              <w:top w:w="57" w:type="dxa"/>
              <w:left w:w="57" w:type="dxa"/>
              <w:bottom w:w="57" w:type="dxa"/>
              <w:right w:w="57" w:type="dxa"/>
            </w:tcMar>
            <w:vAlign w:val="bottom"/>
          </w:tcPr>
          <w:p w14:paraId="469160A4" w14:textId="77777777" w:rsidR="00F26954" w:rsidRPr="00FC1976" w:rsidRDefault="000D5AEE" w:rsidP="005E1809">
            <w:pPr>
              <w:pStyle w:val="01Tableheaderrow"/>
              <w:rPr>
                <w:lang w:val="en-AU"/>
              </w:rPr>
            </w:pPr>
            <w:r w:rsidRPr="00FC1976">
              <w:rPr>
                <w:lang w:val="en-AU"/>
              </w:rPr>
              <w:t>Services average annual growth</w:t>
            </w:r>
          </w:p>
        </w:tc>
      </w:tr>
      <w:tr w:rsidR="00B61793" w:rsidRPr="00FC1976" w14:paraId="207A556B" w14:textId="77777777" w:rsidTr="00802112">
        <w:tc>
          <w:tcPr>
            <w:tcW w:w="716" w:type="dxa"/>
            <w:tcMar>
              <w:top w:w="57" w:type="dxa"/>
              <w:left w:w="57" w:type="dxa"/>
              <w:bottom w:w="57" w:type="dxa"/>
              <w:right w:w="57" w:type="dxa"/>
            </w:tcMar>
          </w:tcPr>
          <w:p w14:paraId="6354E31E" w14:textId="77777777" w:rsidR="00B61793" w:rsidRPr="00FC1976" w:rsidRDefault="00B61793" w:rsidP="005E1809">
            <w:pPr>
              <w:pStyle w:val="02Tabletext"/>
              <w:rPr>
                <w:lang w:val="en-AU"/>
              </w:rPr>
            </w:pPr>
            <w:r w:rsidRPr="00FC1976">
              <w:rPr>
                <w:lang w:val="en-AU"/>
              </w:rPr>
              <w:t xml:space="preserve">13109 </w:t>
            </w:r>
          </w:p>
        </w:tc>
        <w:tc>
          <w:tcPr>
            <w:tcW w:w="4111" w:type="dxa"/>
            <w:tcMar>
              <w:top w:w="57" w:type="dxa"/>
              <w:left w:w="57" w:type="dxa"/>
              <w:bottom w:w="57" w:type="dxa"/>
              <w:right w:w="57" w:type="dxa"/>
            </w:tcMar>
          </w:tcPr>
          <w:p w14:paraId="4A99DD00" w14:textId="77777777" w:rsidR="00B61793" w:rsidRPr="00FC1976" w:rsidRDefault="00B61793" w:rsidP="005E1809">
            <w:pPr>
              <w:pStyle w:val="02Tabletext"/>
              <w:rPr>
                <w:lang w:val="en-AU"/>
              </w:rPr>
            </w:pPr>
            <w:r w:rsidRPr="00FC1976">
              <w:rPr>
                <w:lang w:val="en-AU"/>
              </w:rPr>
              <w:t>I</w:t>
            </w:r>
            <w:r w:rsidR="000812CF" w:rsidRPr="00FC1976">
              <w:rPr>
                <w:lang w:val="en-AU"/>
              </w:rPr>
              <w:t xml:space="preserve">ndwelling peritoneal catheter </w:t>
            </w:r>
            <w:r w:rsidRPr="00FC1976">
              <w:rPr>
                <w:lang w:val="en-AU"/>
              </w:rPr>
              <w:t>(Tenckhoff</w:t>
            </w:r>
            <w:r w:rsidR="002A3C45" w:rsidRPr="00FC1976">
              <w:rPr>
                <w:lang w:val="en-AU"/>
              </w:rPr>
              <w:t xml:space="preserve"> </w:t>
            </w:r>
            <w:r w:rsidRPr="00FC1976">
              <w:rPr>
                <w:lang w:val="en-AU"/>
              </w:rPr>
              <w:t xml:space="preserve">or similar) </w:t>
            </w:r>
            <w:r w:rsidR="0087232E" w:rsidRPr="00FC1976">
              <w:rPr>
                <w:lang w:val="en-AU"/>
              </w:rPr>
              <w:t>for dialysis insertion and fixation of</w:t>
            </w:r>
            <w:r w:rsidR="001C14A7" w:rsidRPr="00FC1976">
              <w:rPr>
                <w:lang w:val="en-AU"/>
              </w:rPr>
              <w:t>.</w:t>
            </w:r>
            <w:r w:rsidR="0087232E" w:rsidRPr="00FC1976">
              <w:rPr>
                <w:lang w:val="en-AU"/>
              </w:rPr>
              <w:t xml:space="preserve"> </w:t>
            </w:r>
          </w:p>
        </w:tc>
        <w:tc>
          <w:tcPr>
            <w:tcW w:w="917" w:type="dxa"/>
            <w:tcMar>
              <w:top w:w="57" w:type="dxa"/>
              <w:left w:w="57" w:type="dxa"/>
              <w:bottom w:w="57" w:type="dxa"/>
              <w:right w:w="57" w:type="dxa"/>
            </w:tcMar>
          </w:tcPr>
          <w:p w14:paraId="0BC02072" w14:textId="77777777" w:rsidR="00B61793" w:rsidRPr="00FC1976" w:rsidRDefault="00B61793" w:rsidP="005E1809">
            <w:pPr>
              <w:pStyle w:val="02Tabletext"/>
              <w:rPr>
                <w:shd w:val="clear" w:color="auto" w:fill="FBFBFB"/>
                <w:lang w:val="en-AU"/>
              </w:rPr>
            </w:pPr>
            <w:r w:rsidRPr="00FC1976">
              <w:rPr>
                <w:shd w:val="clear" w:color="auto" w:fill="FBFBFB"/>
                <w:lang w:val="en-AU"/>
              </w:rPr>
              <w:t>$227.75</w:t>
            </w:r>
          </w:p>
        </w:tc>
        <w:tc>
          <w:tcPr>
            <w:tcW w:w="997" w:type="dxa"/>
            <w:tcMar>
              <w:top w:w="57" w:type="dxa"/>
              <w:left w:w="57" w:type="dxa"/>
              <w:bottom w:w="57" w:type="dxa"/>
              <w:right w:w="57" w:type="dxa"/>
            </w:tcMar>
          </w:tcPr>
          <w:p w14:paraId="64A967EA" w14:textId="77777777" w:rsidR="00B61793" w:rsidRPr="00FC1976" w:rsidRDefault="00B61793" w:rsidP="005E1809">
            <w:pPr>
              <w:pStyle w:val="02Tabletext"/>
              <w:rPr>
                <w:shd w:val="clear" w:color="auto" w:fill="FBFBFB"/>
                <w:lang w:val="en-AU"/>
              </w:rPr>
            </w:pPr>
            <w:r w:rsidRPr="00FC1976">
              <w:rPr>
                <w:shd w:val="clear" w:color="auto" w:fill="FBFBFB"/>
                <w:lang w:val="en-AU"/>
              </w:rPr>
              <w:t>410</w:t>
            </w:r>
          </w:p>
        </w:tc>
        <w:tc>
          <w:tcPr>
            <w:tcW w:w="1080" w:type="dxa"/>
            <w:tcMar>
              <w:top w:w="57" w:type="dxa"/>
              <w:left w:w="57" w:type="dxa"/>
              <w:bottom w:w="57" w:type="dxa"/>
              <w:right w:w="57" w:type="dxa"/>
            </w:tcMar>
          </w:tcPr>
          <w:p w14:paraId="5204662E" w14:textId="77777777" w:rsidR="00B61793" w:rsidRPr="00FC1976" w:rsidRDefault="00B61793" w:rsidP="005E1809">
            <w:pPr>
              <w:pStyle w:val="02Tabletext"/>
              <w:rPr>
                <w:shd w:val="clear" w:color="auto" w:fill="FBFBFB"/>
                <w:lang w:val="en-AU"/>
              </w:rPr>
            </w:pPr>
            <w:r w:rsidRPr="00FC1976">
              <w:rPr>
                <w:shd w:val="clear" w:color="auto" w:fill="FBFBFB"/>
                <w:lang w:val="en-AU"/>
              </w:rPr>
              <w:t xml:space="preserve">$70,354 </w:t>
            </w:r>
          </w:p>
        </w:tc>
        <w:tc>
          <w:tcPr>
            <w:tcW w:w="1195" w:type="dxa"/>
            <w:tcMar>
              <w:top w:w="57" w:type="dxa"/>
              <w:left w:w="57" w:type="dxa"/>
              <w:bottom w:w="57" w:type="dxa"/>
              <w:right w:w="57" w:type="dxa"/>
            </w:tcMar>
          </w:tcPr>
          <w:p w14:paraId="0DD0DB50" w14:textId="77777777" w:rsidR="00B61793" w:rsidRPr="00FC1976" w:rsidRDefault="00B61793" w:rsidP="005E1809">
            <w:pPr>
              <w:pStyle w:val="02Tabletext"/>
              <w:rPr>
                <w:shd w:val="clear" w:color="auto" w:fill="FBFBFB"/>
                <w:lang w:val="en-AU"/>
              </w:rPr>
            </w:pPr>
            <w:r w:rsidRPr="00FC1976">
              <w:rPr>
                <w:shd w:val="clear" w:color="auto" w:fill="FBFBFB"/>
                <w:lang w:val="en-AU"/>
              </w:rPr>
              <w:t>4.7%</w:t>
            </w:r>
          </w:p>
        </w:tc>
      </w:tr>
      <w:tr w:rsidR="00B61793" w:rsidRPr="00FC1976" w14:paraId="3A743746" w14:textId="77777777" w:rsidTr="00802112">
        <w:tc>
          <w:tcPr>
            <w:tcW w:w="716" w:type="dxa"/>
            <w:tcMar>
              <w:top w:w="57" w:type="dxa"/>
              <w:left w:w="57" w:type="dxa"/>
              <w:bottom w:w="57" w:type="dxa"/>
              <w:right w:w="57" w:type="dxa"/>
            </w:tcMar>
          </w:tcPr>
          <w:p w14:paraId="102BBD0B" w14:textId="77777777" w:rsidR="00B61793" w:rsidRPr="00FC1976" w:rsidRDefault="00B61793" w:rsidP="005E1809">
            <w:pPr>
              <w:pStyle w:val="02Tabletext"/>
              <w:rPr>
                <w:lang w:val="en-AU"/>
              </w:rPr>
            </w:pPr>
            <w:r w:rsidRPr="00FC1976">
              <w:rPr>
                <w:lang w:val="en-AU"/>
              </w:rPr>
              <w:t>13110</w:t>
            </w:r>
          </w:p>
        </w:tc>
        <w:tc>
          <w:tcPr>
            <w:tcW w:w="4111" w:type="dxa"/>
            <w:tcMar>
              <w:top w:w="57" w:type="dxa"/>
              <w:left w:w="57" w:type="dxa"/>
              <w:bottom w:w="57" w:type="dxa"/>
              <w:right w:w="57" w:type="dxa"/>
            </w:tcMar>
          </w:tcPr>
          <w:p w14:paraId="79001A4C" w14:textId="77777777" w:rsidR="00B61793" w:rsidRPr="00FC1976" w:rsidRDefault="001C14A7" w:rsidP="005E1809">
            <w:pPr>
              <w:pStyle w:val="02Tabletext"/>
              <w:rPr>
                <w:lang w:val="en-AU"/>
              </w:rPr>
            </w:pPr>
            <w:r w:rsidRPr="00FC1976">
              <w:rPr>
                <w:lang w:val="en-AU"/>
              </w:rPr>
              <w:t xml:space="preserve">Tenckhoff peritoneal dialysis catheter, </w:t>
            </w:r>
            <w:r w:rsidR="00B61793" w:rsidRPr="00FC1976">
              <w:rPr>
                <w:lang w:val="en-AU"/>
              </w:rPr>
              <w:t>removal of (including catheter cuffs)</w:t>
            </w:r>
            <w:r w:rsidR="000C2E10" w:rsidRPr="00FC1976">
              <w:rPr>
                <w:lang w:val="en-AU"/>
              </w:rPr>
              <w:t>.</w:t>
            </w:r>
          </w:p>
        </w:tc>
        <w:tc>
          <w:tcPr>
            <w:tcW w:w="917" w:type="dxa"/>
            <w:tcMar>
              <w:top w:w="57" w:type="dxa"/>
              <w:left w:w="57" w:type="dxa"/>
              <w:bottom w:w="57" w:type="dxa"/>
              <w:right w:w="57" w:type="dxa"/>
            </w:tcMar>
          </w:tcPr>
          <w:p w14:paraId="13FDC482" w14:textId="77777777" w:rsidR="00B61793" w:rsidRPr="00FC1976" w:rsidRDefault="00B61793" w:rsidP="005E1809">
            <w:pPr>
              <w:pStyle w:val="02Tabletext"/>
              <w:rPr>
                <w:shd w:val="clear" w:color="auto" w:fill="FBFBFB"/>
                <w:lang w:val="en-AU"/>
              </w:rPr>
            </w:pPr>
            <w:r w:rsidRPr="00FC1976">
              <w:rPr>
                <w:shd w:val="clear" w:color="auto" w:fill="FBFBFB"/>
                <w:lang w:val="en-AU"/>
              </w:rPr>
              <w:t>$228.50</w:t>
            </w:r>
          </w:p>
        </w:tc>
        <w:tc>
          <w:tcPr>
            <w:tcW w:w="997" w:type="dxa"/>
            <w:tcMar>
              <w:top w:w="57" w:type="dxa"/>
              <w:left w:w="57" w:type="dxa"/>
              <w:bottom w:w="57" w:type="dxa"/>
              <w:right w:w="57" w:type="dxa"/>
            </w:tcMar>
          </w:tcPr>
          <w:p w14:paraId="09685C1D" w14:textId="77777777" w:rsidR="00B61793" w:rsidRPr="00FC1976" w:rsidRDefault="00B61793" w:rsidP="005E1809">
            <w:pPr>
              <w:pStyle w:val="02Tabletext"/>
              <w:rPr>
                <w:shd w:val="clear" w:color="auto" w:fill="FBFBFB"/>
                <w:lang w:val="en-AU"/>
              </w:rPr>
            </w:pPr>
            <w:r w:rsidRPr="00FC1976">
              <w:rPr>
                <w:shd w:val="clear" w:color="auto" w:fill="FBFBFB"/>
                <w:lang w:val="en-AU"/>
              </w:rPr>
              <w:t>178</w:t>
            </w:r>
          </w:p>
        </w:tc>
        <w:tc>
          <w:tcPr>
            <w:tcW w:w="1080" w:type="dxa"/>
            <w:tcMar>
              <w:top w:w="57" w:type="dxa"/>
              <w:left w:w="57" w:type="dxa"/>
              <w:bottom w:w="57" w:type="dxa"/>
              <w:right w:w="57" w:type="dxa"/>
            </w:tcMar>
          </w:tcPr>
          <w:p w14:paraId="03A27072" w14:textId="77777777" w:rsidR="00B61793" w:rsidRPr="00FC1976" w:rsidRDefault="00B61793" w:rsidP="005E1809">
            <w:pPr>
              <w:pStyle w:val="02Tabletext"/>
              <w:rPr>
                <w:shd w:val="clear" w:color="auto" w:fill="FBFBFB"/>
                <w:lang w:val="en-AU"/>
              </w:rPr>
            </w:pPr>
            <w:r w:rsidRPr="00FC1976">
              <w:rPr>
                <w:shd w:val="clear" w:color="auto" w:fill="FBFBFB"/>
                <w:lang w:val="en-AU"/>
              </w:rPr>
              <w:t xml:space="preserve">$30,308 </w:t>
            </w:r>
          </w:p>
        </w:tc>
        <w:tc>
          <w:tcPr>
            <w:tcW w:w="1195" w:type="dxa"/>
            <w:tcMar>
              <w:top w:w="57" w:type="dxa"/>
              <w:left w:w="57" w:type="dxa"/>
              <w:bottom w:w="57" w:type="dxa"/>
              <w:right w:w="57" w:type="dxa"/>
            </w:tcMar>
          </w:tcPr>
          <w:p w14:paraId="09C089D4" w14:textId="77777777" w:rsidR="00B61793" w:rsidRPr="00FC1976" w:rsidRDefault="00B61793" w:rsidP="005E1809">
            <w:pPr>
              <w:pStyle w:val="02Tabletext"/>
              <w:rPr>
                <w:shd w:val="clear" w:color="auto" w:fill="FBFBFB"/>
                <w:lang w:val="en-AU"/>
              </w:rPr>
            </w:pPr>
            <w:r w:rsidRPr="00FC1976">
              <w:rPr>
                <w:shd w:val="clear" w:color="auto" w:fill="FBFBFB"/>
                <w:lang w:val="en-AU"/>
              </w:rPr>
              <w:t>3.3%</w:t>
            </w:r>
          </w:p>
        </w:tc>
      </w:tr>
    </w:tbl>
    <w:p w14:paraId="1779472F" w14:textId="77777777" w:rsidR="00F352AA" w:rsidRPr="00FC1976" w:rsidRDefault="00F352AA" w:rsidP="00EE7BD8">
      <w:pPr>
        <w:pStyle w:val="H3"/>
      </w:pPr>
      <w:r w:rsidRPr="00FC1976">
        <w:t>Recommendation</w:t>
      </w:r>
      <w:r w:rsidR="001C263F">
        <w:t>s</w:t>
      </w:r>
    </w:p>
    <w:p w14:paraId="22AC85E1" w14:textId="77777777" w:rsidR="001D5A0B" w:rsidRPr="00FC1976" w:rsidRDefault="007B37D2" w:rsidP="00E15A50">
      <w:pPr>
        <w:pStyle w:val="01squarebullet"/>
        <w:rPr>
          <w:lang w:val="en-AU"/>
        </w:rPr>
      </w:pPr>
      <w:r w:rsidRPr="00FC1976">
        <w:rPr>
          <w:lang w:val="en-AU"/>
        </w:rPr>
        <w:t xml:space="preserve">Change the item descriptor </w:t>
      </w:r>
      <w:r w:rsidR="000C2E10" w:rsidRPr="00FC1976">
        <w:rPr>
          <w:lang w:val="en-AU"/>
        </w:rPr>
        <w:t xml:space="preserve">for item </w:t>
      </w:r>
      <w:r w:rsidRPr="00FC1976">
        <w:rPr>
          <w:lang w:val="en-AU"/>
        </w:rPr>
        <w:t xml:space="preserve">13110 </w:t>
      </w:r>
      <w:r w:rsidR="00576A52" w:rsidRPr="00FC1976">
        <w:rPr>
          <w:lang w:val="en-AU"/>
        </w:rPr>
        <w:t>to align</w:t>
      </w:r>
      <w:r w:rsidRPr="00FC1976">
        <w:rPr>
          <w:lang w:val="en-AU"/>
        </w:rPr>
        <w:t xml:space="preserve"> the descriptors of items 13109 and 13110</w:t>
      </w:r>
      <w:r w:rsidR="00A4524D" w:rsidRPr="00FC1976">
        <w:rPr>
          <w:lang w:val="en-AU"/>
        </w:rPr>
        <w:t>. The proposed descriptor is as follows: “</w:t>
      </w:r>
      <w:r w:rsidR="00F26954" w:rsidRPr="00FC1976">
        <w:rPr>
          <w:lang w:val="en-AU"/>
        </w:rPr>
        <w:t>Indwelling peritoneal catheter (Tenckhoff or similar) for dialysis, removal of (including catheter cuffs)</w:t>
      </w:r>
      <w:r w:rsidR="00A4524D" w:rsidRPr="00FC1976">
        <w:rPr>
          <w:lang w:val="en-AU"/>
        </w:rPr>
        <w:t>.”</w:t>
      </w:r>
    </w:p>
    <w:p w14:paraId="4F98DE3B" w14:textId="77777777" w:rsidR="00A60476" w:rsidRPr="00FC1976" w:rsidRDefault="003A6E1E" w:rsidP="00E15A50">
      <w:pPr>
        <w:pStyle w:val="01squarebullet"/>
        <w:rPr>
          <w:b/>
          <w:lang w:val="en-AU"/>
        </w:rPr>
      </w:pPr>
      <w:r>
        <w:rPr>
          <w:lang w:val="en-AU"/>
        </w:rPr>
        <w:t>Review</w:t>
      </w:r>
      <w:r w:rsidR="00F54B9D" w:rsidRPr="00FC1976">
        <w:rPr>
          <w:lang w:val="en-AU"/>
        </w:rPr>
        <w:t xml:space="preserve"> the schedule fee for both items.</w:t>
      </w:r>
    </w:p>
    <w:p w14:paraId="369260F0" w14:textId="77777777" w:rsidR="00A60476" w:rsidRDefault="00A60476" w:rsidP="00EE7BD8">
      <w:pPr>
        <w:pStyle w:val="H3"/>
      </w:pPr>
      <w:r w:rsidRPr="00FC1976">
        <w:t>Rationale</w:t>
      </w:r>
    </w:p>
    <w:p w14:paraId="289DB96C" w14:textId="77777777" w:rsidR="0001513D" w:rsidRPr="00054178" w:rsidRDefault="0001513D" w:rsidP="00054178">
      <w:pPr>
        <w:pStyle w:val="Boldhdg"/>
        <w:spacing w:before="200"/>
        <w:rPr>
          <w:b w:val="0"/>
          <w:lang w:val="en-AU"/>
        </w:rPr>
      </w:pPr>
      <w:r>
        <w:rPr>
          <w:b w:val="0"/>
          <w:lang w:val="en-AU"/>
        </w:rPr>
        <w:t xml:space="preserve">The recommendations focus on </w:t>
      </w:r>
      <w:r w:rsidR="00E87FB8">
        <w:rPr>
          <w:b w:val="0"/>
          <w:lang w:val="en-AU"/>
        </w:rPr>
        <w:t xml:space="preserve">ensuring best practice </w:t>
      </w:r>
      <w:r>
        <w:rPr>
          <w:b w:val="0"/>
          <w:lang w:val="en-AU"/>
        </w:rPr>
        <w:t>and are based on the following observations.</w:t>
      </w:r>
    </w:p>
    <w:p w14:paraId="45DF1CBB" w14:textId="77777777" w:rsidR="00F54B9D" w:rsidRPr="00FC1976" w:rsidRDefault="00F54B9D" w:rsidP="00E15A50">
      <w:pPr>
        <w:pStyle w:val="01squarebullet"/>
        <w:rPr>
          <w:lang w:val="en-AU"/>
        </w:rPr>
      </w:pPr>
      <w:r w:rsidRPr="00FC1976">
        <w:rPr>
          <w:lang w:val="en-AU"/>
        </w:rPr>
        <w:t>The Committee felt that the discrepancies between the two item descriptors were unnecessary and confusing. Aligning the wording of the two item descriptors increases consistency across the MBS.</w:t>
      </w:r>
    </w:p>
    <w:p w14:paraId="1B5E0A20" w14:textId="77777777" w:rsidR="00A60476" w:rsidRPr="00FC1976" w:rsidRDefault="00F22261" w:rsidP="00E15A50">
      <w:pPr>
        <w:pStyle w:val="01squarebullet"/>
        <w:rPr>
          <w:lang w:val="en-AU"/>
        </w:rPr>
      </w:pPr>
      <w:r w:rsidRPr="00FC1976">
        <w:rPr>
          <w:lang w:val="en-AU"/>
        </w:rPr>
        <w:t>The Committee agreed that t</w:t>
      </w:r>
      <w:r w:rsidR="00A60476" w:rsidRPr="00FC1976">
        <w:rPr>
          <w:lang w:val="en-AU"/>
        </w:rPr>
        <w:t>he current fee attached to item 13109 ($227.75) does not reflect the skill and time required for</w:t>
      </w:r>
      <w:r w:rsidR="00890497">
        <w:rPr>
          <w:lang w:val="en-AU"/>
        </w:rPr>
        <w:t xml:space="preserve"> the</w:t>
      </w:r>
      <w:r w:rsidR="00A60476" w:rsidRPr="00FC1976">
        <w:rPr>
          <w:lang w:val="en-AU"/>
        </w:rPr>
        <w:t xml:space="preserve"> insertion or removal of a Tenckhoff catheter. Removal of a Tenckhoff catheter (item 13110), for example, requires careful dissection and removal of both the catheter and the incorporated cuffs, as well as repair of the abdominal wall</w:t>
      </w:r>
      <w:r w:rsidR="00E56B4A">
        <w:rPr>
          <w:lang w:val="en-AU"/>
        </w:rPr>
        <w:t xml:space="preserve"> </w:t>
      </w:r>
      <w:r w:rsidR="00A120A2" w:rsidRPr="00FC1976">
        <w:rPr>
          <w:lang w:val="en-AU"/>
        </w:rPr>
        <w:fldChar w:fldCharType="begin" w:fldLock="1"/>
      </w:r>
      <w:r w:rsidR="00B409DB">
        <w:rPr>
          <w:lang w:val="en-AU"/>
        </w:rPr>
        <w:instrText>ADDIN CSL_CITATION { "citationItems" : [ { "id" : "ITEM-1", "itemData" : { "author" : [ { "dropping-particle" : "", "family" : "Mudge", "given" : "David", "non-dropping-particle" : "", "parse-names" : false, "suffix" : "" } ], "id" : "ITEM-1", "issued" : { "date-parts" : [ [ "2013" ] ] }, "number-of-pages" : "1-11", "title" : "Technique of Insertion of Peritoneal Dialysis Catheter", "type" : "report" }, "uris" : [ "http://www.mendeley.com/documents/?uuid=d481460e-3e9a-4283-9b6a-4b5af6fe4064" ] }, { "id" : "ITEM-2", "itemData" : { "DOI" : "10.3747/pdi.2011.00298", "ISSN" : "1718-4304", "PMID" : "24991051", "abstract" : "BACKGROUND This retrospective study was conducted to evaluate the effect of a new, modified open surgery technique on catheter-related malfunction. METHODS During the period from January 1997 to June 2009, 216 patients received initial peritoneal catheters. For the present study, patients were divided into four groups according to the catheter types and the surgery techniques: TO-S: traditional open surgery, straight Tenckhoff catheter TO-C: traditional open surgery, coiled Tenckhoff catheter TO-SN: traditional open surgery, swan-neck catheter MO-S: modified open surgery, straight Tenckhoff catheter The modified surgery was characterized by a low incision site, a short intra-abdominal catheter segment and an additional upward straight subcutaneous tunnel. All patients were followed up for 2 years or until death. Survival rates, complications caused by catheter placement, and the probability of malfunction-free catheter survival were compared between the groups. RESULTS Catheter malfunction was the most frequent mechanical complication, found in 31 patients (14.4%), who experienced 38 malfunctions. Only 2 episodes of catheter malfunction were found in the MO-S group, representing a rate significantly less than those in the TO-S and TO-C groups (both p &lt; 0.05). Kaplan-Meier curves for malfunction-free PD catheter survival showed a significantly different malfunction-free probability for the various groups (p = 0.009). After 2 years of follow-up, 136 patients (63.0%) survived with their initial PD catheter. The initial catheter survival rate was 76.8% in the MO-S group. Kaplan-Meier curves for initial catheter survival showed that the highest survival rate was found in the MO-S group (p = 0.001). CONCLUSIONS The modified open surgery technique is a reliable method for catheter placement.", "author" : [ { "dropping-particle" : "", "family" : "Jiang", "given" : "Chunming", "non-dropping-particle" : "", "parse-names" : false, "suffix" : "" }, { "dropping-particle" : "", "family" : "Xu", "given" : "Linfeng", "non-dropping-particle" : "", "parse-names" : false, "suffix" : "" }, { "dropping-particle" : "", "family" : "Chen", "given" : "Yun", "non-dropping-particle" : "", "parse-names" : false, "suffix" : "" }, { "dropping-particle" : "", "family" : "Yan", "given" : "Xiang", "non-dropping-particle" : "", "parse-names" : false, "suffix" : "" }, { "dropping-particle" : "", "family" : "Sun", "given" : "Cheng", "non-dropping-particle" : "", "parse-names" : false, "suffix" : "" }, { "dropping-particle" : "", "family" : "Zhang", "given" : "Miao", "non-dropping-particle" : "", "parse-names" : false, "suffix" : "" } ], "container-title" : "Peritoneal dialysis international : journal of the International Society for Peritoneal Dialysis", "id" : "ITEM-2", "issue" : "4", "issued" : { "date-parts" : [ [ "2014", "6" ] ] }, "page" : "358-67", "publisher" : "Multimed Inc.", "title" : "A modified open surgery technique for peritoneal dialysis catheter placement decreases catheter malfunction.", "type" : "article-journal", "volume" : "34" }, "uris" : [ "http://www.mendeley.com/documents/?uuid=816d20ee-e9cc-4676-ac87-6fba7df4c2f2" ] } ], "mendeley" : { "formattedCitation" : "(26,27)", "manualFormatting" : "(19\u201320)", "plainTextFormattedCitation" : "(26,27)", "previouslyFormattedCitation" : "(26,27)" }, "properties" : { "noteIndex" : 0 }, "schema" : "https://github.com/citation-style-language/schema/raw/master/csl-citation.json" }</w:instrText>
      </w:r>
      <w:r w:rsidR="00A120A2" w:rsidRPr="00FC1976">
        <w:rPr>
          <w:lang w:val="en-AU"/>
        </w:rPr>
        <w:fldChar w:fldCharType="separate"/>
      </w:r>
      <w:r w:rsidR="00A120A2" w:rsidRPr="00FC1976">
        <w:rPr>
          <w:noProof/>
          <w:lang w:val="en-AU"/>
        </w:rPr>
        <w:t>(19</w:t>
      </w:r>
      <w:r w:rsidR="00E56B4A">
        <w:rPr>
          <w:noProof/>
          <w:lang w:val="en-AU"/>
        </w:rPr>
        <w:t>–</w:t>
      </w:r>
      <w:r w:rsidR="00A120A2" w:rsidRPr="00FC1976">
        <w:rPr>
          <w:noProof/>
          <w:lang w:val="en-AU"/>
        </w:rPr>
        <w:t>20)</w:t>
      </w:r>
      <w:r w:rsidR="00A120A2" w:rsidRPr="00FC1976">
        <w:rPr>
          <w:lang w:val="en-AU"/>
        </w:rPr>
        <w:fldChar w:fldCharType="end"/>
      </w:r>
      <w:r w:rsidR="00A60476" w:rsidRPr="00FC1976">
        <w:rPr>
          <w:lang w:val="en-AU"/>
        </w:rPr>
        <w:t>. The fee also does not include an assist</w:t>
      </w:r>
      <w:r w:rsidR="00F236A6" w:rsidRPr="00FC1976">
        <w:rPr>
          <w:lang w:val="en-AU"/>
        </w:rPr>
        <w:t>ant fee</w:t>
      </w:r>
      <w:r w:rsidR="007C72DC">
        <w:rPr>
          <w:lang w:val="en-AU"/>
        </w:rPr>
        <w:t>,</w:t>
      </w:r>
      <w:r w:rsidR="00F236A6" w:rsidRPr="00FC1976">
        <w:rPr>
          <w:lang w:val="en-AU"/>
        </w:rPr>
        <w:t xml:space="preserve"> and the Committee agreed that </w:t>
      </w:r>
      <w:r w:rsidR="00A60476" w:rsidRPr="00FC1976">
        <w:rPr>
          <w:lang w:val="en-AU"/>
        </w:rPr>
        <w:t xml:space="preserve">an assistant is required to perform these procedures safely and accurately. </w:t>
      </w:r>
    </w:p>
    <w:p w14:paraId="01B73F73" w14:textId="77777777" w:rsidR="00A60476" w:rsidRPr="00FC1976" w:rsidRDefault="00A60476" w:rsidP="00E15A50">
      <w:pPr>
        <w:pStyle w:val="01squarebullet"/>
        <w:rPr>
          <w:lang w:val="en-AU"/>
        </w:rPr>
      </w:pPr>
      <w:r w:rsidRPr="00FC1976">
        <w:rPr>
          <w:lang w:val="en-AU"/>
        </w:rPr>
        <w:t xml:space="preserve">Although </w:t>
      </w:r>
      <w:r w:rsidR="0045155B">
        <w:rPr>
          <w:lang w:val="en-AU"/>
        </w:rPr>
        <w:t xml:space="preserve">surgeons associated with renal units usually perform </w:t>
      </w:r>
      <w:r w:rsidRPr="00FC1976">
        <w:rPr>
          <w:lang w:val="en-AU"/>
        </w:rPr>
        <w:t>insertion and removal of a Tenckhoff catheter</w:t>
      </w:r>
      <w:r w:rsidRPr="00FC1976" w:rsidDel="00C23C84">
        <w:rPr>
          <w:lang w:val="en-AU"/>
        </w:rPr>
        <w:t xml:space="preserve"> </w:t>
      </w:r>
      <w:r w:rsidRPr="00FC1976">
        <w:rPr>
          <w:lang w:val="en-AU"/>
        </w:rPr>
        <w:t xml:space="preserve">as a specialised procedure, it is performed laparoscopically in some </w:t>
      </w:r>
      <w:r w:rsidR="006658D2">
        <w:rPr>
          <w:lang w:val="en-AU"/>
        </w:rPr>
        <w:t>centres</w:t>
      </w:r>
      <w:r w:rsidRPr="00FC1976">
        <w:rPr>
          <w:lang w:val="en-AU"/>
        </w:rPr>
        <w:t>. Laparoscopic insertion or repositioning of Tenckhoff catheters are new techniques and have never had an item number. Increasing the fee for insertion and removal of a Tenckhoff catheter (whether open or laparoscopic) will better reflect the time, effort and expertise required to use these new techniques. A laparoscopy item number</w:t>
      </w:r>
      <w:r w:rsidR="00F22261" w:rsidRPr="00FC1976">
        <w:rPr>
          <w:lang w:val="en-AU"/>
        </w:rPr>
        <w:t xml:space="preserve"> is currently also </w:t>
      </w:r>
      <w:r w:rsidRPr="00FC1976">
        <w:rPr>
          <w:lang w:val="en-AU"/>
        </w:rPr>
        <w:t xml:space="preserve">charged </w:t>
      </w:r>
      <w:r w:rsidR="00F22261" w:rsidRPr="00FC1976">
        <w:rPr>
          <w:lang w:val="en-AU"/>
        </w:rPr>
        <w:t xml:space="preserve">by some providers for these procedures, </w:t>
      </w:r>
      <w:r w:rsidR="009823D7">
        <w:rPr>
          <w:lang w:val="en-AU"/>
        </w:rPr>
        <w:t>al</w:t>
      </w:r>
      <w:r w:rsidR="00F22261" w:rsidRPr="00FC1976">
        <w:rPr>
          <w:lang w:val="en-AU"/>
        </w:rPr>
        <w:t>though the Department noted that this was not appropriate.</w:t>
      </w:r>
      <w:r w:rsidRPr="00FC1976">
        <w:rPr>
          <w:lang w:val="en-AU"/>
        </w:rPr>
        <w:t xml:space="preserve"> </w:t>
      </w:r>
    </w:p>
    <w:p w14:paraId="6E09DFBD" w14:textId="77777777" w:rsidR="00DF77F2" w:rsidRPr="00FC1976" w:rsidRDefault="00527A9A" w:rsidP="00E15A50">
      <w:pPr>
        <w:pStyle w:val="01squarebullet"/>
        <w:rPr>
          <w:lang w:val="en-AU"/>
        </w:rPr>
      </w:pPr>
      <w:r>
        <w:rPr>
          <w:lang w:val="en-AU"/>
        </w:rPr>
        <w:t>The Committee</w:t>
      </w:r>
      <w:r w:rsidRPr="00FC1976">
        <w:rPr>
          <w:lang w:val="en-AU"/>
        </w:rPr>
        <w:t xml:space="preserve"> </w:t>
      </w:r>
      <w:r w:rsidR="00DF77F2" w:rsidRPr="00FC1976">
        <w:rPr>
          <w:lang w:val="en-AU"/>
        </w:rPr>
        <w:t xml:space="preserve">considered </w:t>
      </w:r>
      <w:r w:rsidR="000F7D4A">
        <w:rPr>
          <w:lang w:val="en-AU"/>
        </w:rPr>
        <w:t>whether</w:t>
      </w:r>
      <w:r w:rsidR="00B576C7">
        <w:rPr>
          <w:lang w:val="en-AU"/>
        </w:rPr>
        <w:t xml:space="preserve"> it </w:t>
      </w:r>
      <w:r w:rsidR="00054178">
        <w:rPr>
          <w:lang w:val="en-AU"/>
        </w:rPr>
        <w:t>might</w:t>
      </w:r>
      <w:r w:rsidR="00B576C7">
        <w:rPr>
          <w:lang w:val="en-AU"/>
        </w:rPr>
        <w:t xml:space="preserve"> be more appropriate for</w:t>
      </w:r>
      <w:r w:rsidR="00DF77F2" w:rsidRPr="00FC1976">
        <w:rPr>
          <w:lang w:val="en-AU"/>
        </w:rPr>
        <w:t xml:space="preserve"> an alternative </w:t>
      </w:r>
      <w:r w:rsidR="007D479F">
        <w:rPr>
          <w:lang w:val="en-AU"/>
        </w:rPr>
        <w:t>Clinical Committee</w:t>
      </w:r>
      <w:r w:rsidR="00DF77F2" w:rsidRPr="00FC1976">
        <w:rPr>
          <w:lang w:val="en-AU"/>
        </w:rPr>
        <w:t xml:space="preserve"> to review this item</w:t>
      </w:r>
      <w:r w:rsidR="00A43C16">
        <w:rPr>
          <w:lang w:val="en-AU"/>
        </w:rPr>
        <w:t>,</w:t>
      </w:r>
      <w:r w:rsidR="00DF77F2" w:rsidRPr="00FC1976">
        <w:rPr>
          <w:lang w:val="en-AU"/>
        </w:rPr>
        <w:t xml:space="preserve"> as only one </w:t>
      </w:r>
      <w:r w:rsidR="005C3B2D">
        <w:rPr>
          <w:lang w:val="en-AU"/>
        </w:rPr>
        <w:t xml:space="preserve">Committee </w:t>
      </w:r>
      <w:r w:rsidR="00DF77F2" w:rsidRPr="00FC1976">
        <w:rPr>
          <w:lang w:val="en-AU"/>
        </w:rPr>
        <w:t>member had expertise relating to the item</w:t>
      </w:r>
      <w:r w:rsidR="006D57F0">
        <w:rPr>
          <w:lang w:val="en-AU"/>
        </w:rPr>
        <w:t>.</w:t>
      </w:r>
      <w:r w:rsidR="00DF77F2" w:rsidRPr="00FC1976">
        <w:rPr>
          <w:lang w:val="en-AU"/>
        </w:rPr>
        <w:t xml:space="preserve"> </w:t>
      </w:r>
      <w:r w:rsidR="006D57F0">
        <w:rPr>
          <w:lang w:val="en-AU"/>
        </w:rPr>
        <w:t>H</w:t>
      </w:r>
      <w:r w:rsidR="00DF77F2" w:rsidRPr="00FC1976">
        <w:rPr>
          <w:lang w:val="en-AU"/>
        </w:rPr>
        <w:t>owever</w:t>
      </w:r>
      <w:r w:rsidR="00B1711D">
        <w:rPr>
          <w:lang w:val="en-AU"/>
        </w:rPr>
        <w:t>,</w:t>
      </w:r>
      <w:r w:rsidR="00DF77F2" w:rsidRPr="00FC1976">
        <w:rPr>
          <w:lang w:val="en-AU"/>
        </w:rPr>
        <w:t xml:space="preserve"> acknowledging that this item is low volume and performed by providers </w:t>
      </w:r>
      <w:r w:rsidR="005E3EA4">
        <w:rPr>
          <w:lang w:val="en-AU"/>
        </w:rPr>
        <w:t>from</w:t>
      </w:r>
      <w:r w:rsidR="005E3EA4" w:rsidRPr="00FC1976">
        <w:rPr>
          <w:lang w:val="en-AU"/>
        </w:rPr>
        <w:t xml:space="preserve"> </w:t>
      </w:r>
      <w:r w:rsidR="00DF77F2" w:rsidRPr="00FC1976">
        <w:rPr>
          <w:lang w:val="en-AU"/>
        </w:rPr>
        <w:t xml:space="preserve">a variety of specialties, it felt that it was appropriate for the Committee to retain the item </w:t>
      </w:r>
      <w:r w:rsidR="00FF1BE8">
        <w:rPr>
          <w:lang w:val="en-AU"/>
        </w:rPr>
        <w:t xml:space="preserve">within its </w:t>
      </w:r>
      <w:r w:rsidR="00DF77F2" w:rsidRPr="00FC1976">
        <w:rPr>
          <w:lang w:val="en-AU"/>
        </w:rPr>
        <w:t xml:space="preserve">scope. </w:t>
      </w:r>
      <w:r w:rsidR="0079631F">
        <w:rPr>
          <w:lang w:val="en-AU"/>
        </w:rPr>
        <w:t>The Committee</w:t>
      </w:r>
      <w:r w:rsidR="0079631F" w:rsidRPr="00FC1976">
        <w:rPr>
          <w:lang w:val="en-AU"/>
        </w:rPr>
        <w:t xml:space="preserve"> </w:t>
      </w:r>
      <w:r w:rsidR="00DF77F2" w:rsidRPr="00FC1976">
        <w:rPr>
          <w:lang w:val="en-AU"/>
        </w:rPr>
        <w:t>noted that</w:t>
      </w:r>
      <w:r w:rsidR="00F54B9D" w:rsidRPr="00FC1976">
        <w:rPr>
          <w:lang w:val="en-AU"/>
        </w:rPr>
        <w:t xml:space="preserve"> nephrologists may upskill to provide this service to their communities</w:t>
      </w:r>
      <w:r w:rsidR="00973161">
        <w:rPr>
          <w:lang w:val="en-AU"/>
        </w:rPr>
        <w:t>, particularly in rural and remote areas.</w:t>
      </w:r>
      <w:r w:rsidR="00F54B9D" w:rsidRPr="00FC1976">
        <w:rPr>
          <w:lang w:val="en-AU"/>
        </w:rPr>
        <w:t xml:space="preserve"> </w:t>
      </w:r>
    </w:p>
    <w:p w14:paraId="0BD94203" w14:textId="77777777" w:rsidR="00AB752F" w:rsidRPr="00FC1976" w:rsidRDefault="00F54B9D" w:rsidP="00AB752F">
      <w:pPr>
        <w:pStyle w:val="01squarebullet"/>
        <w:rPr>
          <w:lang w:val="en-AU"/>
        </w:rPr>
      </w:pPr>
      <w:r w:rsidRPr="00FC1976">
        <w:rPr>
          <w:lang w:val="en-AU"/>
        </w:rPr>
        <w:t xml:space="preserve">The Committee agreed that the current service volume is not suggestive of a significant access issue as a result of the current schedule fee. </w:t>
      </w:r>
    </w:p>
    <w:p w14:paraId="28C62A4F" w14:textId="77777777" w:rsidR="00FE1340" w:rsidRPr="00FC1976" w:rsidRDefault="00FE1340" w:rsidP="005076E4">
      <w:pPr>
        <w:pStyle w:val="Heading2"/>
        <w:rPr>
          <w:lang w:val="en-AU"/>
        </w:rPr>
      </w:pPr>
      <w:bookmarkStart w:id="125" w:name="_Toc459996818"/>
      <w:bookmarkStart w:id="126" w:name="_Toc458167008"/>
      <w:bookmarkStart w:id="127" w:name="_Toc467668961"/>
      <w:bookmarkEnd w:id="118"/>
      <w:bookmarkEnd w:id="119"/>
      <w:r w:rsidRPr="00FC1976">
        <w:rPr>
          <w:lang w:val="en-AU"/>
        </w:rPr>
        <w:t>Paediatric–</w:t>
      </w:r>
      <w:r w:rsidR="00442F2E">
        <w:rPr>
          <w:lang w:val="en-AU"/>
        </w:rPr>
        <w:t>a</w:t>
      </w:r>
      <w:r w:rsidRPr="00FC1976">
        <w:rPr>
          <w:lang w:val="en-AU"/>
        </w:rPr>
        <w:t>dult transition</w:t>
      </w:r>
      <w:bookmarkEnd w:id="125"/>
      <w:bookmarkEnd w:id="126"/>
      <w:bookmarkEnd w:id="127"/>
      <w:r w:rsidRPr="00FC1976">
        <w:rPr>
          <w:lang w:val="en-AU"/>
        </w:rPr>
        <w:t xml:space="preserve"> </w:t>
      </w:r>
    </w:p>
    <w:p w14:paraId="5551DB89" w14:textId="77777777" w:rsidR="00FE1340" w:rsidRPr="00FC1976" w:rsidRDefault="00FE1340" w:rsidP="00EE7BD8">
      <w:pPr>
        <w:pStyle w:val="H3"/>
      </w:pPr>
      <w:r w:rsidRPr="00FC1976">
        <w:t>Recommendation</w:t>
      </w:r>
      <w:r w:rsidR="007D66EE">
        <w:t>s</w:t>
      </w:r>
    </w:p>
    <w:p w14:paraId="405FF182" w14:textId="77777777" w:rsidR="00A05F5A" w:rsidRPr="00FC1976" w:rsidRDefault="00FE1340" w:rsidP="00E15A50">
      <w:pPr>
        <w:pStyle w:val="01squarebullet"/>
        <w:rPr>
          <w:lang w:val="en-AU"/>
        </w:rPr>
      </w:pPr>
      <w:r w:rsidRPr="00FC1976">
        <w:rPr>
          <w:lang w:val="en-AU"/>
        </w:rPr>
        <w:t>The Committee strongly recommend</w:t>
      </w:r>
      <w:r w:rsidR="00840BC2">
        <w:rPr>
          <w:lang w:val="en-AU"/>
        </w:rPr>
        <w:t>ed</w:t>
      </w:r>
      <w:r w:rsidRPr="00FC1976">
        <w:rPr>
          <w:lang w:val="en-AU"/>
        </w:rPr>
        <w:t xml:space="preserve"> referring the issue of paediatric–adult transition of patients with complex kidney disease to an appropriate government or inter-governmental body or group, such as the Council of Australian Governments. </w:t>
      </w:r>
    </w:p>
    <w:p w14:paraId="3BC0E0CB" w14:textId="77777777" w:rsidR="00FE1340" w:rsidRPr="00FC1976" w:rsidRDefault="00FE1340" w:rsidP="00E15A50">
      <w:pPr>
        <w:pStyle w:val="01squarebullet"/>
        <w:rPr>
          <w:lang w:val="en-AU"/>
        </w:rPr>
      </w:pPr>
      <w:r w:rsidRPr="00FC1976">
        <w:rPr>
          <w:lang w:val="en-AU"/>
        </w:rPr>
        <w:t>The Committee propose</w:t>
      </w:r>
      <w:r w:rsidR="00120318">
        <w:rPr>
          <w:lang w:val="en-AU"/>
        </w:rPr>
        <w:t>d</w:t>
      </w:r>
      <w:r w:rsidRPr="00FC1976">
        <w:rPr>
          <w:lang w:val="en-AU"/>
        </w:rPr>
        <w:t xml:space="preserve"> that a</w:t>
      </w:r>
      <w:r w:rsidR="00A05F5A" w:rsidRPr="00FC1976">
        <w:rPr>
          <w:lang w:val="en-AU"/>
        </w:rPr>
        <w:t>n ongoing and sustainable</w:t>
      </w:r>
      <w:r w:rsidRPr="00FC1976">
        <w:rPr>
          <w:lang w:val="en-AU"/>
        </w:rPr>
        <w:t xml:space="preserve"> service (or funding for a service) should be created to provide support for the </w:t>
      </w:r>
      <w:r w:rsidR="00F11176" w:rsidRPr="00FC1976">
        <w:rPr>
          <w:lang w:val="en-AU"/>
        </w:rPr>
        <w:t xml:space="preserve">care of adolescent </w:t>
      </w:r>
      <w:r w:rsidRPr="00FC1976">
        <w:rPr>
          <w:lang w:val="en-AU"/>
        </w:rPr>
        <w:t>patients</w:t>
      </w:r>
      <w:r w:rsidR="00F11176" w:rsidRPr="00FC1976">
        <w:rPr>
          <w:lang w:val="en-AU"/>
        </w:rPr>
        <w:t xml:space="preserve"> with complex kidney disease</w:t>
      </w:r>
      <w:r w:rsidRPr="00FC1976">
        <w:rPr>
          <w:lang w:val="en-AU"/>
        </w:rPr>
        <w:t>. This service should:</w:t>
      </w:r>
    </w:p>
    <w:p w14:paraId="717C9A0B" w14:textId="77777777" w:rsidR="00FE1340" w:rsidRPr="00FC1976" w:rsidRDefault="00FE1340" w:rsidP="008460E3">
      <w:pPr>
        <w:pStyle w:val="02dash"/>
        <w:rPr>
          <w:lang w:val="en-AU"/>
        </w:rPr>
      </w:pPr>
      <w:r w:rsidRPr="00FC1976">
        <w:rPr>
          <w:lang w:val="en-AU"/>
        </w:rPr>
        <w:t xml:space="preserve">Be available for patients with complex kidney disease who are between 16 and 23 years old and within six months of transitioning </w:t>
      </w:r>
      <w:r w:rsidR="00A05F5A" w:rsidRPr="00FC1976">
        <w:rPr>
          <w:lang w:val="en-AU"/>
        </w:rPr>
        <w:t xml:space="preserve">from paediatric </w:t>
      </w:r>
      <w:r w:rsidRPr="00FC1976">
        <w:rPr>
          <w:lang w:val="en-AU"/>
        </w:rPr>
        <w:t>to adult services.</w:t>
      </w:r>
    </w:p>
    <w:p w14:paraId="542E9114" w14:textId="77777777" w:rsidR="00741F06" w:rsidRPr="00FC1976" w:rsidRDefault="00FE1340" w:rsidP="008460E3">
      <w:pPr>
        <w:pStyle w:val="02dash"/>
        <w:rPr>
          <w:lang w:val="en-AU"/>
        </w:rPr>
      </w:pPr>
      <w:r w:rsidRPr="00FC1976">
        <w:rPr>
          <w:lang w:val="en-AU"/>
        </w:rPr>
        <w:t>Include funding to cover the cost of young adult complex care consultations, which involve</w:t>
      </w:r>
      <w:r w:rsidR="00A05F5A" w:rsidRPr="00FC1976">
        <w:rPr>
          <w:lang w:val="en-AU"/>
        </w:rPr>
        <w:t xml:space="preserve"> history</w:t>
      </w:r>
      <w:r w:rsidR="000150D7">
        <w:rPr>
          <w:lang w:val="en-AU"/>
        </w:rPr>
        <w:t>-</w:t>
      </w:r>
      <w:r w:rsidR="00A05F5A" w:rsidRPr="00FC1976">
        <w:rPr>
          <w:lang w:val="en-AU"/>
        </w:rPr>
        <w:t xml:space="preserve">taking, identification of the patient’s </w:t>
      </w:r>
      <w:r w:rsidR="0087617E" w:rsidRPr="00FC1976">
        <w:rPr>
          <w:lang w:val="en-AU"/>
        </w:rPr>
        <w:t>multi-disciplinary team (</w:t>
      </w:r>
      <w:r w:rsidR="00A05F5A" w:rsidRPr="00FC1976">
        <w:rPr>
          <w:lang w:val="en-AU"/>
        </w:rPr>
        <w:t>MDT</w:t>
      </w:r>
      <w:r w:rsidR="0087617E" w:rsidRPr="00FC1976">
        <w:rPr>
          <w:lang w:val="en-AU"/>
        </w:rPr>
        <w:t>)</w:t>
      </w:r>
      <w:r w:rsidR="00A05F5A" w:rsidRPr="00FC1976">
        <w:rPr>
          <w:lang w:val="en-AU"/>
        </w:rPr>
        <w:t xml:space="preserve"> care needs and outcomes to be achieved by members of the care team, </w:t>
      </w:r>
      <w:r w:rsidR="00975108" w:rsidRPr="00FC1976">
        <w:rPr>
          <w:lang w:val="en-AU"/>
        </w:rPr>
        <w:t>the execution of all tasks necessary to achieve these outcomes, and evaluation of patient progress against clear</w:t>
      </w:r>
      <w:r w:rsidR="00B54E3B">
        <w:rPr>
          <w:lang w:val="en-AU"/>
        </w:rPr>
        <w:t>,</w:t>
      </w:r>
      <w:r w:rsidR="00975108" w:rsidRPr="00FC1976">
        <w:rPr>
          <w:lang w:val="en-AU"/>
        </w:rPr>
        <w:t xml:space="preserve"> patient</w:t>
      </w:r>
      <w:r w:rsidR="000150D7">
        <w:rPr>
          <w:lang w:val="en-AU"/>
        </w:rPr>
        <w:t>-</w:t>
      </w:r>
      <w:r w:rsidR="00975108" w:rsidRPr="00FC1976">
        <w:rPr>
          <w:lang w:val="en-AU"/>
        </w:rPr>
        <w:t>focused goals.</w:t>
      </w:r>
      <w:r w:rsidRPr="00FC1976">
        <w:rPr>
          <w:lang w:val="en-AU"/>
        </w:rPr>
        <w:t xml:space="preserve"> </w:t>
      </w:r>
    </w:p>
    <w:p w14:paraId="19809A7D" w14:textId="77777777" w:rsidR="00741F06" w:rsidRPr="00FC1976" w:rsidRDefault="007943C2" w:rsidP="008460E3">
      <w:pPr>
        <w:pStyle w:val="02dash"/>
        <w:rPr>
          <w:lang w:val="en-AU"/>
        </w:rPr>
      </w:pPr>
      <w:r w:rsidRPr="00FC1976">
        <w:rPr>
          <w:lang w:val="en-AU"/>
        </w:rPr>
        <w:t>B</w:t>
      </w:r>
      <w:r w:rsidR="00FE1340" w:rsidRPr="00FC1976">
        <w:rPr>
          <w:lang w:val="en-AU"/>
        </w:rPr>
        <w:t>e attended by the following: at least one nephrologist</w:t>
      </w:r>
      <w:r w:rsidR="00C42811" w:rsidRPr="00FC1976">
        <w:rPr>
          <w:lang w:val="en-AU"/>
        </w:rPr>
        <w:t>;</w:t>
      </w:r>
      <w:r w:rsidR="00FE1340" w:rsidRPr="00FC1976">
        <w:rPr>
          <w:lang w:val="en-AU"/>
        </w:rPr>
        <w:t xml:space="preserve"> a youth worker</w:t>
      </w:r>
      <w:r w:rsidR="00C42811" w:rsidRPr="00FC1976">
        <w:rPr>
          <w:lang w:val="en-AU"/>
        </w:rPr>
        <w:t>;</w:t>
      </w:r>
      <w:r w:rsidR="00FE1340" w:rsidRPr="00FC1976">
        <w:rPr>
          <w:lang w:val="en-AU"/>
        </w:rPr>
        <w:t xml:space="preserve"> at least two</w:t>
      </w:r>
      <w:r w:rsidR="00975108" w:rsidRPr="00FC1976">
        <w:rPr>
          <w:lang w:val="en-AU"/>
        </w:rPr>
        <w:t xml:space="preserve"> other providers</w:t>
      </w:r>
      <w:r w:rsidR="00FE1340" w:rsidRPr="00FC1976">
        <w:rPr>
          <w:lang w:val="en-AU"/>
        </w:rPr>
        <w:t xml:space="preserve"> who provide a different kind of care or service to the patient (specifically, a specialist nurse, general practitioner or allied health professional) and are not the patient’s family</w:t>
      </w:r>
      <w:r w:rsidR="00C47F81" w:rsidRPr="00FC1976">
        <w:rPr>
          <w:lang w:val="en-AU"/>
        </w:rPr>
        <w:t>/</w:t>
      </w:r>
      <w:r w:rsidR="00FE1340" w:rsidRPr="00FC1976">
        <w:rPr>
          <w:lang w:val="en-AU"/>
        </w:rPr>
        <w:t>carers; and the patient (who should be physically present). Additional specialists (e</w:t>
      </w:r>
      <w:r w:rsidR="00975108" w:rsidRPr="00FC1976">
        <w:rPr>
          <w:lang w:val="en-AU"/>
        </w:rPr>
        <w:t xml:space="preserve">.g., a paediatric nephrologist or </w:t>
      </w:r>
      <w:r w:rsidR="00FE1340" w:rsidRPr="00FC1976">
        <w:rPr>
          <w:lang w:val="en-AU"/>
        </w:rPr>
        <w:t xml:space="preserve">urologist) may be in attendance as appropriate. </w:t>
      </w:r>
    </w:p>
    <w:p w14:paraId="75B3684D" w14:textId="77777777" w:rsidR="00741F06" w:rsidRPr="00FC1976" w:rsidRDefault="007943C2" w:rsidP="008460E3">
      <w:pPr>
        <w:pStyle w:val="02dash"/>
        <w:rPr>
          <w:lang w:val="en-AU"/>
        </w:rPr>
      </w:pPr>
      <w:r w:rsidRPr="00FC1976">
        <w:rPr>
          <w:lang w:val="en-AU"/>
        </w:rPr>
        <w:t>I</w:t>
      </w:r>
      <w:r w:rsidR="009674C6" w:rsidRPr="00FC1976">
        <w:rPr>
          <w:lang w:val="en-AU"/>
        </w:rPr>
        <w:t>nvolve regular communication with and involvement of the patient’s usual GP.</w:t>
      </w:r>
    </w:p>
    <w:p w14:paraId="7EB54954" w14:textId="77777777" w:rsidR="009674C6" w:rsidRPr="00FC1976" w:rsidRDefault="007943C2" w:rsidP="008460E3">
      <w:pPr>
        <w:pStyle w:val="02dash"/>
        <w:rPr>
          <w:lang w:val="en-AU"/>
        </w:rPr>
      </w:pPr>
      <w:r w:rsidRPr="00FC1976">
        <w:rPr>
          <w:lang w:val="en-AU"/>
        </w:rPr>
        <w:t>T</w:t>
      </w:r>
      <w:r w:rsidR="00FE1340" w:rsidRPr="00FC1976">
        <w:rPr>
          <w:lang w:val="en-AU"/>
        </w:rPr>
        <w:t xml:space="preserve">ake place in a </w:t>
      </w:r>
      <w:r w:rsidR="000C01B2" w:rsidRPr="00FC1976">
        <w:rPr>
          <w:lang w:val="en-AU"/>
        </w:rPr>
        <w:t>youth</w:t>
      </w:r>
      <w:r w:rsidR="007170E2">
        <w:rPr>
          <w:lang w:val="en-AU"/>
        </w:rPr>
        <w:t>-</w:t>
      </w:r>
      <w:r w:rsidR="000C01B2" w:rsidRPr="00FC1976">
        <w:rPr>
          <w:lang w:val="en-AU"/>
        </w:rPr>
        <w:t xml:space="preserve">friendly location, generally a </w:t>
      </w:r>
      <w:r w:rsidR="00FE1340" w:rsidRPr="00FC1976">
        <w:rPr>
          <w:lang w:val="en-AU"/>
        </w:rPr>
        <w:t xml:space="preserve">clinic or rooms </w:t>
      </w:r>
      <w:r w:rsidR="000C01B2" w:rsidRPr="00FC1976">
        <w:rPr>
          <w:lang w:val="en-AU"/>
        </w:rPr>
        <w:t xml:space="preserve">designed </w:t>
      </w:r>
      <w:r w:rsidR="005941E7" w:rsidRPr="00FC1976">
        <w:rPr>
          <w:lang w:val="en-AU"/>
        </w:rPr>
        <w:t>for young adults</w:t>
      </w:r>
      <w:r w:rsidR="004625B5">
        <w:rPr>
          <w:lang w:val="en-AU"/>
        </w:rPr>
        <w:t>,</w:t>
      </w:r>
      <w:r w:rsidR="005941E7" w:rsidRPr="00FC1976">
        <w:rPr>
          <w:lang w:val="en-AU"/>
        </w:rPr>
        <w:t xml:space="preserve"> </w:t>
      </w:r>
      <w:r w:rsidR="00FE1340" w:rsidRPr="00FC1976">
        <w:rPr>
          <w:lang w:val="en-AU"/>
        </w:rPr>
        <w:t xml:space="preserve">separate from a hospital. </w:t>
      </w:r>
    </w:p>
    <w:p w14:paraId="0BCB295C" w14:textId="77777777" w:rsidR="008C4AFD" w:rsidRPr="00FC1976" w:rsidRDefault="007943C2" w:rsidP="008460E3">
      <w:pPr>
        <w:pStyle w:val="02dash"/>
        <w:rPr>
          <w:lang w:val="en-AU"/>
        </w:rPr>
      </w:pPr>
      <w:r w:rsidRPr="00FC1976">
        <w:rPr>
          <w:lang w:val="en-AU"/>
        </w:rPr>
        <w:t>P</w:t>
      </w:r>
      <w:r w:rsidR="009674C6" w:rsidRPr="00FC1976">
        <w:rPr>
          <w:lang w:val="en-AU"/>
        </w:rPr>
        <w:t>rovide care over a period of around two years, noting that cognitive development</w:t>
      </w:r>
      <w:r w:rsidR="00DE37BC">
        <w:rPr>
          <w:lang w:val="en-AU"/>
        </w:rPr>
        <w:t>—</w:t>
      </w:r>
      <w:r w:rsidR="009674C6" w:rsidRPr="00FC1976">
        <w:rPr>
          <w:lang w:val="en-AU"/>
        </w:rPr>
        <w:t xml:space="preserve"> particularly of executive functioning</w:t>
      </w:r>
      <w:r w:rsidR="00DE37BC">
        <w:rPr>
          <w:lang w:val="en-AU"/>
        </w:rPr>
        <w:t>—</w:t>
      </w:r>
      <w:r w:rsidR="009674C6" w:rsidRPr="00FC1976">
        <w:rPr>
          <w:lang w:val="en-AU"/>
        </w:rPr>
        <w:t>is often somewhat delayed in complex chronic renal patients.</w:t>
      </w:r>
    </w:p>
    <w:p w14:paraId="0BFE5C0F" w14:textId="77777777" w:rsidR="00FE1340" w:rsidRDefault="00FE1340" w:rsidP="00EE7BD8">
      <w:pPr>
        <w:pStyle w:val="H3"/>
      </w:pPr>
      <w:r w:rsidRPr="00FC1976">
        <w:t>Rationale</w:t>
      </w:r>
    </w:p>
    <w:p w14:paraId="381E5051" w14:textId="77777777" w:rsidR="00233A55" w:rsidRDefault="00233A55" w:rsidP="00A143E4">
      <w:pPr>
        <w:pStyle w:val="01squarebullet"/>
        <w:numPr>
          <w:ilvl w:val="0"/>
          <w:numId w:val="0"/>
        </w:numPr>
        <w:spacing w:before="200"/>
        <w:ind w:left="357" w:hanging="357"/>
        <w:rPr>
          <w:lang w:val="en-AU"/>
        </w:rPr>
      </w:pPr>
      <w:r>
        <w:rPr>
          <w:lang w:val="en-AU"/>
        </w:rPr>
        <w:t>These recommendations focus o</w:t>
      </w:r>
      <w:r w:rsidR="00E87FB8">
        <w:rPr>
          <w:lang w:val="en-AU"/>
        </w:rPr>
        <w:t>n improving patient outcomes</w:t>
      </w:r>
      <w:r>
        <w:rPr>
          <w:lang w:val="en-AU"/>
        </w:rPr>
        <w:t xml:space="preserve"> and are based on the following observations.</w:t>
      </w:r>
    </w:p>
    <w:p w14:paraId="7DFBF4FC" w14:textId="77777777" w:rsidR="00FA707F" w:rsidRPr="00FC1976" w:rsidRDefault="00FE1340" w:rsidP="00E15A50">
      <w:pPr>
        <w:pStyle w:val="01squarebullet"/>
        <w:rPr>
          <w:lang w:val="en-AU"/>
        </w:rPr>
      </w:pPr>
      <w:r w:rsidRPr="00FC1976">
        <w:rPr>
          <w:lang w:val="en-AU"/>
        </w:rPr>
        <w:t>Teenagers and young adults have poorer outcomes than other transplant recipients, including a high incidence of late acute rejection episodes. Non-adherence to immunosuppressive regimens is a key contributory factor</w:t>
      </w:r>
      <w:r w:rsidR="00A143E4">
        <w:rPr>
          <w:lang w:val="en-AU"/>
        </w:rPr>
        <w:t xml:space="preserve"> </w:t>
      </w:r>
      <w:r w:rsidRPr="00FC1976">
        <w:rPr>
          <w:lang w:val="en-AU"/>
        </w:rPr>
        <w:fldChar w:fldCharType="begin" w:fldLock="1"/>
      </w:r>
      <w:r w:rsidR="00B409DB">
        <w:rPr>
          <w:lang w:val="en-AU"/>
        </w:rPr>
        <w:instrText>ADDIN CSL_CITATION { "citationItems" : [ { "id" : "ITEM-1", "itemData" : { "DOI" : "http://www.cari.org.au/Transplantation/transplantation%20recipient%20assessment/Paediatric_recipients.pdf", "URL" : "http://www.cari.org.au/Transplantation/transplantation recipient assessment/Paediatric_recipients.pdf", "accessed" : { "date-parts" : [ [ "2016", "7", "28" ] ] }, "author" : [ { "dropping-particle" : "", "family" : "McTaggart", "given" : "Steven", "non-dropping-particle" : "", "parse-names" : false, "suffix" : "" } ], "container-title" : "CARI Guidelines", "id" : "ITEM-1", "issued" : { "date-parts" : [ [ "2011" ] ] }, "page" : "1-8", "title" : "Transplant guidelines for paediatric recipients", "type" : "webpage" }, "uris" : [ "http://www.mendeley.com/documents/?uuid=b7e62b04-b40e-411a-bb09-b9d6def82d42" ] } ], "mendeley" : { "formattedCitation" : "(28)", "plainTextFormattedCitation" : "(28)", "previouslyFormattedCitation" : "(28)" }, "properties" : { "noteIndex" : 0 }, "schema" : "https://github.com/citation-style-language/schema/raw/master/csl-citation.json" }</w:instrText>
      </w:r>
      <w:r w:rsidRPr="00FC1976">
        <w:rPr>
          <w:lang w:val="en-AU"/>
        </w:rPr>
        <w:fldChar w:fldCharType="separate"/>
      </w:r>
      <w:r w:rsidR="0099742A" w:rsidRPr="0099742A">
        <w:rPr>
          <w:noProof/>
          <w:lang w:val="en-AU"/>
        </w:rPr>
        <w:t>(28)</w:t>
      </w:r>
      <w:r w:rsidRPr="00FC1976">
        <w:rPr>
          <w:lang w:val="en-AU"/>
        </w:rPr>
        <w:fldChar w:fldCharType="end"/>
      </w:r>
      <w:r w:rsidR="00A143E4">
        <w:rPr>
          <w:lang w:val="en-AU"/>
        </w:rPr>
        <w:t>,</w:t>
      </w:r>
      <w:r w:rsidRPr="00FC1976">
        <w:rPr>
          <w:lang w:val="en-AU"/>
        </w:rPr>
        <w:t xml:space="preserve"> which suggests that young people have poorer compliance and often miss out on adequate follow</w:t>
      </w:r>
      <w:r w:rsidR="000B7A70">
        <w:rPr>
          <w:lang w:val="en-AU"/>
        </w:rPr>
        <w:t>-</w:t>
      </w:r>
      <w:r w:rsidRPr="00FC1976">
        <w:rPr>
          <w:lang w:val="en-AU"/>
        </w:rPr>
        <w:t>up</w:t>
      </w:r>
      <w:r w:rsidR="000B7A70">
        <w:rPr>
          <w:lang w:val="en-AU"/>
        </w:rPr>
        <w:t xml:space="preserve">. </w:t>
      </w:r>
      <w:r w:rsidRPr="00FC1976">
        <w:rPr>
          <w:lang w:val="en-AU"/>
        </w:rPr>
        <w:t>These poor outcomes reflect a number of difficulties unique to teenage and young adult patients. For example, patients are transitioning from a paediatric system</w:t>
      </w:r>
      <w:r w:rsidR="002D5AA5">
        <w:rPr>
          <w:lang w:val="en-AU"/>
        </w:rPr>
        <w:t>,</w:t>
      </w:r>
      <w:r w:rsidRPr="00FC1976">
        <w:rPr>
          <w:lang w:val="en-AU"/>
        </w:rPr>
        <w:t xml:space="preserve"> </w:t>
      </w:r>
      <w:r w:rsidR="000B7A70">
        <w:rPr>
          <w:lang w:val="en-AU"/>
        </w:rPr>
        <w:t>where</w:t>
      </w:r>
      <w:r w:rsidR="000B7A70" w:rsidRPr="00FC1976">
        <w:rPr>
          <w:lang w:val="en-AU"/>
        </w:rPr>
        <w:t xml:space="preserve"> </w:t>
      </w:r>
      <w:r w:rsidR="00AF04A8">
        <w:rPr>
          <w:lang w:val="en-AU"/>
        </w:rPr>
        <w:t xml:space="preserve">parents and the health care team assume </w:t>
      </w:r>
      <w:r w:rsidRPr="00FC1976">
        <w:rPr>
          <w:lang w:val="en-AU"/>
        </w:rPr>
        <w:t>great responsibility</w:t>
      </w:r>
      <w:r w:rsidR="002D5AA5">
        <w:rPr>
          <w:lang w:val="en-AU"/>
        </w:rPr>
        <w:t>,</w:t>
      </w:r>
      <w:r w:rsidRPr="00FC1976">
        <w:rPr>
          <w:lang w:val="en-AU"/>
        </w:rPr>
        <w:t xml:space="preserve"> to an adult system where they need to become responsible for their own care</w:t>
      </w:r>
      <w:r w:rsidR="001D4FE5">
        <w:rPr>
          <w:lang w:val="en-AU"/>
        </w:rPr>
        <w:t>—</w:t>
      </w:r>
      <w:r w:rsidRPr="00FC1976">
        <w:rPr>
          <w:lang w:val="en-AU"/>
        </w:rPr>
        <w:t>a shift that can require upskilling. In addition, it is difficult to coordinate care as young adults with complex health</w:t>
      </w:r>
      <w:r w:rsidR="00A251FD">
        <w:rPr>
          <w:lang w:val="en-AU"/>
        </w:rPr>
        <w:t xml:space="preserve"> </w:t>
      </w:r>
      <w:r w:rsidRPr="00FC1976">
        <w:rPr>
          <w:lang w:val="en-AU"/>
        </w:rPr>
        <w:t>care needs transition from paediatric to adult care,</w:t>
      </w:r>
      <w:r w:rsidR="00FA707F" w:rsidRPr="00FC1976">
        <w:rPr>
          <w:lang w:val="en-AU"/>
        </w:rPr>
        <w:t xml:space="preserve"> which involves many new providers. It is </w:t>
      </w:r>
      <w:r w:rsidRPr="00FC1976">
        <w:rPr>
          <w:lang w:val="en-AU"/>
        </w:rPr>
        <w:t xml:space="preserve">particularly </w:t>
      </w:r>
      <w:r w:rsidR="00FA707F" w:rsidRPr="00FC1976">
        <w:rPr>
          <w:lang w:val="en-AU"/>
        </w:rPr>
        <w:t xml:space="preserve">challenging for patients with </w:t>
      </w:r>
      <w:r w:rsidRPr="00FC1976">
        <w:rPr>
          <w:lang w:val="en-AU"/>
        </w:rPr>
        <w:t>congenital renal disease and genetic or rare syndromes</w:t>
      </w:r>
      <w:r w:rsidR="00FA707F" w:rsidRPr="00FC1976">
        <w:rPr>
          <w:lang w:val="en-AU"/>
        </w:rPr>
        <w:t xml:space="preserve">, many of which </w:t>
      </w:r>
      <w:r w:rsidRPr="00FC1976">
        <w:rPr>
          <w:lang w:val="en-AU"/>
        </w:rPr>
        <w:t xml:space="preserve">are unfamiliar to nephrologists who care for adults. </w:t>
      </w:r>
    </w:p>
    <w:p w14:paraId="45F26547" w14:textId="77777777" w:rsidR="00FE1340" w:rsidRPr="00FC1976" w:rsidRDefault="00FA707F" w:rsidP="00E15A50">
      <w:pPr>
        <w:pStyle w:val="01squarebullet"/>
        <w:rPr>
          <w:lang w:val="en-AU"/>
        </w:rPr>
      </w:pPr>
      <w:r w:rsidRPr="00FC1976">
        <w:rPr>
          <w:lang w:val="en-AU"/>
        </w:rPr>
        <w:t>Furthermore</w:t>
      </w:r>
      <w:r w:rsidR="00FE1340" w:rsidRPr="00FC1976">
        <w:rPr>
          <w:lang w:val="en-AU"/>
        </w:rPr>
        <w:t>, it can be difficult to engage teenagers and young adults in their own health</w:t>
      </w:r>
      <w:r w:rsidR="00EA4EBE">
        <w:rPr>
          <w:lang w:val="en-AU"/>
        </w:rPr>
        <w:t xml:space="preserve"> </w:t>
      </w:r>
      <w:r w:rsidR="00FE1340" w:rsidRPr="00FC1976">
        <w:rPr>
          <w:lang w:val="en-AU"/>
        </w:rPr>
        <w:t xml:space="preserve">care in an unfamiliar health system that is geared towards mature and older patients. </w:t>
      </w:r>
      <w:r w:rsidRPr="00FC1976">
        <w:rPr>
          <w:lang w:val="en-AU"/>
        </w:rPr>
        <w:t>This is particularly true of cognitively vulnerable young adults</w:t>
      </w:r>
      <w:r w:rsidR="00EA4EBE">
        <w:rPr>
          <w:lang w:val="en-AU"/>
        </w:rPr>
        <w:t>,</w:t>
      </w:r>
      <w:r w:rsidRPr="00FC1976">
        <w:rPr>
          <w:lang w:val="en-AU"/>
        </w:rPr>
        <w:t xml:space="preserve"> </w:t>
      </w:r>
      <w:r w:rsidR="000E76BF" w:rsidRPr="00FC1976">
        <w:rPr>
          <w:lang w:val="en-AU"/>
        </w:rPr>
        <w:t xml:space="preserve">who may need additional help to </w:t>
      </w:r>
      <w:r w:rsidRPr="00FC1976">
        <w:rPr>
          <w:lang w:val="en-AU"/>
        </w:rPr>
        <w:t>understand their own medical/surgical history and their health</w:t>
      </w:r>
      <w:r w:rsidR="00EA4EBE">
        <w:rPr>
          <w:lang w:val="en-AU"/>
        </w:rPr>
        <w:t xml:space="preserve"> </w:t>
      </w:r>
      <w:r w:rsidRPr="00FC1976">
        <w:rPr>
          <w:lang w:val="en-AU"/>
        </w:rPr>
        <w:t>care needs</w:t>
      </w:r>
      <w:r w:rsidR="000E76BF" w:rsidRPr="00FC1976">
        <w:rPr>
          <w:lang w:val="en-AU"/>
        </w:rPr>
        <w:t>.</w:t>
      </w:r>
      <w:r w:rsidR="00FE1340" w:rsidRPr="00FC1976">
        <w:rPr>
          <w:lang w:val="en-AU"/>
        </w:rPr>
        <w:t xml:space="preserve"> This can result in psychological distress, anxiety, depression and poor health outcomes</w:t>
      </w:r>
      <w:r w:rsidR="00B07BCD" w:rsidRPr="00FC1976">
        <w:rPr>
          <w:lang w:val="en-AU"/>
        </w:rPr>
        <w:t xml:space="preserve"> </w:t>
      </w:r>
      <w:r w:rsidR="00FE1340" w:rsidRPr="00FC1976">
        <w:rPr>
          <w:lang w:val="en-AU"/>
        </w:rPr>
        <w:fldChar w:fldCharType="begin" w:fldLock="1"/>
      </w:r>
      <w:r w:rsidR="00B409DB">
        <w:rPr>
          <w:lang w:val="en-AU"/>
        </w:rPr>
        <w:instrText>ADDIN CSL_CITATION { "citationItems" : [ { "id" : "ITEM-1", "itemData" : { "DOI" : "10.1007/s00467-014-2859-7", "ISSN" : "1432-198X", "PMID" : "24890339", "abstract" : "Emerging adulthood, defined as the interval between 18 and 25 years of age, is a socially-defined developmental stage. Although people in this age group appear physically mature, brain maturation is not complete until the end of this period. Perhaps due to this immaturity and a resulting inferior ability to manage chronic illness emerging adults with a variety of chronic health conditions are at a high risk for adverse outcomes. In this review I will summarize evidence that emerging adulthood constitutes a high-risk period for kidney transplant recipients, and consider the possible reasons for the spike in graft failure risk during this age interval-including age-related adherence behaviour and the changes in care organization, processes and structures associated with transfer from pediatric to adult-oriented care. I will also discuss evidence showing transfer from pediatric to adult-oriented care contributes to this elevated risk, and highlight the limitations and challenges of studies examining this question. Finally, I will direct readers to resources providing guidance on the best practices for care of patients transitioning to adult care.", "author" : [ { "dropping-particle" : "", "family" : "Foster", "given" : "Bethany J", "non-dropping-particle" : "", "parse-names" : false, "suffix" : "" } ], "container-title" : "Pediatric nephrology (Berlin, Germany)", "id" : "ITEM-1", "issue" : "4", "issued" : { "date-parts" : [ [ "2015", "4" ] ] }, "page" : "567-76", "title" : "Heightened graft failure risk during emerging adulthood and transition to adult care.", "type" : "article-journal", "volume" : "30" }, "uris" : [ "http://www.mendeley.com/documents/?uuid=d0c6cec2-c920-3450-b9d4-1c61cea17593" ] } ], "mendeley" : { "formattedCitation" : "(29)", "plainTextFormattedCitation" : "(29)", "previouslyFormattedCitation" : "(29)" }, "properties" : { "noteIndex" : 0 }, "schema" : "https://github.com/citation-style-language/schema/raw/master/csl-citation.json" }</w:instrText>
      </w:r>
      <w:r w:rsidR="00FE1340" w:rsidRPr="00FC1976">
        <w:rPr>
          <w:lang w:val="en-AU"/>
        </w:rPr>
        <w:fldChar w:fldCharType="separate"/>
      </w:r>
      <w:r w:rsidR="0099742A" w:rsidRPr="0099742A">
        <w:rPr>
          <w:noProof/>
          <w:lang w:val="en-AU"/>
        </w:rPr>
        <w:t>(29)</w:t>
      </w:r>
      <w:r w:rsidR="00FE1340" w:rsidRPr="00FC1976">
        <w:rPr>
          <w:lang w:val="en-AU"/>
        </w:rPr>
        <w:fldChar w:fldCharType="end"/>
      </w:r>
      <w:r w:rsidR="00FE1340" w:rsidRPr="00FC1976">
        <w:rPr>
          <w:lang w:val="en-AU"/>
        </w:rPr>
        <w:t>, which often lead to disengagement from health</w:t>
      </w:r>
      <w:r w:rsidR="0065312B">
        <w:rPr>
          <w:lang w:val="en-AU"/>
        </w:rPr>
        <w:t xml:space="preserve"> </w:t>
      </w:r>
      <w:r w:rsidR="00FE1340" w:rsidRPr="00FC1976">
        <w:rPr>
          <w:lang w:val="en-AU"/>
        </w:rPr>
        <w:t xml:space="preserve">care services. </w:t>
      </w:r>
    </w:p>
    <w:p w14:paraId="7F2426D6" w14:textId="77777777" w:rsidR="00FE1340" w:rsidRPr="00FC1976" w:rsidRDefault="00FE1340" w:rsidP="00E15A50">
      <w:pPr>
        <w:pStyle w:val="01squarebullet"/>
        <w:rPr>
          <w:lang w:val="en-AU"/>
        </w:rPr>
      </w:pPr>
      <w:r w:rsidRPr="00FC1976">
        <w:rPr>
          <w:lang w:val="en-AU"/>
        </w:rPr>
        <w:t xml:space="preserve">Evidence suggests that introducing this service could improve outcomes for young adults with functioning renal transplants. In the United Kingdom, for example, a dedicated young adult clinic was established for patients aged 16–28 years with </w:t>
      </w:r>
      <w:r w:rsidR="00B26029">
        <w:rPr>
          <w:lang w:val="en-AU"/>
        </w:rPr>
        <w:t>chronic kidney</w:t>
      </w:r>
      <w:r w:rsidR="00342D62">
        <w:rPr>
          <w:lang w:val="en-AU"/>
        </w:rPr>
        <w:t xml:space="preserve"> disease</w:t>
      </w:r>
      <w:r w:rsidR="00B26029">
        <w:rPr>
          <w:lang w:val="en-AU"/>
        </w:rPr>
        <w:t xml:space="preserve"> </w:t>
      </w:r>
      <w:r w:rsidRPr="00FC1976">
        <w:rPr>
          <w:lang w:val="en-AU"/>
        </w:rPr>
        <w:t>4+. Among the small number of patients at this clinic (</w:t>
      </w:r>
      <w:r w:rsidR="000E76BF" w:rsidRPr="00FC1976">
        <w:rPr>
          <w:lang w:val="en-AU"/>
        </w:rPr>
        <w:t>n=</w:t>
      </w:r>
      <w:r w:rsidRPr="00FC1976">
        <w:rPr>
          <w:lang w:val="en-AU"/>
        </w:rPr>
        <w:t>21), the rate of five-year graft loss fell from 67 per cent to 0 per cent during the first 10 years</w:t>
      </w:r>
      <w:r w:rsidR="0065312B">
        <w:rPr>
          <w:lang w:val="en-AU"/>
        </w:rPr>
        <w:t xml:space="preserve"> </w:t>
      </w:r>
      <w:r w:rsidR="000B4726">
        <w:rPr>
          <w:lang w:val="en-AU"/>
        </w:rPr>
        <w:fldChar w:fldCharType="begin" w:fldLock="1"/>
      </w:r>
      <w:r w:rsidR="00B409DB">
        <w:rPr>
          <w:lang w:val="en-AU"/>
        </w:rPr>
        <w:instrText>ADDIN CSL_CITATION { "citationItems" : [ { "id" : "ITEM-1", "itemData" : { "DOI" : "10.1136/bmj.e3718", "ISBN" : "0959-535x", "ISSN" : "1756-1833", "PMID" : "22661725", "abstract" : "Transition from paediatric to adult care of young adults with chronic diseases is poorly coordinated, often delayed, and usually managed through a single referral letter. About 35% of young adults lose a successfully functioning kidney transplant within 36 months of transfer from paediatric to adult services.", "author" : [ { "dropping-particle" : "", "family" : "Harden", "given" : "P. N.", "non-dropping-particle" : "", "parse-names" : false, "suffix" : "" }, { "dropping-particle" : "", "family" : "Walsh", "given" : "G.", "non-dropping-particle" : "", "parse-names" : false, "suffix" : "" }, { "dropping-particle" : "", "family" : "Bandler", "given" : "N.", "non-dropping-particle" : "", "parse-names" : false, "suffix" : "" }, { "dropping-particle" : "", "family" : "Bradley", "given" : "S.", "non-dropping-particle" : "", "parse-names" : false, "suffix" : "" }, { "dropping-particle" : "", "family" : "Lonsdale", "given" : "D.", "non-dropping-particle" : "", "parse-names" : false, "suffix" : "" }, { "dropping-particle" : "", "family" : "Taylor", "given" : "J.", "non-dropping-particle" : "", "parse-names" : false, "suffix" : "" }, { "dropping-particle" : "", "family" : "Marks", "given" : "S. D.", "non-dropping-particle" : "", "parse-names" : false, "suffix" : "" } ], "container-title" : "Bmj", "id" : "ITEM-1", "issue" : "jun01 1", "issued" : { "date-parts" : [ [ "2012" ] ] }, "page" : "e3718-e3718", "title" : "Bridging the gap: an integrated paediatric to adult clinical service for young adults with kidney failure", "type" : "article-journal", "volume" : "344" }, "uris" : [ "http://www.mendeley.com/documents/?uuid=11989a8f-c212-41fe-bb61-8de6dbf0ff8b" ] } ], "mendeley" : { "formattedCitation" : "(30)", "plainTextFormattedCitation" : "(30)", "previouslyFormattedCitation" : "(30)" }, "properties" : { "noteIndex" : 0 }, "schema" : "https://github.com/citation-style-language/schema/raw/master/csl-citation.json" }</w:instrText>
      </w:r>
      <w:r w:rsidR="000B4726">
        <w:rPr>
          <w:lang w:val="en-AU"/>
        </w:rPr>
        <w:fldChar w:fldCharType="separate"/>
      </w:r>
      <w:r w:rsidR="0099742A" w:rsidRPr="0099742A">
        <w:rPr>
          <w:noProof/>
          <w:lang w:val="en-AU"/>
        </w:rPr>
        <w:t>(30)</w:t>
      </w:r>
      <w:r w:rsidR="000B4726">
        <w:rPr>
          <w:lang w:val="en-AU"/>
        </w:rPr>
        <w:fldChar w:fldCharType="end"/>
      </w:r>
      <w:r w:rsidR="000B4726">
        <w:rPr>
          <w:lang w:val="en-AU"/>
        </w:rPr>
        <w:t xml:space="preserve">. </w:t>
      </w:r>
      <w:r w:rsidR="0065312B">
        <w:rPr>
          <w:lang w:val="en-AU"/>
        </w:rPr>
        <w:t>Although</w:t>
      </w:r>
      <w:r w:rsidR="0065312B" w:rsidRPr="00FC1976">
        <w:rPr>
          <w:lang w:val="en-AU"/>
        </w:rPr>
        <w:t xml:space="preserve"> </w:t>
      </w:r>
      <w:r w:rsidR="0080260C" w:rsidRPr="00FC1976">
        <w:rPr>
          <w:lang w:val="en-AU"/>
        </w:rPr>
        <w:t xml:space="preserve">the population </w:t>
      </w:r>
      <w:r w:rsidR="00504457" w:rsidRPr="00FC1976">
        <w:rPr>
          <w:lang w:val="en-AU"/>
        </w:rPr>
        <w:t xml:space="preserve">in Australia </w:t>
      </w:r>
      <w:r w:rsidR="004D567F">
        <w:rPr>
          <w:lang w:val="en-AU"/>
        </w:rPr>
        <w:t>is</w:t>
      </w:r>
      <w:r w:rsidR="00504457" w:rsidRPr="00FC1976">
        <w:rPr>
          <w:lang w:val="en-AU"/>
        </w:rPr>
        <w:t xml:space="preserve"> too small to allow for sufficiently powered sample sizes, a review of ANZDA</w:t>
      </w:r>
      <w:r w:rsidR="00FC1976" w:rsidRPr="00FC1976">
        <w:rPr>
          <w:lang w:val="en-AU"/>
        </w:rPr>
        <w:t>TA registry data from 1985</w:t>
      </w:r>
      <w:r w:rsidR="0087724D">
        <w:rPr>
          <w:lang w:val="en-AU"/>
        </w:rPr>
        <w:t xml:space="preserve"> to </w:t>
      </w:r>
      <w:r w:rsidR="00FC1976" w:rsidRPr="00FC1976">
        <w:rPr>
          <w:lang w:val="en-AU"/>
        </w:rPr>
        <w:t xml:space="preserve">2010 </w:t>
      </w:r>
      <w:r w:rsidR="00504457" w:rsidRPr="00FC1976">
        <w:rPr>
          <w:lang w:val="en-AU"/>
        </w:rPr>
        <w:t>showed that rates of graft loss due to late acute rejection and noncompliance were higher in young adult patients, while graft loss from other causes remained relatively flat</w:t>
      </w:r>
      <w:r w:rsidR="001156CB">
        <w:rPr>
          <w:lang w:val="en-AU"/>
        </w:rPr>
        <w:t xml:space="preserve"> </w:t>
      </w:r>
      <w:r w:rsidR="00FC1976" w:rsidRPr="00FC1976">
        <w:rPr>
          <w:lang w:val="en-AU"/>
        </w:rPr>
        <w:fldChar w:fldCharType="begin" w:fldLock="1"/>
      </w:r>
      <w:r w:rsidR="00B409DB">
        <w:rPr>
          <w:lang w:val="en-AU"/>
        </w:rPr>
        <w:instrText>ADDIN CSL_CITATION { "citationItems" : [ { "id" : "ITEM-1", "itemData" : { "author" : [ { "dropping-particle" : "", "family" : "ANZDATA Registry", "given" : "", "non-dropping-particle" : "", "parse-names" : false, "suffix" : "" } ], "id" : "ITEM-1", "issued" : { "date-parts" : [ [ "0" ] ] }, "title" : "ANZDATA Registry data", "type" : "article" }, "uris" : [ "http://www.mendeley.com/documents/?uuid=17eaee42-f884-43ca-a09b-1f941dc4015c" ] } ], "mendeley" : { "formattedCitation" : "(31)", "plainTextFormattedCitation" : "(31)", "previouslyFormattedCitation" : "(31)" }, "properties" : { "noteIndex" : 0 }, "schema" : "https://github.com/citation-style-language/schema/raw/master/csl-citation.json" }</w:instrText>
      </w:r>
      <w:r w:rsidR="00FC1976" w:rsidRPr="00FC1976">
        <w:rPr>
          <w:lang w:val="en-AU"/>
        </w:rPr>
        <w:fldChar w:fldCharType="separate"/>
      </w:r>
      <w:r w:rsidR="0099742A" w:rsidRPr="0099742A">
        <w:rPr>
          <w:noProof/>
          <w:lang w:val="en-AU"/>
        </w:rPr>
        <w:t>(31)</w:t>
      </w:r>
      <w:r w:rsidR="00FC1976" w:rsidRPr="00FC1976">
        <w:rPr>
          <w:lang w:val="en-AU"/>
        </w:rPr>
        <w:fldChar w:fldCharType="end"/>
      </w:r>
      <w:r w:rsidR="00504457" w:rsidRPr="00FC1976">
        <w:rPr>
          <w:lang w:val="en-AU"/>
        </w:rPr>
        <w:t xml:space="preserve">. There is clinical consensus </w:t>
      </w:r>
      <w:r w:rsidR="00352A55" w:rsidRPr="00FC1976">
        <w:rPr>
          <w:lang w:val="en-AU"/>
        </w:rPr>
        <w:t>in both the Australian and international nephrology communities that this age group is at significant risk</w:t>
      </w:r>
      <w:r w:rsidR="001156CB">
        <w:rPr>
          <w:lang w:val="en-AU"/>
        </w:rPr>
        <w:t>,</w:t>
      </w:r>
      <w:r w:rsidR="00352A55" w:rsidRPr="00FC1976">
        <w:rPr>
          <w:lang w:val="en-AU"/>
        </w:rPr>
        <w:t xml:space="preserve"> and that steps should be taken to reduce this risk</w:t>
      </w:r>
      <w:r w:rsidR="00224A1D">
        <w:rPr>
          <w:lang w:val="en-AU"/>
        </w:rPr>
        <w:t xml:space="preserve"> </w:t>
      </w:r>
      <w:r w:rsidR="00FC1976" w:rsidRPr="00FC1976">
        <w:rPr>
          <w:lang w:val="en-AU"/>
        </w:rPr>
        <w:fldChar w:fldCharType="begin" w:fldLock="1"/>
      </w:r>
      <w:r w:rsidR="00B409DB">
        <w:rPr>
          <w:lang w:val="en-AU"/>
        </w:rPr>
        <w:instrText>ADDIN CSL_CITATION { "citationItems" : [ { "id" : "ITEM-1", "itemData" : { "DOI" : "10.1007/s00467-011-1981-z", "ISBN" : "1432-198X (Electronic)\\r0931-041X (Linking)", "ISSN" : "0931041X", "PMID" : "21832978", "abstract" : "The transfer of young patients from pediatric to adult renal care takes place after a transition process which involves both sides. It is important that it is individualized for each young person, focusing on self-management skills as well as assessing support structures. The consensus statement has been developed by the panel of adult and pediatric nephrologists and endorsed by the councils of both ISN and IPNA. It is hoped that the statement will provide a basis for the development of locally appropriate recommendations for clinical practice.", "author" : [ { "dropping-particle" : "", "family" : "Watson", "given" : "Alan R.", "non-dropping-particle" : "", "parse-names" : false, "suffix" : "" }, { "dropping-particle" : "", "family" : "Harden", "given" : "Paul", "non-dropping-particle" : "", "parse-names" : false, "suffix" : "" }, { "dropping-particle" : "", "family" : "Ferris", "given" : "Maria", "non-dropping-particle" : "", "parse-names" : false, "suffix" : "" }, { "dropping-particle" : "", "family" : "Kerr", "given" : "Peter G.", "non-dropping-particle" : "", "parse-names" : false, "suffix" : "" }, { "dropping-particle" : "", "family" : "Mahan", "given" : "John", "non-dropping-particle" : "", "parse-names" : false, "suffix" : "" }, { "dropping-particle" : "", "family" : "Ramzy", "given" : "Maher Fouad", "non-dropping-particle" : "", "parse-names" : false, "suffix" : "" } ], "container-title" : "Pediatric Nephrology", "id" : "ITEM-1", "issue" : "10", "issued" : { "date-parts" : [ [ "2011" ] ] }, "page" : "1953-1957", "title" : "Transition from pediatric to adult renal services: A consensus statement by the International Society of Nephrology (ISN) and the International Pediatric Nephrology Association (IPNA)", "type" : "article-journal", "volume" : "26" }, "uris" : [ "http://www.mendeley.com/documents/?uuid=793602c5-7137-40d5-a536-859fec66199b" ] } ], "mendeley" : { "formattedCitation" : "(32)", "plainTextFormattedCitation" : "(32)", "previouslyFormattedCitation" : "(32)" }, "properties" : { "noteIndex" : 0 }, "schema" : "https://github.com/citation-style-language/schema/raw/master/csl-citation.json" }</w:instrText>
      </w:r>
      <w:r w:rsidR="00FC1976" w:rsidRPr="00FC1976">
        <w:rPr>
          <w:lang w:val="en-AU"/>
        </w:rPr>
        <w:fldChar w:fldCharType="separate"/>
      </w:r>
      <w:r w:rsidR="0099742A" w:rsidRPr="0099742A">
        <w:rPr>
          <w:noProof/>
          <w:lang w:val="en-AU"/>
        </w:rPr>
        <w:t>(32)</w:t>
      </w:r>
      <w:r w:rsidR="00FC1976" w:rsidRPr="00FC1976">
        <w:rPr>
          <w:lang w:val="en-AU"/>
        </w:rPr>
        <w:fldChar w:fldCharType="end"/>
      </w:r>
      <w:r w:rsidR="00FC1976" w:rsidRPr="00FC1976">
        <w:rPr>
          <w:lang w:val="en-AU"/>
        </w:rPr>
        <w:t>.</w:t>
      </w:r>
    </w:p>
    <w:p w14:paraId="28F2DBFA" w14:textId="77777777" w:rsidR="00741F06" w:rsidRPr="00FC1976" w:rsidRDefault="00741F06" w:rsidP="00E15A50">
      <w:pPr>
        <w:pStyle w:val="01squarebullet"/>
        <w:rPr>
          <w:lang w:val="en-AU"/>
        </w:rPr>
      </w:pPr>
      <w:r w:rsidRPr="00FC1976">
        <w:rPr>
          <w:lang w:val="en-AU"/>
        </w:rPr>
        <w:t xml:space="preserve">The Committee agreed that ongoing case management and </w:t>
      </w:r>
      <w:r w:rsidR="00224A1D">
        <w:rPr>
          <w:lang w:val="en-AU"/>
        </w:rPr>
        <w:t xml:space="preserve">the </w:t>
      </w:r>
      <w:r w:rsidRPr="00FC1976">
        <w:rPr>
          <w:lang w:val="en-AU"/>
        </w:rPr>
        <w:t>involvement of primary carers is important, and that this would vary by patient context</w:t>
      </w:r>
      <w:r w:rsidR="00743F09">
        <w:rPr>
          <w:lang w:val="en-AU"/>
        </w:rPr>
        <w:t>. F</w:t>
      </w:r>
      <w:r w:rsidRPr="00FC1976">
        <w:rPr>
          <w:lang w:val="en-AU"/>
        </w:rPr>
        <w:t>or example</w:t>
      </w:r>
      <w:r w:rsidR="00456EA8">
        <w:rPr>
          <w:lang w:val="en-AU"/>
        </w:rPr>
        <w:t>,</w:t>
      </w:r>
      <w:r w:rsidRPr="00FC1976">
        <w:rPr>
          <w:lang w:val="en-AU"/>
        </w:rPr>
        <w:t xml:space="preserve"> care of a regional transplant patient would require </w:t>
      </w:r>
      <w:r w:rsidR="000F47BC">
        <w:rPr>
          <w:lang w:val="en-AU"/>
        </w:rPr>
        <w:t xml:space="preserve">the </w:t>
      </w:r>
      <w:r w:rsidRPr="00FC1976">
        <w:rPr>
          <w:lang w:val="en-AU"/>
        </w:rPr>
        <w:t xml:space="preserve">active involvement </w:t>
      </w:r>
      <w:r w:rsidR="000F47BC">
        <w:rPr>
          <w:lang w:val="en-AU"/>
        </w:rPr>
        <w:t xml:space="preserve">of </w:t>
      </w:r>
      <w:r w:rsidRPr="00FC1976">
        <w:rPr>
          <w:lang w:val="en-AU"/>
        </w:rPr>
        <w:t>the patient’s local supports and providers</w:t>
      </w:r>
      <w:r w:rsidR="00F81F73">
        <w:rPr>
          <w:lang w:val="en-AU"/>
        </w:rPr>
        <w:t>,</w:t>
      </w:r>
      <w:r w:rsidRPr="00FC1976">
        <w:rPr>
          <w:lang w:val="en-AU"/>
        </w:rPr>
        <w:t xml:space="preserve"> in addition to specialist metro services. For high</w:t>
      </w:r>
      <w:r w:rsidR="00E37150">
        <w:rPr>
          <w:lang w:val="en-AU"/>
        </w:rPr>
        <w:t>-</w:t>
      </w:r>
      <w:r w:rsidRPr="00FC1976">
        <w:rPr>
          <w:lang w:val="en-AU"/>
        </w:rPr>
        <w:t>risk patients, case management between visits may improve outcomes</w:t>
      </w:r>
      <w:r w:rsidR="00B32924">
        <w:rPr>
          <w:lang w:val="en-AU"/>
        </w:rPr>
        <w:t xml:space="preserve">. </w:t>
      </w:r>
      <w:r w:rsidR="00DE148A">
        <w:rPr>
          <w:lang w:val="en-AU"/>
        </w:rPr>
        <w:t>The</w:t>
      </w:r>
      <w:r w:rsidR="00B32924">
        <w:rPr>
          <w:lang w:val="en-AU"/>
        </w:rPr>
        <w:t xml:space="preserve"> Committee </w:t>
      </w:r>
      <w:r w:rsidR="00DE148A">
        <w:rPr>
          <w:lang w:val="en-AU"/>
        </w:rPr>
        <w:t xml:space="preserve">agreed that </w:t>
      </w:r>
      <w:r w:rsidRPr="00FC1976">
        <w:rPr>
          <w:lang w:val="en-AU"/>
        </w:rPr>
        <w:t>for all patients, there should be a specific requirement to liaise with and communicate with the patient</w:t>
      </w:r>
      <w:r w:rsidR="00F06DDE">
        <w:rPr>
          <w:lang w:val="en-AU"/>
        </w:rPr>
        <w:t>’</w:t>
      </w:r>
      <w:r w:rsidRPr="00FC1976">
        <w:rPr>
          <w:lang w:val="en-AU"/>
        </w:rPr>
        <w:t>s usual GP</w:t>
      </w:r>
      <w:r w:rsidR="00F06DDE">
        <w:rPr>
          <w:lang w:val="en-AU"/>
        </w:rPr>
        <w:t>.</w:t>
      </w:r>
    </w:p>
    <w:p w14:paraId="07EDBF98" w14:textId="77777777" w:rsidR="00FE1340" w:rsidRPr="00FC1976" w:rsidRDefault="00FE1340" w:rsidP="00E15A50">
      <w:pPr>
        <w:pStyle w:val="01squarebullet"/>
        <w:rPr>
          <w:lang w:val="en-AU"/>
        </w:rPr>
      </w:pPr>
      <w:r w:rsidRPr="00FC1976">
        <w:rPr>
          <w:lang w:val="en-AU"/>
        </w:rPr>
        <w:t>The proposed service could be provided at a reasonably low cost due to the small number of potential patients. There are approximately 330 patients in Australia aged 15–24 with functioning renal transplants</w:t>
      </w:r>
      <w:r w:rsidR="00B07BCD" w:rsidRPr="00FC1976">
        <w:rPr>
          <w:lang w:val="en-AU"/>
        </w:rPr>
        <w:t xml:space="preserve"> </w:t>
      </w:r>
      <w:r w:rsidRPr="00FC1976">
        <w:rPr>
          <w:lang w:val="en-AU"/>
        </w:rPr>
        <w:fldChar w:fldCharType="begin" w:fldLock="1"/>
      </w:r>
      <w:r w:rsidR="00B409DB">
        <w:rPr>
          <w:lang w:val="en-AU"/>
        </w:rPr>
        <w:instrText>ADDIN CSL_CITATION { "citationItems" : [ { "id" : "ITEM-1", "itemData" : { "author" : [ { "dropping-particle" : "", "family" : "ANZDATA Registry", "given" : "", "non-dropping-particle" : "", "parse-names" : false, "suffix" : "" } ], "id" : "ITEM-1", "issued" : { "date-parts" : [ [ "2016" ] ] }, "publisher-place" : "Adelaide", "title" : "38th Annual ANZDATA Report", "type" : "report" }, "uris" : [ "http://www.mendeley.com/documents/?uuid=a3c01c88-f62c-40f0-b496-4957c5d0c745" ] } ], "mendeley" : { "formattedCitation" : "(3)", "plainTextFormattedCitation" : "(3)", "previouslyFormattedCitation" : "(3)" }, "properties" : { "noteIndex" : 0 }, "schema" : "https://github.com/citation-style-language/schema/raw/master/csl-citation.json" }</w:instrText>
      </w:r>
      <w:r w:rsidRPr="00FC1976">
        <w:rPr>
          <w:lang w:val="en-AU"/>
        </w:rPr>
        <w:fldChar w:fldCharType="separate"/>
      </w:r>
      <w:r w:rsidR="0099742A" w:rsidRPr="0099742A">
        <w:rPr>
          <w:noProof/>
          <w:lang w:val="en-AU"/>
        </w:rPr>
        <w:t>(3)</w:t>
      </w:r>
      <w:r w:rsidRPr="00FC1976">
        <w:rPr>
          <w:lang w:val="en-AU"/>
        </w:rPr>
        <w:fldChar w:fldCharType="end"/>
      </w:r>
      <w:r w:rsidR="00C91E49">
        <w:rPr>
          <w:lang w:val="en-AU"/>
        </w:rPr>
        <w:t xml:space="preserve">, </w:t>
      </w:r>
      <w:r w:rsidR="00C47F81" w:rsidRPr="00FC1976">
        <w:rPr>
          <w:lang w:val="en-AU"/>
        </w:rPr>
        <w:t xml:space="preserve">and </w:t>
      </w:r>
      <w:r w:rsidR="00F959C5">
        <w:rPr>
          <w:lang w:val="en-AU"/>
        </w:rPr>
        <w:t xml:space="preserve">the </w:t>
      </w:r>
      <w:r w:rsidR="00C47F81" w:rsidRPr="00FC1976">
        <w:rPr>
          <w:lang w:val="en-AU"/>
        </w:rPr>
        <w:t xml:space="preserve">populations </w:t>
      </w:r>
      <w:r w:rsidR="00F959C5">
        <w:rPr>
          <w:lang w:val="en-AU"/>
        </w:rPr>
        <w:t>for</w:t>
      </w:r>
      <w:r w:rsidR="00F959C5" w:rsidRPr="00FC1976">
        <w:rPr>
          <w:lang w:val="en-AU"/>
        </w:rPr>
        <w:t xml:space="preserve"> </w:t>
      </w:r>
      <w:r w:rsidR="00C47F81" w:rsidRPr="00FC1976">
        <w:rPr>
          <w:lang w:val="en-AU"/>
        </w:rPr>
        <w:t xml:space="preserve">most other serious chronic paediatric conditions </w:t>
      </w:r>
      <w:r w:rsidR="006B0BFA">
        <w:rPr>
          <w:lang w:val="en-AU"/>
        </w:rPr>
        <w:t>are</w:t>
      </w:r>
      <w:r w:rsidR="006B0BFA" w:rsidRPr="00FC1976">
        <w:rPr>
          <w:lang w:val="en-AU"/>
        </w:rPr>
        <w:t xml:space="preserve"> </w:t>
      </w:r>
      <w:r w:rsidR="006B0BFA">
        <w:rPr>
          <w:lang w:val="en-AU"/>
        </w:rPr>
        <w:t>expected</w:t>
      </w:r>
      <w:r w:rsidR="006B0BFA" w:rsidRPr="00FC1976">
        <w:rPr>
          <w:lang w:val="en-AU"/>
        </w:rPr>
        <w:t xml:space="preserve"> </w:t>
      </w:r>
      <w:r w:rsidR="00C47F81" w:rsidRPr="00FC1976">
        <w:rPr>
          <w:lang w:val="en-AU"/>
        </w:rPr>
        <w:t>to be similarly low</w:t>
      </w:r>
      <w:r w:rsidR="00B07BCD" w:rsidRPr="00FC1976">
        <w:rPr>
          <w:rFonts w:cs="Arial"/>
          <w:szCs w:val="22"/>
          <w:lang w:val="en-AU"/>
        </w:rPr>
        <w:t>.</w:t>
      </w:r>
      <w:r w:rsidR="00C47F81" w:rsidRPr="00FC1976">
        <w:rPr>
          <w:rFonts w:cs="Arial"/>
          <w:szCs w:val="22"/>
          <w:lang w:val="en-AU"/>
        </w:rPr>
        <w:t xml:space="preserve"> </w:t>
      </w:r>
    </w:p>
    <w:p w14:paraId="46DBDF6B" w14:textId="067E06F6" w:rsidR="00FE1340" w:rsidRPr="00FC1976" w:rsidRDefault="005078A4" w:rsidP="00B81E93">
      <w:pPr>
        <w:pStyle w:val="01squarebullet"/>
      </w:pPr>
      <w:r>
        <w:t>In</w:t>
      </w:r>
      <w:r w:rsidRPr="00FC1976">
        <w:t xml:space="preserve"> </w:t>
      </w:r>
      <w:r w:rsidR="00FE1340" w:rsidRPr="00FC1976">
        <w:t xml:space="preserve">addition to </w:t>
      </w:r>
      <w:r w:rsidR="00680035">
        <w:t xml:space="preserve">improving </w:t>
      </w:r>
      <w:r w:rsidR="00FE1340" w:rsidRPr="00FC1976">
        <w:t>patient outcomes,</w:t>
      </w:r>
      <w:r w:rsidR="00D04B01">
        <w:t xml:space="preserve"> the proposed service will</w:t>
      </w:r>
      <w:r w:rsidR="00FE1340" w:rsidRPr="00FC1976">
        <w:t xml:space="preserve"> </w:t>
      </w:r>
      <w:r w:rsidR="00C13485">
        <w:t xml:space="preserve">make it possible to </w:t>
      </w:r>
      <w:r w:rsidR="00FE1340" w:rsidRPr="00FC1976">
        <w:t xml:space="preserve">avoid the significant costs associated with graft loss. </w:t>
      </w:r>
      <w:r w:rsidR="00564D5A">
        <w:t>The healthcare costs of a patient with a functioning transplant</w:t>
      </w:r>
      <w:r w:rsidR="00BA4FDD">
        <w:t xml:space="preserve"> average</w:t>
      </w:r>
      <w:r w:rsidR="005D2AE6">
        <w:t>s</w:t>
      </w:r>
      <w:r w:rsidR="00BA4FDD">
        <w:t xml:space="preserve"> </w:t>
      </w:r>
      <w:r w:rsidR="005D2AE6" w:rsidRPr="005D2AE6">
        <w:rPr>
          <w:lang w:val="en-AU"/>
        </w:rPr>
        <w:t xml:space="preserve">$11,770 </w:t>
      </w:r>
      <w:r w:rsidR="005D2AE6">
        <w:rPr>
          <w:lang w:val="en-AU"/>
        </w:rPr>
        <w:t xml:space="preserve">per annum, considerably lower than that of a patient on dialysis at </w:t>
      </w:r>
      <w:r w:rsidR="005D2AE6" w:rsidRPr="005D2AE6">
        <w:rPr>
          <w:lang w:val="en-AU"/>
        </w:rPr>
        <w:t>$61,659</w:t>
      </w:r>
      <w:r w:rsidR="005D2AE6">
        <w:rPr>
          <w:lang w:val="en-AU"/>
        </w:rPr>
        <w:t xml:space="preserve"> per annum. As such, each year of dialysis due to failure increases healthcare costs by </w:t>
      </w:r>
      <w:r w:rsidR="00B81E93">
        <w:rPr>
          <w:lang w:val="en-AU"/>
        </w:rPr>
        <w:t xml:space="preserve">$53,545p.a., with the year of transplantation costing </w:t>
      </w:r>
      <w:r w:rsidR="00B81E93" w:rsidRPr="00B81E93">
        <w:rPr>
          <w:lang w:val="en-AU"/>
        </w:rPr>
        <w:t>$81,549</w:t>
      </w:r>
      <w:r w:rsidR="00B81E93">
        <w:rPr>
          <w:lang w:val="en-AU"/>
        </w:rPr>
        <w:t>p.a.</w:t>
      </w:r>
      <w:r w:rsidR="000D171F">
        <w:rPr>
          <w:lang w:val="en-AU"/>
        </w:rPr>
        <w:fldChar w:fldCharType="begin" w:fldLock="1"/>
      </w:r>
      <w:r w:rsidR="0099742A">
        <w:rPr>
          <w:lang w:val="en-AU"/>
        </w:rPr>
        <w:instrText>ADDIN CSL_CITATION { "citationItems" : [ { "id" : "ITEM-1", "itemData" : { "author" : [ { "dropping-particle" : "", "family" : "Kidney Health Australia", "given" : "", "non-dropping-particle" : "", "parse-names" : false, "suffix" : "" } ], "container-title" : "Journal of Nephrology", "id" : "ITEM-1", "issue" : "May", "issued" : { "date-parts" : [ [ "2011" ] ] }, "page" : "1-18", "title" : "Kidney Health Australia Submission : Legislative Council Inquiry into Organ Donation in Victoria", "type" : "article-journal" }, "uris" : [ "http://www.mendeley.com/documents/?uuid=c69f3ce8-cabb-40e1-a509-126f462493bb" ] } ], "mendeley" : { "formattedCitation" : "(33)", "plainTextFormattedCitation" : "(33)", "previouslyFormattedCitation" : "(33)" }, "properties" : { "noteIndex" : 0 }, "schema" : "https://github.com/citation-style-language/schema/raw/master/csl-citation.json" }</w:instrText>
      </w:r>
      <w:r w:rsidR="000D171F">
        <w:rPr>
          <w:lang w:val="en-AU"/>
        </w:rPr>
        <w:fldChar w:fldCharType="separate"/>
      </w:r>
      <w:r w:rsidR="0099742A" w:rsidRPr="0099742A">
        <w:rPr>
          <w:noProof/>
          <w:lang w:val="en-AU"/>
        </w:rPr>
        <w:t>(33)</w:t>
      </w:r>
      <w:r w:rsidR="000D171F">
        <w:rPr>
          <w:lang w:val="en-AU"/>
        </w:rPr>
        <w:fldChar w:fldCharType="end"/>
      </w:r>
      <w:r w:rsidR="000D171F">
        <w:rPr>
          <w:lang w:val="en-AU"/>
        </w:rPr>
        <w:t>.</w:t>
      </w:r>
      <w:r w:rsidR="00B81E93">
        <w:rPr>
          <w:lang w:val="en-AU"/>
        </w:rPr>
        <w:t xml:space="preserve"> Data from the ANZDATA registry </w:t>
      </w:r>
      <w:r w:rsidR="00806043">
        <w:rPr>
          <w:lang w:val="en-AU"/>
        </w:rPr>
        <w:t xml:space="preserve">of all transplantations from 2005 to 2014 </w:t>
      </w:r>
      <w:r w:rsidR="0045647A">
        <w:rPr>
          <w:lang w:val="en-AU"/>
        </w:rPr>
        <w:t>show</w:t>
      </w:r>
      <w:r w:rsidR="00806043">
        <w:rPr>
          <w:lang w:val="en-AU"/>
        </w:rPr>
        <w:t>s that</w:t>
      </w:r>
      <w:r w:rsidR="0045647A">
        <w:rPr>
          <w:lang w:val="en-AU"/>
        </w:rPr>
        <w:t xml:space="preserve"> the interval between graft failure and re-transplantation </w:t>
      </w:r>
      <w:r w:rsidR="00806043">
        <w:rPr>
          <w:lang w:val="en-AU"/>
        </w:rPr>
        <w:t xml:space="preserve">in </w:t>
      </w:r>
      <w:r w:rsidR="0045647A">
        <w:rPr>
          <w:lang w:val="en-AU"/>
        </w:rPr>
        <w:t xml:space="preserve">young adults </w:t>
      </w:r>
      <w:r w:rsidR="00806043">
        <w:rPr>
          <w:lang w:val="en-AU"/>
        </w:rPr>
        <w:t xml:space="preserve">is </w:t>
      </w:r>
      <w:r w:rsidR="0045647A">
        <w:rPr>
          <w:lang w:val="en-AU"/>
        </w:rPr>
        <w:t>1,700-2,400 days</w:t>
      </w:r>
      <w:r w:rsidR="00FD5968">
        <w:rPr>
          <w:lang w:val="en-AU"/>
        </w:rPr>
        <w:t xml:space="preserve"> (</w:t>
      </w:r>
      <w:r w:rsidR="00FD5968">
        <w:rPr>
          <w:lang w:val="en-AU"/>
        </w:rPr>
        <w:fldChar w:fldCharType="begin"/>
      </w:r>
      <w:r w:rsidR="00FD5968">
        <w:rPr>
          <w:lang w:val="en-AU"/>
        </w:rPr>
        <w:instrText xml:space="preserve"> REF _Ref462413592 \h </w:instrText>
      </w:r>
      <w:r w:rsidR="00FD5968">
        <w:rPr>
          <w:lang w:val="en-AU"/>
        </w:rPr>
      </w:r>
      <w:r w:rsidR="00FD5968">
        <w:rPr>
          <w:lang w:val="en-AU"/>
        </w:rPr>
        <w:fldChar w:fldCharType="separate"/>
      </w:r>
      <w:r w:rsidR="00D17FB0">
        <w:t xml:space="preserve">Figure </w:t>
      </w:r>
      <w:r w:rsidR="00D17FB0">
        <w:rPr>
          <w:noProof/>
        </w:rPr>
        <w:t>5</w:t>
      </w:r>
      <w:r w:rsidR="00FD5968">
        <w:rPr>
          <w:lang w:val="en-AU"/>
        </w:rPr>
        <w:fldChar w:fldCharType="end"/>
      </w:r>
      <w:r w:rsidR="00806043">
        <w:rPr>
          <w:lang w:val="en-AU"/>
        </w:rPr>
        <w:t xml:space="preserve">). </w:t>
      </w:r>
      <w:r w:rsidR="00FD5968">
        <w:rPr>
          <w:lang w:val="en-AU"/>
        </w:rPr>
        <w:t>The resulting</w:t>
      </w:r>
      <w:r w:rsidR="00806043">
        <w:rPr>
          <w:lang w:val="en-AU"/>
        </w:rPr>
        <w:t xml:space="preserve"> potential economic impact for each graft failure is $256,000-$351,000 in healthcare expenditure. In total there have been 101 </w:t>
      </w:r>
      <w:r w:rsidR="0071160A">
        <w:rPr>
          <w:lang w:val="en-AU"/>
        </w:rPr>
        <w:t>re-transplantations between 2005 and 2014 (</w:t>
      </w:r>
      <w:r w:rsidR="00E73F81">
        <w:rPr>
          <w:lang w:val="en-AU"/>
        </w:rPr>
        <w:t xml:space="preserve">age at time of graft failure </w:t>
      </w:r>
      <w:r w:rsidR="0071160A">
        <w:rPr>
          <w:lang w:val="en-AU"/>
        </w:rPr>
        <w:t>15-19 n=39, 20-24 n=62</w:t>
      </w:r>
      <w:r w:rsidR="00E73F81">
        <w:rPr>
          <w:lang w:val="en-AU"/>
        </w:rPr>
        <w:t>)</w:t>
      </w:r>
      <w:r w:rsidR="0071160A">
        <w:rPr>
          <w:lang w:val="en-AU"/>
        </w:rPr>
        <w:t>, with an estimated cost of $31</w:t>
      </w:r>
      <w:r w:rsidR="00B66BAF">
        <w:rPr>
          <w:lang w:val="en-AU"/>
        </w:rPr>
        <w:t xml:space="preserve"> </w:t>
      </w:r>
      <w:r w:rsidR="0071160A">
        <w:rPr>
          <w:lang w:val="en-AU"/>
        </w:rPr>
        <w:t>million, or $3</w:t>
      </w:r>
      <w:r w:rsidR="00B66BAF">
        <w:rPr>
          <w:lang w:val="en-AU"/>
        </w:rPr>
        <w:t xml:space="preserve"> </w:t>
      </w:r>
      <w:r w:rsidR="0071160A">
        <w:rPr>
          <w:lang w:val="en-AU"/>
        </w:rPr>
        <w:t>million per year</w:t>
      </w:r>
      <w:r w:rsidR="000D171F">
        <w:rPr>
          <w:lang w:val="en-AU"/>
        </w:rPr>
        <w:fldChar w:fldCharType="begin" w:fldLock="1"/>
      </w:r>
      <w:r w:rsidR="00B409DB">
        <w:rPr>
          <w:lang w:val="en-AU"/>
        </w:rPr>
        <w:instrText>ADDIN CSL_CITATION { "citationItems" : [ { "id" : "ITEM-1", "itemData" : { "author" : [ { "dropping-particle" : "", "family" : "ANZDATA Registry", "given" : "", "non-dropping-particle" : "", "parse-names" : false, "suffix" : "" } ], "id" : "ITEM-1", "issued" : { "date-parts" : [ [ "0" ] ] }, "title" : "ANZDATA Registry data", "type" : "article" }, "uris" : [ "http://www.mendeley.com/documents/?uuid=17eaee42-f884-43ca-a09b-1f941dc4015c" ] } ], "mendeley" : { "formattedCitation" : "(31)", "plainTextFormattedCitation" : "(31)", "previouslyFormattedCitation" : "(31)" }, "properties" : { "noteIndex" : 0 }, "schema" : "https://github.com/citation-style-language/schema/raw/master/csl-citation.json" }</w:instrText>
      </w:r>
      <w:r w:rsidR="000D171F">
        <w:rPr>
          <w:lang w:val="en-AU"/>
        </w:rPr>
        <w:fldChar w:fldCharType="separate"/>
      </w:r>
      <w:r w:rsidR="0099742A" w:rsidRPr="0099742A">
        <w:rPr>
          <w:noProof/>
          <w:lang w:val="en-AU"/>
        </w:rPr>
        <w:t>(31)</w:t>
      </w:r>
      <w:r w:rsidR="000D171F">
        <w:rPr>
          <w:lang w:val="en-AU"/>
        </w:rPr>
        <w:fldChar w:fldCharType="end"/>
      </w:r>
      <w:r w:rsidR="0071160A">
        <w:rPr>
          <w:lang w:val="en-AU"/>
        </w:rPr>
        <w:t>.</w:t>
      </w:r>
    </w:p>
    <w:p w14:paraId="7C16E45C" w14:textId="773C7BA0" w:rsidR="009E1543" w:rsidRPr="009E1543" w:rsidRDefault="00925C84" w:rsidP="009E1543">
      <w:pPr>
        <w:pStyle w:val="01squarebullet"/>
        <w:rPr>
          <w:lang w:val="en-AU"/>
        </w:rPr>
      </w:pPr>
      <w:r>
        <w:rPr>
          <w:lang w:val="en-AU"/>
        </w:rPr>
        <w:t>C</w:t>
      </w:r>
      <w:r w:rsidR="00B75E96" w:rsidRPr="00FC1976">
        <w:rPr>
          <w:lang w:val="en-AU"/>
        </w:rPr>
        <w:t xml:space="preserve">linicians across Australia </w:t>
      </w:r>
      <w:r w:rsidR="005F6C25">
        <w:rPr>
          <w:lang w:val="en-AU"/>
        </w:rPr>
        <w:t>have been searching for sustainable funding for</w:t>
      </w:r>
      <w:r w:rsidR="00A23EA3">
        <w:rPr>
          <w:lang w:val="en-AU"/>
        </w:rPr>
        <w:t xml:space="preserve"> this model for</w:t>
      </w:r>
      <w:r w:rsidR="005F6C25">
        <w:rPr>
          <w:lang w:val="en-AU"/>
        </w:rPr>
        <w:t xml:space="preserve"> </w:t>
      </w:r>
      <w:r w:rsidR="00B75E96" w:rsidRPr="00FC1976">
        <w:rPr>
          <w:lang w:val="en-AU"/>
        </w:rPr>
        <w:t>several years</w:t>
      </w:r>
      <w:r w:rsidR="0043706C">
        <w:rPr>
          <w:lang w:val="en-AU"/>
        </w:rPr>
        <w:t>,</w:t>
      </w:r>
      <w:r w:rsidR="00B75E96" w:rsidRPr="00FC1976">
        <w:rPr>
          <w:lang w:val="en-AU"/>
        </w:rPr>
        <w:t xml:space="preserve"> and</w:t>
      </w:r>
      <w:r w:rsidR="0043706C">
        <w:rPr>
          <w:lang w:val="en-AU"/>
        </w:rPr>
        <w:t xml:space="preserve"> it</w:t>
      </w:r>
      <w:r w:rsidR="00B75E96" w:rsidRPr="00FC1976">
        <w:rPr>
          <w:lang w:val="en-AU"/>
        </w:rPr>
        <w:t xml:space="preserve"> remains an ongoing challenge. Current models</w:t>
      </w:r>
      <w:r w:rsidR="00FE1340" w:rsidRPr="00FC1976">
        <w:rPr>
          <w:lang w:val="en-AU"/>
        </w:rPr>
        <w:t xml:space="preserve"> </w:t>
      </w:r>
      <w:r w:rsidR="004A4F8A" w:rsidRPr="00FC1976">
        <w:rPr>
          <w:lang w:val="en-AU"/>
        </w:rPr>
        <w:t>(</w:t>
      </w:r>
      <w:r w:rsidR="008A5745" w:rsidRPr="00FC1976">
        <w:rPr>
          <w:lang w:val="en-AU"/>
        </w:rPr>
        <w:fldChar w:fldCharType="begin"/>
      </w:r>
      <w:r w:rsidR="008A5745" w:rsidRPr="00FC1976">
        <w:rPr>
          <w:lang w:val="en-AU"/>
        </w:rPr>
        <w:instrText xml:space="preserve"> REF _Ref459396425 \w \h  \* MERGEFORMAT </w:instrText>
      </w:r>
      <w:r w:rsidR="008A5745" w:rsidRPr="00FC1976">
        <w:rPr>
          <w:lang w:val="en-AU"/>
        </w:rPr>
      </w:r>
      <w:r w:rsidR="008A5745" w:rsidRPr="00FC1976">
        <w:rPr>
          <w:lang w:val="en-AU"/>
        </w:rPr>
        <w:fldChar w:fldCharType="separate"/>
      </w:r>
      <w:r w:rsidR="00D17FB0">
        <w:rPr>
          <w:lang w:val="en-AU"/>
        </w:rPr>
        <w:t xml:space="preserve">Appendix C - </w:t>
      </w:r>
      <w:r w:rsidR="008A5745" w:rsidRPr="00FC1976">
        <w:rPr>
          <w:lang w:val="en-AU"/>
        </w:rPr>
        <w:fldChar w:fldCharType="end"/>
      </w:r>
      <w:r w:rsidR="00E81542" w:rsidRPr="00FC1976">
        <w:rPr>
          <w:lang w:val="en-AU"/>
        </w:rPr>
        <w:t>Current Australian paediatric</w:t>
      </w:r>
      <w:r w:rsidR="006E275A">
        <w:rPr>
          <w:lang w:val="en-AU"/>
        </w:rPr>
        <w:t>–</w:t>
      </w:r>
      <w:r w:rsidR="00E81542" w:rsidRPr="00FC1976">
        <w:rPr>
          <w:lang w:val="en-AU"/>
        </w:rPr>
        <w:t>adult renal transition models</w:t>
      </w:r>
      <w:r w:rsidR="004A4F8A" w:rsidRPr="00FC1976">
        <w:rPr>
          <w:lang w:val="en-AU"/>
        </w:rPr>
        <w:t xml:space="preserve">) </w:t>
      </w:r>
      <w:r w:rsidR="00B75E96" w:rsidRPr="00FC1976">
        <w:rPr>
          <w:rFonts w:cs="Arial"/>
          <w:szCs w:val="22"/>
          <w:lang w:val="en-AU"/>
        </w:rPr>
        <w:t>are funded through grants and charitable donations</w:t>
      </w:r>
      <w:r w:rsidR="0086527A">
        <w:rPr>
          <w:rFonts w:cs="Arial"/>
          <w:szCs w:val="22"/>
          <w:lang w:val="en-AU"/>
        </w:rPr>
        <w:t>,</w:t>
      </w:r>
      <w:r w:rsidR="00B75E96" w:rsidRPr="00FC1976">
        <w:rPr>
          <w:rFonts w:cs="Arial"/>
          <w:szCs w:val="22"/>
          <w:lang w:val="en-AU"/>
        </w:rPr>
        <w:t xml:space="preserve"> which may not be sustainable sources. Funding from public hospital services is generally unavailable, as the services require a youth-appropriate</w:t>
      </w:r>
      <w:r w:rsidR="002B3C3D">
        <w:rPr>
          <w:rFonts w:cs="Arial"/>
          <w:szCs w:val="22"/>
          <w:lang w:val="en-AU"/>
        </w:rPr>
        <w:t>,</w:t>
      </w:r>
      <w:r w:rsidR="00B75E96" w:rsidRPr="00FC1976">
        <w:rPr>
          <w:rFonts w:cs="Arial"/>
          <w:szCs w:val="22"/>
          <w:lang w:val="en-AU"/>
        </w:rPr>
        <w:t xml:space="preserve"> off-site location, and hospitals do not generally consider off-site services to fall within their responsibility. Community</w:t>
      </w:r>
      <w:r w:rsidR="001D1B84">
        <w:rPr>
          <w:rFonts w:cs="Arial"/>
          <w:szCs w:val="22"/>
          <w:lang w:val="en-AU"/>
        </w:rPr>
        <w:t xml:space="preserve"> </w:t>
      </w:r>
      <w:r w:rsidR="00B75E96" w:rsidRPr="00FC1976">
        <w:rPr>
          <w:rFonts w:cs="Arial"/>
          <w:szCs w:val="22"/>
          <w:lang w:val="en-AU"/>
        </w:rPr>
        <w:t>sector funding has not been able to support this service due to limited resources for current services in this setting</w:t>
      </w:r>
      <w:r w:rsidR="001D1B84">
        <w:rPr>
          <w:rFonts w:cs="Arial"/>
          <w:szCs w:val="22"/>
          <w:lang w:val="en-AU"/>
        </w:rPr>
        <w:t>,</w:t>
      </w:r>
      <w:r w:rsidR="00B75E96" w:rsidRPr="00FC1976">
        <w:rPr>
          <w:rFonts w:cs="Arial"/>
          <w:szCs w:val="22"/>
          <w:lang w:val="en-AU"/>
        </w:rPr>
        <w:t xml:space="preserve"> such as community mental health care. </w:t>
      </w:r>
      <w:r w:rsidR="001D1B84">
        <w:rPr>
          <w:rFonts w:cs="Arial"/>
          <w:szCs w:val="22"/>
          <w:lang w:val="en-AU"/>
        </w:rPr>
        <w:t>R</w:t>
      </w:r>
      <w:r w:rsidR="00B75E96" w:rsidRPr="00FC1976">
        <w:rPr>
          <w:rFonts w:cs="Arial"/>
          <w:szCs w:val="22"/>
          <w:lang w:val="en-AU"/>
        </w:rPr>
        <w:t>ecurrent Commonwealth funding under the MBS was discussed</w:t>
      </w:r>
      <w:r w:rsidR="00290BF2">
        <w:rPr>
          <w:rFonts w:cs="Arial"/>
          <w:szCs w:val="22"/>
          <w:lang w:val="en-AU"/>
        </w:rPr>
        <w:t>,</w:t>
      </w:r>
      <w:r w:rsidR="00B75E96" w:rsidRPr="00FC1976">
        <w:rPr>
          <w:rFonts w:cs="Arial"/>
          <w:szCs w:val="22"/>
          <w:lang w:val="en-AU"/>
        </w:rPr>
        <w:t xml:space="preserve"> but </w:t>
      </w:r>
      <w:r w:rsidR="00290BF2">
        <w:rPr>
          <w:rFonts w:cs="Arial"/>
          <w:szCs w:val="22"/>
          <w:lang w:val="en-AU"/>
        </w:rPr>
        <w:t xml:space="preserve">this </w:t>
      </w:r>
      <w:r w:rsidR="00B75E96" w:rsidRPr="00FC1976">
        <w:rPr>
          <w:rFonts w:cs="Arial"/>
          <w:szCs w:val="22"/>
          <w:lang w:val="en-AU"/>
        </w:rPr>
        <w:t>presented several challenges</w:t>
      </w:r>
      <w:r w:rsidR="005C4ED0">
        <w:rPr>
          <w:rFonts w:cs="Arial"/>
          <w:szCs w:val="22"/>
          <w:lang w:val="en-AU"/>
        </w:rPr>
        <w:t>.</w:t>
      </w:r>
      <w:r w:rsidR="00B75E96" w:rsidRPr="00FC1976">
        <w:rPr>
          <w:rFonts w:cs="Arial"/>
          <w:szCs w:val="22"/>
          <w:lang w:val="en-AU"/>
        </w:rPr>
        <w:t xml:space="preserve"> </w:t>
      </w:r>
      <w:r w:rsidR="005C4ED0">
        <w:rPr>
          <w:rFonts w:cs="Arial"/>
          <w:szCs w:val="22"/>
          <w:lang w:val="en-AU"/>
        </w:rPr>
        <w:t>M</w:t>
      </w:r>
      <w:r w:rsidR="00B75E96" w:rsidRPr="00FC1976">
        <w:rPr>
          <w:rFonts w:cs="Arial"/>
          <w:szCs w:val="22"/>
          <w:lang w:val="en-AU"/>
        </w:rPr>
        <w:t>ost notably, funding for the allied health services by unregistered providers, such as youth workers, may not be effective under the MBS</w:t>
      </w:r>
      <w:r w:rsidR="00457B2A">
        <w:rPr>
          <w:rFonts w:cs="Arial"/>
          <w:szCs w:val="22"/>
          <w:lang w:val="en-AU"/>
        </w:rPr>
        <w:t>,</w:t>
      </w:r>
      <w:r w:rsidR="00B75E96" w:rsidRPr="00FC1976">
        <w:rPr>
          <w:rFonts w:cs="Arial"/>
          <w:szCs w:val="22"/>
          <w:lang w:val="en-AU"/>
        </w:rPr>
        <w:t xml:space="preserve"> where there is no line-of-sight visibility to the claiming provider. It was agreed that funding these services would provide significant economic benefits for both state and federal governments</w:t>
      </w:r>
      <w:r w:rsidR="00366697">
        <w:rPr>
          <w:rFonts w:cs="Arial"/>
          <w:szCs w:val="22"/>
          <w:lang w:val="en-AU"/>
        </w:rPr>
        <w:t>, but</w:t>
      </w:r>
      <w:r w:rsidR="00B75E96" w:rsidRPr="00FC1976">
        <w:rPr>
          <w:rFonts w:cs="Arial"/>
          <w:szCs w:val="22"/>
          <w:lang w:val="en-AU"/>
        </w:rPr>
        <w:t xml:space="preserve"> a clear and sustainable funding model </w:t>
      </w:r>
      <w:r w:rsidR="00885579">
        <w:rPr>
          <w:rFonts w:cs="Arial"/>
          <w:szCs w:val="22"/>
          <w:lang w:val="en-AU"/>
        </w:rPr>
        <w:t>has yet to be identified</w:t>
      </w:r>
      <w:r w:rsidR="00B75E96" w:rsidRPr="00FC1976">
        <w:rPr>
          <w:rFonts w:cs="Arial"/>
          <w:szCs w:val="22"/>
          <w:lang w:val="en-AU"/>
        </w:rPr>
        <w:t>.</w:t>
      </w:r>
    </w:p>
    <w:p w14:paraId="15438B1F" w14:textId="07B584ED" w:rsidR="009E1543" w:rsidRPr="00FC1976" w:rsidRDefault="009E1543" w:rsidP="009E1543">
      <w:pPr>
        <w:pStyle w:val="Caption"/>
        <w:rPr>
          <w:lang w:val="en-AU"/>
        </w:rPr>
      </w:pPr>
      <w:bookmarkStart w:id="128" w:name="_Ref462413592"/>
      <w:bookmarkStart w:id="129" w:name="_Toc463984901"/>
      <w:r>
        <w:t xml:space="preserve">Figure </w:t>
      </w:r>
      <w:r>
        <w:fldChar w:fldCharType="begin"/>
      </w:r>
      <w:r>
        <w:instrText xml:space="preserve"> SEQ Figure \* ARABIC </w:instrText>
      </w:r>
      <w:r>
        <w:fldChar w:fldCharType="separate"/>
      </w:r>
      <w:r w:rsidR="00D17FB0">
        <w:rPr>
          <w:noProof/>
        </w:rPr>
        <w:t>5</w:t>
      </w:r>
      <w:r>
        <w:fldChar w:fldCharType="end"/>
      </w:r>
      <w:bookmarkEnd w:id="128"/>
      <w:r w:rsidRPr="00FC1976">
        <w:rPr>
          <w:lang w:val="en-AU"/>
        </w:rPr>
        <w:t xml:space="preserve">: </w:t>
      </w:r>
      <w:r>
        <w:rPr>
          <w:lang w:val="en-AU"/>
        </w:rPr>
        <w:t>Average time between graft failure and re-transplantation</w:t>
      </w:r>
      <w:bookmarkEnd w:id="129"/>
    </w:p>
    <w:p w14:paraId="11F10C33" w14:textId="77777777" w:rsidR="00D0416D" w:rsidRPr="00FC1976" w:rsidRDefault="00D0416D" w:rsidP="0074549B">
      <w:pPr>
        <w:pStyle w:val="70exhtblnormal"/>
        <w:rPr>
          <w:lang w:val="en-AU"/>
        </w:rPr>
      </w:pPr>
      <w:r w:rsidRPr="009E1543">
        <w:rPr>
          <w:noProof/>
          <w:lang w:val="en-AU" w:eastAsia="en-AU"/>
        </w:rPr>
        <w:drawing>
          <wp:inline distT="0" distB="0" distL="0" distR="0" wp14:anchorId="676DC1F0" wp14:editId="78B603FA">
            <wp:extent cx="4906645" cy="3258718"/>
            <wp:effectExtent l="0" t="0" r="8255" b="0"/>
            <wp:docPr id="2" name="Picture 2" descr="Figure 5 is a bar graph which shows the average time between graft failure and re-transplantation. There are 5 columns: column 1: average time between transplant by age at time of failure of previous transplantation by number of days, column 2: cost without graft failure, column 3: cost of dialysis and re-transplantation, and column 4: savings per failure avoided. Column 1 shows in blue bars two of the highest age groups and their average time in days.The longest interval between failure and re-transplantation is between ages 20-24 at 2,428 days. In this age group, health costs without graft failure would have been $78,300, and with an average failure interval increases to $430,100, an additional $351,800 . The second highest is the age group of 15-19 years at 1,728 days. This age group's non-failure health costs would be $55,700 and with average failure interval inceases to $311,700 or an additional $256,000." title="Figure 5: Average time between graft failure and re-trans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11520"/>
                    <a:stretch/>
                  </pic:blipFill>
                  <pic:spPr bwMode="auto">
                    <a:xfrm>
                      <a:off x="0" y="0"/>
                      <a:ext cx="4906645" cy="325871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r w:rsidRPr="00FC1976">
        <w:rPr>
          <w:rStyle w:val="CommentReference"/>
          <w:rFonts w:cs="Arial"/>
          <w:sz w:val="24"/>
          <w:szCs w:val="20"/>
          <w:lang w:val="en-AU"/>
        </w:rPr>
        <w:t xml:space="preserve"> </w:t>
      </w:r>
    </w:p>
    <w:p w14:paraId="4FC3922E" w14:textId="77777777" w:rsidR="009B10B6" w:rsidRPr="00FC1976" w:rsidRDefault="007609EB" w:rsidP="00E15A50">
      <w:pPr>
        <w:pStyle w:val="01squarebullet"/>
        <w:rPr>
          <w:lang w:val="en-AU"/>
        </w:rPr>
      </w:pPr>
      <w:r>
        <w:rPr>
          <w:lang w:val="en-AU"/>
        </w:rPr>
        <w:t>The Committee</w:t>
      </w:r>
      <w:r w:rsidRPr="00FC1976">
        <w:rPr>
          <w:lang w:val="en-AU"/>
        </w:rPr>
        <w:t xml:space="preserve"> </w:t>
      </w:r>
      <w:r w:rsidR="009B10B6" w:rsidRPr="00FC1976">
        <w:rPr>
          <w:lang w:val="en-AU"/>
        </w:rPr>
        <w:t xml:space="preserve">discussed which provider generally holds overarching responsibility for the patient and the services during the adolescent years. It was acknowledged that for adolescents, the paediatric nephrologist </w:t>
      </w:r>
      <w:r w:rsidR="003C2A1B" w:rsidRPr="00FC1976">
        <w:rPr>
          <w:lang w:val="en-AU"/>
        </w:rPr>
        <w:t xml:space="preserve">often has </w:t>
      </w:r>
      <w:r w:rsidR="009B10B6" w:rsidRPr="00FC1976">
        <w:rPr>
          <w:lang w:val="en-AU"/>
        </w:rPr>
        <w:t>additional expertise</w:t>
      </w:r>
      <w:r w:rsidR="003C2A1B" w:rsidRPr="00FC1976">
        <w:rPr>
          <w:lang w:val="en-AU"/>
        </w:rPr>
        <w:t xml:space="preserve"> in working with younger patients</w:t>
      </w:r>
      <w:r w:rsidR="009B10B6" w:rsidRPr="00FC1976">
        <w:rPr>
          <w:lang w:val="en-AU"/>
        </w:rPr>
        <w:t xml:space="preserve">, </w:t>
      </w:r>
      <w:r w:rsidR="00A60307">
        <w:rPr>
          <w:lang w:val="en-AU"/>
        </w:rPr>
        <w:t>but</w:t>
      </w:r>
      <w:r w:rsidR="00A60307" w:rsidRPr="00FC1976">
        <w:rPr>
          <w:lang w:val="en-AU"/>
        </w:rPr>
        <w:t xml:space="preserve"> </w:t>
      </w:r>
      <w:r w:rsidR="003F40FC">
        <w:rPr>
          <w:lang w:val="en-AU"/>
        </w:rPr>
        <w:t>during this period the</w:t>
      </w:r>
      <w:r w:rsidR="003F40FC" w:rsidRPr="00FC1976">
        <w:rPr>
          <w:lang w:val="en-AU"/>
        </w:rPr>
        <w:t xml:space="preserve"> </w:t>
      </w:r>
      <w:r w:rsidR="003C2A1B" w:rsidRPr="00FC1976">
        <w:rPr>
          <w:lang w:val="en-AU"/>
        </w:rPr>
        <w:t xml:space="preserve">focus </w:t>
      </w:r>
      <w:r w:rsidR="001833A6">
        <w:rPr>
          <w:lang w:val="en-AU"/>
        </w:rPr>
        <w:t xml:space="preserve">is </w:t>
      </w:r>
      <w:r w:rsidR="00B1292B">
        <w:rPr>
          <w:lang w:val="en-AU"/>
        </w:rPr>
        <w:t xml:space="preserve">on </w:t>
      </w:r>
      <w:r w:rsidR="009B10B6" w:rsidRPr="00FC1976">
        <w:rPr>
          <w:lang w:val="en-AU"/>
        </w:rPr>
        <w:t xml:space="preserve">transitioning </w:t>
      </w:r>
      <w:r w:rsidR="003C2A1B" w:rsidRPr="00FC1976">
        <w:rPr>
          <w:lang w:val="en-AU"/>
        </w:rPr>
        <w:t xml:space="preserve">away </w:t>
      </w:r>
      <w:r w:rsidR="009B10B6" w:rsidRPr="00FC1976">
        <w:rPr>
          <w:lang w:val="en-AU"/>
        </w:rPr>
        <w:t xml:space="preserve">from paediatric services. </w:t>
      </w:r>
      <w:r w:rsidR="003C2A1B" w:rsidRPr="00FC1976">
        <w:rPr>
          <w:lang w:val="en-AU"/>
        </w:rPr>
        <w:t xml:space="preserve">It is imperative that rapport with adult providers and services </w:t>
      </w:r>
      <w:r w:rsidR="005B3874">
        <w:rPr>
          <w:lang w:val="en-AU"/>
        </w:rPr>
        <w:t>is</w:t>
      </w:r>
      <w:r w:rsidR="005B3874" w:rsidRPr="00FC1976">
        <w:rPr>
          <w:lang w:val="en-AU"/>
        </w:rPr>
        <w:t xml:space="preserve"> </w:t>
      </w:r>
      <w:r w:rsidR="003C2A1B" w:rsidRPr="00FC1976">
        <w:rPr>
          <w:lang w:val="en-AU"/>
        </w:rPr>
        <w:t xml:space="preserve">established </w:t>
      </w:r>
      <w:r w:rsidR="00BF11BC">
        <w:rPr>
          <w:lang w:val="en-AU"/>
        </w:rPr>
        <w:t>during</w:t>
      </w:r>
      <w:r w:rsidR="00BF11BC" w:rsidRPr="00FC1976">
        <w:rPr>
          <w:lang w:val="en-AU"/>
        </w:rPr>
        <w:t xml:space="preserve"> </w:t>
      </w:r>
      <w:r w:rsidR="003C2A1B" w:rsidRPr="00FC1976">
        <w:rPr>
          <w:lang w:val="en-AU"/>
        </w:rPr>
        <w:t>this time</w:t>
      </w:r>
      <w:r w:rsidR="00F219DD">
        <w:rPr>
          <w:lang w:val="en-AU"/>
        </w:rPr>
        <w:t>,</w:t>
      </w:r>
      <w:r w:rsidR="003C2A1B" w:rsidRPr="00FC1976">
        <w:rPr>
          <w:lang w:val="en-AU"/>
        </w:rPr>
        <w:t xml:space="preserve"> and this is undermined if the paediatric providers remain the ‘lead</w:t>
      </w:r>
      <w:r w:rsidR="00020D13">
        <w:rPr>
          <w:lang w:val="en-AU"/>
        </w:rPr>
        <w:t>,</w:t>
      </w:r>
      <w:r w:rsidR="003C2A1B" w:rsidRPr="00FC1976">
        <w:rPr>
          <w:lang w:val="en-AU"/>
        </w:rPr>
        <w:t xml:space="preserve">’ with services predominately occurring in the usual paediatric clinic. </w:t>
      </w:r>
      <w:r w:rsidR="00DB63ED">
        <w:rPr>
          <w:lang w:val="en-AU"/>
        </w:rPr>
        <w:t>For this reason</w:t>
      </w:r>
      <w:r w:rsidR="009B10B6" w:rsidRPr="00FC1976">
        <w:rPr>
          <w:lang w:val="en-AU"/>
        </w:rPr>
        <w:t xml:space="preserve">, </w:t>
      </w:r>
      <w:r w:rsidR="002B288A">
        <w:rPr>
          <w:lang w:val="en-AU"/>
        </w:rPr>
        <w:t>the Committee</w:t>
      </w:r>
      <w:r w:rsidR="009B10B6" w:rsidRPr="00FC1976">
        <w:rPr>
          <w:lang w:val="en-AU"/>
        </w:rPr>
        <w:t xml:space="preserve"> agreed that </w:t>
      </w:r>
      <w:r w:rsidR="000B34A7" w:rsidRPr="00FC1976">
        <w:rPr>
          <w:lang w:val="en-AU"/>
        </w:rPr>
        <w:t xml:space="preserve">overriding responsibility should rest with </w:t>
      </w:r>
      <w:r w:rsidR="009B10B6" w:rsidRPr="00FC1976">
        <w:rPr>
          <w:lang w:val="en-AU"/>
        </w:rPr>
        <w:t xml:space="preserve">the adult </w:t>
      </w:r>
      <w:r w:rsidR="000B34A7" w:rsidRPr="00FC1976">
        <w:rPr>
          <w:lang w:val="en-AU"/>
        </w:rPr>
        <w:t>providers</w:t>
      </w:r>
      <w:r w:rsidR="009B10B6" w:rsidRPr="00FC1976">
        <w:rPr>
          <w:lang w:val="en-AU"/>
        </w:rPr>
        <w:t xml:space="preserve">. </w:t>
      </w:r>
    </w:p>
    <w:p w14:paraId="1CCBD43E" w14:textId="77777777" w:rsidR="00FE1340" w:rsidRPr="00FC1976" w:rsidRDefault="00517CB8" w:rsidP="00082595">
      <w:pPr>
        <w:pStyle w:val="01squarebullet"/>
        <w:rPr>
          <w:lang w:val="en-AU"/>
        </w:rPr>
      </w:pPr>
      <w:r w:rsidRPr="00FC1976">
        <w:rPr>
          <w:lang w:val="en-AU"/>
        </w:rPr>
        <w:t>The Committee strongly support</w:t>
      </w:r>
      <w:r w:rsidR="00CE335D">
        <w:rPr>
          <w:lang w:val="en-AU"/>
        </w:rPr>
        <w:t>ed</w:t>
      </w:r>
      <w:r w:rsidRPr="00FC1976">
        <w:rPr>
          <w:lang w:val="en-AU"/>
        </w:rPr>
        <w:t xml:space="preserve"> consideration of other populations </w:t>
      </w:r>
      <w:r w:rsidR="002E1B06">
        <w:rPr>
          <w:lang w:val="en-AU"/>
        </w:rPr>
        <w:t xml:space="preserve">that </w:t>
      </w:r>
      <w:r w:rsidRPr="00FC1976">
        <w:rPr>
          <w:lang w:val="en-AU"/>
        </w:rPr>
        <w:t xml:space="preserve">fall between the gaps of </w:t>
      </w:r>
      <w:r w:rsidR="00DF4B56">
        <w:rPr>
          <w:rFonts w:cs="Arial"/>
          <w:szCs w:val="22"/>
          <w:lang w:val="en-AU"/>
        </w:rPr>
        <w:t>s</w:t>
      </w:r>
      <w:r w:rsidRPr="00FC1976">
        <w:rPr>
          <w:lang w:val="en-AU"/>
        </w:rPr>
        <w:t xml:space="preserve">tate and Commonwealth funding, hospital and community care, and paediatric and adult services, where the significant lack of clarity </w:t>
      </w:r>
      <w:r w:rsidR="008B66E2">
        <w:rPr>
          <w:lang w:val="en-AU"/>
        </w:rPr>
        <w:t>in terms of</w:t>
      </w:r>
      <w:r w:rsidR="008B66E2" w:rsidRPr="00FC1976">
        <w:rPr>
          <w:lang w:val="en-AU"/>
        </w:rPr>
        <w:t xml:space="preserve"> </w:t>
      </w:r>
      <w:r w:rsidRPr="00FC1976">
        <w:rPr>
          <w:lang w:val="en-AU"/>
        </w:rPr>
        <w:t xml:space="preserve">accountability for funding care has negative health outcomes. Such populations would include adolescents with spina bifida, cystic fibrosis, complex urological conditions, cerebral palsy and other organ transplants. It is beyond the expertise of this Committee to recommend specific solutions for these populations, </w:t>
      </w:r>
      <w:r w:rsidR="004A251E">
        <w:rPr>
          <w:lang w:val="en-AU"/>
        </w:rPr>
        <w:t>but</w:t>
      </w:r>
      <w:r w:rsidR="004A251E" w:rsidRPr="00FC1976">
        <w:rPr>
          <w:lang w:val="en-AU"/>
        </w:rPr>
        <w:t xml:space="preserve"> </w:t>
      </w:r>
      <w:r w:rsidRPr="00FC1976">
        <w:rPr>
          <w:lang w:val="en-AU"/>
        </w:rPr>
        <w:t xml:space="preserve">the Taskforce should consider them when considering this issue. </w:t>
      </w:r>
    </w:p>
    <w:p w14:paraId="529A06B8" w14:textId="77777777" w:rsidR="00670579" w:rsidRPr="00FC1976" w:rsidRDefault="00670579" w:rsidP="005076E4">
      <w:pPr>
        <w:pStyle w:val="Heading2"/>
        <w:rPr>
          <w:lang w:val="en-AU"/>
        </w:rPr>
      </w:pPr>
      <w:bookmarkStart w:id="130" w:name="_Toc459996819"/>
      <w:bookmarkStart w:id="131" w:name="_Toc458167009"/>
      <w:bookmarkStart w:id="132" w:name="_Toc467668962"/>
      <w:r w:rsidRPr="00FC1976">
        <w:rPr>
          <w:lang w:val="en-AU"/>
        </w:rPr>
        <w:t>Stakeholder impact statement</w:t>
      </w:r>
      <w:bookmarkEnd w:id="130"/>
      <w:bookmarkEnd w:id="131"/>
      <w:bookmarkEnd w:id="132"/>
      <w:r w:rsidR="00FB22D7" w:rsidRPr="00FC1976">
        <w:rPr>
          <w:lang w:val="en-AU"/>
        </w:rPr>
        <w:t xml:space="preserve"> </w:t>
      </w:r>
    </w:p>
    <w:p w14:paraId="7A00A385" w14:textId="77777777" w:rsidR="00B7475B" w:rsidRPr="00FC1976" w:rsidRDefault="00B7475B" w:rsidP="00082595">
      <w:pPr>
        <w:rPr>
          <w:lang w:val="en-AU" w:eastAsia="en-US"/>
        </w:rPr>
      </w:pPr>
      <w:r w:rsidRPr="00FC1976">
        <w:rPr>
          <w:lang w:val="en-AU" w:eastAsia="en-US"/>
        </w:rPr>
        <w:t xml:space="preserve">The new item for very remote dialysis is expected to </w:t>
      </w:r>
      <w:r w:rsidR="00B509D7" w:rsidRPr="00FC1976">
        <w:rPr>
          <w:lang w:val="en-AU" w:eastAsia="en-US"/>
        </w:rPr>
        <w:t xml:space="preserve">address </w:t>
      </w:r>
      <w:r w:rsidRPr="00FC1976">
        <w:rPr>
          <w:lang w:val="en-AU" w:eastAsia="en-US"/>
        </w:rPr>
        <w:t>a significant access gap that currently forces very remote dialysis patients</w:t>
      </w:r>
      <w:r w:rsidR="00216B4E" w:rsidRPr="00FC1976">
        <w:rPr>
          <w:lang w:val="en-AU" w:eastAsia="en-US"/>
        </w:rPr>
        <w:t xml:space="preserve"> to relocate</w:t>
      </w:r>
      <w:r w:rsidRPr="00FC1976">
        <w:rPr>
          <w:lang w:val="en-AU" w:eastAsia="en-US"/>
        </w:rPr>
        <w:t xml:space="preserve">, </w:t>
      </w:r>
      <w:r w:rsidR="00C02A12" w:rsidRPr="00FC1976">
        <w:rPr>
          <w:lang w:val="en-AU" w:eastAsia="en-US"/>
        </w:rPr>
        <w:t>with all the attendant</w:t>
      </w:r>
      <w:r w:rsidRPr="00FC1976">
        <w:rPr>
          <w:lang w:val="en-AU" w:eastAsia="en-US"/>
        </w:rPr>
        <w:t xml:space="preserve"> individual and social costs. </w:t>
      </w:r>
      <w:r w:rsidR="000037FE" w:rsidRPr="00FC1976">
        <w:rPr>
          <w:lang w:val="en-AU" w:eastAsia="en-US"/>
        </w:rPr>
        <w:t>Adding this item</w:t>
      </w:r>
      <w:r w:rsidRPr="00FC1976">
        <w:rPr>
          <w:lang w:val="en-AU" w:eastAsia="en-US"/>
        </w:rPr>
        <w:t xml:space="preserve"> is expected to have profound </w:t>
      </w:r>
      <w:r w:rsidR="00006876" w:rsidRPr="00FC1976">
        <w:rPr>
          <w:lang w:val="en-AU" w:eastAsia="en-US"/>
        </w:rPr>
        <w:t xml:space="preserve">positive </w:t>
      </w:r>
      <w:r w:rsidRPr="00FC1976">
        <w:rPr>
          <w:lang w:val="en-AU" w:eastAsia="en-US"/>
        </w:rPr>
        <w:t xml:space="preserve">social and health outcome impacts </w:t>
      </w:r>
      <w:r w:rsidR="008C5A09" w:rsidRPr="00FC1976">
        <w:rPr>
          <w:lang w:val="en-AU" w:eastAsia="en-US"/>
        </w:rPr>
        <w:t>for</w:t>
      </w:r>
      <w:r w:rsidR="00D71175" w:rsidRPr="00FC1976">
        <w:rPr>
          <w:lang w:val="en-AU" w:eastAsia="en-US"/>
        </w:rPr>
        <w:t xml:space="preserve"> </w:t>
      </w:r>
      <w:r w:rsidRPr="00FC1976">
        <w:rPr>
          <w:lang w:val="en-AU" w:eastAsia="en-US"/>
        </w:rPr>
        <w:t>patients, as well as positive economic outcomes for patients</w:t>
      </w:r>
      <w:r w:rsidR="00854C93">
        <w:rPr>
          <w:lang w:val="en-AU" w:eastAsia="en-US"/>
        </w:rPr>
        <w:t>,</w:t>
      </w:r>
      <w:r w:rsidRPr="00FC1976">
        <w:rPr>
          <w:lang w:val="en-AU" w:eastAsia="en-US"/>
        </w:rPr>
        <w:t xml:space="preserve"> </w:t>
      </w:r>
      <w:r w:rsidR="002C2805">
        <w:rPr>
          <w:lang w:val="en-AU" w:eastAsia="en-US"/>
        </w:rPr>
        <w:t>s</w:t>
      </w:r>
      <w:r w:rsidRPr="00FC1976">
        <w:rPr>
          <w:lang w:val="en-AU"/>
        </w:rPr>
        <w:t>tate</w:t>
      </w:r>
      <w:r w:rsidR="00854C93">
        <w:rPr>
          <w:lang w:val="en-AU"/>
        </w:rPr>
        <w:t xml:space="preserve"> governments</w:t>
      </w:r>
      <w:r w:rsidRPr="00FC1976">
        <w:rPr>
          <w:lang w:val="en-AU" w:eastAsia="en-US"/>
        </w:rPr>
        <w:t xml:space="preserve"> and</w:t>
      </w:r>
      <w:r w:rsidR="00854C93">
        <w:rPr>
          <w:lang w:val="en-AU" w:eastAsia="en-US"/>
        </w:rPr>
        <w:t xml:space="preserve"> the</w:t>
      </w:r>
      <w:r w:rsidRPr="00FC1976">
        <w:rPr>
          <w:lang w:val="en-AU" w:eastAsia="en-US"/>
        </w:rPr>
        <w:t xml:space="preserve"> </w:t>
      </w:r>
      <w:r w:rsidR="00D516E7">
        <w:rPr>
          <w:lang w:val="en-AU" w:eastAsia="en-US"/>
        </w:rPr>
        <w:t>f</w:t>
      </w:r>
      <w:r w:rsidRPr="00FC1976">
        <w:rPr>
          <w:lang w:val="en-AU" w:eastAsia="en-US"/>
        </w:rPr>
        <w:t xml:space="preserve">ederal </w:t>
      </w:r>
      <w:r w:rsidR="002E0927">
        <w:rPr>
          <w:lang w:val="en-AU" w:eastAsia="en-US"/>
        </w:rPr>
        <w:t>G</w:t>
      </w:r>
      <w:r w:rsidRPr="00FC1976">
        <w:rPr>
          <w:lang w:val="en-AU" w:eastAsia="en-US"/>
        </w:rPr>
        <w:t>overnment.</w:t>
      </w:r>
    </w:p>
    <w:p w14:paraId="058E2DFD" w14:textId="77777777" w:rsidR="00B7475B" w:rsidRPr="00FC1976" w:rsidRDefault="00B7475B" w:rsidP="00082595">
      <w:pPr>
        <w:rPr>
          <w:lang w:val="en-AU" w:eastAsia="en-US"/>
        </w:rPr>
      </w:pPr>
      <w:r w:rsidRPr="00FC1976">
        <w:rPr>
          <w:lang w:val="en-AU" w:eastAsia="en-US"/>
        </w:rPr>
        <w:t xml:space="preserve">The creation of a weekly dialysis </w:t>
      </w:r>
      <w:r w:rsidR="001E1192">
        <w:rPr>
          <w:lang w:val="en-AU" w:eastAsia="en-US"/>
        </w:rPr>
        <w:t>supervision</w:t>
      </w:r>
      <w:r w:rsidRPr="00FC1976">
        <w:rPr>
          <w:lang w:val="en-AU" w:eastAsia="en-US"/>
        </w:rPr>
        <w:t xml:space="preserve"> item is expected to redistribute funds between nephrologists</w:t>
      </w:r>
      <w:r w:rsidR="00EA5FEC" w:rsidRPr="00FC1976">
        <w:rPr>
          <w:lang w:val="en-AU" w:eastAsia="en-US"/>
        </w:rPr>
        <w:t>,</w:t>
      </w:r>
      <w:r w:rsidRPr="00FC1976">
        <w:rPr>
          <w:lang w:val="en-AU" w:eastAsia="en-US"/>
        </w:rPr>
        <w:t xml:space="preserve"> depending on current billing practices</w:t>
      </w:r>
      <w:r w:rsidR="00EA5FEC" w:rsidRPr="00FC1976">
        <w:rPr>
          <w:lang w:val="en-AU" w:eastAsia="en-US"/>
        </w:rPr>
        <w:t xml:space="preserve">. </w:t>
      </w:r>
      <w:r w:rsidR="00A7266E" w:rsidRPr="00FC1976">
        <w:rPr>
          <w:lang w:val="en-AU" w:eastAsia="en-US"/>
        </w:rPr>
        <w:t>For a</w:t>
      </w:r>
      <w:r w:rsidRPr="00FC1976">
        <w:rPr>
          <w:lang w:val="en-AU" w:eastAsia="en-US"/>
        </w:rPr>
        <w:t>pproximately 10</w:t>
      </w:r>
      <w:r w:rsidR="008037C5" w:rsidRPr="00FC1976">
        <w:rPr>
          <w:lang w:val="en-AU" w:eastAsia="en-US"/>
        </w:rPr>
        <w:t xml:space="preserve"> per cent</w:t>
      </w:r>
      <w:r w:rsidRPr="00FC1976">
        <w:rPr>
          <w:lang w:val="en-AU" w:eastAsia="en-US"/>
        </w:rPr>
        <w:t xml:space="preserve"> of providers</w:t>
      </w:r>
      <w:r w:rsidR="0010143D" w:rsidRPr="00FC1976">
        <w:rPr>
          <w:lang w:val="en-AU" w:eastAsia="en-US"/>
        </w:rPr>
        <w:t>,</w:t>
      </w:r>
      <w:r w:rsidRPr="00FC1976">
        <w:rPr>
          <w:lang w:val="en-AU" w:eastAsia="en-US"/>
        </w:rPr>
        <w:t xml:space="preserve"> billings</w:t>
      </w:r>
      <w:r w:rsidR="0010143D" w:rsidRPr="00FC1976">
        <w:rPr>
          <w:lang w:val="en-AU" w:eastAsia="en-US"/>
        </w:rPr>
        <w:t xml:space="preserve"> are expected to</w:t>
      </w:r>
      <w:r w:rsidRPr="00FC1976">
        <w:rPr>
          <w:lang w:val="en-AU" w:eastAsia="en-US"/>
        </w:rPr>
        <w:t xml:space="preserve"> decrease by more than $20</w:t>
      </w:r>
      <w:r w:rsidR="00D13B31" w:rsidRPr="00FC1976">
        <w:rPr>
          <w:lang w:val="en-AU" w:eastAsia="en-US"/>
        </w:rPr>
        <w:t>,</w:t>
      </w:r>
      <w:r w:rsidRPr="00FC1976">
        <w:rPr>
          <w:lang w:val="en-AU" w:eastAsia="en-US"/>
        </w:rPr>
        <w:t>000 per year</w:t>
      </w:r>
      <w:r w:rsidR="00B07BCD" w:rsidRPr="00FC1976">
        <w:rPr>
          <w:lang w:val="en-AU" w:eastAsia="en-US"/>
        </w:rPr>
        <w:t xml:space="preserve"> </w:t>
      </w:r>
      <w:r w:rsidR="00B07BCD" w:rsidRPr="00FC1976">
        <w:rPr>
          <w:lang w:val="en-AU" w:eastAsia="en-US"/>
        </w:rPr>
        <w:fldChar w:fldCharType="begin" w:fldLock="1"/>
      </w:r>
      <w:r w:rsidR="00B409DB">
        <w:rPr>
          <w:lang w:val="en-AU" w:eastAsia="en-US"/>
        </w:rPr>
        <w:instrText>ADDIN CSL_CITATION { "citationItems" : [ { "id" : "ITEM-1", "itemData" : { "author" : [ { "dropping-particle" : "", "family" : "MBS", "given" : "", "non-dropping-particle" : "", "parse-names" : false, "suffix" : "" } ], "id" : "ITEM-1", "issued" : { "date-parts" : [ [ "0" ] ] }, "title" : "MBS data Q20348 FY14/15", "type" : "article-journal" }, "uris" : [ "http://www.mendeley.com/documents/?uuid=a773a5e8-5097-4fe5-9539-79e0fde7cb4f" ] } ], "mendeley" : { "formattedCitation" : "(24)", "plainTextFormattedCitation" : "(24)", "previouslyFormattedCitation" : "(24)" }, "properties" : { "noteIndex" : 0 }, "schema" : "https://github.com/citation-style-language/schema/raw/master/csl-citation.json" }</w:instrText>
      </w:r>
      <w:r w:rsidR="00B07BCD" w:rsidRPr="00FC1976">
        <w:rPr>
          <w:lang w:val="en-AU" w:eastAsia="en-US"/>
        </w:rPr>
        <w:fldChar w:fldCharType="separate"/>
      </w:r>
      <w:r w:rsidR="0099742A" w:rsidRPr="0099742A">
        <w:rPr>
          <w:noProof/>
          <w:lang w:val="en-AU" w:eastAsia="en-US"/>
        </w:rPr>
        <w:t>(24)</w:t>
      </w:r>
      <w:r w:rsidR="00B07BCD" w:rsidRPr="00FC1976">
        <w:rPr>
          <w:lang w:val="en-AU" w:eastAsia="en-US"/>
        </w:rPr>
        <w:fldChar w:fldCharType="end"/>
      </w:r>
      <w:r w:rsidRPr="00FC1976">
        <w:rPr>
          <w:lang w:val="en-AU" w:eastAsia="en-US"/>
        </w:rPr>
        <w:t xml:space="preserve">. There are no expected impacts </w:t>
      </w:r>
      <w:r w:rsidR="00D446ED" w:rsidRPr="00FC1976">
        <w:rPr>
          <w:lang w:val="en-AU" w:eastAsia="en-US"/>
        </w:rPr>
        <w:t xml:space="preserve">on </w:t>
      </w:r>
      <w:r w:rsidRPr="00FC1976">
        <w:rPr>
          <w:lang w:val="en-AU" w:eastAsia="en-US"/>
        </w:rPr>
        <w:t xml:space="preserve">patient outcomes as a result of this </w:t>
      </w:r>
      <w:r w:rsidR="001E1192">
        <w:rPr>
          <w:lang w:val="en-AU" w:eastAsia="en-US"/>
        </w:rPr>
        <w:t>change</w:t>
      </w:r>
      <w:r w:rsidRPr="00FC1976">
        <w:rPr>
          <w:lang w:val="en-AU" w:eastAsia="en-US"/>
        </w:rPr>
        <w:t xml:space="preserve">. </w:t>
      </w:r>
      <w:r w:rsidR="00552820" w:rsidRPr="00FC1976">
        <w:rPr>
          <w:lang w:val="en-AU" w:eastAsia="en-US"/>
        </w:rPr>
        <w:t>However, t</w:t>
      </w:r>
      <w:r w:rsidRPr="00FC1976">
        <w:rPr>
          <w:lang w:val="en-AU" w:eastAsia="en-US"/>
        </w:rPr>
        <w:t xml:space="preserve">here may be an improvement in care coordination activities </w:t>
      </w:r>
      <w:r w:rsidR="00FE683D" w:rsidRPr="00FC1976">
        <w:rPr>
          <w:lang w:val="en-AU" w:eastAsia="en-US"/>
        </w:rPr>
        <w:t xml:space="preserve">among </w:t>
      </w:r>
      <w:r w:rsidRPr="00FC1976">
        <w:rPr>
          <w:lang w:val="en-AU" w:eastAsia="en-US"/>
        </w:rPr>
        <w:t>a small subset of nephrologists</w:t>
      </w:r>
      <w:r w:rsidR="00C57EB7">
        <w:rPr>
          <w:lang w:val="en-AU" w:eastAsia="en-US"/>
        </w:rPr>
        <w:t>,</w:t>
      </w:r>
      <w:r w:rsidR="002B357B" w:rsidRPr="00FC1976">
        <w:rPr>
          <w:lang w:val="en-AU" w:eastAsia="en-US"/>
        </w:rPr>
        <w:t xml:space="preserve"> whose attention is drawn to the level of ongoing care expected. This</w:t>
      </w:r>
      <w:r w:rsidR="00825088" w:rsidRPr="00FC1976">
        <w:rPr>
          <w:lang w:val="en-AU" w:eastAsia="en-US"/>
        </w:rPr>
        <w:t xml:space="preserve"> may also </w:t>
      </w:r>
      <w:r w:rsidRPr="00FC1976">
        <w:rPr>
          <w:lang w:val="en-AU" w:eastAsia="en-US"/>
        </w:rPr>
        <w:t xml:space="preserve">improve communication with primary care clinicians. </w:t>
      </w:r>
    </w:p>
    <w:p w14:paraId="3A870260" w14:textId="77777777" w:rsidR="00B7475B" w:rsidRPr="00FC1976" w:rsidRDefault="00B7475B" w:rsidP="00082595">
      <w:pPr>
        <w:rPr>
          <w:lang w:val="en-AU" w:eastAsia="en-US"/>
        </w:rPr>
      </w:pPr>
      <w:r w:rsidRPr="00FC1976">
        <w:rPr>
          <w:lang w:val="en-AU" w:eastAsia="en-US"/>
        </w:rPr>
        <w:t>Patients and providers are expected to benefit from the recommendations to delete or change items. Fewer and clearer item descriptors</w:t>
      </w:r>
      <w:r w:rsidR="00FE5B08">
        <w:rPr>
          <w:lang w:val="en-AU" w:eastAsia="en-US"/>
        </w:rPr>
        <w:t>,</w:t>
      </w:r>
      <w:r w:rsidRPr="00FC1976">
        <w:rPr>
          <w:lang w:val="en-AU" w:eastAsia="en-US"/>
        </w:rPr>
        <w:t xml:space="preserve"> supported by clear explanatory notes</w:t>
      </w:r>
      <w:r w:rsidR="00FE5B08">
        <w:rPr>
          <w:lang w:val="en-AU" w:eastAsia="en-US"/>
        </w:rPr>
        <w:t>,</w:t>
      </w:r>
      <w:r w:rsidRPr="00FC1976">
        <w:rPr>
          <w:lang w:val="en-AU" w:eastAsia="en-US"/>
        </w:rPr>
        <w:t xml:space="preserve"> will minimise confusion for providers and incentivise best</w:t>
      </w:r>
      <w:r w:rsidR="003F21C5" w:rsidRPr="00FC1976">
        <w:rPr>
          <w:lang w:val="en-AU" w:eastAsia="en-US"/>
        </w:rPr>
        <w:t>-</w:t>
      </w:r>
      <w:r w:rsidRPr="00FC1976">
        <w:rPr>
          <w:lang w:val="en-AU" w:eastAsia="en-US"/>
        </w:rPr>
        <w:t xml:space="preserve">practice clinical care for patients. </w:t>
      </w:r>
    </w:p>
    <w:p w14:paraId="1C92461D" w14:textId="77777777" w:rsidR="00512F2C" w:rsidRPr="00FC1976" w:rsidRDefault="00962111" w:rsidP="00EE7BD8">
      <w:pPr>
        <w:pStyle w:val="Heading1"/>
        <w:pageBreakBefore/>
        <w:ind w:left="431" w:hanging="431"/>
        <w:rPr>
          <w:lang w:val="en-AU"/>
        </w:rPr>
      </w:pPr>
      <w:bookmarkStart w:id="133" w:name="_Toc459996820"/>
      <w:bookmarkStart w:id="134" w:name="_Toc458167010"/>
      <w:bookmarkStart w:id="135" w:name="_Toc467668963"/>
      <w:r w:rsidRPr="00FC1976">
        <w:rPr>
          <w:lang w:val="en-AU"/>
        </w:rPr>
        <w:t xml:space="preserve">Recommendations to </w:t>
      </w:r>
      <w:r w:rsidR="003F21C5" w:rsidRPr="00FC1976">
        <w:rPr>
          <w:lang w:val="en-AU"/>
        </w:rPr>
        <w:t>o</w:t>
      </w:r>
      <w:r w:rsidRPr="00FC1976">
        <w:rPr>
          <w:lang w:val="en-AU"/>
        </w:rPr>
        <w:t xml:space="preserve">ther </w:t>
      </w:r>
      <w:r w:rsidR="003F21C5" w:rsidRPr="00FC1976">
        <w:rPr>
          <w:lang w:val="en-AU"/>
        </w:rPr>
        <w:t>c</w:t>
      </w:r>
      <w:r w:rsidRPr="00FC1976">
        <w:rPr>
          <w:lang w:val="en-AU"/>
        </w:rPr>
        <w:t>ommittees</w:t>
      </w:r>
      <w:bookmarkEnd w:id="133"/>
      <w:bookmarkEnd w:id="134"/>
      <w:bookmarkEnd w:id="135"/>
    </w:p>
    <w:p w14:paraId="329883FA" w14:textId="7AA596FB" w:rsidR="00A47923" w:rsidRPr="00FC1976" w:rsidRDefault="006D4321" w:rsidP="00082595">
      <w:pPr>
        <w:pStyle w:val="Boldhdg"/>
        <w:rPr>
          <w:lang w:val="en-AU"/>
        </w:rPr>
      </w:pPr>
      <w:r>
        <w:rPr>
          <w:lang w:val="en-AU"/>
        </w:rPr>
        <w:t>Introduction</w:t>
      </w:r>
    </w:p>
    <w:p w14:paraId="200BE590" w14:textId="1F1134D3" w:rsidR="003607B2" w:rsidRPr="00FC1976" w:rsidRDefault="00D87A11" w:rsidP="00082595">
      <w:pPr>
        <w:rPr>
          <w:lang w:val="en-AU"/>
        </w:rPr>
      </w:pPr>
      <w:r w:rsidRPr="00FC1976">
        <w:rPr>
          <w:lang w:val="en-AU"/>
        </w:rPr>
        <w:t>T</w:t>
      </w:r>
      <w:r w:rsidR="00153FB2" w:rsidRPr="00FC1976">
        <w:rPr>
          <w:lang w:val="en-AU"/>
        </w:rPr>
        <w:t xml:space="preserve">he Committee </w:t>
      </w:r>
      <w:r w:rsidR="00826C8F" w:rsidRPr="00FC1976">
        <w:rPr>
          <w:lang w:val="en-AU"/>
        </w:rPr>
        <w:t xml:space="preserve">has </w:t>
      </w:r>
      <w:r w:rsidR="00063B43" w:rsidRPr="00FC1976">
        <w:rPr>
          <w:lang w:val="en-AU"/>
        </w:rPr>
        <w:t xml:space="preserve">also </w:t>
      </w:r>
      <w:r w:rsidR="00943A26" w:rsidRPr="00FC1976">
        <w:rPr>
          <w:lang w:val="en-AU"/>
        </w:rPr>
        <w:t xml:space="preserve">developed </w:t>
      </w:r>
      <w:r w:rsidR="00063B43" w:rsidRPr="00FC1976">
        <w:rPr>
          <w:lang w:val="en-AU"/>
        </w:rPr>
        <w:t xml:space="preserve">provisional recommendations for the consideration of other </w:t>
      </w:r>
      <w:r w:rsidR="00CF5897" w:rsidRPr="00FC1976">
        <w:rPr>
          <w:lang w:val="en-AU"/>
        </w:rPr>
        <w:t>c</w:t>
      </w:r>
      <w:r w:rsidR="00063B43" w:rsidRPr="00FC1976">
        <w:rPr>
          <w:lang w:val="en-AU"/>
        </w:rPr>
        <w:t>ommittees. These recommendations concern items that were</w:t>
      </w:r>
      <w:r w:rsidR="0087559E" w:rsidRPr="00FC1976">
        <w:rPr>
          <w:lang w:val="en-AU"/>
        </w:rPr>
        <w:t xml:space="preserve"> </w:t>
      </w:r>
      <w:r w:rsidR="00A639F3" w:rsidRPr="00FC1976">
        <w:rPr>
          <w:lang w:val="en-AU"/>
        </w:rPr>
        <w:t>assigned</w:t>
      </w:r>
      <w:r w:rsidR="0087559E" w:rsidRPr="00FC1976">
        <w:rPr>
          <w:lang w:val="en-AU"/>
        </w:rPr>
        <w:t xml:space="preserve"> by the Taskforce</w:t>
      </w:r>
      <w:r w:rsidR="00A639F3" w:rsidRPr="00FC1976">
        <w:rPr>
          <w:lang w:val="en-AU"/>
        </w:rPr>
        <w:t xml:space="preserve"> to the </w:t>
      </w:r>
      <w:r w:rsidR="00B936FE" w:rsidRPr="00FC1976">
        <w:rPr>
          <w:lang w:val="en-AU"/>
        </w:rPr>
        <w:t>Urology Clinical Committee (U</w:t>
      </w:r>
      <w:r w:rsidR="000C4AA4" w:rsidRPr="00FC1976">
        <w:rPr>
          <w:lang w:val="en-AU"/>
        </w:rPr>
        <w:t>CC)</w:t>
      </w:r>
      <w:r w:rsidR="00B936FE" w:rsidRPr="00FC1976">
        <w:rPr>
          <w:lang w:val="en-AU"/>
        </w:rPr>
        <w:t xml:space="preserve">, </w:t>
      </w:r>
      <w:r w:rsidR="00E20278" w:rsidRPr="00FC1976">
        <w:rPr>
          <w:lang w:val="en-AU"/>
        </w:rPr>
        <w:t xml:space="preserve">the </w:t>
      </w:r>
      <w:r w:rsidR="00B936FE" w:rsidRPr="00FC1976">
        <w:rPr>
          <w:lang w:val="en-AU"/>
        </w:rPr>
        <w:t xml:space="preserve">Nurse Practitioner and </w:t>
      </w:r>
      <w:r w:rsidR="00621980">
        <w:rPr>
          <w:lang w:val="en-AU"/>
        </w:rPr>
        <w:t xml:space="preserve">Participating </w:t>
      </w:r>
      <w:r w:rsidR="00B936FE" w:rsidRPr="00FC1976">
        <w:rPr>
          <w:lang w:val="en-AU"/>
        </w:rPr>
        <w:t>Midwife</w:t>
      </w:r>
      <w:r w:rsidR="00A639F3" w:rsidRPr="00FC1976">
        <w:rPr>
          <w:lang w:val="en-AU"/>
        </w:rPr>
        <w:t xml:space="preserve"> </w:t>
      </w:r>
      <w:r w:rsidR="000C4AA4" w:rsidRPr="00FC1976">
        <w:rPr>
          <w:lang w:val="en-AU"/>
        </w:rPr>
        <w:t>Clinical Committee (</w:t>
      </w:r>
      <w:r w:rsidR="00B936FE" w:rsidRPr="00FC1976">
        <w:rPr>
          <w:lang w:val="en-AU"/>
        </w:rPr>
        <w:t>NP&amp;</w:t>
      </w:r>
      <w:r w:rsidR="00621980">
        <w:rPr>
          <w:lang w:val="en-AU"/>
        </w:rPr>
        <w:t>P</w:t>
      </w:r>
      <w:r w:rsidR="00646F6F" w:rsidRPr="00FC1976">
        <w:rPr>
          <w:lang w:val="en-AU"/>
        </w:rPr>
        <w:t>M</w:t>
      </w:r>
      <w:r w:rsidR="000C4AA4" w:rsidRPr="00FC1976">
        <w:rPr>
          <w:lang w:val="en-AU"/>
        </w:rPr>
        <w:t>CC)</w:t>
      </w:r>
      <w:r w:rsidR="00B936FE" w:rsidRPr="00FC1976">
        <w:rPr>
          <w:lang w:val="en-AU"/>
        </w:rPr>
        <w:t>,</w:t>
      </w:r>
      <w:r w:rsidR="00F25C64" w:rsidRPr="00FC1976">
        <w:rPr>
          <w:lang w:val="en-AU"/>
        </w:rPr>
        <w:t xml:space="preserve"> </w:t>
      </w:r>
      <w:r w:rsidR="004D121F" w:rsidRPr="00FC1976">
        <w:rPr>
          <w:lang w:val="en-AU"/>
        </w:rPr>
        <w:t xml:space="preserve">the </w:t>
      </w:r>
      <w:r w:rsidR="0017769E" w:rsidRPr="00FC1976">
        <w:rPr>
          <w:lang w:val="en-AU"/>
        </w:rPr>
        <w:t>Aboriginal and Torres Strait Islander</w:t>
      </w:r>
      <w:r w:rsidR="00F25C64" w:rsidRPr="00FC1976">
        <w:rPr>
          <w:lang w:val="en-AU"/>
        </w:rPr>
        <w:t xml:space="preserve"> Clinical Committee (</w:t>
      </w:r>
      <w:r w:rsidR="006413B4" w:rsidRPr="00FC1976">
        <w:rPr>
          <w:lang w:val="en-AU"/>
        </w:rPr>
        <w:t>ATSICC</w:t>
      </w:r>
      <w:r w:rsidR="00F25C64" w:rsidRPr="00FC1976">
        <w:rPr>
          <w:lang w:val="en-AU"/>
        </w:rPr>
        <w:t xml:space="preserve">), </w:t>
      </w:r>
      <w:r w:rsidR="0054528F" w:rsidRPr="00FC1976">
        <w:rPr>
          <w:lang w:val="en-AU"/>
        </w:rPr>
        <w:t xml:space="preserve">the </w:t>
      </w:r>
      <w:r w:rsidR="00621980">
        <w:rPr>
          <w:lang w:val="en-AU"/>
        </w:rPr>
        <w:t xml:space="preserve">General Practice and </w:t>
      </w:r>
      <w:r w:rsidR="00342F4B" w:rsidRPr="00FC1976">
        <w:rPr>
          <w:lang w:val="en-AU"/>
        </w:rPr>
        <w:t xml:space="preserve">Primary </w:t>
      </w:r>
      <w:r w:rsidR="0017769E" w:rsidRPr="00FC1976">
        <w:rPr>
          <w:lang w:val="en-AU"/>
        </w:rPr>
        <w:t>Care</w:t>
      </w:r>
      <w:r w:rsidR="00F25C64" w:rsidRPr="00FC1976">
        <w:rPr>
          <w:lang w:val="en-AU"/>
        </w:rPr>
        <w:t xml:space="preserve"> Clinical Committee (</w:t>
      </w:r>
      <w:r w:rsidR="00621980">
        <w:rPr>
          <w:lang w:val="en-AU"/>
        </w:rPr>
        <w:t>GP</w:t>
      </w:r>
      <w:r w:rsidR="00F25C64" w:rsidRPr="00FC1976">
        <w:rPr>
          <w:lang w:val="en-AU"/>
        </w:rPr>
        <w:t>P</w:t>
      </w:r>
      <w:r w:rsidR="0017769E" w:rsidRPr="00FC1976">
        <w:rPr>
          <w:lang w:val="en-AU"/>
        </w:rPr>
        <w:t>C</w:t>
      </w:r>
      <w:r w:rsidR="00F25C64" w:rsidRPr="00FC1976">
        <w:rPr>
          <w:lang w:val="en-AU"/>
        </w:rPr>
        <w:t xml:space="preserve">CC) and </w:t>
      </w:r>
      <w:r w:rsidR="00CA6121" w:rsidRPr="00FC1976">
        <w:rPr>
          <w:lang w:val="en-AU"/>
        </w:rPr>
        <w:t xml:space="preserve">the </w:t>
      </w:r>
      <w:r w:rsidR="00621980">
        <w:rPr>
          <w:lang w:val="en-AU"/>
        </w:rPr>
        <w:t>Consultation Services</w:t>
      </w:r>
      <w:r w:rsidR="00F25C64" w:rsidRPr="00FC1976">
        <w:rPr>
          <w:lang w:val="en-AU"/>
        </w:rPr>
        <w:t xml:space="preserve"> Clinical Committee (</w:t>
      </w:r>
      <w:r w:rsidR="00621980">
        <w:rPr>
          <w:lang w:val="en-AU"/>
        </w:rPr>
        <w:t>CS</w:t>
      </w:r>
      <w:r w:rsidR="00F25C64" w:rsidRPr="00FC1976">
        <w:rPr>
          <w:lang w:val="en-AU"/>
        </w:rPr>
        <w:t>CC)</w:t>
      </w:r>
      <w:r w:rsidR="00FB150F" w:rsidRPr="00FC1976">
        <w:rPr>
          <w:lang w:val="en-AU"/>
        </w:rPr>
        <w:t xml:space="preserve"> </w:t>
      </w:r>
      <w:r w:rsidR="00DA667B" w:rsidRPr="00FC1976">
        <w:rPr>
          <w:lang w:val="en-AU"/>
        </w:rPr>
        <w:t>for primary review</w:t>
      </w:r>
      <w:r w:rsidR="00C50873" w:rsidRPr="00FC1976">
        <w:rPr>
          <w:lang w:val="en-AU"/>
        </w:rPr>
        <w:t>.</w:t>
      </w:r>
      <w:r w:rsidR="00A639F3" w:rsidRPr="00FC1976">
        <w:rPr>
          <w:lang w:val="en-AU"/>
        </w:rPr>
        <w:t xml:space="preserve"> </w:t>
      </w:r>
      <w:r w:rsidR="000E3E29" w:rsidRPr="00FC1976">
        <w:rPr>
          <w:lang w:val="en-AU"/>
        </w:rPr>
        <w:t>These</w:t>
      </w:r>
      <w:r w:rsidR="00A639F3" w:rsidRPr="00FC1976">
        <w:rPr>
          <w:lang w:val="en-AU"/>
        </w:rPr>
        <w:t xml:space="preserve"> </w:t>
      </w:r>
      <w:r w:rsidR="000D2B65" w:rsidRPr="00FC1976">
        <w:rPr>
          <w:lang w:val="en-AU"/>
        </w:rPr>
        <w:t>recommendations will</w:t>
      </w:r>
      <w:r w:rsidR="000C4AA4" w:rsidRPr="00FC1976">
        <w:rPr>
          <w:lang w:val="en-AU"/>
        </w:rPr>
        <w:t xml:space="preserve"> be </w:t>
      </w:r>
      <w:r w:rsidRPr="00FC1976">
        <w:rPr>
          <w:lang w:val="en-AU"/>
        </w:rPr>
        <w:t>submitted</w:t>
      </w:r>
      <w:r w:rsidR="003607B2" w:rsidRPr="00FC1976">
        <w:rPr>
          <w:lang w:val="en-AU"/>
        </w:rPr>
        <w:t xml:space="preserve"> to </w:t>
      </w:r>
      <w:r w:rsidR="0088479A" w:rsidRPr="00FC1976">
        <w:rPr>
          <w:lang w:val="en-AU"/>
        </w:rPr>
        <w:t xml:space="preserve">the </w:t>
      </w:r>
      <w:r w:rsidR="007B09A4" w:rsidRPr="00FC1976">
        <w:rPr>
          <w:lang w:val="en-AU"/>
        </w:rPr>
        <w:t>relevant c</w:t>
      </w:r>
      <w:r w:rsidR="00070689" w:rsidRPr="00FC1976">
        <w:rPr>
          <w:lang w:val="en-AU"/>
        </w:rPr>
        <w:t xml:space="preserve">ommittees for consideration as they formulate their own recommendations to the Taskforce. The recommendations will </w:t>
      </w:r>
      <w:r w:rsidR="000D2B65" w:rsidRPr="00FC1976">
        <w:rPr>
          <w:lang w:val="en-AU"/>
        </w:rPr>
        <w:t xml:space="preserve">also be included in </w:t>
      </w:r>
      <w:r w:rsidR="007952F2" w:rsidRPr="00FC1976">
        <w:rPr>
          <w:lang w:val="en-AU"/>
        </w:rPr>
        <w:t xml:space="preserve">this </w:t>
      </w:r>
      <w:r w:rsidR="000D2B65" w:rsidRPr="00FC1976">
        <w:rPr>
          <w:lang w:val="en-AU"/>
        </w:rPr>
        <w:t>Committee</w:t>
      </w:r>
      <w:r w:rsidR="00070689" w:rsidRPr="00FC1976">
        <w:rPr>
          <w:lang w:val="en-AU"/>
        </w:rPr>
        <w:t>’</w:t>
      </w:r>
      <w:r w:rsidR="000D2B65" w:rsidRPr="00FC1976">
        <w:rPr>
          <w:lang w:val="en-AU"/>
        </w:rPr>
        <w:t xml:space="preserve">s </w:t>
      </w:r>
      <w:r w:rsidR="00464464">
        <w:rPr>
          <w:lang w:val="en-AU"/>
        </w:rPr>
        <w:t xml:space="preserve">final </w:t>
      </w:r>
      <w:r w:rsidR="00FE5B08">
        <w:rPr>
          <w:lang w:val="en-AU"/>
        </w:rPr>
        <w:t>report</w:t>
      </w:r>
      <w:r w:rsidR="000D2B65" w:rsidRPr="00FC1976">
        <w:rPr>
          <w:lang w:val="en-AU"/>
        </w:rPr>
        <w:t xml:space="preserve"> and may be considered </w:t>
      </w:r>
      <w:r w:rsidR="00304158" w:rsidRPr="00FC1976">
        <w:rPr>
          <w:lang w:val="en-AU"/>
        </w:rPr>
        <w:t xml:space="preserve">directly </w:t>
      </w:r>
      <w:r w:rsidR="000D2B65" w:rsidRPr="00FC1976">
        <w:rPr>
          <w:lang w:val="en-AU"/>
        </w:rPr>
        <w:t>by the Taskforce</w:t>
      </w:r>
      <w:r w:rsidR="000A3CE0" w:rsidRPr="00FC1976">
        <w:rPr>
          <w:lang w:val="en-AU"/>
        </w:rPr>
        <w:t>.</w:t>
      </w:r>
      <w:r w:rsidR="00FB150F" w:rsidRPr="00FC1976">
        <w:rPr>
          <w:lang w:val="en-AU"/>
        </w:rPr>
        <w:t xml:space="preserve"> </w:t>
      </w:r>
    </w:p>
    <w:p w14:paraId="037293B1" w14:textId="03F42C84" w:rsidR="00762848" w:rsidRPr="00FC1976" w:rsidRDefault="00BB1FBB" w:rsidP="00082595">
      <w:pPr>
        <w:rPr>
          <w:lang w:val="en-AU" w:eastAsia="en-US"/>
        </w:rPr>
      </w:pPr>
      <w:r w:rsidRPr="00FC1976">
        <w:rPr>
          <w:lang w:val="en-AU" w:eastAsia="en-US"/>
        </w:rPr>
        <w:t>The item</w:t>
      </w:r>
      <w:r w:rsidR="009939E4" w:rsidRPr="00FC1976">
        <w:rPr>
          <w:lang w:val="en-AU" w:eastAsia="en-US"/>
        </w:rPr>
        <w:t>-</w:t>
      </w:r>
      <w:r w:rsidRPr="00FC1976">
        <w:rPr>
          <w:lang w:val="en-AU" w:eastAsia="en-US"/>
        </w:rPr>
        <w:t xml:space="preserve">level recommendations can be found below in </w:t>
      </w:r>
      <w:r w:rsidR="00833B19" w:rsidRPr="00FC1976">
        <w:rPr>
          <w:lang w:val="en-AU" w:eastAsia="en-US"/>
        </w:rPr>
        <w:t xml:space="preserve">Sections </w:t>
      </w:r>
      <w:r w:rsidR="007E4981">
        <w:rPr>
          <w:lang w:val="en-AU" w:eastAsia="en-US"/>
        </w:rPr>
        <w:t>5</w:t>
      </w:r>
      <w:r w:rsidR="00DC2E98" w:rsidRPr="00FC1976">
        <w:rPr>
          <w:lang w:val="en-AU" w:eastAsia="en-US"/>
        </w:rPr>
        <w:t>.1</w:t>
      </w:r>
      <w:r w:rsidR="00B91DAE">
        <w:rPr>
          <w:lang w:val="en-AU" w:eastAsia="en-US"/>
        </w:rPr>
        <w:t>–</w:t>
      </w:r>
      <w:r w:rsidR="007E4981">
        <w:rPr>
          <w:lang w:val="en-AU" w:eastAsia="en-US"/>
        </w:rPr>
        <w:t>5</w:t>
      </w:r>
      <w:r w:rsidR="0043623E" w:rsidRPr="00FC1976">
        <w:rPr>
          <w:lang w:val="en-AU" w:eastAsia="en-US"/>
        </w:rPr>
        <w:t>.4,</w:t>
      </w:r>
      <w:r w:rsidR="007F0DD3" w:rsidRPr="00FC1976">
        <w:rPr>
          <w:lang w:val="en-AU" w:eastAsia="en-US"/>
        </w:rPr>
        <w:t xml:space="preserve"> </w:t>
      </w:r>
      <w:r w:rsidRPr="00FC1976">
        <w:rPr>
          <w:lang w:val="en-AU" w:eastAsia="en-US"/>
        </w:rPr>
        <w:t xml:space="preserve">and a summary recommendation </w:t>
      </w:r>
      <w:r w:rsidR="000A3CE0" w:rsidRPr="00FC1976">
        <w:rPr>
          <w:lang w:val="en-AU" w:eastAsia="en-US"/>
        </w:rPr>
        <w:t xml:space="preserve">table can be found in Appendix </w:t>
      </w:r>
      <w:r w:rsidR="007E4981">
        <w:rPr>
          <w:lang w:val="en-AU" w:eastAsia="en-US"/>
        </w:rPr>
        <w:t>D</w:t>
      </w:r>
      <w:r w:rsidRPr="00FC1976">
        <w:rPr>
          <w:lang w:val="en-AU" w:eastAsia="en-US"/>
        </w:rPr>
        <w:t xml:space="preserve">. </w:t>
      </w:r>
      <w:r w:rsidR="00FB2AC2" w:rsidRPr="00FC1976">
        <w:rPr>
          <w:lang w:val="en-AU" w:eastAsia="en-US"/>
        </w:rPr>
        <w:t>R</w:t>
      </w:r>
      <w:r w:rsidR="007B1E97" w:rsidRPr="00FC1976">
        <w:rPr>
          <w:lang w:val="en-AU" w:eastAsia="en-US"/>
        </w:rPr>
        <w:t xml:space="preserve">ecommendations </w:t>
      </w:r>
      <w:r w:rsidR="00631C18" w:rsidRPr="00FC1976">
        <w:rPr>
          <w:lang w:val="en-AU" w:eastAsia="en-US"/>
        </w:rPr>
        <w:t xml:space="preserve">are grouped by </w:t>
      </w:r>
      <w:r w:rsidR="007D479F">
        <w:rPr>
          <w:lang w:val="en-AU" w:eastAsia="en-US"/>
        </w:rPr>
        <w:t>Clinical Committee</w:t>
      </w:r>
      <w:r w:rsidR="00631C18" w:rsidRPr="00FC1976">
        <w:rPr>
          <w:lang w:val="en-AU" w:eastAsia="en-US"/>
        </w:rPr>
        <w:t>.</w:t>
      </w:r>
      <w:r w:rsidR="004869D4" w:rsidRPr="00FC1976">
        <w:rPr>
          <w:lang w:val="en-AU" w:eastAsia="en-US"/>
        </w:rPr>
        <w:t xml:space="preserve"> </w:t>
      </w:r>
    </w:p>
    <w:p w14:paraId="5D98A0A0" w14:textId="2CEB518C" w:rsidR="007B1E97" w:rsidRPr="00FC1976" w:rsidRDefault="007B1E97" w:rsidP="005076E4">
      <w:pPr>
        <w:pStyle w:val="Heading2"/>
        <w:rPr>
          <w:lang w:val="en-AU"/>
        </w:rPr>
      </w:pPr>
      <w:bookmarkStart w:id="136" w:name="_Toc459996821"/>
      <w:bookmarkStart w:id="137" w:name="_Toc458167011"/>
      <w:bookmarkStart w:id="138" w:name="_Toc467668964"/>
      <w:bookmarkStart w:id="139" w:name="_Toc455435950"/>
      <w:bookmarkStart w:id="140" w:name="_Toc456045447"/>
      <w:r w:rsidRPr="00FC1976">
        <w:rPr>
          <w:lang w:val="en-AU"/>
        </w:rPr>
        <w:t xml:space="preserve">Recommendation to </w:t>
      </w:r>
      <w:r w:rsidR="00F115D3" w:rsidRPr="00FC1976">
        <w:rPr>
          <w:lang w:val="en-AU"/>
        </w:rPr>
        <w:t xml:space="preserve">the </w:t>
      </w:r>
      <w:r w:rsidR="00621980">
        <w:rPr>
          <w:lang w:val="en-AU"/>
        </w:rPr>
        <w:t>Consultation Services</w:t>
      </w:r>
      <w:r w:rsidRPr="00FC1976">
        <w:rPr>
          <w:lang w:val="en-AU"/>
        </w:rPr>
        <w:t xml:space="preserve"> Clinical Committee</w:t>
      </w:r>
      <w:bookmarkEnd w:id="136"/>
      <w:bookmarkEnd w:id="137"/>
      <w:bookmarkEnd w:id="138"/>
      <w:r w:rsidRPr="00FC1976">
        <w:rPr>
          <w:lang w:val="en-AU"/>
        </w:rPr>
        <w:t xml:space="preserve"> </w:t>
      </w:r>
    </w:p>
    <w:p w14:paraId="43570439" w14:textId="77777777" w:rsidR="001C067D" w:rsidRPr="00FC1976" w:rsidRDefault="001C067D" w:rsidP="00AB752F">
      <w:pPr>
        <w:pStyle w:val="Heading3"/>
        <w:rPr>
          <w:lang w:val="en-AU"/>
        </w:rPr>
      </w:pPr>
      <w:bookmarkStart w:id="141" w:name="_Toc459996822"/>
      <w:bookmarkStart w:id="142" w:name="_Toc458167012"/>
      <w:bookmarkStart w:id="143" w:name="_Toc467668965"/>
      <w:r w:rsidRPr="00FC1976">
        <w:rPr>
          <w:lang w:val="en-AU"/>
        </w:rPr>
        <w:t xml:space="preserve">Healthy </w:t>
      </w:r>
      <w:r w:rsidR="00A96686" w:rsidRPr="00FC1976">
        <w:rPr>
          <w:lang w:val="en-AU"/>
        </w:rPr>
        <w:t>d</w:t>
      </w:r>
      <w:r w:rsidRPr="00FC1976">
        <w:rPr>
          <w:lang w:val="en-AU"/>
        </w:rPr>
        <w:t xml:space="preserve">onor </w:t>
      </w:r>
      <w:r w:rsidR="00A96686" w:rsidRPr="00FC1976">
        <w:rPr>
          <w:lang w:val="en-AU"/>
        </w:rPr>
        <w:t>c</w:t>
      </w:r>
      <w:r w:rsidRPr="00FC1976">
        <w:rPr>
          <w:lang w:val="en-AU"/>
        </w:rPr>
        <w:t>onsults</w:t>
      </w:r>
      <w:bookmarkEnd w:id="141"/>
      <w:bookmarkEnd w:id="142"/>
      <w:bookmarkEnd w:id="143"/>
      <w:r w:rsidRPr="00FC1976">
        <w:rPr>
          <w:lang w:val="en-AU"/>
        </w:rPr>
        <w:t xml:space="preserve"> </w:t>
      </w:r>
    </w:p>
    <w:p w14:paraId="7C49E056" w14:textId="05437DE8" w:rsidR="00F212D7" w:rsidRDefault="00FF6C93" w:rsidP="00082595">
      <w:pPr>
        <w:pStyle w:val="Caption"/>
        <w:rPr>
          <w:lang w:val="en-AU"/>
        </w:rPr>
      </w:pPr>
      <w:bookmarkStart w:id="144" w:name="_Toc458167031"/>
      <w:bookmarkStart w:id="145" w:name="_Toc459971213"/>
      <w:bookmarkStart w:id="146" w:name="_Toc459996840"/>
      <w:bookmarkStart w:id="147" w:name="_Toc459891301"/>
      <w:bookmarkStart w:id="148" w:name="_Toc463984894"/>
      <w:r w:rsidRPr="00FC1976">
        <w:rPr>
          <w:lang w:val="en-AU"/>
        </w:rPr>
        <w:t xml:space="preserve">Table </w:t>
      </w:r>
      <w:r w:rsidR="00F00C88" w:rsidRPr="00FC1976">
        <w:rPr>
          <w:lang w:val="en-AU"/>
        </w:rPr>
        <w:fldChar w:fldCharType="begin"/>
      </w:r>
      <w:r w:rsidR="00F00C88" w:rsidRPr="00FC1976">
        <w:rPr>
          <w:lang w:val="en-AU"/>
        </w:rPr>
        <w:instrText xml:space="preserve"> SEQ Table \* ARABIC </w:instrText>
      </w:r>
      <w:r w:rsidR="00F00C88" w:rsidRPr="00FC1976">
        <w:rPr>
          <w:lang w:val="en-AU"/>
        </w:rPr>
        <w:fldChar w:fldCharType="separate"/>
      </w:r>
      <w:r w:rsidR="00D17FB0">
        <w:rPr>
          <w:noProof/>
          <w:lang w:val="en-AU"/>
        </w:rPr>
        <w:t>7</w:t>
      </w:r>
      <w:r w:rsidR="00F00C88" w:rsidRPr="00FC1976">
        <w:rPr>
          <w:lang w:val="en-AU"/>
        </w:rPr>
        <w:fldChar w:fldCharType="end"/>
      </w:r>
      <w:r w:rsidRPr="00FC1976">
        <w:rPr>
          <w:lang w:val="en-AU"/>
        </w:rPr>
        <w:t>: Item introduction table for item</w:t>
      </w:r>
      <w:r w:rsidR="00F32BCF" w:rsidRPr="00FC1976">
        <w:rPr>
          <w:lang w:val="en-AU"/>
        </w:rPr>
        <w:t>s</w:t>
      </w:r>
      <w:r w:rsidRPr="00FC1976">
        <w:rPr>
          <w:lang w:val="en-AU"/>
        </w:rPr>
        <w:t xml:space="preserve"> 132</w:t>
      </w:r>
      <w:bookmarkEnd w:id="144"/>
      <w:r w:rsidRPr="00FC1976">
        <w:rPr>
          <w:lang w:val="en-AU"/>
        </w:rPr>
        <w:t xml:space="preserve"> </w:t>
      </w:r>
      <w:r w:rsidR="00F32BCF" w:rsidRPr="00FC1976">
        <w:rPr>
          <w:lang w:val="en-AU"/>
        </w:rPr>
        <w:t>and 133</w:t>
      </w:r>
      <w:bookmarkEnd w:id="145"/>
      <w:bookmarkEnd w:id="146"/>
      <w:bookmarkEnd w:id="147"/>
      <w:bookmarkEnd w:id="14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7 shows the item introduction table for items 132 and 133 which are for healthy donor consults. There are 6 columns: column 1. List of items, column 2. Descriptor, column 3. Schedule fee, column 4. Volume of services for financial year 2014-15, column 5. Total benefits, and column 6. Percentage of the services average annual growth."/>
      </w:tblPr>
      <w:tblGrid>
        <w:gridCol w:w="703"/>
        <w:gridCol w:w="4008"/>
        <w:gridCol w:w="917"/>
        <w:gridCol w:w="997"/>
        <w:gridCol w:w="1216"/>
        <w:gridCol w:w="1175"/>
      </w:tblGrid>
      <w:tr w:rsidR="00282D58" w:rsidRPr="00FC1976" w14:paraId="7FC4EFE7" w14:textId="77777777" w:rsidTr="00495DE2">
        <w:trPr>
          <w:tblHeader/>
        </w:trPr>
        <w:tc>
          <w:tcPr>
            <w:tcW w:w="716" w:type="dxa"/>
            <w:shd w:val="clear" w:color="auto" w:fill="F2F2F2" w:themeFill="background1" w:themeFillShade="F2"/>
            <w:tcMar>
              <w:top w:w="57" w:type="dxa"/>
              <w:left w:w="57" w:type="dxa"/>
              <w:bottom w:w="57" w:type="dxa"/>
              <w:right w:w="57" w:type="dxa"/>
            </w:tcMar>
            <w:vAlign w:val="bottom"/>
          </w:tcPr>
          <w:p w14:paraId="39303715" w14:textId="77777777" w:rsidR="00F212D7" w:rsidRPr="00FC1976" w:rsidRDefault="00F212D7" w:rsidP="00495DE2">
            <w:pPr>
              <w:pStyle w:val="01Tableheaderrow"/>
              <w:rPr>
                <w:lang w:val="en-AU"/>
              </w:rPr>
            </w:pPr>
            <w:r w:rsidRPr="00FC1976">
              <w:rPr>
                <w:lang w:val="en-AU"/>
              </w:rPr>
              <w:t>Item</w:t>
            </w:r>
          </w:p>
        </w:tc>
        <w:tc>
          <w:tcPr>
            <w:tcW w:w="4111" w:type="dxa"/>
            <w:shd w:val="clear" w:color="auto" w:fill="F2F2F2" w:themeFill="background1" w:themeFillShade="F2"/>
            <w:tcMar>
              <w:top w:w="57" w:type="dxa"/>
              <w:left w:w="57" w:type="dxa"/>
              <w:bottom w:w="57" w:type="dxa"/>
              <w:right w:w="57" w:type="dxa"/>
            </w:tcMar>
            <w:vAlign w:val="bottom"/>
          </w:tcPr>
          <w:p w14:paraId="09BDF394" w14:textId="77777777" w:rsidR="00F212D7" w:rsidRPr="00FC1976" w:rsidRDefault="00F212D7" w:rsidP="00495DE2">
            <w:pPr>
              <w:pStyle w:val="01Tableheaderrow"/>
              <w:rPr>
                <w:lang w:val="en-AU"/>
              </w:rPr>
            </w:pPr>
            <w:r w:rsidRPr="00FC1976">
              <w:rPr>
                <w:lang w:val="en-AU"/>
              </w:rPr>
              <w:t>Descriptor</w:t>
            </w:r>
          </w:p>
        </w:tc>
        <w:tc>
          <w:tcPr>
            <w:tcW w:w="917" w:type="dxa"/>
            <w:shd w:val="clear" w:color="auto" w:fill="F2F2F2" w:themeFill="background1" w:themeFillShade="F2"/>
            <w:tcMar>
              <w:top w:w="57" w:type="dxa"/>
              <w:left w:w="57" w:type="dxa"/>
              <w:bottom w:w="57" w:type="dxa"/>
              <w:right w:w="57" w:type="dxa"/>
            </w:tcMar>
            <w:vAlign w:val="bottom"/>
          </w:tcPr>
          <w:p w14:paraId="57362B2A" w14:textId="77777777" w:rsidR="00F212D7" w:rsidRPr="00FC1976" w:rsidRDefault="00F212D7" w:rsidP="00495DE2">
            <w:pPr>
              <w:pStyle w:val="01Tableheaderrow"/>
              <w:rPr>
                <w:lang w:val="en-AU"/>
              </w:rPr>
            </w:pPr>
            <w:r w:rsidRPr="00FC1976">
              <w:rPr>
                <w:lang w:val="en-AU"/>
              </w:rPr>
              <w:t>Schedule</w:t>
            </w:r>
          </w:p>
          <w:p w14:paraId="5422BF27" w14:textId="77777777" w:rsidR="00F212D7" w:rsidRPr="00FC1976" w:rsidRDefault="00F212D7" w:rsidP="00495DE2">
            <w:pPr>
              <w:pStyle w:val="01Tableheaderrow"/>
              <w:rPr>
                <w:lang w:val="en-AU"/>
              </w:rPr>
            </w:pPr>
            <w:r w:rsidRPr="00FC1976">
              <w:rPr>
                <w:lang w:val="en-AU"/>
              </w:rPr>
              <w:t>Fee</w:t>
            </w:r>
          </w:p>
        </w:tc>
        <w:tc>
          <w:tcPr>
            <w:tcW w:w="997" w:type="dxa"/>
            <w:shd w:val="clear" w:color="auto" w:fill="F2F2F2" w:themeFill="background1" w:themeFillShade="F2"/>
            <w:tcMar>
              <w:top w:w="57" w:type="dxa"/>
              <w:left w:w="57" w:type="dxa"/>
              <w:bottom w:w="57" w:type="dxa"/>
              <w:right w:w="57" w:type="dxa"/>
            </w:tcMar>
            <w:vAlign w:val="bottom"/>
          </w:tcPr>
          <w:p w14:paraId="540C0D4A" w14:textId="77777777" w:rsidR="00F212D7" w:rsidRPr="00FC1976" w:rsidRDefault="00282D58" w:rsidP="00282D58">
            <w:pPr>
              <w:pStyle w:val="01Tableheaderrow"/>
              <w:rPr>
                <w:lang w:val="en-AU"/>
              </w:rPr>
            </w:pPr>
            <w:r>
              <w:rPr>
                <w:lang w:val="en-AU"/>
              </w:rPr>
              <w:t>Volume of s</w:t>
            </w:r>
            <w:r w:rsidR="00F212D7" w:rsidRPr="00FC1976">
              <w:rPr>
                <w:lang w:val="en-AU"/>
              </w:rPr>
              <w:t>ervices FY2014/15</w:t>
            </w:r>
          </w:p>
        </w:tc>
        <w:tc>
          <w:tcPr>
            <w:tcW w:w="1080" w:type="dxa"/>
            <w:shd w:val="clear" w:color="auto" w:fill="F2F2F2" w:themeFill="background1" w:themeFillShade="F2"/>
            <w:tcMar>
              <w:top w:w="57" w:type="dxa"/>
              <w:left w:w="57" w:type="dxa"/>
              <w:bottom w:w="57" w:type="dxa"/>
              <w:right w:w="57" w:type="dxa"/>
            </w:tcMar>
            <w:vAlign w:val="bottom"/>
          </w:tcPr>
          <w:p w14:paraId="6D66ACB7" w14:textId="77777777" w:rsidR="00F212D7" w:rsidRPr="00FC1976" w:rsidRDefault="00F212D7" w:rsidP="00495DE2">
            <w:pPr>
              <w:pStyle w:val="01Tableheaderrow"/>
              <w:rPr>
                <w:lang w:val="en-AU"/>
              </w:rPr>
            </w:pPr>
            <w:r w:rsidRPr="00FC1976">
              <w:rPr>
                <w:lang w:val="en-AU"/>
              </w:rPr>
              <w:t>Total benefits</w:t>
            </w:r>
          </w:p>
        </w:tc>
        <w:tc>
          <w:tcPr>
            <w:tcW w:w="1195" w:type="dxa"/>
            <w:shd w:val="clear" w:color="auto" w:fill="F2F2F2" w:themeFill="background1" w:themeFillShade="F2"/>
            <w:tcMar>
              <w:top w:w="57" w:type="dxa"/>
              <w:left w:w="57" w:type="dxa"/>
              <w:bottom w:w="57" w:type="dxa"/>
              <w:right w:w="57" w:type="dxa"/>
            </w:tcMar>
            <w:vAlign w:val="bottom"/>
          </w:tcPr>
          <w:p w14:paraId="16FCEAB5" w14:textId="77777777" w:rsidR="00F212D7" w:rsidRPr="00FC1976" w:rsidRDefault="00F212D7" w:rsidP="00495DE2">
            <w:pPr>
              <w:pStyle w:val="01Tableheaderrow"/>
              <w:rPr>
                <w:lang w:val="en-AU"/>
              </w:rPr>
            </w:pPr>
            <w:r w:rsidRPr="00FC1976">
              <w:rPr>
                <w:lang w:val="en-AU"/>
              </w:rPr>
              <w:t>Services average annual growth</w:t>
            </w:r>
          </w:p>
        </w:tc>
      </w:tr>
      <w:tr w:rsidR="00282D58" w:rsidRPr="00FC1976" w14:paraId="69CD304F" w14:textId="77777777" w:rsidTr="00495DE2">
        <w:tc>
          <w:tcPr>
            <w:tcW w:w="716" w:type="dxa"/>
            <w:tcMar>
              <w:top w:w="57" w:type="dxa"/>
              <w:left w:w="57" w:type="dxa"/>
              <w:bottom w:w="57" w:type="dxa"/>
              <w:right w:w="57" w:type="dxa"/>
            </w:tcMar>
          </w:tcPr>
          <w:p w14:paraId="41345C11" w14:textId="77777777" w:rsidR="00F212D7" w:rsidRPr="00FC1976" w:rsidRDefault="00F212D7" w:rsidP="00495DE2">
            <w:pPr>
              <w:pStyle w:val="02Tabletext"/>
              <w:rPr>
                <w:lang w:val="en-AU"/>
              </w:rPr>
            </w:pPr>
            <w:r>
              <w:rPr>
                <w:lang w:val="en-AU"/>
              </w:rPr>
              <w:t>132</w:t>
            </w:r>
            <w:r w:rsidRPr="00FC1976">
              <w:rPr>
                <w:lang w:val="en-AU"/>
              </w:rPr>
              <w:t xml:space="preserve"> </w:t>
            </w:r>
          </w:p>
        </w:tc>
        <w:tc>
          <w:tcPr>
            <w:tcW w:w="4111" w:type="dxa"/>
            <w:tcMar>
              <w:top w:w="57" w:type="dxa"/>
              <w:left w:w="57" w:type="dxa"/>
              <w:bottom w:w="57" w:type="dxa"/>
              <w:right w:w="57" w:type="dxa"/>
            </w:tcMar>
          </w:tcPr>
          <w:p w14:paraId="10BCC86D" w14:textId="77777777" w:rsidR="00F212D7" w:rsidRPr="006A373A" w:rsidRDefault="00F212D7" w:rsidP="00F212D7">
            <w:pPr>
              <w:pStyle w:val="02Tabletext"/>
              <w:rPr>
                <w:lang w:val="en-AU"/>
              </w:rPr>
            </w:pPr>
            <w:r w:rsidRPr="0089135A">
              <w:rPr>
                <w:lang w:val="en-AU"/>
              </w:rPr>
              <w:t xml:space="preserve">Professional attendance of at least 45 minutes duration for an initial assessment of a patient with at least two morbidities (this can include complex congenital, developmental and behavioural disorders), where the patient is referred by a referring practitioner, and where </w:t>
            </w:r>
          </w:p>
          <w:p w14:paraId="3561C5AE" w14:textId="77777777" w:rsidR="00F212D7" w:rsidRPr="0095529E" w:rsidRDefault="00F212D7" w:rsidP="00F212D7">
            <w:pPr>
              <w:rPr>
                <w:rFonts w:ascii="Arial" w:hAnsi="Arial" w:cs="Arial"/>
                <w:sz w:val="18"/>
                <w:szCs w:val="18"/>
                <w:lang w:val="en-AU"/>
              </w:rPr>
            </w:pPr>
            <w:r w:rsidRPr="0095529E">
              <w:rPr>
                <w:rFonts w:ascii="Arial" w:hAnsi="Arial" w:cs="Arial"/>
                <w:sz w:val="18"/>
                <w:szCs w:val="18"/>
                <w:lang w:val="en-AU"/>
              </w:rPr>
              <w:t>a) assessment is undertaken that covers:</w:t>
            </w:r>
          </w:p>
          <w:p w14:paraId="02E97403" w14:textId="77777777" w:rsidR="00F212D7" w:rsidRPr="0095529E" w:rsidRDefault="00F212D7" w:rsidP="00F212D7">
            <w:pPr>
              <w:pStyle w:val="02dash"/>
              <w:spacing w:before="0"/>
              <w:ind w:left="641"/>
              <w:rPr>
                <w:rFonts w:ascii="Arial" w:hAnsi="Arial" w:cs="Arial"/>
                <w:sz w:val="18"/>
                <w:szCs w:val="18"/>
                <w:lang w:val="en-AU"/>
              </w:rPr>
            </w:pPr>
            <w:r w:rsidRPr="0095529E">
              <w:rPr>
                <w:rFonts w:ascii="Arial" w:hAnsi="Arial" w:cs="Arial"/>
                <w:sz w:val="18"/>
                <w:szCs w:val="18"/>
                <w:lang w:val="en-AU"/>
              </w:rPr>
              <w:t>a comprehensive history, including psychosocial</w:t>
            </w:r>
            <w:r w:rsidR="00282D58">
              <w:rPr>
                <w:rFonts w:ascii="Arial" w:hAnsi="Arial" w:cs="Arial"/>
                <w:sz w:val="18"/>
                <w:szCs w:val="18"/>
                <w:lang w:val="en-AU"/>
              </w:rPr>
              <w:t xml:space="preserve"> history and medication review;</w:t>
            </w:r>
          </w:p>
          <w:p w14:paraId="51145BB9" w14:textId="77777777" w:rsidR="00F212D7" w:rsidRPr="0095529E" w:rsidRDefault="00F212D7" w:rsidP="00F212D7">
            <w:pPr>
              <w:pStyle w:val="02dash"/>
              <w:spacing w:before="0"/>
              <w:ind w:left="641"/>
              <w:rPr>
                <w:rFonts w:ascii="Arial" w:hAnsi="Arial" w:cs="Arial"/>
                <w:sz w:val="18"/>
                <w:szCs w:val="18"/>
                <w:lang w:val="en-AU"/>
              </w:rPr>
            </w:pPr>
            <w:r w:rsidRPr="0095529E">
              <w:rPr>
                <w:rFonts w:ascii="Arial" w:hAnsi="Arial" w:cs="Arial"/>
                <w:sz w:val="18"/>
                <w:szCs w:val="18"/>
                <w:lang w:val="en-AU"/>
              </w:rPr>
              <w:t>comprehensive multi or detailed single organ system assessment;</w:t>
            </w:r>
          </w:p>
          <w:p w14:paraId="150FB0BD" w14:textId="77777777" w:rsidR="00F212D7" w:rsidRPr="0095529E" w:rsidRDefault="00F212D7" w:rsidP="00F212D7">
            <w:pPr>
              <w:pStyle w:val="02dash"/>
              <w:spacing w:before="0"/>
              <w:ind w:left="641"/>
              <w:rPr>
                <w:rFonts w:ascii="Arial" w:hAnsi="Arial" w:cs="Arial"/>
                <w:sz w:val="18"/>
                <w:szCs w:val="18"/>
                <w:lang w:val="en-AU"/>
              </w:rPr>
            </w:pPr>
            <w:r w:rsidRPr="0095529E">
              <w:rPr>
                <w:rFonts w:ascii="Arial" w:hAnsi="Arial" w:cs="Arial"/>
                <w:sz w:val="18"/>
                <w:szCs w:val="18"/>
                <w:lang w:val="en-AU"/>
              </w:rPr>
              <w:t xml:space="preserve">the formulation of differential diagnoses; and </w:t>
            </w:r>
          </w:p>
          <w:p w14:paraId="15FBF5B0" w14:textId="77777777" w:rsidR="00F212D7" w:rsidRPr="0095529E" w:rsidRDefault="00F212D7" w:rsidP="00F212D7">
            <w:pPr>
              <w:pStyle w:val="02dash"/>
              <w:spacing w:before="0"/>
              <w:ind w:left="641"/>
              <w:rPr>
                <w:rFonts w:ascii="Arial" w:hAnsi="Arial" w:cs="Arial"/>
                <w:sz w:val="18"/>
                <w:szCs w:val="18"/>
                <w:lang w:val="en-AU"/>
              </w:rPr>
            </w:pPr>
            <w:r w:rsidRPr="0095529E">
              <w:rPr>
                <w:rFonts w:ascii="Arial" w:hAnsi="Arial" w:cs="Arial"/>
                <w:sz w:val="18"/>
                <w:szCs w:val="18"/>
                <w:lang w:val="en-AU"/>
              </w:rPr>
              <w:t xml:space="preserve">b) a consultant physician treatment and management plan of significant complexity is developed and provided to the referring practitioner that involves: </w:t>
            </w:r>
          </w:p>
          <w:p w14:paraId="7E0D2F29" w14:textId="77777777" w:rsidR="00F212D7" w:rsidRPr="0095529E" w:rsidRDefault="00F212D7" w:rsidP="00F212D7">
            <w:pPr>
              <w:pStyle w:val="02dash"/>
              <w:spacing w:before="0"/>
              <w:ind w:left="641"/>
              <w:rPr>
                <w:rFonts w:ascii="Arial" w:hAnsi="Arial" w:cs="Arial"/>
                <w:sz w:val="18"/>
                <w:szCs w:val="18"/>
                <w:lang w:val="en-AU"/>
              </w:rPr>
            </w:pPr>
            <w:r w:rsidRPr="0095529E">
              <w:rPr>
                <w:rFonts w:ascii="Arial" w:hAnsi="Arial" w:cs="Arial"/>
                <w:sz w:val="18"/>
                <w:szCs w:val="18"/>
                <w:lang w:val="en-AU"/>
              </w:rPr>
              <w:t>an opinion on diagnosis and risk assessment</w:t>
            </w:r>
          </w:p>
          <w:p w14:paraId="5AD72A02" w14:textId="77777777" w:rsidR="00F212D7" w:rsidRPr="0095529E" w:rsidRDefault="00F212D7" w:rsidP="00F212D7">
            <w:pPr>
              <w:pStyle w:val="02dash"/>
              <w:spacing w:before="0"/>
              <w:ind w:left="641"/>
              <w:rPr>
                <w:rFonts w:ascii="Arial" w:hAnsi="Arial" w:cs="Arial"/>
                <w:sz w:val="18"/>
                <w:szCs w:val="18"/>
                <w:lang w:val="en-AU"/>
              </w:rPr>
            </w:pPr>
            <w:r w:rsidRPr="0095529E">
              <w:rPr>
                <w:rFonts w:ascii="Arial" w:hAnsi="Arial" w:cs="Arial"/>
                <w:sz w:val="18"/>
                <w:szCs w:val="18"/>
                <w:lang w:val="en-AU"/>
              </w:rPr>
              <w:t>treatment options and decisions</w:t>
            </w:r>
          </w:p>
          <w:p w14:paraId="0B738125" w14:textId="77777777" w:rsidR="00F212D7" w:rsidRPr="0095529E" w:rsidRDefault="00F212D7" w:rsidP="00F212D7">
            <w:pPr>
              <w:pStyle w:val="02dash"/>
              <w:spacing w:before="0"/>
              <w:ind w:left="641"/>
              <w:rPr>
                <w:rFonts w:ascii="Arial" w:hAnsi="Arial" w:cs="Arial"/>
                <w:sz w:val="18"/>
                <w:szCs w:val="18"/>
                <w:lang w:val="en-AU"/>
              </w:rPr>
            </w:pPr>
            <w:r w:rsidRPr="0095529E">
              <w:rPr>
                <w:rFonts w:ascii="Arial" w:hAnsi="Arial" w:cs="Arial"/>
                <w:sz w:val="18"/>
                <w:szCs w:val="18"/>
                <w:lang w:val="en-AU"/>
              </w:rPr>
              <w:t>medication recommendations</w:t>
            </w:r>
          </w:p>
          <w:p w14:paraId="692E29ED" w14:textId="77777777" w:rsidR="00F212D7" w:rsidRPr="0095529E" w:rsidRDefault="00F212D7" w:rsidP="00F212D7">
            <w:pPr>
              <w:rPr>
                <w:rFonts w:ascii="Arial" w:hAnsi="Arial" w:cs="Arial"/>
                <w:sz w:val="18"/>
                <w:szCs w:val="18"/>
                <w:lang w:val="en-AU"/>
              </w:rPr>
            </w:pPr>
            <w:r w:rsidRPr="0095529E">
              <w:rPr>
                <w:rFonts w:ascii="Arial" w:hAnsi="Arial" w:cs="Arial"/>
                <w:sz w:val="18"/>
                <w:szCs w:val="18"/>
                <w:lang w:val="en-AU"/>
              </w:rPr>
              <w:t>Not being an attendance on a patient in respect of whom, an attendance under items 110, 116 and 119 has been received on the same day by the same consultant physician.</w:t>
            </w:r>
          </w:p>
          <w:p w14:paraId="2B0B5FDC" w14:textId="77777777" w:rsidR="00F212D7" w:rsidRPr="0095529E" w:rsidRDefault="00F212D7" w:rsidP="00F212D7">
            <w:pPr>
              <w:rPr>
                <w:sz w:val="18"/>
                <w:szCs w:val="18"/>
                <w:lang w:val="en-AU"/>
              </w:rPr>
            </w:pPr>
            <w:r w:rsidRPr="0095529E">
              <w:rPr>
                <w:rFonts w:ascii="Arial" w:hAnsi="Arial" w:cs="Arial"/>
                <w:sz w:val="18"/>
                <w:szCs w:val="18"/>
                <w:lang w:val="en-AU"/>
              </w:rPr>
              <w:t>Not being an attendance on the patient in respect of whom, in the preceding 12 months, payment has been made under this item for attendance by the same consultant physician.</w:t>
            </w:r>
          </w:p>
          <w:p w14:paraId="6E6950F0" w14:textId="77777777" w:rsidR="00F212D7" w:rsidRPr="00FC1976" w:rsidRDefault="00F212D7" w:rsidP="00495DE2">
            <w:pPr>
              <w:pStyle w:val="02Tabletext"/>
              <w:rPr>
                <w:lang w:val="en-AU"/>
              </w:rPr>
            </w:pPr>
          </w:p>
        </w:tc>
        <w:tc>
          <w:tcPr>
            <w:tcW w:w="917" w:type="dxa"/>
            <w:tcMar>
              <w:top w:w="57" w:type="dxa"/>
              <w:left w:w="57" w:type="dxa"/>
              <w:bottom w:w="57" w:type="dxa"/>
              <w:right w:w="57" w:type="dxa"/>
            </w:tcMar>
          </w:tcPr>
          <w:p w14:paraId="5952F51B" w14:textId="77777777" w:rsidR="00282D58" w:rsidRPr="00FC1976" w:rsidRDefault="00282D58" w:rsidP="00282D58">
            <w:pPr>
              <w:pStyle w:val="02Tabletext"/>
              <w:rPr>
                <w:lang w:val="en-AU"/>
              </w:rPr>
            </w:pPr>
            <w:r w:rsidRPr="00FC1976">
              <w:rPr>
                <w:lang w:val="en-AU"/>
              </w:rPr>
              <w:t>$263.90</w:t>
            </w:r>
          </w:p>
          <w:p w14:paraId="5E91F8A1" w14:textId="77777777" w:rsidR="00F212D7" w:rsidRPr="00FC1976" w:rsidRDefault="00F212D7" w:rsidP="00495DE2">
            <w:pPr>
              <w:pStyle w:val="02Tabletext"/>
              <w:rPr>
                <w:shd w:val="clear" w:color="auto" w:fill="FBFBFB"/>
                <w:lang w:val="en-AU"/>
              </w:rPr>
            </w:pPr>
          </w:p>
        </w:tc>
        <w:tc>
          <w:tcPr>
            <w:tcW w:w="997" w:type="dxa"/>
            <w:tcMar>
              <w:top w:w="57" w:type="dxa"/>
              <w:left w:w="57" w:type="dxa"/>
              <w:bottom w:w="57" w:type="dxa"/>
              <w:right w:w="57" w:type="dxa"/>
            </w:tcMar>
          </w:tcPr>
          <w:p w14:paraId="20FC20F1" w14:textId="77777777" w:rsidR="00282D58" w:rsidRPr="00FC1976" w:rsidRDefault="00282D58" w:rsidP="00282D58">
            <w:pPr>
              <w:pStyle w:val="02Tabletext"/>
              <w:rPr>
                <w:lang w:val="en-AU"/>
              </w:rPr>
            </w:pPr>
            <w:r w:rsidRPr="00FC1976">
              <w:rPr>
                <w:lang w:val="en-AU"/>
              </w:rPr>
              <w:t>790,316</w:t>
            </w:r>
          </w:p>
          <w:p w14:paraId="038878F9" w14:textId="77777777" w:rsidR="00F212D7" w:rsidRPr="00FC1976" w:rsidRDefault="00F212D7" w:rsidP="00495DE2">
            <w:pPr>
              <w:pStyle w:val="02Tabletext"/>
              <w:rPr>
                <w:shd w:val="clear" w:color="auto" w:fill="FBFBFB"/>
                <w:lang w:val="en-AU"/>
              </w:rPr>
            </w:pPr>
          </w:p>
        </w:tc>
        <w:tc>
          <w:tcPr>
            <w:tcW w:w="1080" w:type="dxa"/>
            <w:tcMar>
              <w:top w:w="57" w:type="dxa"/>
              <w:left w:w="57" w:type="dxa"/>
              <w:bottom w:w="57" w:type="dxa"/>
              <w:right w:w="57" w:type="dxa"/>
            </w:tcMar>
          </w:tcPr>
          <w:p w14:paraId="25959D82" w14:textId="77777777" w:rsidR="00282D58" w:rsidRPr="00FC1976" w:rsidRDefault="00282D58" w:rsidP="00282D58">
            <w:pPr>
              <w:pStyle w:val="02Tabletext"/>
              <w:rPr>
                <w:lang w:val="en-AU"/>
              </w:rPr>
            </w:pPr>
            <w:r w:rsidRPr="00FC1976">
              <w:rPr>
                <w:lang w:val="en-AU"/>
              </w:rPr>
              <w:t>$177,936,772</w:t>
            </w:r>
          </w:p>
          <w:p w14:paraId="77C84EC7" w14:textId="77777777" w:rsidR="00F212D7" w:rsidRPr="00FC1976" w:rsidRDefault="00F212D7" w:rsidP="00495DE2">
            <w:pPr>
              <w:pStyle w:val="02Tabletext"/>
              <w:rPr>
                <w:shd w:val="clear" w:color="auto" w:fill="FBFBFB"/>
                <w:lang w:val="en-AU"/>
              </w:rPr>
            </w:pPr>
          </w:p>
        </w:tc>
        <w:tc>
          <w:tcPr>
            <w:tcW w:w="1195" w:type="dxa"/>
            <w:tcMar>
              <w:top w:w="57" w:type="dxa"/>
              <w:left w:w="57" w:type="dxa"/>
              <w:bottom w:w="57" w:type="dxa"/>
              <w:right w:w="57" w:type="dxa"/>
            </w:tcMar>
          </w:tcPr>
          <w:p w14:paraId="5A831E3B" w14:textId="77777777" w:rsidR="00282D58" w:rsidRPr="00FC1976" w:rsidRDefault="00282D58" w:rsidP="00282D58">
            <w:pPr>
              <w:pStyle w:val="02Tabletext"/>
              <w:rPr>
                <w:lang w:val="en-AU"/>
              </w:rPr>
            </w:pPr>
            <w:r w:rsidRPr="00FC1976">
              <w:rPr>
                <w:lang w:val="en-AU"/>
              </w:rPr>
              <w:t>12.7%</w:t>
            </w:r>
          </w:p>
          <w:p w14:paraId="732B93AC" w14:textId="77777777" w:rsidR="00F212D7" w:rsidRPr="00FC1976" w:rsidRDefault="00F212D7" w:rsidP="00495DE2">
            <w:pPr>
              <w:pStyle w:val="02Tabletext"/>
              <w:rPr>
                <w:shd w:val="clear" w:color="auto" w:fill="FBFBFB"/>
                <w:lang w:val="en-AU"/>
              </w:rPr>
            </w:pPr>
          </w:p>
        </w:tc>
      </w:tr>
      <w:tr w:rsidR="00282D58" w:rsidRPr="00FC1976" w14:paraId="59BB662D" w14:textId="77777777" w:rsidTr="00495DE2">
        <w:tc>
          <w:tcPr>
            <w:tcW w:w="716" w:type="dxa"/>
            <w:tcMar>
              <w:top w:w="57" w:type="dxa"/>
              <w:left w:w="57" w:type="dxa"/>
              <w:bottom w:w="57" w:type="dxa"/>
              <w:right w:w="57" w:type="dxa"/>
            </w:tcMar>
          </w:tcPr>
          <w:p w14:paraId="7FC3263B" w14:textId="77777777" w:rsidR="00F212D7" w:rsidRPr="00FC1976" w:rsidRDefault="00282D58" w:rsidP="00495DE2">
            <w:pPr>
              <w:pStyle w:val="02Tabletext"/>
              <w:rPr>
                <w:lang w:val="en-AU"/>
              </w:rPr>
            </w:pPr>
            <w:r w:rsidRPr="00FC1976">
              <w:rPr>
                <w:lang w:val="en-AU"/>
              </w:rPr>
              <w:t>133</w:t>
            </w:r>
          </w:p>
        </w:tc>
        <w:tc>
          <w:tcPr>
            <w:tcW w:w="4111" w:type="dxa"/>
            <w:tcMar>
              <w:top w:w="57" w:type="dxa"/>
              <w:left w:w="57" w:type="dxa"/>
              <w:bottom w:w="57" w:type="dxa"/>
              <w:right w:w="57" w:type="dxa"/>
            </w:tcMar>
          </w:tcPr>
          <w:p w14:paraId="7C9E95F9" w14:textId="77777777" w:rsidR="00282D58" w:rsidRPr="0095529E" w:rsidRDefault="00282D58" w:rsidP="00282D58">
            <w:pPr>
              <w:spacing w:before="0"/>
              <w:rPr>
                <w:rFonts w:ascii="Arial" w:hAnsi="Arial" w:cs="Arial"/>
                <w:sz w:val="18"/>
                <w:szCs w:val="18"/>
                <w:lang w:val="en-AU"/>
              </w:rPr>
            </w:pPr>
            <w:r w:rsidRPr="0095529E">
              <w:rPr>
                <w:rFonts w:ascii="Arial" w:hAnsi="Arial" w:cs="Arial"/>
                <w:sz w:val="18"/>
                <w:szCs w:val="18"/>
                <w:lang w:val="en-AU"/>
              </w:rPr>
              <w:t>Professional attendance of at least 20 minutes duration subsequent to the first attendance in a single course of treatment for a review of a patient with at least two morbidities (this can include complex congenital, developmental and behavioural disorders), where:</w:t>
            </w:r>
          </w:p>
          <w:p w14:paraId="6AEC6B10" w14:textId="77777777" w:rsidR="00282D58" w:rsidRPr="0095529E" w:rsidRDefault="00282D58" w:rsidP="00282D58">
            <w:pPr>
              <w:spacing w:before="0"/>
              <w:rPr>
                <w:rFonts w:ascii="Arial" w:hAnsi="Arial" w:cs="Arial"/>
                <w:sz w:val="18"/>
                <w:szCs w:val="18"/>
                <w:lang w:val="en-AU"/>
              </w:rPr>
            </w:pPr>
            <w:r w:rsidRPr="0095529E">
              <w:rPr>
                <w:rFonts w:ascii="Arial" w:hAnsi="Arial" w:cs="Arial"/>
                <w:sz w:val="18"/>
                <w:szCs w:val="18"/>
                <w:lang w:val="en-AU"/>
              </w:rPr>
              <w:t>a) a review is undertaken that covers:</w:t>
            </w:r>
          </w:p>
          <w:p w14:paraId="0AD43D87" w14:textId="77777777" w:rsidR="00282D58" w:rsidRPr="0095529E" w:rsidRDefault="00282D58" w:rsidP="00282D58">
            <w:pPr>
              <w:pStyle w:val="02dash"/>
              <w:spacing w:before="0"/>
              <w:rPr>
                <w:rFonts w:ascii="Arial" w:hAnsi="Arial" w:cs="Arial"/>
                <w:sz w:val="18"/>
                <w:szCs w:val="18"/>
                <w:lang w:val="en-AU"/>
              </w:rPr>
            </w:pPr>
            <w:r w:rsidRPr="0095529E">
              <w:rPr>
                <w:rFonts w:ascii="Arial" w:hAnsi="Arial" w:cs="Arial"/>
                <w:sz w:val="18"/>
                <w:szCs w:val="18"/>
                <w:lang w:val="en-AU"/>
              </w:rPr>
              <w:t>review of initial presenting problem/s and results of diagnostic investigations</w:t>
            </w:r>
          </w:p>
          <w:p w14:paraId="0B490923" w14:textId="77777777" w:rsidR="00282D58" w:rsidRPr="0095529E" w:rsidRDefault="00282D58" w:rsidP="00282D58">
            <w:pPr>
              <w:pStyle w:val="02dash"/>
              <w:spacing w:before="0"/>
              <w:rPr>
                <w:rFonts w:ascii="Arial" w:hAnsi="Arial" w:cs="Arial"/>
                <w:sz w:val="18"/>
                <w:szCs w:val="18"/>
                <w:lang w:val="en-AU"/>
              </w:rPr>
            </w:pPr>
            <w:r w:rsidRPr="0095529E">
              <w:rPr>
                <w:rFonts w:ascii="Arial" w:hAnsi="Arial" w:cs="Arial"/>
                <w:sz w:val="18"/>
                <w:szCs w:val="18"/>
                <w:lang w:val="en-AU"/>
              </w:rPr>
              <w:t>review of responses to treatment and medication plans initiated at time of initial consultation comprehensive multi or detailed single organ system assessment,</w:t>
            </w:r>
          </w:p>
          <w:p w14:paraId="0BF033D3" w14:textId="77777777" w:rsidR="00282D58" w:rsidRPr="0095529E" w:rsidRDefault="00282D58" w:rsidP="00282D58">
            <w:pPr>
              <w:pStyle w:val="02dash"/>
              <w:spacing w:before="0"/>
              <w:rPr>
                <w:rFonts w:ascii="Arial" w:hAnsi="Arial" w:cs="Arial"/>
                <w:sz w:val="18"/>
                <w:szCs w:val="18"/>
                <w:lang w:val="en-AU"/>
              </w:rPr>
            </w:pPr>
            <w:r w:rsidRPr="0095529E">
              <w:rPr>
                <w:rFonts w:ascii="Arial" w:hAnsi="Arial" w:cs="Arial"/>
                <w:sz w:val="18"/>
                <w:szCs w:val="18"/>
                <w:lang w:val="en-AU"/>
              </w:rPr>
              <w:t xml:space="preserve">review of original and differential diagnoses; and </w:t>
            </w:r>
          </w:p>
          <w:p w14:paraId="1900CA4C" w14:textId="77777777" w:rsidR="00282D58" w:rsidRPr="0095529E" w:rsidRDefault="00282D58" w:rsidP="00282D58">
            <w:pPr>
              <w:spacing w:before="0"/>
              <w:rPr>
                <w:rFonts w:ascii="Arial" w:hAnsi="Arial" w:cs="Arial"/>
                <w:sz w:val="18"/>
                <w:szCs w:val="18"/>
                <w:lang w:val="en-AU"/>
              </w:rPr>
            </w:pPr>
            <w:r w:rsidRPr="0095529E">
              <w:rPr>
                <w:rFonts w:ascii="Arial" w:hAnsi="Arial" w:cs="Arial"/>
                <w:sz w:val="18"/>
                <w:szCs w:val="18"/>
                <w:lang w:val="en-AU"/>
              </w:rPr>
              <w:t>b) a modified consultant physician treatment and management plan is provided to the referring practitioner that involves, where appropriate:</w:t>
            </w:r>
          </w:p>
          <w:p w14:paraId="4E5D7244" w14:textId="77777777" w:rsidR="00282D58" w:rsidRPr="0095529E" w:rsidRDefault="00282D58" w:rsidP="00282D58">
            <w:pPr>
              <w:pStyle w:val="02dash"/>
              <w:spacing w:before="0"/>
              <w:rPr>
                <w:rFonts w:ascii="Arial" w:hAnsi="Arial" w:cs="Arial"/>
                <w:sz w:val="18"/>
                <w:szCs w:val="18"/>
                <w:lang w:val="en-AU"/>
              </w:rPr>
            </w:pPr>
            <w:r w:rsidRPr="0095529E">
              <w:rPr>
                <w:rFonts w:ascii="Arial" w:hAnsi="Arial" w:cs="Arial"/>
                <w:sz w:val="18"/>
                <w:szCs w:val="18"/>
                <w:lang w:val="en-AU"/>
              </w:rPr>
              <w:t xml:space="preserve">a revised opinion on the diagnosis and risk assessment </w:t>
            </w:r>
          </w:p>
          <w:p w14:paraId="71F57E6E" w14:textId="77777777" w:rsidR="00282D58" w:rsidRPr="0095529E" w:rsidRDefault="00282D58" w:rsidP="00282D58">
            <w:pPr>
              <w:pStyle w:val="02dash"/>
              <w:spacing w:before="0"/>
              <w:rPr>
                <w:rFonts w:ascii="Arial" w:hAnsi="Arial" w:cs="Arial"/>
                <w:sz w:val="18"/>
                <w:szCs w:val="18"/>
                <w:lang w:val="en-AU"/>
              </w:rPr>
            </w:pPr>
            <w:r w:rsidRPr="0095529E">
              <w:rPr>
                <w:rFonts w:ascii="Arial" w:hAnsi="Arial" w:cs="Arial"/>
                <w:sz w:val="18"/>
                <w:szCs w:val="18"/>
                <w:lang w:val="en-AU"/>
              </w:rPr>
              <w:t>treatment options and decisions</w:t>
            </w:r>
          </w:p>
          <w:p w14:paraId="72003918" w14:textId="77777777" w:rsidR="00282D58" w:rsidRPr="0095529E" w:rsidRDefault="00282D58" w:rsidP="00282D58">
            <w:pPr>
              <w:pStyle w:val="02dash"/>
              <w:spacing w:before="0"/>
              <w:rPr>
                <w:rFonts w:ascii="Arial" w:hAnsi="Arial" w:cs="Arial"/>
                <w:sz w:val="18"/>
                <w:szCs w:val="18"/>
                <w:lang w:val="en-AU"/>
              </w:rPr>
            </w:pPr>
            <w:r w:rsidRPr="0095529E">
              <w:rPr>
                <w:rFonts w:ascii="Arial" w:hAnsi="Arial" w:cs="Arial"/>
                <w:sz w:val="18"/>
                <w:szCs w:val="18"/>
                <w:lang w:val="en-AU"/>
              </w:rPr>
              <w:t xml:space="preserve">revised medication recommendations </w:t>
            </w:r>
          </w:p>
          <w:p w14:paraId="0D9B46BB" w14:textId="77777777" w:rsidR="00282D58" w:rsidRPr="0095529E" w:rsidRDefault="00282D58" w:rsidP="00282D58">
            <w:pPr>
              <w:spacing w:before="0"/>
              <w:rPr>
                <w:rFonts w:ascii="Arial" w:hAnsi="Arial" w:cs="Arial"/>
                <w:sz w:val="18"/>
                <w:szCs w:val="18"/>
                <w:lang w:val="en-AU"/>
              </w:rPr>
            </w:pPr>
            <w:r w:rsidRPr="0095529E">
              <w:rPr>
                <w:rFonts w:ascii="Arial" w:hAnsi="Arial" w:cs="Arial"/>
                <w:sz w:val="18"/>
                <w:szCs w:val="18"/>
                <w:lang w:val="en-AU"/>
              </w:rPr>
              <w:t>Not being an attendance on a patient in respect of whom, an attendance under item 110, 116 and 119 has been received on the same day by the same consultant physician or locum tenens.</w:t>
            </w:r>
          </w:p>
          <w:p w14:paraId="18F534E6" w14:textId="77777777" w:rsidR="00282D58" w:rsidRPr="0095529E" w:rsidRDefault="00282D58" w:rsidP="00282D58">
            <w:pPr>
              <w:spacing w:before="0"/>
              <w:rPr>
                <w:rFonts w:ascii="Arial" w:hAnsi="Arial" w:cs="Arial"/>
                <w:sz w:val="18"/>
                <w:szCs w:val="18"/>
                <w:lang w:val="en-AU"/>
              </w:rPr>
            </w:pPr>
            <w:r w:rsidRPr="0095529E">
              <w:rPr>
                <w:rFonts w:ascii="Arial" w:hAnsi="Arial" w:cs="Arial"/>
                <w:sz w:val="18"/>
                <w:szCs w:val="18"/>
                <w:lang w:val="en-AU"/>
              </w:rPr>
              <w:t>Being an attendance on a patient in respect of whom, in the preceding 12 months, payment has been made under item 132. Item 133 can be provided by either the same consultant physician or a locum tenens.</w:t>
            </w:r>
            <w:r w:rsidR="007D479F">
              <w:rPr>
                <w:rFonts w:ascii="Arial" w:hAnsi="Arial" w:cs="Arial"/>
                <w:sz w:val="18"/>
                <w:szCs w:val="18"/>
                <w:lang w:val="en-AU"/>
              </w:rPr>
              <w:t xml:space="preserve"> </w:t>
            </w:r>
          </w:p>
          <w:p w14:paraId="6A4277A2" w14:textId="36C627AA" w:rsidR="00F212D7" w:rsidRPr="00EE7BD8" w:rsidRDefault="00282D58" w:rsidP="00EE7BD8">
            <w:pPr>
              <w:spacing w:before="0"/>
              <w:rPr>
                <w:rFonts w:ascii="Arial" w:hAnsi="Arial" w:cs="Arial"/>
                <w:sz w:val="18"/>
                <w:szCs w:val="18"/>
                <w:lang w:val="en-AU"/>
              </w:rPr>
            </w:pPr>
            <w:r w:rsidRPr="0095529E">
              <w:rPr>
                <w:rFonts w:ascii="Arial" w:hAnsi="Arial" w:cs="Arial"/>
                <w:sz w:val="18"/>
                <w:szCs w:val="18"/>
                <w:lang w:val="en-AU"/>
              </w:rPr>
              <w:t>Payable no more than twice in any 12 month period.</w:t>
            </w:r>
          </w:p>
        </w:tc>
        <w:tc>
          <w:tcPr>
            <w:tcW w:w="917" w:type="dxa"/>
            <w:tcMar>
              <w:top w:w="57" w:type="dxa"/>
              <w:left w:w="57" w:type="dxa"/>
              <w:bottom w:w="57" w:type="dxa"/>
              <w:right w:w="57" w:type="dxa"/>
            </w:tcMar>
          </w:tcPr>
          <w:p w14:paraId="12F46D27" w14:textId="77777777" w:rsidR="00F212D7" w:rsidRPr="00FC1976" w:rsidRDefault="00282D58" w:rsidP="00282D58">
            <w:pPr>
              <w:pStyle w:val="02Tabletext"/>
              <w:rPr>
                <w:shd w:val="clear" w:color="auto" w:fill="FBFBFB"/>
                <w:lang w:val="en-AU"/>
              </w:rPr>
            </w:pPr>
            <w:r w:rsidRPr="001D4B72">
              <w:rPr>
                <w:shd w:val="clear" w:color="auto" w:fill="FBFBFB"/>
                <w:lang w:val="en-AU"/>
              </w:rPr>
              <w:t>$132.10</w:t>
            </w:r>
          </w:p>
        </w:tc>
        <w:tc>
          <w:tcPr>
            <w:tcW w:w="997" w:type="dxa"/>
            <w:tcMar>
              <w:top w:w="57" w:type="dxa"/>
              <w:left w:w="57" w:type="dxa"/>
              <w:bottom w:w="57" w:type="dxa"/>
              <w:right w:w="57" w:type="dxa"/>
            </w:tcMar>
          </w:tcPr>
          <w:p w14:paraId="460C28D7" w14:textId="77777777" w:rsidR="00F212D7" w:rsidRPr="00FC1976" w:rsidRDefault="00282D58" w:rsidP="00495DE2">
            <w:pPr>
              <w:pStyle w:val="02Tabletext"/>
              <w:rPr>
                <w:shd w:val="clear" w:color="auto" w:fill="FBFBFB"/>
                <w:lang w:val="en-AU"/>
              </w:rPr>
            </w:pPr>
            <w:r w:rsidRPr="001D4B72">
              <w:rPr>
                <w:shd w:val="clear" w:color="auto" w:fill="FBFBFB"/>
                <w:lang w:val="en-AU"/>
              </w:rPr>
              <w:t>525,184</w:t>
            </w:r>
          </w:p>
        </w:tc>
        <w:tc>
          <w:tcPr>
            <w:tcW w:w="1080" w:type="dxa"/>
            <w:tcMar>
              <w:top w:w="57" w:type="dxa"/>
              <w:left w:w="57" w:type="dxa"/>
              <w:bottom w:w="57" w:type="dxa"/>
              <w:right w:w="57" w:type="dxa"/>
            </w:tcMar>
          </w:tcPr>
          <w:p w14:paraId="5B87985F" w14:textId="77777777" w:rsidR="00F212D7" w:rsidRPr="00FC1976" w:rsidRDefault="00282D58" w:rsidP="00495DE2">
            <w:pPr>
              <w:pStyle w:val="02Tabletext"/>
              <w:rPr>
                <w:shd w:val="clear" w:color="auto" w:fill="FBFBFB"/>
                <w:lang w:val="en-AU"/>
              </w:rPr>
            </w:pPr>
            <w:r w:rsidRPr="001D4B72">
              <w:rPr>
                <w:shd w:val="clear" w:color="auto" w:fill="FBFBFB"/>
                <w:lang w:val="en-AU"/>
              </w:rPr>
              <w:t>$59,970,098</w:t>
            </w:r>
          </w:p>
        </w:tc>
        <w:tc>
          <w:tcPr>
            <w:tcW w:w="1195" w:type="dxa"/>
            <w:tcMar>
              <w:top w:w="57" w:type="dxa"/>
              <w:left w:w="57" w:type="dxa"/>
              <w:bottom w:w="57" w:type="dxa"/>
              <w:right w:w="57" w:type="dxa"/>
            </w:tcMar>
          </w:tcPr>
          <w:p w14:paraId="7BED4D4C" w14:textId="77777777" w:rsidR="00F212D7" w:rsidRPr="00FC1976" w:rsidRDefault="00282D58" w:rsidP="00495DE2">
            <w:pPr>
              <w:pStyle w:val="02Tabletext"/>
              <w:rPr>
                <w:shd w:val="clear" w:color="auto" w:fill="FBFBFB"/>
                <w:lang w:val="en-AU"/>
              </w:rPr>
            </w:pPr>
            <w:r w:rsidRPr="001D4B72">
              <w:rPr>
                <w:shd w:val="clear" w:color="auto" w:fill="FBFBFB"/>
                <w:lang w:val="en-AU"/>
              </w:rPr>
              <w:t>13.7%</w:t>
            </w:r>
          </w:p>
        </w:tc>
      </w:tr>
    </w:tbl>
    <w:p w14:paraId="054BB913" w14:textId="77777777" w:rsidR="007B1E97" w:rsidRPr="00FC1976" w:rsidRDefault="007B1E97" w:rsidP="0002680C">
      <w:pPr>
        <w:pStyle w:val="H4"/>
      </w:pPr>
      <w:r w:rsidRPr="00FC1976">
        <w:t xml:space="preserve">Recommendation </w:t>
      </w:r>
    </w:p>
    <w:p w14:paraId="4507B085" w14:textId="77777777" w:rsidR="007B1E97" w:rsidRPr="0089135A" w:rsidRDefault="00141FCB" w:rsidP="00E15A50">
      <w:pPr>
        <w:pStyle w:val="01squarebullet"/>
        <w:rPr>
          <w:lang w:val="en-AU"/>
        </w:rPr>
      </w:pPr>
      <w:r w:rsidRPr="0089135A">
        <w:rPr>
          <w:lang w:val="en-AU"/>
        </w:rPr>
        <w:t>Amend</w:t>
      </w:r>
      <w:r w:rsidR="007B1E97" w:rsidRPr="0089135A">
        <w:rPr>
          <w:lang w:val="en-AU"/>
        </w:rPr>
        <w:t xml:space="preserve"> the item descriptor </w:t>
      </w:r>
      <w:r w:rsidR="004A556B" w:rsidRPr="0089135A">
        <w:rPr>
          <w:lang w:val="en-AU"/>
        </w:rPr>
        <w:t xml:space="preserve">for </w:t>
      </w:r>
      <w:r w:rsidR="007B1E97" w:rsidRPr="0089135A">
        <w:rPr>
          <w:lang w:val="en-AU"/>
        </w:rPr>
        <w:t>item</w:t>
      </w:r>
      <w:r w:rsidR="00470E39" w:rsidRPr="0089135A">
        <w:rPr>
          <w:lang w:val="en-AU"/>
        </w:rPr>
        <w:t>s</w:t>
      </w:r>
      <w:r w:rsidR="007B1E97" w:rsidRPr="0089135A">
        <w:rPr>
          <w:lang w:val="en-AU"/>
        </w:rPr>
        <w:t xml:space="preserve"> 132 </w:t>
      </w:r>
      <w:r w:rsidR="00470E39" w:rsidRPr="0089135A">
        <w:rPr>
          <w:lang w:val="en-AU"/>
        </w:rPr>
        <w:t xml:space="preserve">and 133 </w:t>
      </w:r>
      <w:r w:rsidR="007B1E97" w:rsidRPr="0089135A">
        <w:rPr>
          <w:lang w:val="en-AU"/>
        </w:rPr>
        <w:t>to include consultation with a healthy donor for transplant workup</w:t>
      </w:r>
      <w:r w:rsidR="00E418E4" w:rsidRPr="0089135A">
        <w:rPr>
          <w:lang w:val="en-AU"/>
        </w:rPr>
        <w:t xml:space="preserve"> as an indication</w:t>
      </w:r>
      <w:r w:rsidR="007B1E97" w:rsidRPr="0089135A">
        <w:rPr>
          <w:lang w:val="en-AU"/>
        </w:rPr>
        <w:t>.</w:t>
      </w:r>
    </w:p>
    <w:p w14:paraId="530BB502" w14:textId="77777777" w:rsidR="007B1E97" w:rsidRPr="00FC1976" w:rsidRDefault="007B1E97" w:rsidP="00BE5EBC">
      <w:pPr>
        <w:pStyle w:val="H4"/>
      </w:pPr>
      <w:r w:rsidRPr="00FC1976">
        <w:t>Rationale</w:t>
      </w:r>
    </w:p>
    <w:p w14:paraId="032BEDA4" w14:textId="77777777" w:rsidR="0089135A" w:rsidRDefault="0089135A" w:rsidP="006A373A">
      <w:pPr>
        <w:pStyle w:val="01squarebullet"/>
        <w:numPr>
          <w:ilvl w:val="0"/>
          <w:numId w:val="0"/>
        </w:numPr>
        <w:ind w:left="360" w:hanging="360"/>
        <w:rPr>
          <w:lang w:val="en-AU"/>
        </w:rPr>
      </w:pPr>
      <w:r>
        <w:rPr>
          <w:lang w:val="en-AU"/>
        </w:rPr>
        <w:t xml:space="preserve">The recommendation focuses on </w:t>
      </w:r>
      <w:r w:rsidR="00E87FB8">
        <w:rPr>
          <w:lang w:val="en-AU"/>
        </w:rPr>
        <w:t xml:space="preserve">improving quality of care, </w:t>
      </w:r>
      <w:r>
        <w:rPr>
          <w:lang w:val="en-AU"/>
        </w:rPr>
        <w:t>and is based on the following observations.</w:t>
      </w:r>
    </w:p>
    <w:p w14:paraId="47484CDF" w14:textId="77777777" w:rsidR="007B1E97" w:rsidRPr="00FC1976" w:rsidRDefault="007B1E97" w:rsidP="00E15A50">
      <w:pPr>
        <w:pStyle w:val="01squarebullet"/>
        <w:rPr>
          <w:lang w:val="en-AU"/>
        </w:rPr>
      </w:pPr>
      <w:r w:rsidRPr="00FC1976">
        <w:rPr>
          <w:lang w:val="en-AU"/>
        </w:rPr>
        <w:t>The Committee agreed that healthy donor workups are complex consultations</w:t>
      </w:r>
      <w:r w:rsidR="00775525" w:rsidRPr="00FC1976">
        <w:rPr>
          <w:lang w:val="en-AU"/>
        </w:rPr>
        <w:t>. They are lengthy, and they require</w:t>
      </w:r>
      <w:r w:rsidR="00C932E3" w:rsidRPr="00FC1976">
        <w:rPr>
          <w:lang w:val="en-AU"/>
        </w:rPr>
        <w:t xml:space="preserve"> the</w:t>
      </w:r>
      <w:r w:rsidRPr="00FC1976">
        <w:rPr>
          <w:lang w:val="en-AU"/>
        </w:rPr>
        <w:t xml:space="preserve"> nephrologist </w:t>
      </w:r>
      <w:r w:rsidR="004F208D" w:rsidRPr="00FC1976">
        <w:rPr>
          <w:lang w:val="en-AU"/>
        </w:rPr>
        <w:t xml:space="preserve">to share </w:t>
      </w:r>
      <w:r w:rsidRPr="00FC1976">
        <w:rPr>
          <w:lang w:val="en-AU"/>
        </w:rPr>
        <w:t xml:space="preserve">information about </w:t>
      </w:r>
      <w:r w:rsidR="004B56BE" w:rsidRPr="00FC1976">
        <w:rPr>
          <w:lang w:val="en-AU"/>
        </w:rPr>
        <w:t xml:space="preserve">the </w:t>
      </w:r>
      <w:r w:rsidRPr="00FC1976">
        <w:rPr>
          <w:lang w:val="en-AU"/>
        </w:rPr>
        <w:t>donation process, including risks, long</w:t>
      </w:r>
      <w:r w:rsidR="005E4471" w:rsidRPr="00FC1976">
        <w:rPr>
          <w:lang w:val="en-AU"/>
        </w:rPr>
        <w:t>-</w:t>
      </w:r>
      <w:r w:rsidRPr="00FC1976">
        <w:rPr>
          <w:lang w:val="en-AU"/>
        </w:rPr>
        <w:t xml:space="preserve">term health implications, </w:t>
      </w:r>
      <w:r w:rsidR="00F267E4">
        <w:rPr>
          <w:lang w:val="en-AU"/>
        </w:rPr>
        <w:t xml:space="preserve">and </w:t>
      </w:r>
      <w:r w:rsidR="00950D36" w:rsidRPr="00FC1976">
        <w:rPr>
          <w:lang w:val="en-AU"/>
        </w:rPr>
        <w:t xml:space="preserve">the </w:t>
      </w:r>
      <w:r w:rsidRPr="00FC1976">
        <w:rPr>
          <w:lang w:val="en-AU"/>
        </w:rPr>
        <w:t>expected duration of admission and recovery</w:t>
      </w:r>
      <w:r w:rsidR="00365A92" w:rsidRPr="00FC1976">
        <w:rPr>
          <w:lang w:val="en-AU"/>
        </w:rPr>
        <w:t xml:space="preserve"> </w:t>
      </w:r>
      <w:r w:rsidR="00365A92" w:rsidRPr="00FC1976">
        <w:rPr>
          <w:lang w:val="en-AU"/>
        </w:rPr>
        <w:fldChar w:fldCharType="begin" w:fldLock="1"/>
      </w:r>
      <w:r w:rsidR="0099742A">
        <w:rPr>
          <w:lang w:val="en-AU"/>
        </w:rPr>
        <w:instrText>ADDIN CSL_CITATION { "citationItems" : [ { "id" : "ITEM-1", "itemData" : { "DOI" : "10.1111/jorc.12137", "ISSN" : "17556678", "author" : [ { "dropping-particle" : "", "family" : "Agerskov", "given" : "Hanne", "non-dropping-particle" : "", "parse-names" : false, "suffix" : "" }, { "dropping-particle" : "", "family" : "Ludvigsen", "given" : "Mette Spliid", "non-dropping-particle" : "", "parse-names" : false, "suffix" : "" }, { "dropping-particle" : "", "family" : "Bistrup", "given" : "Claus", "non-dropping-particle" : "", "parse-names" : false, "suffix" : "" }, { "dropping-particle" : "", "family" : "Pedersen", "given" : "Birthe D.", "non-dropping-particle" : "", "parse-names" : false, "suffix" : "" } ], "container-title" : "Journal of Renal Care", "id" : "ITEM-1", "issue" : "1", "issued" : { "date-parts" : [ [ "2016", "3" ] ] }, "page" : "43-52", "title" : "From donation to everyday life: Living kidney donors\u2019 experiences three months after donation", "type" : "article-journal", "volume" : "42" }, "uris" : [ "http://www.mendeley.com/documents/?uuid=ed2d746b-20d7-4459-b344-39f4d1cb84ef" ] } ], "mendeley" : { "formattedCitation" : "(34)", "plainTextFormattedCitation" : "(34)", "previouslyFormattedCitation" : "(34)" }, "properties" : { "noteIndex" : 0 }, "schema" : "https://github.com/citation-style-language/schema/raw/master/csl-citation.json" }</w:instrText>
      </w:r>
      <w:r w:rsidR="00365A92" w:rsidRPr="00FC1976">
        <w:rPr>
          <w:lang w:val="en-AU"/>
        </w:rPr>
        <w:fldChar w:fldCharType="separate"/>
      </w:r>
      <w:r w:rsidR="0099742A" w:rsidRPr="0099742A">
        <w:rPr>
          <w:noProof/>
          <w:lang w:val="en-AU"/>
        </w:rPr>
        <w:t>(34)</w:t>
      </w:r>
      <w:r w:rsidR="00365A92" w:rsidRPr="00FC1976">
        <w:rPr>
          <w:lang w:val="en-AU"/>
        </w:rPr>
        <w:fldChar w:fldCharType="end"/>
      </w:r>
      <w:r w:rsidR="00365A92" w:rsidRPr="00FC1976">
        <w:rPr>
          <w:lang w:val="en-AU"/>
        </w:rPr>
        <w:t>.</w:t>
      </w:r>
      <w:r w:rsidR="00524ACF" w:rsidRPr="00FC1976">
        <w:rPr>
          <w:lang w:val="en-AU"/>
        </w:rPr>
        <w:t xml:space="preserve"> T</w:t>
      </w:r>
      <w:r w:rsidR="00827069" w:rsidRPr="00FC1976">
        <w:rPr>
          <w:lang w:val="en-AU"/>
        </w:rPr>
        <w:t xml:space="preserve">hey </w:t>
      </w:r>
      <w:r w:rsidR="00A61C17" w:rsidRPr="00FC1976">
        <w:rPr>
          <w:lang w:val="en-AU"/>
        </w:rPr>
        <w:t xml:space="preserve">also </w:t>
      </w:r>
      <w:r w:rsidR="00827069" w:rsidRPr="00FC1976">
        <w:rPr>
          <w:lang w:val="en-AU"/>
        </w:rPr>
        <w:t xml:space="preserve">involve </w:t>
      </w:r>
      <w:r w:rsidRPr="00FC1976">
        <w:rPr>
          <w:lang w:val="en-AU"/>
        </w:rPr>
        <w:t>carefully managing patient vulnerability and ensuring informed patient consent</w:t>
      </w:r>
      <w:r w:rsidR="00365A92" w:rsidRPr="00FC1976">
        <w:rPr>
          <w:lang w:val="en-AU"/>
        </w:rPr>
        <w:t xml:space="preserve"> </w:t>
      </w:r>
      <w:r w:rsidR="00365A92" w:rsidRPr="00FC1976">
        <w:rPr>
          <w:lang w:val="en-AU"/>
        </w:rPr>
        <w:fldChar w:fldCharType="begin" w:fldLock="1"/>
      </w:r>
      <w:r w:rsidR="0099742A">
        <w:rPr>
          <w:lang w:val="en-AU"/>
        </w:rPr>
        <w:instrText>ADDIN CSL_CITATION { "citationItems" : [ { "id" : "ITEM-1", "itemData" : { "DOI" : "10.1111/jorc.12137", "ISSN" : "17556678", "author" : [ { "dropping-particle" : "", "family" : "Agerskov", "given" : "Hanne", "non-dropping-particle" : "", "parse-names" : false, "suffix" : "" }, { "dropping-particle" : "", "family" : "Ludvigsen", "given" : "Mette Spliid", "non-dropping-particle" : "", "parse-names" : false, "suffix" : "" }, { "dropping-particle" : "", "family" : "Bistrup", "given" : "Claus", "non-dropping-particle" : "", "parse-names" : false, "suffix" : "" }, { "dropping-particle" : "", "family" : "Pedersen", "given" : "Birthe D.", "non-dropping-particle" : "", "parse-names" : false, "suffix" : "" } ], "container-title" : "Journal of Renal Care", "id" : "ITEM-1", "issue" : "1", "issued" : { "date-parts" : [ [ "2016", "3" ] ] }, "page" : "43-52", "title" : "From donation to everyday life: Living kidney donors\u2019 experiences three months after donation", "type" : "article-journal", "volume" : "42" }, "uris" : [ "http://www.mendeley.com/documents/?uuid=ed2d746b-20d7-4459-b344-39f4d1cb84ef" ] } ], "mendeley" : { "formattedCitation" : "(34)", "plainTextFormattedCitation" : "(34)", "previouslyFormattedCitation" : "(34)" }, "properties" : { "noteIndex" : 0 }, "schema" : "https://github.com/citation-style-language/schema/raw/master/csl-citation.json" }</w:instrText>
      </w:r>
      <w:r w:rsidR="00365A92" w:rsidRPr="00FC1976">
        <w:rPr>
          <w:lang w:val="en-AU"/>
        </w:rPr>
        <w:fldChar w:fldCharType="separate"/>
      </w:r>
      <w:r w:rsidR="0099742A" w:rsidRPr="0099742A">
        <w:rPr>
          <w:noProof/>
          <w:lang w:val="en-AU"/>
        </w:rPr>
        <w:t>(34)</w:t>
      </w:r>
      <w:r w:rsidR="00365A92" w:rsidRPr="00FC1976">
        <w:rPr>
          <w:lang w:val="en-AU"/>
        </w:rPr>
        <w:fldChar w:fldCharType="end"/>
      </w:r>
      <w:r w:rsidR="001B01E4" w:rsidRPr="00FC1976">
        <w:rPr>
          <w:lang w:val="en-AU"/>
        </w:rPr>
        <w:t>,</w:t>
      </w:r>
      <w:r w:rsidR="00775525" w:rsidRPr="00FC1976">
        <w:rPr>
          <w:lang w:val="en-AU"/>
        </w:rPr>
        <w:t xml:space="preserve"> </w:t>
      </w:r>
      <w:r w:rsidR="001B01E4" w:rsidRPr="00FC1976">
        <w:rPr>
          <w:lang w:val="en-AU"/>
        </w:rPr>
        <w:t xml:space="preserve">and </w:t>
      </w:r>
      <w:r w:rsidR="002C4DCE" w:rsidRPr="00FC1976">
        <w:rPr>
          <w:lang w:val="en-AU"/>
        </w:rPr>
        <w:t>decisions made during these consultations s</w:t>
      </w:r>
      <w:r w:rsidRPr="00FC1976">
        <w:rPr>
          <w:lang w:val="en-AU"/>
        </w:rPr>
        <w:t xml:space="preserve">ignificantly </w:t>
      </w:r>
      <w:r w:rsidR="00A31136">
        <w:rPr>
          <w:lang w:val="en-AU"/>
        </w:rPr>
        <w:t>affect</w:t>
      </w:r>
      <w:r w:rsidR="00A31136" w:rsidRPr="00FC1976">
        <w:rPr>
          <w:lang w:val="en-AU"/>
        </w:rPr>
        <w:t xml:space="preserve"> </w:t>
      </w:r>
      <w:r w:rsidRPr="00FC1976">
        <w:rPr>
          <w:lang w:val="en-AU"/>
        </w:rPr>
        <w:t>the lives of prospective recipient</w:t>
      </w:r>
      <w:r w:rsidR="006F476C" w:rsidRPr="00FC1976">
        <w:rPr>
          <w:lang w:val="en-AU"/>
        </w:rPr>
        <w:t>s</w:t>
      </w:r>
      <w:r w:rsidRPr="00FC1976">
        <w:rPr>
          <w:lang w:val="en-AU"/>
        </w:rPr>
        <w:t xml:space="preserve"> and donor</w:t>
      </w:r>
      <w:r w:rsidR="006F476C" w:rsidRPr="00FC1976">
        <w:rPr>
          <w:lang w:val="en-AU"/>
        </w:rPr>
        <w:t>s</w:t>
      </w:r>
      <w:r w:rsidRPr="00FC1976">
        <w:rPr>
          <w:lang w:val="en-AU"/>
        </w:rPr>
        <w:t xml:space="preserve">. </w:t>
      </w:r>
      <w:r w:rsidR="000D429F" w:rsidRPr="00FC1976">
        <w:rPr>
          <w:lang w:val="en-AU"/>
        </w:rPr>
        <w:t>(</w:t>
      </w:r>
      <w:r w:rsidRPr="00FC1976">
        <w:rPr>
          <w:lang w:val="en-AU"/>
        </w:rPr>
        <w:t>Live kidney donation has better short</w:t>
      </w:r>
      <w:r w:rsidR="00061600" w:rsidRPr="00FC1976">
        <w:rPr>
          <w:lang w:val="en-AU"/>
        </w:rPr>
        <w:t>-</w:t>
      </w:r>
      <w:r w:rsidRPr="00FC1976">
        <w:rPr>
          <w:lang w:val="en-AU"/>
        </w:rPr>
        <w:t>term and long</w:t>
      </w:r>
      <w:r w:rsidR="006E0B39" w:rsidRPr="00FC1976">
        <w:rPr>
          <w:lang w:val="en-AU"/>
        </w:rPr>
        <w:t>-</w:t>
      </w:r>
      <w:r w:rsidRPr="00FC1976">
        <w:rPr>
          <w:lang w:val="en-AU"/>
        </w:rPr>
        <w:t xml:space="preserve">term outcomes for the recipient </w:t>
      </w:r>
      <w:r w:rsidR="002C604B" w:rsidRPr="00FC1976">
        <w:rPr>
          <w:lang w:val="en-AU"/>
        </w:rPr>
        <w:t>than</w:t>
      </w:r>
      <w:r w:rsidRPr="00FC1976">
        <w:rPr>
          <w:lang w:val="en-AU"/>
        </w:rPr>
        <w:t xml:space="preserve"> other treatment options</w:t>
      </w:r>
      <w:r w:rsidR="006A581C" w:rsidRPr="00FC1976">
        <w:rPr>
          <w:lang w:val="en-AU"/>
        </w:rPr>
        <w:t>,</w:t>
      </w:r>
      <w:r w:rsidRPr="00FC1976">
        <w:rPr>
          <w:lang w:val="en-AU"/>
        </w:rPr>
        <w:t xml:space="preserve"> including deceased kidney donation</w:t>
      </w:r>
      <w:r w:rsidR="0099510C">
        <w:rPr>
          <w:lang w:val="en-AU"/>
        </w:rPr>
        <w:t>.)</w:t>
      </w:r>
      <w:r w:rsidR="00365A92" w:rsidRPr="00FC1976">
        <w:rPr>
          <w:lang w:val="en-AU"/>
        </w:rPr>
        <w:t xml:space="preserve"> </w:t>
      </w:r>
      <w:r w:rsidR="00365A92" w:rsidRPr="00FC1976">
        <w:rPr>
          <w:lang w:val="en-AU"/>
        </w:rPr>
        <w:fldChar w:fldCharType="begin" w:fldLock="1"/>
      </w:r>
      <w:r w:rsidR="0099742A">
        <w:rPr>
          <w:lang w:val="en-AU"/>
        </w:rPr>
        <w:instrText>ADDIN CSL_CITATION { "citationItems" : [ { "id" : "ITEM-1", "itemData" : { "DOI" : "10.1111/jorc.12137", "ISSN" : "17556678", "author" : [ { "dropping-particle" : "", "family" : "Agerskov", "given" : "Hanne", "non-dropping-particle" : "", "parse-names" : false, "suffix" : "" }, { "dropping-particle" : "", "family" : "Ludvigsen", "given" : "Mette Spliid", "non-dropping-particle" : "", "parse-names" : false, "suffix" : "" }, { "dropping-particle" : "", "family" : "Bistrup", "given" : "Claus", "non-dropping-particle" : "", "parse-names" : false, "suffix" : "" }, { "dropping-particle" : "", "family" : "Pedersen", "given" : "Birthe D.", "non-dropping-particle" : "", "parse-names" : false, "suffix" : "" } ], "container-title" : "Journal of Renal Care", "id" : "ITEM-1", "issue" : "1", "issued" : { "date-parts" : [ [ "2016", "3" ] ] }, "page" : "43-52", "title" : "From donation to everyday life: Living kidney donors\u2019 experiences three months after donation", "type" : "article-journal", "volume" : "42" }, "uris" : [ "http://www.mendeley.com/documents/?uuid=ed2d746b-20d7-4459-b344-39f4d1cb84ef" ] } ], "mendeley" : { "formattedCitation" : "(34)", "plainTextFormattedCitation" : "(34)", "previouslyFormattedCitation" : "(34)" }, "properties" : { "noteIndex" : 0 }, "schema" : "https://github.com/citation-style-language/schema/raw/master/csl-citation.json" }</w:instrText>
      </w:r>
      <w:r w:rsidR="00365A92" w:rsidRPr="00FC1976">
        <w:rPr>
          <w:lang w:val="en-AU"/>
        </w:rPr>
        <w:fldChar w:fldCharType="separate"/>
      </w:r>
      <w:r w:rsidR="0099742A" w:rsidRPr="0099742A">
        <w:rPr>
          <w:noProof/>
          <w:lang w:val="en-AU"/>
        </w:rPr>
        <w:t>(34)</w:t>
      </w:r>
      <w:r w:rsidR="00365A92" w:rsidRPr="00FC1976">
        <w:rPr>
          <w:lang w:val="en-AU"/>
        </w:rPr>
        <w:fldChar w:fldCharType="end"/>
      </w:r>
      <w:r w:rsidRPr="00FC1976">
        <w:rPr>
          <w:lang w:val="en-AU"/>
        </w:rPr>
        <w:t xml:space="preserve"> </w:t>
      </w:r>
      <w:r w:rsidR="001A442C" w:rsidRPr="00FC1976">
        <w:rPr>
          <w:lang w:val="en-AU"/>
        </w:rPr>
        <w:t xml:space="preserve">They also require </w:t>
      </w:r>
      <w:r w:rsidRPr="00FC1976">
        <w:rPr>
          <w:lang w:val="en-AU"/>
        </w:rPr>
        <w:t>complex estimation of long</w:t>
      </w:r>
      <w:r w:rsidR="00993DDE" w:rsidRPr="00FC1976">
        <w:rPr>
          <w:lang w:val="en-AU"/>
        </w:rPr>
        <w:t>-</w:t>
      </w:r>
      <w:r w:rsidRPr="00FC1976">
        <w:rPr>
          <w:lang w:val="en-AU"/>
        </w:rPr>
        <w:t xml:space="preserve">term health risks, especially as </w:t>
      </w:r>
      <w:r w:rsidR="002A20A7" w:rsidRPr="00FC1976">
        <w:rPr>
          <w:lang w:val="en-AU"/>
        </w:rPr>
        <w:t xml:space="preserve">growing rates of </w:t>
      </w:r>
      <w:r w:rsidRPr="00FC1976">
        <w:rPr>
          <w:lang w:val="en-AU"/>
        </w:rPr>
        <w:t>obesity, diabetes and associated co-morbidities increas</w:t>
      </w:r>
      <w:r w:rsidR="002E1273" w:rsidRPr="00FC1976">
        <w:rPr>
          <w:lang w:val="en-AU"/>
        </w:rPr>
        <w:t>e</w:t>
      </w:r>
      <w:r w:rsidRPr="00FC1976">
        <w:rPr>
          <w:lang w:val="en-AU"/>
        </w:rPr>
        <w:t xml:space="preserve"> the risk of future renal disease for the donor</w:t>
      </w:r>
      <w:r w:rsidR="00365A92" w:rsidRPr="00FC1976">
        <w:rPr>
          <w:lang w:val="en-AU"/>
        </w:rPr>
        <w:t xml:space="preserve"> </w:t>
      </w:r>
      <w:r w:rsidR="00076D08" w:rsidRPr="00FC1976">
        <w:rPr>
          <w:lang w:val="en-AU"/>
        </w:rPr>
        <w:fldChar w:fldCharType="begin" w:fldLock="1"/>
      </w:r>
      <w:r w:rsidR="0099742A">
        <w:rPr>
          <w:lang w:val="en-AU"/>
        </w:rPr>
        <w:instrText>ADDIN CSL_CITATION { "citationItems" : [ { "id" : "ITEM-1", "itemData" : { "DOI" : "10.1681/ASN.2004100824", "abstract" : "The first successful living-donor kidney transplant was performed 50 yr ago. Since then, in a relatively brief period of medical history, living kidney transplantation has become the preferred treatment for those with ESRD. Organ replacement from either a live or a deceased donor is preferable to dialysis therapy because transplantation provides a better quality of life and improved survival. The advantages of live versus deceased donor transplantation now are readily apparent as it affords earlier transplantation and the best long-term survival. Live kidney donation has also been fostered by the technical advance of laparoscopic nephrectomy and immunologic maneuvers that can overcome biologic obstacles such as HLA disparity and ABO or cross-match incompatibility. Congressional legislation has provided an important model to remove financial disincentives to being a live donor. Federal employees now are afforded paid leave and coverage for travel expenses. Candidates for renal transplantation are aware of these developments, and they have become less hesitant to ask family members, spouses, or friends to become live kidney donors. Living donation as practiced for the past 50 yr has been safe with minimal immediate and long-term risk for the donor. However, the future experience may not be the same as our society is becoming increasingly obese and developing associated health problems. In this environment, predicting medical futures is less precise than in the past. Even so, isolated abnormalities such as obesity and in some instances hypertension are no longer considered absolute contraindications to donation. These and other medical risks bring additional responsibility in such circumstances to track the unknown consequences of a live-donor nephrectomy.", "author" : [ { "dropping-particle" : "", "family" : "Davis", "given" : "Connie L", "non-dropping-particle" : "", "parse-names" : false, "suffix" : "" }, { "dropping-particle" : "", "family" : "Delmonico", "given" : "Francis L", "non-dropping-particle" : "", "parse-names" : false, "suffix" : "" } ], "container-title" : "Journal of the American Society of Nephrology", "id" : "ITEM-1", "issue" : "7", "issued" : { "date-parts" : [ [ "2005" ] ] }, "page" : "2098-2110", "title" : "Living-Donor Transplantation: A Review of the Current Practices for the Live Donor", "type" : "article-journal", "volume" : "16" }, "uris" : [ "http://www.mendeley.com/documents/?uuid=7f204845-23a8-47eb-a415-b2cb36f684bf" ] } ], "mendeley" : { "formattedCitation" : "(35)", "plainTextFormattedCitation" : "(35)", "previouslyFormattedCitation" : "(35)" }, "properties" : { "noteIndex" : 0 }, "schema" : "https://github.com/citation-style-language/schema/raw/master/csl-citation.json" }</w:instrText>
      </w:r>
      <w:r w:rsidR="00076D08" w:rsidRPr="00FC1976">
        <w:rPr>
          <w:lang w:val="en-AU"/>
        </w:rPr>
        <w:fldChar w:fldCharType="separate"/>
      </w:r>
      <w:r w:rsidR="0099742A" w:rsidRPr="0099742A">
        <w:rPr>
          <w:noProof/>
          <w:lang w:val="en-AU"/>
        </w:rPr>
        <w:t>(35)</w:t>
      </w:r>
      <w:r w:rsidR="00076D08" w:rsidRPr="00FC1976">
        <w:rPr>
          <w:lang w:val="en-AU"/>
        </w:rPr>
        <w:fldChar w:fldCharType="end"/>
      </w:r>
      <w:r w:rsidRPr="00FC1976">
        <w:rPr>
          <w:lang w:val="en-AU"/>
        </w:rPr>
        <w:t>.</w:t>
      </w:r>
      <w:r w:rsidR="00F446D3" w:rsidRPr="00FC1976">
        <w:rPr>
          <w:lang w:val="en-AU"/>
        </w:rPr>
        <w:t xml:space="preserve"> The Committee agreed that a detailed and patient</w:t>
      </w:r>
      <w:r w:rsidR="00296289">
        <w:rPr>
          <w:lang w:val="en-AU"/>
        </w:rPr>
        <w:t>-</w:t>
      </w:r>
      <w:r w:rsidR="00F446D3" w:rsidRPr="00FC1976">
        <w:rPr>
          <w:lang w:val="en-AU"/>
        </w:rPr>
        <w:t>focused approach to consent with a potential donor</w:t>
      </w:r>
      <w:r w:rsidR="00FB4A82" w:rsidRPr="00FC1976">
        <w:rPr>
          <w:lang w:val="en-AU"/>
        </w:rPr>
        <w:t xml:space="preserve"> may increase </w:t>
      </w:r>
      <w:r w:rsidR="005110E5">
        <w:rPr>
          <w:lang w:val="en-AU"/>
        </w:rPr>
        <w:t>a patient’s</w:t>
      </w:r>
      <w:r w:rsidR="005110E5" w:rsidRPr="00FC1976">
        <w:rPr>
          <w:lang w:val="en-AU"/>
        </w:rPr>
        <w:t xml:space="preserve"> </w:t>
      </w:r>
      <w:r w:rsidR="00FB4A82" w:rsidRPr="00FC1976">
        <w:rPr>
          <w:lang w:val="en-AU"/>
        </w:rPr>
        <w:t xml:space="preserve">likelihood of proceeding with donation and allow the donor to make this decision in a more informed </w:t>
      </w:r>
      <w:r w:rsidR="009B0FE6">
        <w:rPr>
          <w:lang w:val="en-AU"/>
        </w:rPr>
        <w:t>manner</w:t>
      </w:r>
      <w:r w:rsidR="00FB4A82" w:rsidRPr="00FC1976">
        <w:rPr>
          <w:lang w:val="en-AU"/>
        </w:rPr>
        <w:t>.</w:t>
      </w:r>
    </w:p>
    <w:p w14:paraId="3BB9EBDE" w14:textId="77777777" w:rsidR="007B1E97" w:rsidRPr="00FC1976" w:rsidRDefault="007B1E97" w:rsidP="00E15A50">
      <w:pPr>
        <w:pStyle w:val="01squarebullet"/>
        <w:rPr>
          <w:lang w:val="en-AU"/>
        </w:rPr>
      </w:pPr>
      <w:r w:rsidRPr="00FC1976">
        <w:rPr>
          <w:lang w:val="en-AU"/>
        </w:rPr>
        <w:t xml:space="preserve">The wording </w:t>
      </w:r>
      <w:r w:rsidR="00250804" w:rsidRPr="00FC1976">
        <w:rPr>
          <w:lang w:val="en-AU"/>
        </w:rPr>
        <w:t xml:space="preserve">of item </w:t>
      </w:r>
      <w:r w:rsidRPr="00FC1976">
        <w:rPr>
          <w:lang w:val="en-AU"/>
        </w:rPr>
        <w:t>132 does not clearly extend to cover healthy donor workups</w:t>
      </w:r>
      <w:r w:rsidR="00287F0D" w:rsidRPr="00FC1976">
        <w:rPr>
          <w:lang w:val="en-AU"/>
        </w:rPr>
        <w:t>,</w:t>
      </w:r>
      <w:r w:rsidRPr="00FC1976">
        <w:rPr>
          <w:lang w:val="en-AU"/>
        </w:rPr>
        <w:t xml:space="preserve"> as it requires the patient to have at least two morbidities</w:t>
      </w:r>
      <w:r w:rsidR="00255F57" w:rsidRPr="00FC1976">
        <w:rPr>
          <w:lang w:val="en-AU"/>
        </w:rPr>
        <w:t>—</w:t>
      </w:r>
      <w:r w:rsidRPr="00FC1976">
        <w:rPr>
          <w:lang w:val="en-AU"/>
        </w:rPr>
        <w:t>a condition not met by many donors</w:t>
      </w:r>
      <w:r w:rsidR="00E3012B" w:rsidRPr="00FC1976">
        <w:rPr>
          <w:lang w:val="en-AU"/>
        </w:rPr>
        <w:t xml:space="preserve"> as the assumption is that the donor is healthy</w:t>
      </w:r>
      <w:r w:rsidRPr="00FC1976">
        <w:rPr>
          <w:lang w:val="en-AU"/>
        </w:rPr>
        <w:t xml:space="preserve">. </w:t>
      </w:r>
    </w:p>
    <w:p w14:paraId="669A80DB" w14:textId="77777777" w:rsidR="007B1E97" w:rsidRPr="00FC1976" w:rsidRDefault="003B3FB5" w:rsidP="00E15A50">
      <w:pPr>
        <w:pStyle w:val="01squarebullet"/>
        <w:rPr>
          <w:lang w:val="en-AU"/>
        </w:rPr>
      </w:pPr>
      <w:r w:rsidRPr="00FC1976">
        <w:rPr>
          <w:lang w:val="en-AU"/>
        </w:rPr>
        <w:t>The expected economic impact of this change is unlikely to be significant</w:t>
      </w:r>
      <w:r w:rsidR="00B7414E" w:rsidRPr="00FC1976">
        <w:rPr>
          <w:lang w:val="en-AU"/>
        </w:rPr>
        <w:t>, both</w:t>
      </w:r>
      <w:r w:rsidRPr="00FC1976">
        <w:rPr>
          <w:lang w:val="en-AU"/>
        </w:rPr>
        <w:t xml:space="preserve"> </w:t>
      </w:r>
      <w:r w:rsidR="00B7414E" w:rsidRPr="00FC1976">
        <w:rPr>
          <w:lang w:val="en-AU"/>
        </w:rPr>
        <w:t xml:space="preserve">because the </w:t>
      </w:r>
      <w:r w:rsidR="007B1E97" w:rsidRPr="00FC1976">
        <w:rPr>
          <w:lang w:val="en-AU"/>
        </w:rPr>
        <w:t xml:space="preserve">Committee </w:t>
      </w:r>
      <w:r w:rsidR="00213442" w:rsidRPr="00FC1976">
        <w:rPr>
          <w:lang w:val="en-AU"/>
        </w:rPr>
        <w:t>believes</w:t>
      </w:r>
      <w:r w:rsidR="007B1E97" w:rsidRPr="00FC1976">
        <w:rPr>
          <w:lang w:val="en-AU"/>
        </w:rPr>
        <w:t xml:space="preserve"> that many providers </w:t>
      </w:r>
      <w:r w:rsidR="00E3012B" w:rsidRPr="00FC1976">
        <w:rPr>
          <w:lang w:val="en-AU"/>
        </w:rPr>
        <w:t xml:space="preserve">may be </w:t>
      </w:r>
      <w:r w:rsidR="007B1E97" w:rsidRPr="00FC1976">
        <w:rPr>
          <w:lang w:val="en-AU"/>
        </w:rPr>
        <w:t xml:space="preserve">already using </w:t>
      </w:r>
      <w:r w:rsidR="00BF5852" w:rsidRPr="00FC1976">
        <w:rPr>
          <w:lang w:val="en-AU"/>
        </w:rPr>
        <w:t xml:space="preserve">item </w:t>
      </w:r>
      <w:r w:rsidR="007B1E97" w:rsidRPr="00FC1976">
        <w:rPr>
          <w:lang w:val="en-AU"/>
        </w:rPr>
        <w:t xml:space="preserve">132 for </w:t>
      </w:r>
      <w:r w:rsidR="00E3012B" w:rsidRPr="00FC1976">
        <w:rPr>
          <w:lang w:val="en-AU"/>
        </w:rPr>
        <w:t xml:space="preserve">these </w:t>
      </w:r>
      <w:r w:rsidR="007B1E97" w:rsidRPr="00FC1976">
        <w:rPr>
          <w:lang w:val="en-AU"/>
        </w:rPr>
        <w:t>consults</w:t>
      </w:r>
      <w:r w:rsidR="004F779D" w:rsidRPr="00FC1976">
        <w:rPr>
          <w:lang w:val="en-AU"/>
        </w:rPr>
        <w:t>, and because</w:t>
      </w:r>
      <w:r w:rsidR="007B1E97" w:rsidRPr="00FC1976">
        <w:rPr>
          <w:lang w:val="en-AU"/>
        </w:rPr>
        <w:t xml:space="preserve"> the volume of healthy donor transplants is less than 270 a year nationwide</w:t>
      </w:r>
      <w:r w:rsidR="00FC074A" w:rsidRPr="00FC1976">
        <w:rPr>
          <w:lang w:val="en-AU"/>
        </w:rPr>
        <w:t xml:space="preserve"> </w:t>
      </w:r>
      <w:r w:rsidR="00FC074A" w:rsidRPr="00FC1976">
        <w:rPr>
          <w:lang w:val="en-AU"/>
        </w:rPr>
        <w:fldChar w:fldCharType="begin" w:fldLock="1"/>
      </w:r>
      <w:r w:rsidR="0099742A">
        <w:rPr>
          <w:lang w:val="en-AU"/>
        </w:rPr>
        <w:instrText>ADDIN CSL_CITATION { "citationItems" : [ { "id" : "ITEM-1", "itemData" : { "author" : [ { "dropping-particle" : "", "family" : "ANZDATA", "given" : "", "non-dropping-particle" : "", "parse-names" : false, "suffix" : "" } ], "id" : "ITEM-1", "issued" : { "date-parts" : [ [ "0" ] ] }, "title" : "Living Kidney Donor Registry", "type" : "article-journal" }, "uris" : [ "http://www.mendeley.com/documents/?uuid=0fa7412f-185f-44a1-bd58-2c09aa4f60c5" ] } ], "mendeley" : { "formattedCitation" : "(36)", "plainTextFormattedCitation" : "(36)", "previouslyFormattedCitation" : "(36)" }, "properties" : { "noteIndex" : 0 }, "schema" : "https://github.com/citation-style-language/schema/raw/master/csl-citation.json" }</w:instrText>
      </w:r>
      <w:r w:rsidR="00FC074A" w:rsidRPr="00FC1976">
        <w:rPr>
          <w:lang w:val="en-AU"/>
        </w:rPr>
        <w:fldChar w:fldCharType="separate"/>
      </w:r>
      <w:r w:rsidR="0099742A" w:rsidRPr="0099742A">
        <w:rPr>
          <w:noProof/>
          <w:lang w:val="en-AU"/>
        </w:rPr>
        <w:t>(36)</w:t>
      </w:r>
      <w:r w:rsidR="00FC074A" w:rsidRPr="00FC1976">
        <w:rPr>
          <w:lang w:val="en-AU"/>
        </w:rPr>
        <w:fldChar w:fldCharType="end"/>
      </w:r>
      <w:r w:rsidR="007B1E97" w:rsidRPr="00FC1976">
        <w:rPr>
          <w:lang w:val="en-AU"/>
        </w:rPr>
        <w:t>.</w:t>
      </w:r>
    </w:p>
    <w:p w14:paraId="504E5043" w14:textId="77777777" w:rsidR="00470E39" w:rsidRPr="00FC1976" w:rsidRDefault="00994542" w:rsidP="00E15A50">
      <w:pPr>
        <w:pStyle w:val="01squarebullet"/>
        <w:rPr>
          <w:lang w:val="en-AU"/>
        </w:rPr>
      </w:pPr>
      <w:r>
        <w:rPr>
          <w:lang w:val="en-AU"/>
        </w:rPr>
        <w:t>The Committee</w:t>
      </w:r>
      <w:r w:rsidRPr="00FC1976">
        <w:rPr>
          <w:lang w:val="en-AU"/>
        </w:rPr>
        <w:t xml:space="preserve"> </w:t>
      </w:r>
      <w:r w:rsidR="00F32BCF" w:rsidRPr="00FC1976">
        <w:rPr>
          <w:lang w:val="en-AU"/>
        </w:rPr>
        <w:t xml:space="preserve">agreed that following the initial post-transplant period, it would be appropriate for the donor to be followed up using </w:t>
      </w:r>
      <w:r w:rsidR="00F410AA">
        <w:rPr>
          <w:lang w:val="en-AU"/>
        </w:rPr>
        <w:t xml:space="preserve">item </w:t>
      </w:r>
      <w:r w:rsidR="00F32BCF" w:rsidRPr="00FC1976">
        <w:rPr>
          <w:lang w:val="en-AU"/>
        </w:rPr>
        <w:t xml:space="preserve">116 claims. </w:t>
      </w:r>
    </w:p>
    <w:p w14:paraId="67AC702A" w14:textId="77777777" w:rsidR="00B1759E" w:rsidRPr="00FC1976" w:rsidRDefault="00FA06A5" w:rsidP="00E40B43">
      <w:pPr>
        <w:pStyle w:val="Heading3"/>
        <w:rPr>
          <w:lang w:val="en-AU"/>
        </w:rPr>
      </w:pPr>
      <w:bookmarkStart w:id="149" w:name="_Toc459996823"/>
      <w:bookmarkStart w:id="150" w:name="_Toc458167013"/>
      <w:bookmarkStart w:id="151" w:name="_Toc467668966"/>
      <w:r w:rsidRPr="00FC1976">
        <w:rPr>
          <w:lang w:val="en-AU"/>
        </w:rPr>
        <w:t>C</w:t>
      </w:r>
      <w:r w:rsidR="00B1759E" w:rsidRPr="00FC1976">
        <w:rPr>
          <w:lang w:val="en-AU"/>
        </w:rPr>
        <w:t>laiming</w:t>
      </w:r>
      <w:r w:rsidR="001C067D" w:rsidRPr="00FC1976">
        <w:rPr>
          <w:lang w:val="en-AU"/>
        </w:rPr>
        <w:t xml:space="preserve"> </w:t>
      </w:r>
      <w:r w:rsidR="00B37227" w:rsidRPr="00FC1976">
        <w:rPr>
          <w:lang w:val="en-AU"/>
        </w:rPr>
        <w:t>specialist attendances</w:t>
      </w:r>
      <w:bookmarkEnd w:id="149"/>
      <w:bookmarkEnd w:id="150"/>
      <w:bookmarkEnd w:id="151"/>
    </w:p>
    <w:p w14:paraId="5D57E85A" w14:textId="77777777" w:rsidR="00593142" w:rsidRPr="00FC1976" w:rsidRDefault="00593142" w:rsidP="00BE5EBC">
      <w:pPr>
        <w:pStyle w:val="H4"/>
      </w:pPr>
      <w:r w:rsidRPr="00FC1976">
        <w:t>Recommendation</w:t>
      </w:r>
      <w:r w:rsidR="000149D2">
        <w:t>s</w:t>
      </w:r>
      <w:r w:rsidRPr="00FC1976">
        <w:t xml:space="preserve"> </w:t>
      </w:r>
    </w:p>
    <w:p w14:paraId="1079B085" w14:textId="77777777" w:rsidR="0067600D" w:rsidRPr="00FC1976" w:rsidRDefault="00411B3F" w:rsidP="00E15A50">
      <w:pPr>
        <w:pStyle w:val="01squarebullet"/>
        <w:rPr>
          <w:lang w:val="en-AU"/>
        </w:rPr>
      </w:pPr>
      <w:r w:rsidRPr="00FC1976">
        <w:rPr>
          <w:lang w:val="en-AU"/>
        </w:rPr>
        <w:t>Amend</w:t>
      </w:r>
      <w:r w:rsidR="00593142" w:rsidRPr="00FC1976">
        <w:rPr>
          <w:lang w:val="en-AU"/>
        </w:rPr>
        <w:t xml:space="preserve"> the </w:t>
      </w:r>
      <w:r w:rsidR="00D37F2E" w:rsidRPr="00FC1976">
        <w:rPr>
          <w:lang w:val="en-AU"/>
        </w:rPr>
        <w:t xml:space="preserve">MBS section on </w:t>
      </w:r>
      <w:r w:rsidR="004E4DDE" w:rsidRPr="00FC1976">
        <w:rPr>
          <w:lang w:val="en-AU"/>
        </w:rPr>
        <w:t>General Rules for Professional Attendances to</w:t>
      </w:r>
      <w:r w:rsidR="0067600D" w:rsidRPr="00FC1976">
        <w:rPr>
          <w:lang w:val="en-AU"/>
        </w:rPr>
        <w:t>:</w:t>
      </w:r>
      <w:r w:rsidR="004E4DDE" w:rsidRPr="00FC1976">
        <w:rPr>
          <w:lang w:val="en-AU"/>
        </w:rPr>
        <w:t xml:space="preserve"> </w:t>
      </w:r>
    </w:p>
    <w:p w14:paraId="2775A068" w14:textId="77777777" w:rsidR="0067600D" w:rsidRPr="00FC1976" w:rsidRDefault="0067600D" w:rsidP="00DB15BF">
      <w:pPr>
        <w:pStyle w:val="01squarebullet"/>
        <w:numPr>
          <w:ilvl w:val="1"/>
          <w:numId w:val="17"/>
        </w:numPr>
        <w:rPr>
          <w:lang w:val="en-AU"/>
        </w:rPr>
      </w:pPr>
      <w:r w:rsidRPr="00FC1976">
        <w:rPr>
          <w:lang w:val="en-AU"/>
        </w:rPr>
        <w:t>P</w:t>
      </w:r>
      <w:r w:rsidR="004E4DDE" w:rsidRPr="00FC1976">
        <w:rPr>
          <w:lang w:val="en-AU"/>
        </w:rPr>
        <w:t xml:space="preserve">revent </w:t>
      </w:r>
      <w:r w:rsidR="003A500A" w:rsidRPr="00FC1976">
        <w:rPr>
          <w:rFonts w:cs="Arial"/>
          <w:lang w:val="en-AU"/>
        </w:rPr>
        <w:t>nephrologists</w:t>
      </w:r>
      <w:r w:rsidR="00875BB8" w:rsidRPr="00FC1976">
        <w:rPr>
          <w:lang w:val="en-AU"/>
        </w:rPr>
        <w:t xml:space="preserve"> from claiming specialist attendances </w:t>
      </w:r>
      <w:r w:rsidR="006A4F92" w:rsidRPr="00FC1976">
        <w:rPr>
          <w:lang w:val="en-AU"/>
        </w:rPr>
        <w:t xml:space="preserve">for the supervision of </w:t>
      </w:r>
      <w:r w:rsidR="00E247A9" w:rsidRPr="00FC1976">
        <w:rPr>
          <w:lang w:val="en-AU"/>
        </w:rPr>
        <w:t xml:space="preserve">routine </w:t>
      </w:r>
      <w:r w:rsidR="006A4F92" w:rsidRPr="00FC1976">
        <w:rPr>
          <w:lang w:val="en-AU"/>
        </w:rPr>
        <w:t>dialysis</w:t>
      </w:r>
      <w:r w:rsidR="00EB282F">
        <w:rPr>
          <w:lang w:val="en-AU"/>
        </w:rPr>
        <w:t>.</w:t>
      </w:r>
    </w:p>
    <w:p w14:paraId="66977133" w14:textId="77777777" w:rsidR="0067600D" w:rsidRPr="00FC1976" w:rsidRDefault="0067600D" w:rsidP="00DB15BF">
      <w:pPr>
        <w:pStyle w:val="01squarebullet"/>
        <w:numPr>
          <w:ilvl w:val="1"/>
          <w:numId w:val="17"/>
        </w:numPr>
        <w:rPr>
          <w:lang w:val="en-AU"/>
        </w:rPr>
      </w:pPr>
      <w:r w:rsidRPr="00FC1976">
        <w:rPr>
          <w:lang w:val="en-AU"/>
        </w:rPr>
        <w:t xml:space="preserve">Prevent </w:t>
      </w:r>
      <w:r w:rsidR="008060D3" w:rsidRPr="00FC1976">
        <w:rPr>
          <w:lang w:val="en-AU"/>
        </w:rPr>
        <w:t xml:space="preserve">nephrologists </w:t>
      </w:r>
      <w:r w:rsidRPr="00FC1976">
        <w:rPr>
          <w:lang w:val="en-AU"/>
        </w:rPr>
        <w:t>from co-claiming dialysis supervision items 13103 and 13100 with consultation items.</w:t>
      </w:r>
    </w:p>
    <w:p w14:paraId="5ADE8CF0" w14:textId="77777777" w:rsidR="00CE12AC" w:rsidRPr="00FC1976" w:rsidRDefault="008E6251" w:rsidP="00E15A50">
      <w:pPr>
        <w:pStyle w:val="01squarebullet"/>
        <w:rPr>
          <w:lang w:val="en-AU"/>
        </w:rPr>
      </w:pPr>
      <w:r w:rsidRPr="00FC1976">
        <w:rPr>
          <w:lang w:val="en-AU"/>
        </w:rPr>
        <w:t>Monitor</w:t>
      </w:r>
      <w:r w:rsidR="006A4F92" w:rsidRPr="00FC1976">
        <w:rPr>
          <w:lang w:val="en-AU"/>
        </w:rPr>
        <w:t xml:space="preserve"> </w:t>
      </w:r>
      <w:r w:rsidR="00825088" w:rsidRPr="00FC1976">
        <w:rPr>
          <w:lang w:val="en-AU"/>
        </w:rPr>
        <w:t xml:space="preserve">specialist attendance </w:t>
      </w:r>
      <w:r w:rsidR="006A4F92" w:rsidRPr="00FC1976">
        <w:rPr>
          <w:lang w:val="en-AU"/>
        </w:rPr>
        <w:t xml:space="preserve">claim patterns in order to identify providers </w:t>
      </w:r>
      <w:r w:rsidR="00825088" w:rsidRPr="00FC1976">
        <w:rPr>
          <w:lang w:val="en-AU"/>
        </w:rPr>
        <w:t xml:space="preserve">with high </w:t>
      </w:r>
      <w:r w:rsidR="00CB03CA" w:rsidRPr="00FC1976">
        <w:rPr>
          <w:lang w:val="en-AU"/>
        </w:rPr>
        <w:t xml:space="preserve">rates of </w:t>
      </w:r>
      <w:r w:rsidR="002041BF">
        <w:rPr>
          <w:lang w:val="en-AU"/>
        </w:rPr>
        <w:t xml:space="preserve">item </w:t>
      </w:r>
      <w:r w:rsidR="00CB03CA" w:rsidRPr="00FC1976">
        <w:rPr>
          <w:lang w:val="en-AU"/>
        </w:rPr>
        <w:t>116 claims</w:t>
      </w:r>
      <w:r w:rsidR="00825088" w:rsidRPr="00FC1976">
        <w:rPr>
          <w:lang w:val="en-AU"/>
        </w:rPr>
        <w:t xml:space="preserve"> per patient</w:t>
      </w:r>
      <w:r w:rsidR="00E51C1C">
        <w:rPr>
          <w:lang w:val="en-AU"/>
        </w:rPr>
        <w:t>,</w:t>
      </w:r>
      <w:r w:rsidR="00825088" w:rsidRPr="00FC1976">
        <w:rPr>
          <w:lang w:val="en-AU"/>
        </w:rPr>
        <w:t xml:space="preserve"> who may be inappropriately claiming </w:t>
      </w:r>
      <w:r w:rsidR="00286E9F" w:rsidRPr="00FC1976">
        <w:rPr>
          <w:lang w:val="en-AU"/>
        </w:rPr>
        <w:t>the item</w:t>
      </w:r>
      <w:r w:rsidR="00F1747C" w:rsidRPr="00FC1976">
        <w:rPr>
          <w:lang w:val="en-AU"/>
        </w:rPr>
        <w:t>.</w:t>
      </w:r>
      <w:r w:rsidR="00286E9F" w:rsidRPr="00FC1976">
        <w:rPr>
          <w:lang w:val="en-AU"/>
        </w:rPr>
        <w:t xml:space="preserve"> This could be achieved using the MBS compliance function. </w:t>
      </w:r>
    </w:p>
    <w:p w14:paraId="26D1C41B" w14:textId="77777777" w:rsidR="00593142" w:rsidRPr="00FC1976" w:rsidRDefault="00593142" w:rsidP="00BE5EBC">
      <w:pPr>
        <w:pStyle w:val="H4"/>
      </w:pPr>
      <w:r w:rsidRPr="00FC1976">
        <w:t>Rationale</w:t>
      </w:r>
    </w:p>
    <w:p w14:paraId="585D0F62" w14:textId="77777777" w:rsidR="0095529E" w:rsidRDefault="00DF5423" w:rsidP="0095529E">
      <w:pPr>
        <w:pStyle w:val="01squarebullet"/>
        <w:numPr>
          <w:ilvl w:val="0"/>
          <w:numId w:val="0"/>
        </w:numPr>
        <w:ind w:left="360" w:hanging="360"/>
        <w:rPr>
          <w:lang w:val="en-AU"/>
        </w:rPr>
      </w:pPr>
      <w:r>
        <w:rPr>
          <w:lang w:val="en-AU"/>
        </w:rPr>
        <w:t>The</w:t>
      </w:r>
      <w:r w:rsidR="0095529E">
        <w:rPr>
          <w:lang w:val="en-AU"/>
        </w:rPr>
        <w:t xml:space="preserve"> recommendation</w:t>
      </w:r>
      <w:r w:rsidR="00F175D8">
        <w:rPr>
          <w:lang w:val="en-AU"/>
        </w:rPr>
        <w:t>s focus</w:t>
      </w:r>
      <w:r w:rsidR="0095529E">
        <w:rPr>
          <w:lang w:val="en-AU"/>
        </w:rPr>
        <w:t xml:space="preserve"> on </w:t>
      </w:r>
      <w:r w:rsidR="00E63107">
        <w:rPr>
          <w:lang w:val="en-AU"/>
        </w:rPr>
        <w:t>ensuring appropriate use,</w:t>
      </w:r>
      <w:r w:rsidR="0095529E">
        <w:rPr>
          <w:lang w:val="en-AU"/>
        </w:rPr>
        <w:t xml:space="preserve"> and </w:t>
      </w:r>
      <w:r w:rsidR="00D25656">
        <w:rPr>
          <w:lang w:val="en-AU"/>
        </w:rPr>
        <w:t>are</w:t>
      </w:r>
      <w:r w:rsidR="0095529E">
        <w:rPr>
          <w:lang w:val="en-AU"/>
        </w:rPr>
        <w:t xml:space="preserve"> based on the following observations.</w:t>
      </w:r>
    </w:p>
    <w:p w14:paraId="0523F8B3" w14:textId="77777777" w:rsidR="006000B5" w:rsidRPr="00FC1976" w:rsidRDefault="005A0F99" w:rsidP="00E15A50">
      <w:pPr>
        <w:pStyle w:val="01squarebullet"/>
        <w:rPr>
          <w:lang w:val="en-AU"/>
        </w:rPr>
      </w:pPr>
      <w:r w:rsidRPr="00FC1976">
        <w:rPr>
          <w:lang w:val="en-AU"/>
        </w:rPr>
        <w:t xml:space="preserve">The Committee expressed concern that some providers are claiming consultation items, particularly </w:t>
      </w:r>
      <w:r w:rsidR="00AB3E90" w:rsidRPr="00FC1976">
        <w:rPr>
          <w:lang w:val="en-AU"/>
        </w:rPr>
        <w:t xml:space="preserve">item </w:t>
      </w:r>
      <w:r w:rsidRPr="00FC1976">
        <w:rPr>
          <w:lang w:val="en-AU"/>
        </w:rPr>
        <w:t xml:space="preserve">116, instead of dialysis supervision items such as </w:t>
      </w:r>
      <w:r w:rsidR="004931AA" w:rsidRPr="00FC1976">
        <w:rPr>
          <w:lang w:val="en-AU"/>
        </w:rPr>
        <w:t xml:space="preserve">item </w:t>
      </w:r>
      <w:r w:rsidRPr="00FC1976">
        <w:rPr>
          <w:lang w:val="en-AU"/>
        </w:rPr>
        <w:t xml:space="preserve">13103. </w:t>
      </w:r>
      <w:r w:rsidR="00375BAB" w:rsidRPr="00FC1976">
        <w:rPr>
          <w:lang w:val="en-AU"/>
        </w:rPr>
        <w:t>The Committee noted that a consultation is distinct from supervision of dialysis</w:t>
      </w:r>
      <w:r w:rsidR="00203CF8" w:rsidRPr="00FC1976">
        <w:rPr>
          <w:lang w:val="en-AU"/>
        </w:rPr>
        <w:t>.</w:t>
      </w:r>
      <w:r w:rsidR="00375BAB" w:rsidRPr="00FC1976">
        <w:rPr>
          <w:lang w:val="en-AU"/>
        </w:rPr>
        <w:t xml:space="preserve"> </w:t>
      </w:r>
      <w:r w:rsidR="00203CF8" w:rsidRPr="00FC1976">
        <w:rPr>
          <w:lang w:val="en-AU"/>
        </w:rPr>
        <w:t>For this reason,</w:t>
      </w:r>
      <w:r w:rsidR="00375BAB" w:rsidRPr="00FC1976">
        <w:rPr>
          <w:lang w:val="en-AU"/>
        </w:rPr>
        <w:t xml:space="preserve"> there is a dedicated item for supervision of dialysis, </w:t>
      </w:r>
      <w:r w:rsidR="00723F8E" w:rsidRPr="00FC1976">
        <w:rPr>
          <w:lang w:val="en-AU"/>
        </w:rPr>
        <w:t xml:space="preserve">which </w:t>
      </w:r>
      <w:r w:rsidR="00375BAB" w:rsidRPr="00FC1976">
        <w:rPr>
          <w:lang w:val="en-AU"/>
        </w:rPr>
        <w:t xml:space="preserve">should be claimed </w:t>
      </w:r>
      <w:r w:rsidR="00BB0F16" w:rsidRPr="00FC1976">
        <w:rPr>
          <w:lang w:val="en-AU"/>
        </w:rPr>
        <w:t xml:space="preserve">when </w:t>
      </w:r>
      <w:r w:rsidR="00375BAB" w:rsidRPr="00FC1976">
        <w:rPr>
          <w:lang w:val="en-AU"/>
        </w:rPr>
        <w:t xml:space="preserve">dialysis is being supervised. </w:t>
      </w:r>
      <w:r w:rsidR="009B69D1" w:rsidRPr="00FC1976">
        <w:rPr>
          <w:lang w:val="en-AU"/>
        </w:rPr>
        <w:t>The</w:t>
      </w:r>
      <w:r w:rsidRPr="00FC1976">
        <w:rPr>
          <w:lang w:val="en-AU"/>
        </w:rPr>
        <w:t xml:space="preserve"> Committee</w:t>
      </w:r>
      <w:r w:rsidR="009B69D1" w:rsidRPr="00FC1976">
        <w:rPr>
          <w:lang w:val="en-AU"/>
        </w:rPr>
        <w:t xml:space="preserve"> felt</w:t>
      </w:r>
      <w:r w:rsidRPr="00FC1976">
        <w:rPr>
          <w:lang w:val="en-AU"/>
        </w:rPr>
        <w:t xml:space="preserve"> that providers </w:t>
      </w:r>
      <w:r w:rsidR="00BE536A" w:rsidRPr="00FC1976">
        <w:rPr>
          <w:lang w:val="en-AU"/>
        </w:rPr>
        <w:t xml:space="preserve">were </w:t>
      </w:r>
      <w:r w:rsidRPr="00FC1976">
        <w:rPr>
          <w:lang w:val="en-AU"/>
        </w:rPr>
        <w:t xml:space="preserve">claiming consultation items because they are better remunerated. </w:t>
      </w:r>
      <w:r w:rsidR="00375BAB" w:rsidRPr="00FC1976">
        <w:rPr>
          <w:lang w:val="en-AU"/>
        </w:rPr>
        <w:t>Committee members also expressed concern</w:t>
      </w:r>
      <w:r w:rsidR="006000B5" w:rsidRPr="00FC1976">
        <w:rPr>
          <w:lang w:val="en-AU"/>
        </w:rPr>
        <w:t xml:space="preserve"> that providers who are claiming dialysis </w:t>
      </w:r>
      <w:r w:rsidR="00375BAB" w:rsidRPr="00FC1976">
        <w:rPr>
          <w:lang w:val="en-AU"/>
        </w:rPr>
        <w:t xml:space="preserve">as consultation items </w:t>
      </w:r>
      <w:r w:rsidR="004E118E" w:rsidRPr="00FC1976">
        <w:rPr>
          <w:lang w:val="en-AU"/>
        </w:rPr>
        <w:t>(</w:t>
      </w:r>
      <w:r w:rsidR="00375BAB" w:rsidRPr="00FC1976">
        <w:rPr>
          <w:lang w:val="en-AU"/>
        </w:rPr>
        <w:t>such as</w:t>
      </w:r>
      <w:r w:rsidR="004E118E" w:rsidRPr="00FC1976">
        <w:rPr>
          <w:lang w:val="en-AU"/>
        </w:rPr>
        <w:t xml:space="preserve"> item</w:t>
      </w:r>
      <w:r w:rsidR="006000B5" w:rsidRPr="00FC1976">
        <w:rPr>
          <w:lang w:val="en-AU"/>
        </w:rPr>
        <w:t xml:space="preserve"> 116</w:t>
      </w:r>
      <w:r w:rsidR="004E118E" w:rsidRPr="00FC1976">
        <w:rPr>
          <w:lang w:val="en-AU"/>
        </w:rPr>
        <w:t>)</w:t>
      </w:r>
      <w:r w:rsidR="006000B5" w:rsidRPr="00FC1976">
        <w:rPr>
          <w:lang w:val="en-AU"/>
        </w:rPr>
        <w:t xml:space="preserve"> may not be complying with</w:t>
      </w:r>
      <w:r w:rsidR="00375BAB" w:rsidRPr="00FC1976">
        <w:rPr>
          <w:lang w:val="en-AU"/>
        </w:rPr>
        <w:t xml:space="preserve"> the</w:t>
      </w:r>
      <w:r w:rsidR="006000B5" w:rsidRPr="00FC1976">
        <w:rPr>
          <w:lang w:val="en-AU"/>
        </w:rPr>
        <w:t xml:space="preserve"> requirements for </w:t>
      </w:r>
      <w:r w:rsidR="003C28DB" w:rsidRPr="00FC1976">
        <w:rPr>
          <w:lang w:val="en-AU"/>
        </w:rPr>
        <w:t xml:space="preserve">these items, </w:t>
      </w:r>
      <w:r w:rsidR="00375BAB" w:rsidRPr="00FC1976">
        <w:rPr>
          <w:lang w:val="en-AU"/>
        </w:rPr>
        <w:t xml:space="preserve">such as </w:t>
      </w:r>
      <w:r w:rsidR="006000B5" w:rsidRPr="00FC1976">
        <w:rPr>
          <w:lang w:val="en-AU"/>
        </w:rPr>
        <w:t xml:space="preserve">physical consultation and </w:t>
      </w:r>
      <w:r w:rsidR="00CB03CA" w:rsidRPr="00FC1976">
        <w:rPr>
          <w:lang w:val="en-AU"/>
        </w:rPr>
        <w:t>documentation of the consultation in the patient’s medical record</w:t>
      </w:r>
      <w:r w:rsidR="00375BAB" w:rsidRPr="00FC1976">
        <w:rPr>
          <w:lang w:val="en-AU"/>
        </w:rPr>
        <w:t>.</w:t>
      </w:r>
      <w:r w:rsidR="00325C88" w:rsidRPr="00FC1976">
        <w:rPr>
          <w:lang w:val="en-AU"/>
        </w:rPr>
        <w:t xml:space="preserve"> </w:t>
      </w:r>
      <w:r w:rsidR="00375BAB" w:rsidRPr="00FC1976">
        <w:rPr>
          <w:lang w:val="en-AU"/>
        </w:rPr>
        <w:t xml:space="preserve">It was noted that such claims </w:t>
      </w:r>
      <w:r w:rsidR="006000B5" w:rsidRPr="00FC1976">
        <w:rPr>
          <w:lang w:val="en-AU"/>
        </w:rPr>
        <w:t xml:space="preserve">limit transparency across </w:t>
      </w:r>
      <w:r w:rsidR="00375BAB" w:rsidRPr="00FC1976">
        <w:rPr>
          <w:lang w:val="en-AU"/>
        </w:rPr>
        <w:t xml:space="preserve">the </w:t>
      </w:r>
      <w:r w:rsidR="006000B5" w:rsidRPr="00FC1976">
        <w:rPr>
          <w:lang w:val="en-AU"/>
        </w:rPr>
        <w:t xml:space="preserve">MBS about </w:t>
      </w:r>
      <w:r w:rsidR="007566EB" w:rsidRPr="00FC1976">
        <w:rPr>
          <w:lang w:val="en-AU"/>
        </w:rPr>
        <w:t xml:space="preserve">the </w:t>
      </w:r>
      <w:r w:rsidR="00CB03CA" w:rsidRPr="00FC1976">
        <w:rPr>
          <w:lang w:val="en-AU"/>
        </w:rPr>
        <w:t xml:space="preserve">nature of </w:t>
      </w:r>
      <w:r w:rsidR="006000B5" w:rsidRPr="00FC1976">
        <w:rPr>
          <w:lang w:val="en-AU"/>
        </w:rPr>
        <w:t>services</w:t>
      </w:r>
      <w:r w:rsidR="007566EB" w:rsidRPr="00FC1976">
        <w:rPr>
          <w:lang w:val="en-AU"/>
        </w:rPr>
        <w:t xml:space="preserve"> that are</w:t>
      </w:r>
      <w:r w:rsidR="00AE5354" w:rsidRPr="00FC1976">
        <w:rPr>
          <w:lang w:val="en-AU"/>
        </w:rPr>
        <w:t xml:space="preserve"> being</w:t>
      </w:r>
      <w:r w:rsidR="006000B5" w:rsidRPr="00FC1976">
        <w:rPr>
          <w:lang w:val="en-AU"/>
        </w:rPr>
        <w:t xml:space="preserve"> provided, </w:t>
      </w:r>
      <w:r w:rsidR="00AE5354" w:rsidRPr="00FC1976">
        <w:rPr>
          <w:lang w:val="en-AU"/>
        </w:rPr>
        <w:t>and that it is not</w:t>
      </w:r>
      <w:r w:rsidR="006000B5" w:rsidRPr="00FC1976">
        <w:rPr>
          <w:lang w:val="en-AU"/>
        </w:rPr>
        <w:t xml:space="preserve"> possible to determine </w:t>
      </w:r>
      <w:r w:rsidR="00AE5354" w:rsidRPr="00FC1976">
        <w:rPr>
          <w:lang w:val="en-AU"/>
        </w:rPr>
        <w:t xml:space="preserve">the </w:t>
      </w:r>
      <w:r w:rsidR="006000B5" w:rsidRPr="00FC1976">
        <w:rPr>
          <w:lang w:val="en-AU"/>
        </w:rPr>
        <w:t>actual number of</w:t>
      </w:r>
      <w:r w:rsidR="00AE5354" w:rsidRPr="00FC1976">
        <w:rPr>
          <w:lang w:val="en-AU"/>
        </w:rPr>
        <w:t xml:space="preserve"> dialysis</w:t>
      </w:r>
      <w:r w:rsidR="006000B5" w:rsidRPr="00FC1976">
        <w:rPr>
          <w:lang w:val="en-AU"/>
        </w:rPr>
        <w:t xml:space="preserve"> services provided across </w:t>
      </w:r>
      <w:r w:rsidR="00AE5354" w:rsidRPr="00FC1976">
        <w:rPr>
          <w:lang w:val="en-AU"/>
        </w:rPr>
        <w:t xml:space="preserve">the </w:t>
      </w:r>
      <w:r w:rsidR="006000B5" w:rsidRPr="00FC1976">
        <w:rPr>
          <w:lang w:val="en-AU"/>
        </w:rPr>
        <w:t xml:space="preserve">MBS when </w:t>
      </w:r>
      <w:r w:rsidR="00AE5354" w:rsidRPr="00FC1976">
        <w:rPr>
          <w:lang w:val="en-AU"/>
        </w:rPr>
        <w:t xml:space="preserve">a </w:t>
      </w:r>
      <w:r w:rsidR="006000B5" w:rsidRPr="00FC1976">
        <w:rPr>
          <w:lang w:val="en-AU"/>
        </w:rPr>
        <w:t xml:space="preserve">portion </w:t>
      </w:r>
      <w:r w:rsidR="00AE5354" w:rsidRPr="00FC1976">
        <w:rPr>
          <w:lang w:val="en-AU"/>
        </w:rPr>
        <w:t xml:space="preserve">are </w:t>
      </w:r>
      <w:r w:rsidR="006000B5" w:rsidRPr="00FC1976">
        <w:rPr>
          <w:lang w:val="en-AU"/>
        </w:rPr>
        <w:t>being claimed as miscellaneous items</w:t>
      </w:r>
      <w:r w:rsidR="00F1747C" w:rsidRPr="00FC1976">
        <w:rPr>
          <w:lang w:val="en-AU"/>
        </w:rPr>
        <w:t>.</w:t>
      </w:r>
    </w:p>
    <w:p w14:paraId="50089330" w14:textId="77777777" w:rsidR="005A706C" w:rsidRPr="00FC1976" w:rsidRDefault="001855FC" w:rsidP="00E15A50">
      <w:pPr>
        <w:pStyle w:val="01squarebullet"/>
        <w:rPr>
          <w:lang w:val="en-AU"/>
        </w:rPr>
      </w:pPr>
      <w:r w:rsidRPr="00FC1976">
        <w:rPr>
          <w:lang w:val="en-AU"/>
        </w:rPr>
        <w:t>The Committee a</w:t>
      </w:r>
      <w:r w:rsidR="00CE12AC" w:rsidRPr="00FC1976">
        <w:rPr>
          <w:lang w:val="en-AU"/>
        </w:rPr>
        <w:t xml:space="preserve">greed that </w:t>
      </w:r>
      <w:r w:rsidR="00045C6A">
        <w:rPr>
          <w:lang w:val="en-AU"/>
        </w:rPr>
        <w:t>although</w:t>
      </w:r>
      <w:r w:rsidR="00045C6A" w:rsidRPr="00FC1976">
        <w:rPr>
          <w:lang w:val="en-AU"/>
        </w:rPr>
        <w:t xml:space="preserve"> </w:t>
      </w:r>
      <w:r w:rsidR="006678A0" w:rsidRPr="00FC1976">
        <w:rPr>
          <w:lang w:val="en-AU"/>
        </w:rPr>
        <w:t xml:space="preserve">an </w:t>
      </w:r>
      <w:r w:rsidR="00CE12AC" w:rsidRPr="00FC1976">
        <w:rPr>
          <w:lang w:val="en-AU"/>
        </w:rPr>
        <w:t>acute</w:t>
      </w:r>
      <w:r w:rsidR="00BC5A5B" w:rsidRPr="00FC1976">
        <w:rPr>
          <w:lang w:val="en-AU"/>
        </w:rPr>
        <w:t>ly unwell</w:t>
      </w:r>
      <w:r w:rsidR="00CE12AC" w:rsidRPr="00FC1976">
        <w:rPr>
          <w:lang w:val="en-AU"/>
        </w:rPr>
        <w:t xml:space="preserve"> </w:t>
      </w:r>
      <w:r w:rsidR="00DF509C" w:rsidRPr="00FC1976">
        <w:rPr>
          <w:lang w:val="en-AU"/>
        </w:rPr>
        <w:t xml:space="preserve">dialysis </w:t>
      </w:r>
      <w:r w:rsidR="00CE12AC" w:rsidRPr="00FC1976">
        <w:rPr>
          <w:lang w:val="en-AU"/>
        </w:rPr>
        <w:t xml:space="preserve">patient may need frequent 116 reviews, a stable patient would generally require </w:t>
      </w:r>
      <w:r w:rsidR="00635D9A" w:rsidRPr="00FC1976">
        <w:rPr>
          <w:lang w:val="en-AU"/>
        </w:rPr>
        <w:t xml:space="preserve">a 116 review </w:t>
      </w:r>
      <w:r w:rsidR="00CE12AC" w:rsidRPr="00FC1976">
        <w:rPr>
          <w:lang w:val="en-AU"/>
        </w:rPr>
        <w:t>every</w:t>
      </w:r>
      <w:r w:rsidR="00397D9D">
        <w:rPr>
          <w:lang w:val="en-AU"/>
        </w:rPr>
        <w:t xml:space="preserve"> one to three</w:t>
      </w:r>
      <w:r w:rsidR="00F54DFC" w:rsidRPr="00FC1976">
        <w:rPr>
          <w:lang w:val="en-AU"/>
        </w:rPr>
        <w:t xml:space="preserve"> months</w:t>
      </w:r>
      <w:r w:rsidR="00F1747C" w:rsidRPr="00FC1976">
        <w:rPr>
          <w:lang w:val="en-AU"/>
        </w:rPr>
        <w:t>.</w:t>
      </w:r>
      <w:r w:rsidR="00BC5A5B" w:rsidRPr="00FC1976">
        <w:rPr>
          <w:lang w:val="en-AU"/>
        </w:rPr>
        <w:t xml:space="preserve"> </w:t>
      </w:r>
      <w:r w:rsidR="00855E41" w:rsidRPr="00FC1976">
        <w:rPr>
          <w:lang w:val="en-AU"/>
        </w:rPr>
        <w:t>C</w:t>
      </w:r>
      <w:r w:rsidR="00BC5A5B" w:rsidRPr="00FC1976">
        <w:rPr>
          <w:lang w:val="en-AU"/>
        </w:rPr>
        <w:t xml:space="preserve">onsistently higher </w:t>
      </w:r>
      <w:r w:rsidR="008940A6">
        <w:rPr>
          <w:lang w:val="en-AU"/>
        </w:rPr>
        <w:t xml:space="preserve">claiming </w:t>
      </w:r>
      <w:r w:rsidR="00BC5A5B" w:rsidRPr="00FC1976">
        <w:rPr>
          <w:lang w:val="en-AU"/>
        </w:rPr>
        <w:t xml:space="preserve">rates </w:t>
      </w:r>
      <w:r w:rsidR="00855E41" w:rsidRPr="00FC1976">
        <w:rPr>
          <w:lang w:val="en-AU"/>
        </w:rPr>
        <w:t>may indicate misuse of the items</w:t>
      </w:r>
      <w:r w:rsidR="00BC5A5B" w:rsidRPr="00FC1976">
        <w:rPr>
          <w:lang w:val="en-AU"/>
        </w:rPr>
        <w:t xml:space="preserve">. </w:t>
      </w:r>
      <w:r w:rsidR="00E2161B" w:rsidRPr="00FC1976">
        <w:rPr>
          <w:lang w:val="en-AU"/>
        </w:rPr>
        <w:t xml:space="preserve">Should the proposed </w:t>
      </w:r>
      <w:r w:rsidR="00E06501">
        <w:rPr>
          <w:lang w:val="en-AU"/>
        </w:rPr>
        <w:t>consolidated weekly</w:t>
      </w:r>
      <w:r w:rsidR="00E2161B" w:rsidRPr="00FC1976">
        <w:rPr>
          <w:lang w:val="en-AU"/>
        </w:rPr>
        <w:t xml:space="preserve"> payment </w:t>
      </w:r>
      <w:r w:rsidR="00E06501">
        <w:rPr>
          <w:lang w:val="en-AU"/>
        </w:rPr>
        <w:t xml:space="preserve">model </w:t>
      </w:r>
      <w:r w:rsidR="00E2161B" w:rsidRPr="00FC1976">
        <w:rPr>
          <w:lang w:val="en-AU"/>
        </w:rPr>
        <w:t>(</w:t>
      </w:r>
      <w:r w:rsidR="00BE09D6">
        <w:rPr>
          <w:lang w:val="en-AU"/>
        </w:rPr>
        <w:t xml:space="preserve">item </w:t>
      </w:r>
      <w:r w:rsidR="00E2161B" w:rsidRPr="00FC1976">
        <w:rPr>
          <w:lang w:val="en-AU"/>
        </w:rPr>
        <w:t xml:space="preserve">1310X) be implemented, this would include all routine reviews, including in consulting suites, and the creation of associated letters. However, </w:t>
      </w:r>
      <w:r w:rsidR="00C143BE">
        <w:rPr>
          <w:lang w:val="en-AU"/>
        </w:rPr>
        <w:t>if</w:t>
      </w:r>
      <w:r w:rsidR="00C143BE" w:rsidRPr="00FC1976">
        <w:rPr>
          <w:lang w:val="en-AU"/>
        </w:rPr>
        <w:t xml:space="preserve"> </w:t>
      </w:r>
      <w:r w:rsidR="00E2161B" w:rsidRPr="00FC1976">
        <w:rPr>
          <w:lang w:val="en-AU"/>
        </w:rPr>
        <w:t xml:space="preserve">a patient is acutely unwell and admitted to hospital, it is reasonable </w:t>
      </w:r>
      <w:r w:rsidR="00B12687">
        <w:rPr>
          <w:lang w:val="en-AU"/>
        </w:rPr>
        <w:t>not to claim the</w:t>
      </w:r>
      <w:r w:rsidR="00E2161B" w:rsidRPr="00FC1976">
        <w:rPr>
          <w:lang w:val="en-AU"/>
        </w:rPr>
        <w:t xml:space="preserve"> </w:t>
      </w:r>
      <w:r w:rsidR="00F72CE1">
        <w:rPr>
          <w:lang w:val="en-AU"/>
        </w:rPr>
        <w:t>consolidated dialysis supervision item</w:t>
      </w:r>
      <w:r w:rsidR="00D27EAA">
        <w:rPr>
          <w:lang w:val="en-AU"/>
        </w:rPr>
        <w:t>,</w:t>
      </w:r>
      <w:r w:rsidR="00E2161B" w:rsidRPr="00FC1976">
        <w:rPr>
          <w:lang w:val="en-AU"/>
        </w:rPr>
        <w:t xml:space="preserve"> and</w:t>
      </w:r>
      <w:r w:rsidR="00FF5BC9">
        <w:rPr>
          <w:lang w:val="en-AU"/>
        </w:rPr>
        <w:t xml:space="preserve"> for provider(s) involved in the acute care episode</w:t>
      </w:r>
      <w:r w:rsidR="00D27EAA">
        <w:rPr>
          <w:lang w:val="en-AU"/>
        </w:rPr>
        <w:t xml:space="preserve"> to claim</w:t>
      </w:r>
      <w:r w:rsidR="00E2161B" w:rsidRPr="00FC1976">
        <w:rPr>
          <w:lang w:val="en-AU"/>
        </w:rPr>
        <w:t xml:space="preserve"> </w:t>
      </w:r>
      <w:r w:rsidR="00F72CE1">
        <w:rPr>
          <w:lang w:val="en-AU"/>
        </w:rPr>
        <w:t>the appropriate</w:t>
      </w:r>
      <w:r w:rsidR="00E2161B" w:rsidRPr="00FC1976">
        <w:rPr>
          <w:lang w:val="en-AU"/>
        </w:rPr>
        <w:t xml:space="preserve"> professional attendance items</w:t>
      </w:r>
      <w:r w:rsidR="008060D3" w:rsidRPr="00FC1976">
        <w:rPr>
          <w:lang w:val="en-AU"/>
        </w:rPr>
        <w:t xml:space="preserve">. </w:t>
      </w:r>
    </w:p>
    <w:p w14:paraId="7403800F" w14:textId="5AA43C27" w:rsidR="00181F0F" w:rsidRPr="00FC1976" w:rsidRDefault="00181F0F" w:rsidP="005076E4">
      <w:pPr>
        <w:pStyle w:val="Heading2"/>
        <w:rPr>
          <w:lang w:val="en-AU"/>
        </w:rPr>
      </w:pPr>
      <w:bookmarkStart w:id="152" w:name="_Toc459996824"/>
      <w:bookmarkStart w:id="153" w:name="_Toc458167014"/>
      <w:bookmarkStart w:id="154" w:name="_Toc467668967"/>
      <w:bookmarkStart w:id="155" w:name="_Toc455435951"/>
      <w:bookmarkStart w:id="156" w:name="_Toc456045453"/>
      <w:bookmarkEnd w:id="139"/>
      <w:bookmarkEnd w:id="140"/>
      <w:r w:rsidRPr="00FC1976">
        <w:rPr>
          <w:lang w:val="en-AU"/>
        </w:rPr>
        <w:t xml:space="preserve">Recommendations to </w:t>
      </w:r>
      <w:r w:rsidR="004022CD" w:rsidRPr="00FC1976">
        <w:rPr>
          <w:lang w:val="en-AU"/>
        </w:rPr>
        <w:t xml:space="preserve">the </w:t>
      </w:r>
      <w:r w:rsidRPr="00FC1976">
        <w:rPr>
          <w:lang w:val="en-AU"/>
        </w:rPr>
        <w:t xml:space="preserve">Nurse Practitioner </w:t>
      </w:r>
      <w:r w:rsidR="002F1747" w:rsidRPr="00FC1976">
        <w:rPr>
          <w:lang w:val="en-AU"/>
        </w:rPr>
        <w:t xml:space="preserve">and </w:t>
      </w:r>
      <w:r w:rsidR="00621980">
        <w:rPr>
          <w:lang w:val="en-AU"/>
        </w:rPr>
        <w:t xml:space="preserve">Participating </w:t>
      </w:r>
      <w:r w:rsidR="002F1747" w:rsidRPr="00FC1976">
        <w:rPr>
          <w:lang w:val="en-AU"/>
        </w:rPr>
        <w:t xml:space="preserve">Midwife Clinical </w:t>
      </w:r>
      <w:r w:rsidRPr="00FC1976">
        <w:rPr>
          <w:lang w:val="en-AU"/>
        </w:rPr>
        <w:t>Committee</w:t>
      </w:r>
      <w:bookmarkEnd w:id="152"/>
      <w:bookmarkEnd w:id="153"/>
      <w:bookmarkEnd w:id="154"/>
      <w:r w:rsidRPr="00FC1976">
        <w:rPr>
          <w:lang w:val="en-AU"/>
        </w:rPr>
        <w:t xml:space="preserve"> </w:t>
      </w:r>
    </w:p>
    <w:p w14:paraId="4554C7AB" w14:textId="77777777" w:rsidR="001E35DC" w:rsidRPr="00802112" w:rsidRDefault="001E35DC" w:rsidP="00EE7BD8">
      <w:pPr>
        <w:pStyle w:val="H3"/>
      </w:pPr>
      <w:r w:rsidRPr="00802112">
        <w:t>Recommendation</w:t>
      </w:r>
      <w:r w:rsidR="0038151C">
        <w:t>s</w:t>
      </w:r>
    </w:p>
    <w:p w14:paraId="607CCDA6" w14:textId="77777777" w:rsidR="003D6171" w:rsidRPr="00802112" w:rsidRDefault="00E72067" w:rsidP="00E15A50">
      <w:pPr>
        <w:pStyle w:val="01squarebullet"/>
        <w:rPr>
          <w:sz w:val="24"/>
          <w:lang w:val="en-AU"/>
        </w:rPr>
      </w:pPr>
      <w:r w:rsidRPr="00802112">
        <w:rPr>
          <w:lang w:val="en-AU"/>
        </w:rPr>
        <w:t>Consider</w:t>
      </w:r>
      <w:r w:rsidR="001E35DC" w:rsidRPr="00802112">
        <w:rPr>
          <w:lang w:val="en-AU"/>
        </w:rPr>
        <w:t xml:space="preserve"> </w:t>
      </w:r>
      <w:r w:rsidR="00FF2AB0" w:rsidRPr="00802112">
        <w:rPr>
          <w:lang w:val="en-AU"/>
        </w:rPr>
        <w:t xml:space="preserve">increasing </w:t>
      </w:r>
      <w:r w:rsidR="00E4692F" w:rsidRPr="00802112">
        <w:rPr>
          <w:lang w:val="en-AU"/>
        </w:rPr>
        <w:t xml:space="preserve">access to </w:t>
      </w:r>
      <w:r w:rsidR="00017D59" w:rsidRPr="00802112">
        <w:rPr>
          <w:lang w:val="en-AU"/>
        </w:rPr>
        <w:t xml:space="preserve">existing items </w:t>
      </w:r>
      <w:r w:rsidR="00131466">
        <w:rPr>
          <w:lang w:val="en-AU"/>
        </w:rPr>
        <w:t xml:space="preserve">or </w:t>
      </w:r>
      <w:r w:rsidR="003166B4">
        <w:rPr>
          <w:lang w:val="en-AU"/>
        </w:rPr>
        <w:t>creating</w:t>
      </w:r>
      <w:r w:rsidR="00FF2AB0" w:rsidRPr="00802112">
        <w:rPr>
          <w:lang w:val="en-AU"/>
        </w:rPr>
        <w:t xml:space="preserve"> appropriate items for these services to reflect the scope of services provided by </w:t>
      </w:r>
      <w:r w:rsidR="00CC4FF8" w:rsidRPr="00802112">
        <w:rPr>
          <w:lang w:val="en-AU"/>
        </w:rPr>
        <w:t xml:space="preserve">nephrology </w:t>
      </w:r>
      <w:r w:rsidR="008D27AB">
        <w:rPr>
          <w:lang w:val="en-AU"/>
        </w:rPr>
        <w:t xml:space="preserve">nurse practitioners </w:t>
      </w:r>
      <w:r w:rsidR="00CC4FF8" w:rsidRPr="00802112">
        <w:rPr>
          <w:lang w:val="en-AU"/>
        </w:rPr>
        <w:t xml:space="preserve">and chronic disease </w:t>
      </w:r>
      <w:r w:rsidR="00FF2AB0" w:rsidRPr="00802112">
        <w:rPr>
          <w:lang w:val="en-AU"/>
        </w:rPr>
        <w:t>nurse practitioners</w:t>
      </w:r>
      <w:r w:rsidR="008D27AB">
        <w:rPr>
          <w:lang w:val="en-AU"/>
        </w:rPr>
        <w:t xml:space="preserve"> providing care for patients with kidney disease</w:t>
      </w:r>
      <w:r w:rsidR="00E4692F" w:rsidRPr="00802112">
        <w:rPr>
          <w:lang w:val="en-AU"/>
        </w:rPr>
        <w:t xml:space="preserve">. </w:t>
      </w:r>
      <w:r w:rsidR="00874E01" w:rsidRPr="00802112">
        <w:rPr>
          <w:lang w:val="en-AU"/>
        </w:rPr>
        <w:t xml:space="preserve">Services </w:t>
      </w:r>
      <w:r w:rsidR="00B67267">
        <w:rPr>
          <w:lang w:val="en-AU"/>
        </w:rPr>
        <w:t>that</w:t>
      </w:r>
      <w:r w:rsidR="00B67267" w:rsidRPr="00802112">
        <w:rPr>
          <w:lang w:val="en-AU"/>
        </w:rPr>
        <w:t xml:space="preserve"> </w:t>
      </w:r>
      <w:r w:rsidR="00874E01" w:rsidRPr="00802112">
        <w:rPr>
          <w:lang w:val="en-AU"/>
        </w:rPr>
        <w:t xml:space="preserve">are currently provided by </w:t>
      </w:r>
      <w:r w:rsidR="00CC4FF8" w:rsidRPr="00802112">
        <w:rPr>
          <w:lang w:val="en-AU"/>
        </w:rPr>
        <w:t xml:space="preserve">nephrology </w:t>
      </w:r>
      <w:r w:rsidR="00874E01" w:rsidRPr="00802112">
        <w:rPr>
          <w:lang w:val="en-AU"/>
        </w:rPr>
        <w:t>nurse practitioners</w:t>
      </w:r>
      <w:r w:rsidR="003E5288">
        <w:rPr>
          <w:lang w:val="en-AU"/>
        </w:rPr>
        <w:t>—</w:t>
      </w:r>
      <w:r w:rsidR="00874E01" w:rsidRPr="00802112">
        <w:rPr>
          <w:lang w:val="en-AU"/>
        </w:rPr>
        <w:t>particularly in rural and remote areas</w:t>
      </w:r>
      <w:r w:rsidR="00CC4FF8" w:rsidRPr="00802112">
        <w:rPr>
          <w:lang w:val="en-AU"/>
        </w:rPr>
        <w:t xml:space="preserve"> and with Aboriginal Medical Services</w:t>
      </w:r>
      <w:r w:rsidR="003A500A" w:rsidRPr="00802112">
        <w:rPr>
          <w:lang w:val="en-AU"/>
        </w:rPr>
        <w:t xml:space="preserve"> (AMS)</w:t>
      </w:r>
      <w:r w:rsidR="003E5288">
        <w:rPr>
          <w:lang w:val="en-AU"/>
        </w:rPr>
        <w:t>—</w:t>
      </w:r>
      <w:r w:rsidR="00874E01" w:rsidRPr="00802112">
        <w:rPr>
          <w:lang w:val="en-AU"/>
        </w:rPr>
        <w:t xml:space="preserve">include </w:t>
      </w:r>
      <w:r w:rsidR="00C36A9E" w:rsidRPr="00802112">
        <w:rPr>
          <w:lang w:val="en-AU"/>
        </w:rPr>
        <w:t>procedures, referrals</w:t>
      </w:r>
      <w:r w:rsidR="003B43BC" w:rsidRPr="00802112">
        <w:rPr>
          <w:lang w:val="en-AU"/>
        </w:rPr>
        <w:t>,</w:t>
      </w:r>
      <w:r w:rsidR="00C36A9E" w:rsidRPr="00802112">
        <w:rPr>
          <w:lang w:val="en-AU"/>
        </w:rPr>
        <w:t xml:space="preserve"> and </w:t>
      </w:r>
      <w:r w:rsidR="00017D59" w:rsidRPr="00802112">
        <w:rPr>
          <w:lang w:val="en-AU"/>
        </w:rPr>
        <w:t xml:space="preserve">contributions to </w:t>
      </w:r>
      <w:r w:rsidR="00874E01" w:rsidRPr="00802112">
        <w:rPr>
          <w:lang w:val="en-AU"/>
        </w:rPr>
        <w:t>health assessments</w:t>
      </w:r>
      <w:r w:rsidR="00017D59" w:rsidRPr="00802112">
        <w:rPr>
          <w:lang w:val="en-AU"/>
        </w:rPr>
        <w:t xml:space="preserve"> and</w:t>
      </w:r>
      <w:r w:rsidR="00874E01" w:rsidRPr="00802112">
        <w:rPr>
          <w:lang w:val="en-AU"/>
        </w:rPr>
        <w:t xml:space="preserve"> management plans</w:t>
      </w:r>
      <w:r w:rsidR="003D6171" w:rsidRPr="00802112">
        <w:rPr>
          <w:lang w:val="en-AU"/>
        </w:rPr>
        <w:t xml:space="preserve">. </w:t>
      </w:r>
    </w:p>
    <w:p w14:paraId="2EEA540A" w14:textId="77777777" w:rsidR="00F95A51" w:rsidRPr="00802112" w:rsidRDefault="00F95A51" w:rsidP="00E15A50">
      <w:pPr>
        <w:pStyle w:val="01squarebullet"/>
        <w:rPr>
          <w:lang w:val="en-AU"/>
        </w:rPr>
      </w:pPr>
      <w:r w:rsidRPr="00802112">
        <w:rPr>
          <w:lang w:val="en-AU"/>
        </w:rPr>
        <w:t xml:space="preserve">Consider </w:t>
      </w:r>
      <w:r w:rsidR="00C36A9E" w:rsidRPr="00802112">
        <w:rPr>
          <w:lang w:val="en-AU"/>
        </w:rPr>
        <w:t xml:space="preserve">what </w:t>
      </w:r>
      <w:r w:rsidRPr="00802112">
        <w:rPr>
          <w:lang w:val="en-AU"/>
        </w:rPr>
        <w:t xml:space="preserve">steps </w:t>
      </w:r>
      <w:r w:rsidR="00C36A9E" w:rsidRPr="00802112">
        <w:rPr>
          <w:lang w:val="en-AU"/>
        </w:rPr>
        <w:t xml:space="preserve">could </w:t>
      </w:r>
      <w:r w:rsidRPr="00802112">
        <w:rPr>
          <w:lang w:val="en-AU"/>
        </w:rPr>
        <w:t xml:space="preserve">be taken to ensure that the extent and nature of </w:t>
      </w:r>
      <w:r w:rsidR="00391EAA">
        <w:rPr>
          <w:lang w:val="en-AU"/>
        </w:rPr>
        <w:t xml:space="preserve">the </w:t>
      </w:r>
      <w:r w:rsidRPr="00802112">
        <w:rPr>
          <w:lang w:val="en-AU"/>
        </w:rPr>
        <w:t xml:space="preserve">work performed </w:t>
      </w:r>
      <w:r w:rsidR="003A500A" w:rsidRPr="00802112">
        <w:rPr>
          <w:lang w:val="en-AU"/>
        </w:rPr>
        <w:t xml:space="preserve">by </w:t>
      </w:r>
      <w:r w:rsidR="00C36A9E" w:rsidRPr="00802112">
        <w:rPr>
          <w:lang w:val="en-AU"/>
        </w:rPr>
        <w:t xml:space="preserve">nurse practitioners </w:t>
      </w:r>
      <w:r w:rsidRPr="00802112">
        <w:rPr>
          <w:lang w:val="en-AU"/>
        </w:rPr>
        <w:t>is captured by the MBS. This could be achieved through various mechanisms, some of which are described below</w:t>
      </w:r>
      <w:r w:rsidR="006F14C6">
        <w:rPr>
          <w:lang w:val="en-AU"/>
        </w:rPr>
        <w:t>. T</w:t>
      </w:r>
      <w:r w:rsidRPr="00802112">
        <w:rPr>
          <w:lang w:val="en-AU"/>
        </w:rPr>
        <w:t>he Committee acknowledges that this is a complex policy space</w:t>
      </w:r>
      <w:r w:rsidR="009A49E6">
        <w:rPr>
          <w:lang w:val="en-AU"/>
        </w:rPr>
        <w:t xml:space="preserve"> that</w:t>
      </w:r>
      <w:r w:rsidR="00C36A9E" w:rsidRPr="00802112">
        <w:rPr>
          <w:lang w:val="en-AU"/>
        </w:rPr>
        <w:t xml:space="preserve"> warrants detailed discussion</w:t>
      </w:r>
      <w:r w:rsidRPr="00802112">
        <w:rPr>
          <w:lang w:val="en-AU"/>
        </w:rPr>
        <w:t>.</w:t>
      </w:r>
    </w:p>
    <w:p w14:paraId="6EA6CB56" w14:textId="77777777" w:rsidR="00F95A51" w:rsidRPr="00802112" w:rsidRDefault="00F95A51" w:rsidP="00E15A50">
      <w:pPr>
        <w:pStyle w:val="01squarebullet"/>
        <w:rPr>
          <w:lang w:val="en-AU"/>
        </w:rPr>
      </w:pPr>
      <w:r w:rsidRPr="00802112">
        <w:rPr>
          <w:lang w:val="en-AU"/>
        </w:rPr>
        <w:t xml:space="preserve">Consider </w:t>
      </w:r>
      <w:r w:rsidR="00C90389">
        <w:rPr>
          <w:lang w:val="en-AU"/>
        </w:rPr>
        <w:t>creating</w:t>
      </w:r>
      <w:r w:rsidRPr="00802112">
        <w:rPr>
          <w:lang w:val="en-AU"/>
        </w:rPr>
        <w:t xml:space="preserve"> </w:t>
      </w:r>
      <w:r w:rsidR="0020761E" w:rsidRPr="00802112">
        <w:rPr>
          <w:lang w:val="en-AU"/>
        </w:rPr>
        <w:t xml:space="preserve">a nurse practitioner attendance </w:t>
      </w:r>
      <w:r w:rsidRPr="00802112">
        <w:rPr>
          <w:lang w:val="en-AU"/>
        </w:rPr>
        <w:t>item for longer consultations, such as those required for complex patients with end</w:t>
      </w:r>
      <w:r w:rsidR="003A500A" w:rsidRPr="00802112">
        <w:rPr>
          <w:lang w:val="en-AU"/>
        </w:rPr>
        <w:t>-</w:t>
      </w:r>
      <w:r w:rsidRPr="00802112">
        <w:rPr>
          <w:lang w:val="en-AU"/>
        </w:rPr>
        <w:t>stage kidney disease.</w:t>
      </w:r>
    </w:p>
    <w:p w14:paraId="0FD39BEE" w14:textId="77777777" w:rsidR="001E35DC" w:rsidRPr="00802112" w:rsidRDefault="003D6171" w:rsidP="00EE7BD8">
      <w:pPr>
        <w:pStyle w:val="H3"/>
      </w:pPr>
      <w:r w:rsidRPr="00802112">
        <w:t>Rationale</w:t>
      </w:r>
    </w:p>
    <w:p w14:paraId="4411AC56" w14:textId="77777777" w:rsidR="00167C2E" w:rsidRDefault="00167C2E" w:rsidP="003E3189">
      <w:pPr>
        <w:pStyle w:val="01squarebullet"/>
        <w:numPr>
          <w:ilvl w:val="0"/>
          <w:numId w:val="0"/>
        </w:numPr>
        <w:spacing w:before="200"/>
        <w:ind w:left="357" w:hanging="357"/>
        <w:rPr>
          <w:rStyle w:val="IntenseReference"/>
          <w:b w:val="0"/>
          <w:i w:val="0"/>
          <w:smallCaps w:val="0"/>
          <w:color w:val="auto"/>
          <w:spacing w:val="0"/>
          <w:lang w:val="en-AU"/>
        </w:rPr>
      </w:pPr>
      <w:r>
        <w:rPr>
          <w:rStyle w:val="IntenseReference"/>
          <w:b w:val="0"/>
          <w:i w:val="0"/>
          <w:smallCaps w:val="0"/>
          <w:color w:val="auto"/>
          <w:spacing w:val="0"/>
          <w:lang w:val="en-AU"/>
        </w:rPr>
        <w:t>The recommendations focus on</w:t>
      </w:r>
      <w:r w:rsidR="00E63107">
        <w:rPr>
          <w:rStyle w:val="IntenseReference"/>
          <w:b w:val="0"/>
          <w:i w:val="0"/>
          <w:smallCaps w:val="0"/>
          <w:color w:val="auto"/>
          <w:spacing w:val="0"/>
          <w:lang w:val="en-AU"/>
        </w:rPr>
        <w:t xml:space="preserve"> improving access to care</w:t>
      </w:r>
      <w:r>
        <w:rPr>
          <w:rStyle w:val="IntenseReference"/>
          <w:b w:val="0"/>
          <w:i w:val="0"/>
          <w:smallCaps w:val="0"/>
          <w:color w:val="auto"/>
          <w:spacing w:val="0"/>
          <w:lang w:val="en-AU"/>
        </w:rPr>
        <w:t xml:space="preserve"> and are based on the following observations.</w:t>
      </w:r>
    </w:p>
    <w:p w14:paraId="750D45E4" w14:textId="77777777" w:rsidR="003B43BC" w:rsidRPr="00802112" w:rsidRDefault="001E35DC" w:rsidP="000B44A0">
      <w:pPr>
        <w:pStyle w:val="01squarebullet"/>
        <w:rPr>
          <w:rStyle w:val="IntenseReference"/>
          <w:b w:val="0"/>
          <w:i w:val="0"/>
          <w:smallCaps w:val="0"/>
          <w:color w:val="auto"/>
          <w:spacing w:val="0"/>
          <w:lang w:val="en-AU"/>
        </w:rPr>
      </w:pPr>
      <w:r w:rsidRPr="00802112">
        <w:rPr>
          <w:rStyle w:val="IntenseReference"/>
          <w:b w:val="0"/>
          <w:i w:val="0"/>
          <w:smallCaps w:val="0"/>
          <w:color w:val="auto"/>
          <w:spacing w:val="0"/>
          <w:lang w:val="en-AU"/>
        </w:rPr>
        <w:t xml:space="preserve">The Committee </w:t>
      </w:r>
      <w:r w:rsidR="003A500A" w:rsidRPr="00802112">
        <w:rPr>
          <w:rStyle w:val="IntenseReference"/>
          <w:b w:val="0"/>
          <w:i w:val="0"/>
          <w:smallCaps w:val="0"/>
          <w:color w:val="auto"/>
          <w:spacing w:val="0"/>
          <w:lang w:val="en-AU"/>
        </w:rPr>
        <w:t>n</w:t>
      </w:r>
      <w:r w:rsidR="003B43BC" w:rsidRPr="00802112">
        <w:rPr>
          <w:rStyle w:val="IntenseReference"/>
          <w:b w:val="0"/>
          <w:i w:val="0"/>
          <w:smallCaps w:val="0"/>
          <w:color w:val="auto"/>
          <w:spacing w:val="0"/>
          <w:lang w:val="en-AU"/>
        </w:rPr>
        <w:t xml:space="preserve">oted that nurse practitioners </w:t>
      </w:r>
      <w:r w:rsidR="00312CA7" w:rsidRPr="00802112">
        <w:rPr>
          <w:rStyle w:val="IntenseReference"/>
          <w:b w:val="0"/>
          <w:i w:val="0"/>
          <w:smallCaps w:val="0"/>
          <w:color w:val="auto"/>
          <w:spacing w:val="0"/>
          <w:lang w:val="en-AU"/>
        </w:rPr>
        <w:t>play</w:t>
      </w:r>
      <w:r w:rsidR="003B43BC" w:rsidRPr="00802112">
        <w:rPr>
          <w:rStyle w:val="IntenseReference"/>
          <w:b w:val="0"/>
          <w:i w:val="0"/>
          <w:smallCaps w:val="0"/>
          <w:color w:val="auto"/>
          <w:spacing w:val="0"/>
          <w:lang w:val="en-AU"/>
        </w:rPr>
        <w:t xml:space="preserve"> an important role in the provision of care for patient</w:t>
      </w:r>
      <w:r w:rsidR="00336386">
        <w:rPr>
          <w:rStyle w:val="IntenseReference"/>
          <w:b w:val="0"/>
          <w:i w:val="0"/>
          <w:smallCaps w:val="0"/>
          <w:color w:val="auto"/>
          <w:spacing w:val="0"/>
          <w:lang w:val="en-AU"/>
        </w:rPr>
        <w:t>s</w:t>
      </w:r>
      <w:r w:rsidR="003B43BC" w:rsidRPr="00802112">
        <w:rPr>
          <w:rStyle w:val="IntenseReference"/>
          <w:b w:val="0"/>
          <w:i w:val="0"/>
          <w:smallCaps w:val="0"/>
          <w:color w:val="auto"/>
          <w:spacing w:val="0"/>
          <w:lang w:val="en-AU"/>
        </w:rPr>
        <w:t xml:space="preserve"> with </w:t>
      </w:r>
      <w:r w:rsidR="00A66836" w:rsidRPr="00802112">
        <w:rPr>
          <w:rStyle w:val="IntenseReference"/>
          <w:b w:val="0"/>
          <w:i w:val="0"/>
          <w:smallCaps w:val="0"/>
          <w:color w:val="auto"/>
          <w:spacing w:val="0"/>
          <w:lang w:val="en-AU"/>
        </w:rPr>
        <w:t>end-stage kidney disease and other chronic conditions</w:t>
      </w:r>
      <w:r w:rsidR="003E3189">
        <w:rPr>
          <w:rStyle w:val="IntenseReference"/>
          <w:b w:val="0"/>
          <w:i w:val="0"/>
          <w:smallCaps w:val="0"/>
          <w:color w:val="auto"/>
          <w:spacing w:val="0"/>
          <w:lang w:val="en-AU"/>
        </w:rPr>
        <w:t>, particularly in rural and remote areas</w:t>
      </w:r>
      <w:r w:rsidR="00026891" w:rsidRPr="00802112">
        <w:rPr>
          <w:rStyle w:val="IntenseReference"/>
          <w:b w:val="0"/>
          <w:i w:val="0"/>
          <w:smallCaps w:val="0"/>
          <w:color w:val="auto"/>
          <w:spacing w:val="0"/>
          <w:lang w:val="en-AU"/>
        </w:rPr>
        <w:t>. T</w:t>
      </w:r>
      <w:r w:rsidR="00B05DE1" w:rsidRPr="00802112">
        <w:rPr>
          <w:rStyle w:val="IntenseReference"/>
          <w:b w:val="0"/>
          <w:i w:val="0"/>
          <w:smallCaps w:val="0"/>
          <w:color w:val="auto"/>
          <w:spacing w:val="0"/>
          <w:lang w:val="en-AU"/>
        </w:rPr>
        <w:t xml:space="preserve">he Australian College of Nurse </w:t>
      </w:r>
      <w:r w:rsidR="00026891" w:rsidRPr="00802112">
        <w:rPr>
          <w:rStyle w:val="IntenseReference"/>
          <w:b w:val="0"/>
          <w:i w:val="0"/>
          <w:smallCaps w:val="0"/>
          <w:color w:val="auto"/>
          <w:spacing w:val="0"/>
          <w:lang w:val="en-AU"/>
        </w:rPr>
        <w:t>Practitioners estimates that there are over</w:t>
      </w:r>
      <w:r w:rsidR="00B05DE1" w:rsidRPr="00802112">
        <w:rPr>
          <w:rStyle w:val="IntenseReference"/>
          <w:b w:val="0"/>
          <w:i w:val="0"/>
          <w:smallCaps w:val="0"/>
          <w:color w:val="auto"/>
          <w:spacing w:val="0"/>
          <w:lang w:val="en-AU"/>
        </w:rPr>
        <w:t xml:space="preserve"> 13</w:t>
      </w:r>
      <w:r w:rsidR="00026891" w:rsidRPr="00802112">
        <w:rPr>
          <w:rStyle w:val="IntenseReference"/>
          <w:b w:val="0"/>
          <w:i w:val="0"/>
          <w:smallCaps w:val="0"/>
          <w:color w:val="auto"/>
          <w:spacing w:val="0"/>
          <w:lang w:val="en-AU"/>
        </w:rPr>
        <w:t>0</w:t>
      </w:r>
      <w:r w:rsidR="00B05DE1" w:rsidRPr="00802112">
        <w:rPr>
          <w:rStyle w:val="IntenseReference"/>
          <w:b w:val="0"/>
          <w:i w:val="0"/>
          <w:smallCaps w:val="0"/>
          <w:color w:val="auto"/>
          <w:spacing w:val="0"/>
          <w:lang w:val="en-AU"/>
        </w:rPr>
        <w:t xml:space="preserve"> </w:t>
      </w:r>
      <w:r w:rsidR="000B44A0">
        <w:rPr>
          <w:rStyle w:val="IntenseReference"/>
          <w:b w:val="0"/>
          <w:i w:val="0"/>
          <w:smallCaps w:val="0"/>
          <w:color w:val="auto"/>
          <w:spacing w:val="0"/>
          <w:lang w:val="en-AU"/>
        </w:rPr>
        <w:t xml:space="preserve">nurse practitioners </w:t>
      </w:r>
      <w:r w:rsidR="000B44A0" w:rsidRPr="000B44A0">
        <w:rPr>
          <w:rStyle w:val="IntenseReference"/>
          <w:b w:val="0"/>
          <w:i w:val="0"/>
          <w:smallCaps w:val="0"/>
          <w:color w:val="auto"/>
          <w:spacing w:val="0"/>
          <w:lang w:val="en-AU"/>
        </w:rPr>
        <w:t xml:space="preserve">working in nephrology as a specialist field or </w:t>
      </w:r>
      <w:r w:rsidR="000B44A0">
        <w:rPr>
          <w:rStyle w:val="IntenseReference"/>
          <w:b w:val="0"/>
          <w:i w:val="0"/>
          <w:smallCaps w:val="0"/>
          <w:color w:val="auto"/>
          <w:spacing w:val="0"/>
          <w:lang w:val="en-AU"/>
        </w:rPr>
        <w:t xml:space="preserve">providing care to nephrology patients under a </w:t>
      </w:r>
      <w:r w:rsidR="000B44A0" w:rsidRPr="000B44A0">
        <w:rPr>
          <w:rStyle w:val="IntenseReference"/>
          <w:b w:val="0"/>
          <w:i w:val="0"/>
          <w:smallCaps w:val="0"/>
          <w:color w:val="auto"/>
          <w:spacing w:val="0"/>
          <w:lang w:val="en-AU"/>
        </w:rPr>
        <w:t>chronic disease focus. More than half of these providers are practi</w:t>
      </w:r>
      <w:r w:rsidR="008C2EE3">
        <w:rPr>
          <w:rStyle w:val="IntenseReference"/>
          <w:b w:val="0"/>
          <w:i w:val="0"/>
          <w:smallCaps w:val="0"/>
          <w:color w:val="auto"/>
          <w:spacing w:val="0"/>
          <w:lang w:val="en-AU"/>
        </w:rPr>
        <w:t>s</w:t>
      </w:r>
      <w:r w:rsidR="000B44A0" w:rsidRPr="000B44A0">
        <w:rPr>
          <w:rStyle w:val="IntenseReference"/>
          <w:b w:val="0"/>
          <w:i w:val="0"/>
          <w:smallCaps w:val="0"/>
          <w:color w:val="auto"/>
          <w:spacing w:val="0"/>
          <w:lang w:val="en-AU"/>
        </w:rPr>
        <w:t>ing in rural and remote areas.</w:t>
      </w:r>
      <w:r w:rsidR="00225235" w:rsidRPr="00802112">
        <w:rPr>
          <w:rStyle w:val="IntenseReference"/>
          <w:b w:val="0"/>
          <w:i w:val="0"/>
          <w:smallCaps w:val="0"/>
          <w:color w:val="auto"/>
          <w:spacing w:val="0"/>
          <w:lang w:val="en-AU"/>
        </w:rPr>
        <w:t xml:space="preserve"> Many of these providers are employed by public hospitals and provide services to AMS and patients in other </w:t>
      </w:r>
      <w:r w:rsidR="00393D14" w:rsidRPr="00802112">
        <w:rPr>
          <w:rStyle w:val="IntenseReference"/>
          <w:b w:val="0"/>
          <w:i w:val="0"/>
          <w:smallCaps w:val="0"/>
          <w:color w:val="auto"/>
          <w:spacing w:val="0"/>
          <w:lang w:val="en-AU"/>
        </w:rPr>
        <w:t>centres</w:t>
      </w:r>
      <w:r w:rsidR="0040252E">
        <w:rPr>
          <w:rStyle w:val="IntenseReference"/>
          <w:b w:val="0"/>
          <w:i w:val="0"/>
          <w:smallCaps w:val="0"/>
          <w:color w:val="auto"/>
          <w:spacing w:val="0"/>
          <w:lang w:val="en-AU"/>
        </w:rPr>
        <w:t>,</w:t>
      </w:r>
      <w:r w:rsidR="00393D14" w:rsidRPr="00802112">
        <w:rPr>
          <w:rStyle w:val="IntenseReference"/>
          <w:b w:val="0"/>
          <w:i w:val="0"/>
          <w:smallCaps w:val="0"/>
          <w:color w:val="auto"/>
          <w:spacing w:val="0"/>
          <w:lang w:val="en-AU"/>
        </w:rPr>
        <w:t xml:space="preserve"> which have an exemption from </w:t>
      </w:r>
      <w:r w:rsidR="00B13453" w:rsidRPr="00802112">
        <w:rPr>
          <w:rStyle w:val="IntenseReference"/>
          <w:b w:val="0"/>
          <w:i w:val="0"/>
          <w:smallCaps w:val="0"/>
          <w:color w:val="auto"/>
          <w:spacing w:val="0"/>
          <w:lang w:val="en-AU"/>
        </w:rPr>
        <w:t>section 19(2) of the Health Insurance Act 1973</w:t>
      </w:r>
      <w:r w:rsidR="0040252E">
        <w:rPr>
          <w:rStyle w:val="IntenseReference"/>
          <w:b w:val="0"/>
          <w:i w:val="0"/>
          <w:smallCaps w:val="0"/>
          <w:color w:val="auto"/>
          <w:spacing w:val="0"/>
          <w:lang w:val="en-AU"/>
        </w:rPr>
        <w:t>. This</w:t>
      </w:r>
      <w:r w:rsidR="00171B90" w:rsidRPr="00802112">
        <w:rPr>
          <w:rStyle w:val="IntenseReference"/>
          <w:b w:val="0"/>
          <w:i w:val="0"/>
          <w:smallCaps w:val="0"/>
          <w:color w:val="auto"/>
          <w:spacing w:val="0"/>
          <w:lang w:val="en-AU"/>
        </w:rPr>
        <w:t xml:space="preserve"> allows the provider to bill MBS items despite </w:t>
      </w:r>
      <w:r w:rsidR="00F871C6" w:rsidRPr="00802112">
        <w:rPr>
          <w:rStyle w:val="IntenseReference"/>
          <w:b w:val="0"/>
          <w:i w:val="0"/>
          <w:smallCaps w:val="0"/>
          <w:color w:val="auto"/>
          <w:spacing w:val="0"/>
          <w:lang w:val="en-AU"/>
        </w:rPr>
        <w:t>receiving other government</w:t>
      </w:r>
      <w:r w:rsidR="00171B90" w:rsidRPr="00802112">
        <w:rPr>
          <w:rStyle w:val="IntenseReference"/>
          <w:b w:val="0"/>
          <w:i w:val="0"/>
          <w:smallCaps w:val="0"/>
          <w:color w:val="auto"/>
          <w:spacing w:val="0"/>
          <w:lang w:val="en-AU"/>
        </w:rPr>
        <w:t xml:space="preserve"> funding</w:t>
      </w:r>
      <w:r w:rsidR="00225235" w:rsidRPr="00802112">
        <w:rPr>
          <w:rStyle w:val="IntenseReference"/>
          <w:b w:val="0"/>
          <w:i w:val="0"/>
          <w:smallCaps w:val="0"/>
          <w:color w:val="auto"/>
          <w:spacing w:val="0"/>
          <w:lang w:val="en-AU"/>
        </w:rPr>
        <w:t xml:space="preserve">. </w:t>
      </w:r>
      <w:r w:rsidR="00A66836" w:rsidRPr="00802112">
        <w:rPr>
          <w:rStyle w:val="IntenseReference"/>
          <w:b w:val="0"/>
          <w:i w:val="0"/>
          <w:smallCaps w:val="0"/>
          <w:color w:val="auto"/>
          <w:spacing w:val="0"/>
          <w:lang w:val="en-AU"/>
        </w:rPr>
        <w:t xml:space="preserve">It was felt that </w:t>
      </w:r>
      <w:r w:rsidR="00782DF5">
        <w:rPr>
          <w:rStyle w:val="IntenseReference"/>
          <w:b w:val="0"/>
          <w:i w:val="0"/>
          <w:smallCaps w:val="0"/>
          <w:color w:val="auto"/>
          <w:spacing w:val="0"/>
          <w:lang w:val="en-AU"/>
        </w:rPr>
        <w:t>nurse practitioners provide</w:t>
      </w:r>
      <w:r w:rsidR="00A66836" w:rsidRPr="00802112">
        <w:rPr>
          <w:rStyle w:val="IntenseReference"/>
          <w:b w:val="0"/>
          <w:i w:val="0"/>
          <w:smallCaps w:val="0"/>
          <w:color w:val="auto"/>
          <w:spacing w:val="0"/>
          <w:lang w:val="en-AU"/>
        </w:rPr>
        <w:t xml:space="preserve"> a number of services for these patients </w:t>
      </w:r>
      <w:r w:rsidR="00E548A5">
        <w:rPr>
          <w:rStyle w:val="IntenseReference"/>
          <w:b w:val="0"/>
          <w:i w:val="0"/>
          <w:smallCaps w:val="0"/>
          <w:color w:val="auto"/>
          <w:spacing w:val="0"/>
          <w:lang w:val="en-AU"/>
        </w:rPr>
        <w:t xml:space="preserve">but </w:t>
      </w:r>
      <w:r w:rsidR="00FD19EC" w:rsidRPr="00802112">
        <w:rPr>
          <w:rStyle w:val="IntenseReference"/>
          <w:b w:val="0"/>
          <w:i w:val="0"/>
          <w:smallCaps w:val="0"/>
          <w:color w:val="auto"/>
          <w:spacing w:val="0"/>
          <w:lang w:val="en-AU"/>
        </w:rPr>
        <w:t>are not currently able to claim</w:t>
      </w:r>
      <w:r w:rsidR="00DC311A">
        <w:rPr>
          <w:rStyle w:val="IntenseReference"/>
          <w:b w:val="0"/>
          <w:i w:val="0"/>
          <w:smallCaps w:val="0"/>
          <w:color w:val="auto"/>
          <w:spacing w:val="0"/>
          <w:lang w:val="en-AU"/>
        </w:rPr>
        <w:t xml:space="preserve"> for these services</w:t>
      </w:r>
      <w:r w:rsidR="00FD19EC" w:rsidRPr="00802112">
        <w:rPr>
          <w:rStyle w:val="IntenseReference"/>
          <w:b w:val="0"/>
          <w:i w:val="0"/>
          <w:smallCaps w:val="0"/>
          <w:color w:val="auto"/>
          <w:spacing w:val="0"/>
          <w:lang w:val="en-AU"/>
        </w:rPr>
        <w:t xml:space="preserve"> under the MBS. Examples may include performing ECGs, referring for ultrasounds, suturing and </w:t>
      </w:r>
      <w:r w:rsidR="00831F1D">
        <w:rPr>
          <w:rStyle w:val="IntenseReference"/>
          <w:b w:val="0"/>
          <w:i w:val="0"/>
          <w:smallCaps w:val="0"/>
          <w:color w:val="auto"/>
          <w:spacing w:val="0"/>
          <w:lang w:val="en-AU"/>
        </w:rPr>
        <w:t>contributing</w:t>
      </w:r>
      <w:r w:rsidR="00831F1D" w:rsidRPr="00802112">
        <w:rPr>
          <w:rStyle w:val="IntenseReference"/>
          <w:b w:val="0"/>
          <w:i w:val="0"/>
          <w:smallCaps w:val="0"/>
          <w:color w:val="auto"/>
          <w:spacing w:val="0"/>
          <w:lang w:val="en-AU"/>
        </w:rPr>
        <w:t xml:space="preserve"> </w:t>
      </w:r>
      <w:r w:rsidR="00FD19EC" w:rsidRPr="00802112">
        <w:rPr>
          <w:rStyle w:val="IntenseReference"/>
          <w:b w:val="0"/>
          <w:i w:val="0"/>
          <w:smallCaps w:val="0"/>
          <w:color w:val="auto"/>
          <w:spacing w:val="0"/>
          <w:lang w:val="en-AU"/>
        </w:rPr>
        <w:t>to health assessments.</w:t>
      </w:r>
    </w:p>
    <w:p w14:paraId="193F3630" w14:textId="77777777" w:rsidR="00A66836" w:rsidRPr="00802112" w:rsidRDefault="00ED3FCC" w:rsidP="00E15A50">
      <w:pPr>
        <w:pStyle w:val="01squarebullet"/>
        <w:rPr>
          <w:rStyle w:val="IntenseReference"/>
          <w:b w:val="0"/>
          <w:i w:val="0"/>
          <w:smallCaps w:val="0"/>
          <w:color w:val="auto"/>
          <w:spacing w:val="0"/>
          <w:lang w:val="en-AU"/>
        </w:rPr>
      </w:pPr>
      <w:r w:rsidRPr="008F0B94">
        <w:rPr>
          <w:rStyle w:val="IntenseReference"/>
          <w:b w:val="0"/>
          <w:bCs w:val="0"/>
          <w:i w:val="0"/>
          <w:smallCaps w:val="0"/>
          <w:color w:val="auto"/>
          <w:spacing w:val="0"/>
          <w:lang w:val="en-AU"/>
        </w:rPr>
        <w:t>Any additional access to items granted to nurse practitioners</w:t>
      </w:r>
      <w:r w:rsidRPr="00802112">
        <w:rPr>
          <w:rStyle w:val="IntenseReference"/>
          <w:b w:val="0"/>
          <w:i w:val="0"/>
          <w:smallCaps w:val="0"/>
          <w:color w:val="auto"/>
          <w:spacing w:val="0"/>
          <w:lang w:val="en-AU"/>
        </w:rPr>
        <w:t xml:space="preserve"> </w:t>
      </w:r>
      <w:r w:rsidR="007961BE" w:rsidRPr="00802112">
        <w:rPr>
          <w:rStyle w:val="IntenseReference"/>
          <w:b w:val="0"/>
          <w:i w:val="0"/>
          <w:smallCaps w:val="0"/>
          <w:color w:val="auto"/>
          <w:spacing w:val="0"/>
          <w:lang w:val="en-AU"/>
        </w:rPr>
        <w:t>would need to be within the s</w:t>
      </w:r>
      <w:r w:rsidRPr="00802112">
        <w:rPr>
          <w:rStyle w:val="IntenseReference"/>
          <w:b w:val="0"/>
          <w:i w:val="0"/>
          <w:smallCaps w:val="0"/>
          <w:color w:val="auto"/>
          <w:spacing w:val="0"/>
          <w:lang w:val="en-AU"/>
        </w:rPr>
        <w:t>cope of the individual provider</w:t>
      </w:r>
      <w:r w:rsidRPr="008F0B94">
        <w:rPr>
          <w:rStyle w:val="IntenseReference"/>
          <w:b w:val="0"/>
          <w:bCs w:val="0"/>
          <w:i w:val="0"/>
          <w:smallCaps w:val="0"/>
          <w:color w:val="auto"/>
          <w:spacing w:val="0"/>
          <w:lang w:val="en-AU"/>
        </w:rPr>
        <w:t>. I</w:t>
      </w:r>
      <w:r w:rsidR="007961BE" w:rsidRPr="008F0B94">
        <w:rPr>
          <w:rStyle w:val="IntenseReference"/>
          <w:b w:val="0"/>
          <w:bCs w:val="0"/>
          <w:i w:val="0"/>
          <w:smallCaps w:val="0"/>
          <w:color w:val="auto"/>
          <w:spacing w:val="0"/>
          <w:lang w:val="en-AU"/>
        </w:rPr>
        <w:t>t</w:t>
      </w:r>
      <w:r w:rsidR="007961BE" w:rsidRPr="00802112">
        <w:rPr>
          <w:rStyle w:val="IntenseReference"/>
          <w:b w:val="0"/>
          <w:i w:val="0"/>
          <w:smallCaps w:val="0"/>
          <w:color w:val="auto"/>
          <w:spacing w:val="0"/>
          <w:lang w:val="en-AU"/>
        </w:rPr>
        <w:t xml:space="preserve"> was </w:t>
      </w:r>
      <w:r w:rsidRPr="008F0B94">
        <w:rPr>
          <w:rStyle w:val="IntenseReference"/>
          <w:b w:val="0"/>
          <w:bCs w:val="0"/>
          <w:i w:val="0"/>
          <w:smallCaps w:val="0"/>
          <w:color w:val="auto"/>
          <w:spacing w:val="0"/>
          <w:lang w:val="en-AU"/>
        </w:rPr>
        <w:t>stated</w:t>
      </w:r>
      <w:r w:rsidRPr="00802112">
        <w:rPr>
          <w:rStyle w:val="IntenseReference"/>
          <w:b w:val="0"/>
          <w:i w:val="0"/>
          <w:smallCaps w:val="0"/>
          <w:color w:val="auto"/>
          <w:spacing w:val="0"/>
          <w:lang w:val="en-AU"/>
        </w:rPr>
        <w:t xml:space="preserve"> </w:t>
      </w:r>
      <w:r w:rsidR="007961BE" w:rsidRPr="00802112">
        <w:rPr>
          <w:rStyle w:val="IntenseReference"/>
          <w:b w:val="0"/>
          <w:i w:val="0"/>
          <w:smallCaps w:val="0"/>
          <w:color w:val="auto"/>
          <w:spacing w:val="0"/>
          <w:lang w:val="en-AU"/>
        </w:rPr>
        <w:t>that many nurse practitioners are</w:t>
      </w:r>
      <w:r w:rsidR="00F266AD">
        <w:rPr>
          <w:rStyle w:val="IntenseReference"/>
          <w:b w:val="0"/>
          <w:i w:val="0"/>
          <w:smallCaps w:val="0"/>
          <w:color w:val="auto"/>
          <w:spacing w:val="0"/>
          <w:lang w:val="en-AU"/>
        </w:rPr>
        <w:t xml:space="preserve"> now</w:t>
      </w:r>
      <w:r w:rsidR="007961BE" w:rsidRPr="00802112">
        <w:rPr>
          <w:rStyle w:val="IntenseReference"/>
          <w:b w:val="0"/>
          <w:i w:val="0"/>
          <w:smallCaps w:val="0"/>
          <w:color w:val="auto"/>
          <w:spacing w:val="0"/>
          <w:lang w:val="en-AU"/>
        </w:rPr>
        <w:t xml:space="preserve"> graduating with a generalist scope</w:t>
      </w:r>
      <w:r w:rsidR="0088550A">
        <w:rPr>
          <w:rStyle w:val="IntenseReference"/>
          <w:b w:val="0"/>
          <w:i w:val="0"/>
          <w:smallCaps w:val="0"/>
          <w:color w:val="auto"/>
          <w:spacing w:val="0"/>
          <w:lang w:val="en-AU"/>
        </w:rPr>
        <w:t>,</w:t>
      </w:r>
      <w:r w:rsidR="00CC66D5" w:rsidRPr="00802112">
        <w:rPr>
          <w:rStyle w:val="IntenseReference"/>
          <w:b w:val="0"/>
          <w:i w:val="0"/>
          <w:smallCaps w:val="0"/>
          <w:color w:val="auto"/>
          <w:spacing w:val="0"/>
          <w:lang w:val="en-AU"/>
        </w:rPr>
        <w:t xml:space="preserve"> and many nephrology/chronic disease nurse practitioners are already trained in many diagnostic and procedural areas of care.</w:t>
      </w:r>
      <w:r w:rsidR="00393D14" w:rsidRPr="00802112">
        <w:rPr>
          <w:rStyle w:val="IntenseReference"/>
          <w:b w:val="0"/>
          <w:i w:val="0"/>
          <w:smallCaps w:val="0"/>
          <w:color w:val="auto"/>
          <w:spacing w:val="0"/>
          <w:lang w:val="en-AU"/>
        </w:rPr>
        <w:t xml:space="preserve"> </w:t>
      </w:r>
      <w:r w:rsidR="0088550A">
        <w:rPr>
          <w:rStyle w:val="IntenseReference"/>
          <w:b w:val="0"/>
          <w:bCs w:val="0"/>
          <w:i w:val="0"/>
          <w:smallCaps w:val="0"/>
          <w:color w:val="auto"/>
          <w:spacing w:val="0"/>
          <w:lang w:val="en-AU"/>
        </w:rPr>
        <w:t>Although</w:t>
      </w:r>
      <w:r w:rsidR="0088550A" w:rsidRPr="008F0B94">
        <w:rPr>
          <w:rStyle w:val="IntenseReference"/>
          <w:b w:val="0"/>
          <w:bCs w:val="0"/>
          <w:i w:val="0"/>
          <w:smallCaps w:val="0"/>
          <w:color w:val="auto"/>
          <w:spacing w:val="0"/>
          <w:lang w:val="en-AU"/>
        </w:rPr>
        <w:t xml:space="preserve"> </w:t>
      </w:r>
      <w:r w:rsidRPr="008F0B94">
        <w:rPr>
          <w:rStyle w:val="IntenseReference"/>
          <w:b w:val="0"/>
          <w:bCs w:val="0"/>
          <w:i w:val="0"/>
          <w:smallCaps w:val="0"/>
          <w:color w:val="auto"/>
          <w:spacing w:val="0"/>
          <w:lang w:val="en-AU"/>
        </w:rPr>
        <w:t>an appropriately qualified nurse practitioner could perform some services fully,</w:t>
      </w:r>
      <w:r w:rsidRPr="00802112">
        <w:rPr>
          <w:rStyle w:val="IntenseReference"/>
          <w:b w:val="0"/>
          <w:i w:val="0"/>
          <w:smallCaps w:val="0"/>
          <w:color w:val="auto"/>
          <w:spacing w:val="0"/>
          <w:lang w:val="en-AU"/>
        </w:rPr>
        <w:t xml:space="preserve"> </w:t>
      </w:r>
      <w:r w:rsidR="00393D14" w:rsidRPr="00802112">
        <w:rPr>
          <w:rStyle w:val="IntenseReference"/>
          <w:b w:val="0"/>
          <w:i w:val="0"/>
          <w:smallCaps w:val="0"/>
          <w:color w:val="auto"/>
          <w:spacing w:val="0"/>
          <w:lang w:val="en-AU"/>
        </w:rPr>
        <w:t>certain services</w:t>
      </w:r>
      <w:r w:rsidR="00090C6A">
        <w:rPr>
          <w:rStyle w:val="IntenseReference"/>
          <w:b w:val="0"/>
          <w:i w:val="0"/>
          <w:smallCaps w:val="0"/>
          <w:color w:val="auto"/>
          <w:spacing w:val="0"/>
          <w:lang w:val="en-AU"/>
        </w:rPr>
        <w:t xml:space="preserve"> (</w:t>
      </w:r>
      <w:r w:rsidR="00393D14" w:rsidRPr="00802112">
        <w:rPr>
          <w:rStyle w:val="IntenseReference"/>
          <w:b w:val="0"/>
          <w:i w:val="0"/>
          <w:smallCaps w:val="0"/>
          <w:color w:val="auto"/>
          <w:spacing w:val="0"/>
          <w:lang w:val="en-AU"/>
        </w:rPr>
        <w:t>such as health assessments</w:t>
      </w:r>
      <w:r w:rsidR="00090C6A">
        <w:rPr>
          <w:rStyle w:val="IntenseReference"/>
          <w:b w:val="0"/>
          <w:i w:val="0"/>
          <w:smallCaps w:val="0"/>
          <w:color w:val="auto"/>
          <w:spacing w:val="0"/>
          <w:lang w:val="en-AU"/>
        </w:rPr>
        <w:t>)</w:t>
      </w:r>
      <w:r w:rsidR="00393D14" w:rsidRPr="00802112">
        <w:rPr>
          <w:rStyle w:val="IntenseReference"/>
          <w:b w:val="0"/>
          <w:i w:val="0"/>
          <w:smallCaps w:val="0"/>
          <w:color w:val="auto"/>
          <w:spacing w:val="0"/>
          <w:lang w:val="en-AU"/>
        </w:rPr>
        <w:t xml:space="preserve"> are comprehensive and may not be able to be fully completed by a nurse practitioner independently</w:t>
      </w:r>
      <w:r w:rsidR="00FD06C8" w:rsidRPr="00802112">
        <w:rPr>
          <w:rStyle w:val="IntenseReference"/>
          <w:b w:val="0"/>
          <w:i w:val="0"/>
          <w:smallCaps w:val="0"/>
          <w:color w:val="auto"/>
          <w:spacing w:val="0"/>
          <w:lang w:val="en-AU"/>
        </w:rPr>
        <w:t>.</w:t>
      </w:r>
      <w:r w:rsidR="00FD06C8" w:rsidRPr="008F0B94">
        <w:rPr>
          <w:rStyle w:val="IntenseReference"/>
          <w:b w:val="0"/>
          <w:bCs w:val="0"/>
          <w:i w:val="0"/>
          <w:smallCaps w:val="0"/>
          <w:color w:val="auto"/>
          <w:spacing w:val="0"/>
          <w:lang w:val="en-AU"/>
        </w:rPr>
        <w:t xml:space="preserve"> </w:t>
      </w:r>
      <w:r w:rsidR="005C0B14">
        <w:rPr>
          <w:rStyle w:val="IntenseReference"/>
          <w:b w:val="0"/>
          <w:bCs w:val="0"/>
          <w:i w:val="0"/>
          <w:smallCaps w:val="0"/>
          <w:color w:val="auto"/>
          <w:spacing w:val="0"/>
          <w:lang w:val="en-AU"/>
        </w:rPr>
        <w:t>The Committee</w:t>
      </w:r>
      <w:r w:rsidR="005C0B14" w:rsidRPr="008F0B94">
        <w:rPr>
          <w:rStyle w:val="IntenseReference"/>
          <w:b w:val="0"/>
          <w:bCs w:val="0"/>
          <w:i w:val="0"/>
          <w:smallCaps w:val="0"/>
          <w:color w:val="auto"/>
          <w:spacing w:val="0"/>
          <w:lang w:val="en-AU"/>
        </w:rPr>
        <w:t xml:space="preserve"> </w:t>
      </w:r>
      <w:r w:rsidR="00FD06C8" w:rsidRPr="008F0B94">
        <w:rPr>
          <w:rStyle w:val="IntenseReference"/>
          <w:b w:val="0"/>
          <w:bCs w:val="0"/>
          <w:i w:val="0"/>
          <w:smallCaps w:val="0"/>
          <w:color w:val="auto"/>
          <w:spacing w:val="0"/>
          <w:lang w:val="en-AU"/>
        </w:rPr>
        <w:t xml:space="preserve">agreed that it </w:t>
      </w:r>
      <w:r w:rsidR="00115759" w:rsidRPr="008F0B94">
        <w:rPr>
          <w:rStyle w:val="IntenseReference"/>
          <w:b w:val="0"/>
          <w:bCs w:val="0"/>
          <w:i w:val="0"/>
          <w:smallCaps w:val="0"/>
          <w:color w:val="auto"/>
          <w:spacing w:val="0"/>
          <w:lang w:val="en-AU"/>
        </w:rPr>
        <w:t>may</w:t>
      </w:r>
      <w:r w:rsidR="00FD06C8" w:rsidRPr="00802112">
        <w:rPr>
          <w:rStyle w:val="IntenseReference"/>
          <w:b w:val="0"/>
          <w:i w:val="0"/>
          <w:smallCaps w:val="0"/>
          <w:color w:val="auto"/>
          <w:spacing w:val="0"/>
          <w:lang w:val="en-AU"/>
        </w:rPr>
        <w:t xml:space="preserve"> be reasonable to consider </w:t>
      </w:r>
      <w:r w:rsidR="00B83627" w:rsidRPr="00802112">
        <w:rPr>
          <w:rStyle w:val="IntenseReference"/>
          <w:b w:val="0"/>
          <w:i w:val="0"/>
          <w:smallCaps w:val="0"/>
          <w:color w:val="auto"/>
          <w:spacing w:val="0"/>
          <w:lang w:val="en-AU"/>
        </w:rPr>
        <w:t xml:space="preserve">either </w:t>
      </w:r>
      <w:r w:rsidR="00FD06C8" w:rsidRPr="00802112">
        <w:rPr>
          <w:rStyle w:val="IntenseReference"/>
          <w:b w:val="0"/>
          <w:i w:val="0"/>
          <w:smallCaps w:val="0"/>
          <w:color w:val="auto"/>
          <w:spacing w:val="0"/>
          <w:lang w:val="en-AU"/>
        </w:rPr>
        <w:t>an item that reflects a nurse practi</w:t>
      </w:r>
      <w:r w:rsidR="00B83627" w:rsidRPr="00802112">
        <w:rPr>
          <w:rStyle w:val="IntenseReference"/>
          <w:b w:val="0"/>
          <w:i w:val="0"/>
          <w:smallCaps w:val="0"/>
          <w:color w:val="auto"/>
          <w:spacing w:val="0"/>
          <w:lang w:val="en-AU"/>
        </w:rPr>
        <w:t>ti</w:t>
      </w:r>
      <w:r w:rsidR="00FD06C8" w:rsidRPr="00802112">
        <w:rPr>
          <w:rStyle w:val="IntenseReference"/>
          <w:b w:val="0"/>
          <w:i w:val="0"/>
          <w:smallCaps w:val="0"/>
          <w:color w:val="auto"/>
          <w:spacing w:val="0"/>
          <w:lang w:val="en-AU"/>
        </w:rPr>
        <w:t>oner</w:t>
      </w:r>
      <w:r w:rsidR="00477437">
        <w:rPr>
          <w:rStyle w:val="IntenseReference"/>
          <w:b w:val="0"/>
          <w:i w:val="0"/>
          <w:smallCaps w:val="0"/>
          <w:color w:val="auto"/>
          <w:spacing w:val="0"/>
          <w:lang w:val="en-AU"/>
        </w:rPr>
        <w:t>’s</w:t>
      </w:r>
      <w:r w:rsidR="00FD06C8" w:rsidRPr="00802112">
        <w:rPr>
          <w:rStyle w:val="IntenseReference"/>
          <w:b w:val="0"/>
          <w:i w:val="0"/>
          <w:smallCaps w:val="0"/>
          <w:color w:val="auto"/>
          <w:spacing w:val="0"/>
          <w:lang w:val="en-AU"/>
        </w:rPr>
        <w:t xml:space="preserve"> contribution to a GP health assessment, or an item for nurse practitioner health assessment</w:t>
      </w:r>
      <w:r w:rsidR="00983BB2">
        <w:rPr>
          <w:rStyle w:val="IntenseReference"/>
          <w:b w:val="0"/>
          <w:i w:val="0"/>
          <w:smallCaps w:val="0"/>
          <w:color w:val="auto"/>
          <w:spacing w:val="0"/>
          <w:lang w:val="en-AU"/>
        </w:rPr>
        <w:t>s</w:t>
      </w:r>
      <w:r w:rsidR="00115759" w:rsidRPr="008F0B94">
        <w:rPr>
          <w:rStyle w:val="IntenseReference"/>
          <w:b w:val="0"/>
          <w:bCs w:val="0"/>
          <w:i w:val="0"/>
          <w:smallCaps w:val="0"/>
          <w:color w:val="auto"/>
          <w:spacing w:val="0"/>
          <w:lang w:val="en-AU"/>
        </w:rPr>
        <w:t xml:space="preserve"> within the area of expertise of that </w:t>
      </w:r>
      <w:r w:rsidR="008816C3">
        <w:rPr>
          <w:rStyle w:val="IntenseReference"/>
          <w:b w:val="0"/>
          <w:bCs w:val="0"/>
          <w:i w:val="0"/>
          <w:smallCaps w:val="0"/>
          <w:color w:val="auto"/>
          <w:spacing w:val="0"/>
          <w:lang w:val="en-AU"/>
        </w:rPr>
        <w:t>practitioner</w:t>
      </w:r>
      <w:r w:rsidR="00FD06C8" w:rsidRPr="008F0B94">
        <w:rPr>
          <w:rStyle w:val="IntenseReference"/>
          <w:b w:val="0"/>
          <w:bCs w:val="0"/>
          <w:i w:val="0"/>
          <w:smallCaps w:val="0"/>
          <w:color w:val="auto"/>
          <w:spacing w:val="0"/>
          <w:lang w:val="en-AU"/>
        </w:rPr>
        <w:t>.</w:t>
      </w:r>
      <w:r w:rsidR="00FD06C8" w:rsidRPr="00802112">
        <w:rPr>
          <w:rStyle w:val="IntenseReference"/>
          <w:b w:val="0"/>
          <w:i w:val="0"/>
          <w:smallCaps w:val="0"/>
          <w:color w:val="auto"/>
          <w:spacing w:val="0"/>
          <w:lang w:val="en-AU"/>
        </w:rPr>
        <w:t xml:space="preserve"> It was also noted that the Primary </w:t>
      </w:r>
      <w:r w:rsidR="00171B90" w:rsidRPr="00802112">
        <w:rPr>
          <w:rStyle w:val="IntenseReference"/>
          <w:b w:val="0"/>
          <w:i w:val="0"/>
          <w:smallCaps w:val="0"/>
          <w:color w:val="auto"/>
          <w:spacing w:val="0"/>
          <w:lang w:val="en-AU"/>
        </w:rPr>
        <w:t>Care</w:t>
      </w:r>
      <w:r w:rsidR="00FD06C8" w:rsidRPr="00802112">
        <w:rPr>
          <w:rStyle w:val="IntenseReference"/>
          <w:b w:val="0"/>
          <w:i w:val="0"/>
          <w:smallCaps w:val="0"/>
          <w:color w:val="auto"/>
          <w:spacing w:val="0"/>
          <w:lang w:val="en-AU"/>
        </w:rPr>
        <w:t xml:space="preserve"> Clinical Committee will be reviewing the health assessment items</w:t>
      </w:r>
      <w:r w:rsidR="00FB634D">
        <w:rPr>
          <w:rStyle w:val="IntenseReference"/>
          <w:b w:val="0"/>
          <w:i w:val="0"/>
          <w:smallCaps w:val="0"/>
          <w:color w:val="auto"/>
          <w:spacing w:val="0"/>
          <w:lang w:val="en-AU"/>
        </w:rPr>
        <w:t>,</w:t>
      </w:r>
      <w:r w:rsidR="00B83627" w:rsidRPr="00802112">
        <w:rPr>
          <w:rStyle w:val="IntenseReference"/>
          <w:b w:val="0"/>
          <w:i w:val="0"/>
          <w:smallCaps w:val="0"/>
          <w:color w:val="auto"/>
          <w:spacing w:val="0"/>
          <w:lang w:val="en-AU"/>
        </w:rPr>
        <w:t xml:space="preserve"> and that these reviews should occur in tandem</w:t>
      </w:r>
      <w:r w:rsidR="00FD06C8" w:rsidRPr="00802112">
        <w:rPr>
          <w:rStyle w:val="IntenseReference"/>
          <w:b w:val="0"/>
          <w:i w:val="0"/>
          <w:smallCaps w:val="0"/>
          <w:color w:val="auto"/>
          <w:spacing w:val="0"/>
          <w:lang w:val="en-AU"/>
        </w:rPr>
        <w:t>.</w:t>
      </w:r>
    </w:p>
    <w:p w14:paraId="290E9ABE" w14:textId="77777777" w:rsidR="00CC66D5" w:rsidRPr="00802112" w:rsidRDefault="00CC66D5" w:rsidP="00E15A50">
      <w:pPr>
        <w:pStyle w:val="01squarebullet"/>
        <w:rPr>
          <w:rStyle w:val="IntenseReference"/>
          <w:b w:val="0"/>
          <w:i w:val="0"/>
          <w:smallCaps w:val="0"/>
          <w:color w:val="auto"/>
          <w:spacing w:val="0"/>
          <w:lang w:val="en-AU"/>
        </w:rPr>
      </w:pPr>
      <w:r w:rsidRPr="00802112">
        <w:rPr>
          <w:rStyle w:val="IntenseReference"/>
          <w:b w:val="0"/>
          <w:i w:val="0"/>
          <w:smallCaps w:val="0"/>
          <w:color w:val="auto"/>
          <w:spacing w:val="0"/>
          <w:lang w:val="en-AU"/>
        </w:rPr>
        <w:t xml:space="preserve">Distinct from claiming additional services, </w:t>
      </w:r>
      <w:r w:rsidR="00D404BF">
        <w:rPr>
          <w:rStyle w:val="IntenseReference"/>
          <w:b w:val="0"/>
          <w:i w:val="0"/>
          <w:smallCaps w:val="0"/>
          <w:color w:val="auto"/>
          <w:spacing w:val="0"/>
          <w:lang w:val="en-AU"/>
        </w:rPr>
        <w:t>the Committee</w:t>
      </w:r>
      <w:r w:rsidRPr="00802112">
        <w:rPr>
          <w:rStyle w:val="IntenseReference"/>
          <w:b w:val="0"/>
          <w:i w:val="0"/>
          <w:smallCaps w:val="0"/>
          <w:color w:val="auto"/>
          <w:spacing w:val="0"/>
          <w:lang w:val="en-AU"/>
        </w:rPr>
        <w:t xml:space="preserve"> noted that under the current </w:t>
      </w:r>
      <w:r w:rsidR="00294241" w:rsidRPr="00802112">
        <w:rPr>
          <w:rStyle w:val="IntenseReference"/>
          <w:b w:val="0"/>
          <w:i w:val="0"/>
          <w:smallCaps w:val="0"/>
          <w:color w:val="auto"/>
          <w:spacing w:val="0"/>
          <w:lang w:val="en-AU"/>
        </w:rPr>
        <w:t xml:space="preserve">items, it is not possible to </w:t>
      </w:r>
      <w:r w:rsidR="00B5751B" w:rsidRPr="008F0B94">
        <w:rPr>
          <w:rStyle w:val="IntenseReference"/>
          <w:b w:val="0"/>
          <w:bCs w:val="0"/>
          <w:i w:val="0"/>
          <w:smallCaps w:val="0"/>
          <w:color w:val="auto"/>
          <w:spacing w:val="0"/>
          <w:lang w:val="en-AU"/>
        </w:rPr>
        <w:t>identify</w:t>
      </w:r>
      <w:r w:rsidR="00B5751B" w:rsidRPr="00802112">
        <w:rPr>
          <w:rStyle w:val="IntenseReference"/>
          <w:b w:val="0"/>
          <w:i w:val="0"/>
          <w:smallCaps w:val="0"/>
          <w:color w:val="auto"/>
          <w:spacing w:val="0"/>
          <w:lang w:val="en-AU"/>
        </w:rPr>
        <w:t xml:space="preserve"> the </w:t>
      </w:r>
      <w:r w:rsidR="00B5751B" w:rsidRPr="008F0B94">
        <w:rPr>
          <w:rStyle w:val="IntenseReference"/>
          <w:b w:val="0"/>
          <w:bCs w:val="0"/>
          <w:i w:val="0"/>
          <w:smallCaps w:val="0"/>
          <w:color w:val="auto"/>
          <w:spacing w:val="0"/>
          <w:lang w:val="en-AU"/>
        </w:rPr>
        <w:t xml:space="preserve">services </w:t>
      </w:r>
      <w:r w:rsidR="00B5751B" w:rsidRPr="00802112">
        <w:rPr>
          <w:rStyle w:val="IntenseReference"/>
          <w:b w:val="0"/>
          <w:i w:val="0"/>
          <w:smallCaps w:val="0"/>
          <w:color w:val="auto"/>
          <w:spacing w:val="0"/>
          <w:lang w:val="en-AU"/>
        </w:rPr>
        <w:t xml:space="preserve">provided by </w:t>
      </w:r>
      <w:r w:rsidR="00B5751B" w:rsidRPr="008F0B94">
        <w:rPr>
          <w:rStyle w:val="IntenseReference"/>
          <w:b w:val="0"/>
          <w:bCs w:val="0"/>
          <w:i w:val="0"/>
          <w:smallCaps w:val="0"/>
          <w:color w:val="auto"/>
          <w:spacing w:val="0"/>
          <w:lang w:val="en-AU"/>
        </w:rPr>
        <w:t xml:space="preserve">nephrology </w:t>
      </w:r>
      <w:r w:rsidR="00B5751B" w:rsidRPr="00802112">
        <w:rPr>
          <w:rStyle w:val="IntenseReference"/>
          <w:b w:val="0"/>
          <w:i w:val="0"/>
          <w:smallCaps w:val="0"/>
          <w:color w:val="auto"/>
          <w:spacing w:val="0"/>
          <w:lang w:val="en-AU"/>
        </w:rPr>
        <w:t xml:space="preserve">nurse practitioners </w:t>
      </w:r>
      <w:r w:rsidR="00294241" w:rsidRPr="00802112">
        <w:rPr>
          <w:rStyle w:val="IntenseReference"/>
          <w:b w:val="0"/>
          <w:i w:val="0"/>
          <w:smallCaps w:val="0"/>
          <w:color w:val="auto"/>
          <w:spacing w:val="0"/>
          <w:lang w:val="en-AU"/>
        </w:rPr>
        <w:t>under the MBS. The nurse practitioner consult items are time</w:t>
      </w:r>
      <w:r w:rsidR="00403D8A">
        <w:rPr>
          <w:rStyle w:val="IntenseReference"/>
          <w:b w:val="0"/>
          <w:i w:val="0"/>
          <w:smallCaps w:val="0"/>
          <w:color w:val="auto"/>
          <w:spacing w:val="0"/>
          <w:lang w:val="en-AU"/>
        </w:rPr>
        <w:t>-</w:t>
      </w:r>
      <w:r w:rsidR="00294241" w:rsidRPr="00802112">
        <w:rPr>
          <w:rStyle w:val="IntenseReference"/>
          <w:b w:val="0"/>
          <w:i w:val="0"/>
          <w:smallCaps w:val="0"/>
          <w:color w:val="auto"/>
          <w:spacing w:val="0"/>
          <w:lang w:val="en-AU"/>
        </w:rPr>
        <w:t xml:space="preserve">tiered in the same way as medical consults, </w:t>
      </w:r>
      <w:r w:rsidR="00403D8A">
        <w:rPr>
          <w:rStyle w:val="IntenseReference"/>
          <w:b w:val="0"/>
          <w:i w:val="0"/>
          <w:smallCaps w:val="0"/>
          <w:color w:val="auto"/>
          <w:spacing w:val="0"/>
          <w:lang w:val="en-AU"/>
        </w:rPr>
        <w:t>but</w:t>
      </w:r>
      <w:r w:rsidR="00403D8A" w:rsidRPr="00802112">
        <w:rPr>
          <w:rStyle w:val="IntenseReference"/>
          <w:b w:val="0"/>
          <w:i w:val="0"/>
          <w:smallCaps w:val="0"/>
          <w:color w:val="auto"/>
          <w:spacing w:val="0"/>
          <w:lang w:val="en-AU"/>
        </w:rPr>
        <w:t xml:space="preserve"> </w:t>
      </w:r>
      <w:r w:rsidR="00294241" w:rsidRPr="00802112">
        <w:rPr>
          <w:rStyle w:val="IntenseReference"/>
          <w:b w:val="0"/>
          <w:i w:val="0"/>
          <w:smallCaps w:val="0"/>
          <w:color w:val="auto"/>
          <w:spacing w:val="0"/>
          <w:lang w:val="en-AU"/>
        </w:rPr>
        <w:t xml:space="preserve">the MBS does not currently record specialty areas for nurse practitioners. As such, it is impossible to determine the extent of nephrology or other services currently being provided. The </w:t>
      </w:r>
      <w:r w:rsidR="004503A6">
        <w:rPr>
          <w:rStyle w:val="IntenseReference"/>
          <w:b w:val="0"/>
          <w:i w:val="0"/>
          <w:smallCaps w:val="0"/>
          <w:color w:val="auto"/>
          <w:spacing w:val="0"/>
          <w:lang w:val="en-AU"/>
        </w:rPr>
        <w:t>Committee</w:t>
      </w:r>
      <w:r w:rsidR="004503A6" w:rsidRPr="00802112">
        <w:rPr>
          <w:rStyle w:val="IntenseReference"/>
          <w:b w:val="0"/>
          <w:i w:val="0"/>
          <w:smallCaps w:val="0"/>
          <w:color w:val="auto"/>
          <w:spacing w:val="0"/>
          <w:lang w:val="en-AU"/>
        </w:rPr>
        <w:t xml:space="preserve"> </w:t>
      </w:r>
      <w:r w:rsidR="00294241" w:rsidRPr="00802112">
        <w:rPr>
          <w:rStyle w:val="IntenseReference"/>
          <w:b w:val="0"/>
          <w:i w:val="0"/>
          <w:smallCaps w:val="0"/>
          <w:color w:val="auto"/>
          <w:spacing w:val="0"/>
          <w:lang w:val="en-AU"/>
        </w:rPr>
        <w:t xml:space="preserve">discussed potential solutions for this but acknowledged </w:t>
      </w:r>
      <w:r w:rsidR="004C6596">
        <w:rPr>
          <w:rStyle w:val="IntenseReference"/>
          <w:b w:val="0"/>
          <w:i w:val="0"/>
          <w:smallCaps w:val="0"/>
          <w:color w:val="auto"/>
          <w:spacing w:val="0"/>
          <w:lang w:val="en-AU"/>
        </w:rPr>
        <w:t xml:space="preserve">that </w:t>
      </w:r>
      <w:r w:rsidR="00294241" w:rsidRPr="00802112">
        <w:rPr>
          <w:rStyle w:val="IntenseReference"/>
          <w:b w:val="0"/>
          <w:i w:val="0"/>
          <w:smallCaps w:val="0"/>
          <w:color w:val="auto"/>
          <w:spacing w:val="0"/>
          <w:lang w:val="en-AU"/>
        </w:rPr>
        <w:t xml:space="preserve">this was </w:t>
      </w:r>
      <w:r w:rsidR="00171B90" w:rsidRPr="00802112">
        <w:rPr>
          <w:rStyle w:val="IntenseReference"/>
          <w:b w:val="0"/>
          <w:i w:val="0"/>
          <w:smallCaps w:val="0"/>
          <w:color w:val="auto"/>
          <w:spacing w:val="0"/>
          <w:lang w:val="en-AU"/>
        </w:rPr>
        <w:t>a</w:t>
      </w:r>
      <w:r w:rsidR="00294241" w:rsidRPr="00802112">
        <w:rPr>
          <w:rStyle w:val="IntenseReference"/>
          <w:b w:val="0"/>
          <w:i w:val="0"/>
          <w:smallCaps w:val="0"/>
          <w:color w:val="auto"/>
          <w:spacing w:val="0"/>
          <w:lang w:val="en-AU"/>
        </w:rPr>
        <w:t xml:space="preserve"> complex policy discussion </w:t>
      </w:r>
      <w:r w:rsidR="0020083B">
        <w:rPr>
          <w:rStyle w:val="IntenseReference"/>
          <w:b w:val="0"/>
          <w:i w:val="0"/>
          <w:smallCaps w:val="0"/>
          <w:color w:val="auto"/>
          <w:spacing w:val="0"/>
          <w:lang w:val="en-AU"/>
        </w:rPr>
        <w:t>with</w:t>
      </w:r>
      <w:r w:rsidR="00294241" w:rsidRPr="00802112">
        <w:rPr>
          <w:rStyle w:val="IntenseReference"/>
          <w:b w:val="0"/>
          <w:i w:val="0"/>
          <w:smallCaps w:val="0"/>
          <w:color w:val="auto"/>
          <w:spacing w:val="0"/>
          <w:lang w:val="en-AU"/>
        </w:rPr>
        <w:t xml:space="preserve"> implications for all nurse practitioners, not only those specialising in nephrology. Three potential solutions were discussed and are included here for consideration.</w:t>
      </w:r>
    </w:p>
    <w:p w14:paraId="3053338E" w14:textId="77777777" w:rsidR="00294241" w:rsidRPr="00802112" w:rsidRDefault="002354DE" w:rsidP="008460E3">
      <w:pPr>
        <w:pStyle w:val="05number1"/>
        <w:ind w:left="709"/>
        <w:rPr>
          <w:rStyle w:val="IntenseReference"/>
          <w:b w:val="0"/>
          <w:i w:val="0"/>
          <w:smallCaps w:val="0"/>
          <w:color w:val="auto"/>
          <w:spacing w:val="0"/>
          <w:lang w:val="en-AU"/>
        </w:rPr>
      </w:pPr>
      <w:r w:rsidRPr="00802112">
        <w:rPr>
          <w:rStyle w:val="IntenseReference"/>
          <w:b w:val="0"/>
          <w:i w:val="0"/>
          <w:smallCaps w:val="0"/>
          <w:color w:val="auto"/>
          <w:spacing w:val="0"/>
          <w:lang w:val="en-AU"/>
        </w:rPr>
        <w:t>Create specific duplicate items for individual specialties, with or without specific criteria for both patient eligibility and services to be provided</w:t>
      </w:r>
      <w:r w:rsidR="00507152">
        <w:rPr>
          <w:rStyle w:val="IntenseReference"/>
          <w:b w:val="0"/>
          <w:i w:val="0"/>
          <w:smallCaps w:val="0"/>
          <w:color w:val="auto"/>
          <w:spacing w:val="0"/>
          <w:lang w:val="en-AU"/>
        </w:rPr>
        <w:t>—</w:t>
      </w:r>
      <w:r w:rsidRPr="00802112">
        <w:rPr>
          <w:rStyle w:val="IntenseReference"/>
          <w:b w:val="0"/>
          <w:i w:val="0"/>
          <w:smallCaps w:val="0"/>
          <w:color w:val="auto"/>
          <w:spacing w:val="0"/>
          <w:lang w:val="en-AU"/>
        </w:rPr>
        <w:t>for example</w:t>
      </w:r>
      <w:r w:rsidR="00507152">
        <w:rPr>
          <w:rStyle w:val="IntenseReference"/>
          <w:b w:val="0"/>
          <w:i w:val="0"/>
          <w:smallCaps w:val="0"/>
          <w:color w:val="auto"/>
          <w:spacing w:val="0"/>
          <w:lang w:val="en-AU"/>
        </w:rPr>
        <w:t>,</w:t>
      </w:r>
      <w:r w:rsidRPr="00802112">
        <w:rPr>
          <w:rStyle w:val="IntenseReference"/>
          <w:b w:val="0"/>
          <w:i w:val="0"/>
          <w:smallCaps w:val="0"/>
          <w:color w:val="auto"/>
          <w:spacing w:val="0"/>
          <w:lang w:val="en-AU"/>
        </w:rPr>
        <w:t xml:space="preserve"> a consult for kidney disease lasting </w:t>
      </w:r>
      <w:r w:rsidR="00D03AB4">
        <w:rPr>
          <w:rStyle w:val="IntenseReference"/>
          <w:b w:val="0"/>
          <w:i w:val="0"/>
          <w:smallCaps w:val="0"/>
          <w:color w:val="auto"/>
          <w:spacing w:val="0"/>
          <w:lang w:val="en-AU"/>
        </w:rPr>
        <w:t xml:space="preserve">more than </w:t>
      </w:r>
      <w:r w:rsidRPr="00802112">
        <w:rPr>
          <w:rStyle w:val="IntenseReference"/>
          <w:b w:val="0"/>
          <w:i w:val="0"/>
          <w:smallCaps w:val="0"/>
          <w:color w:val="auto"/>
          <w:spacing w:val="0"/>
          <w:lang w:val="en-AU"/>
        </w:rPr>
        <w:t>20</w:t>
      </w:r>
      <w:r w:rsidR="00D03AB4">
        <w:rPr>
          <w:rStyle w:val="IntenseReference"/>
          <w:b w:val="0"/>
          <w:i w:val="0"/>
          <w:smallCaps w:val="0"/>
          <w:color w:val="auto"/>
          <w:spacing w:val="0"/>
          <w:lang w:val="en-AU"/>
        </w:rPr>
        <w:t xml:space="preserve"> </w:t>
      </w:r>
      <w:r w:rsidRPr="00802112">
        <w:rPr>
          <w:rStyle w:val="IntenseReference"/>
          <w:b w:val="0"/>
          <w:i w:val="0"/>
          <w:smallCaps w:val="0"/>
          <w:color w:val="auto"/>
          <w:spacing w:val="0"/>
          <w:lang w:val="en-AU"/>
        </w:rPr>
        <w:t>minutes</w:t>
      </w:r>
      <w:r w:rsidR="00D03AB4">
        <w:rPr>
          <w:rStyle w:val="IntenseReference"/>
          <w:b w:val="0"/>
          <w:i w:val="0"/>
          <w:smallCaps w:val="0"/>
          <w:color w:val="auto"/>
          <w:spacing w:val="0"/>
          <w:lang w:val="en-AU"/>
        </w:rPr>
        <w:t>,</w:t>
      </w:r>
      <w:r w:rsidRPr="00802112">
        <w:rPr>
          <w:rStyle w:val="IntenseReference"/>
          <w:b w:val="0"/>
          <w:i w:val="0"/>
          <w:smallCaps w:val="0"/>
          <w:color w:val="auto"/>
          <w:spacing w:val="0"/>
          <w:lang w:val="en-AU"/>
        </w:rPr>
        <w:t xml:space="preserve"> which includes </w:t>
      </w:r>
      <w:r w:rsidR="00F65863">
        <w:rPr>
          <w:rStyle w:val="IntenseReference"/>
          <w:b w:val="0"/>
          <w:i w:val="0"/>
          <w:smallCaps w:val="0"/>
          <w:color w:val="auto"/>
          <w:spacing w:val="0"/>
          <w:lang w:val="en-AU"/>
        </w:rPr>
        <w:t>a specified set of criteria.</w:t>
      </w:r>
    </w:p>
    <w:p w14:paraId="02EDA1D6" w14:textId="77777777" w:rsidR="00A67DDB" w:rsidRPr="00802112" w:rsidRDefault="00A67DDB" w:rsidP="008460E3">
      <w:pPr>
        <w:pStyle w:val="05number1"/>
        <w:ind w:left="709"/>
        <w:rPr>
          <w:rStyle w:val="IntenseReference"/>
          <w:b w:val="0"/>
          <w:i w:val="0"/>
          <w:smallCaps w:val="0"/>
          <w:color w:val="auto"/>
          <w:spacing w:val="0"/>
          <w:lang w:val="en-AU"/>
        </w:rPr>
      </w:pPr>
      <w:r w:rsidRPr="00802112">
        <w:rPr>
          <w:rStyle w:val="IntenseReference"/>
          <w:b w:val="0"/>
          <w:i w:val="0"/>
          <w:smallCaps w:val="0"/>
          <w:color w:val="auto"/>
          <w:spacing w:val="0"/>
          <w:lang w:val="en-AU"/>
        </w:rPr>
        <w:t xml:space="preserve">Create items of negligible value </w:t>
      </w:r>
      <w:r w:rsidR="00F80D46">
        <w:rPr>
          <w:rStyle w:val="IntenseReference"/>
          <w:b w:val="0"/>
          <w:i w:val="0"/>
          <w:smallCaps w:val="0"/>
          <w:color w:val="auto"/>
          <w:spacing w:val="0"/>
          <w:lang w:val="en-AU"/>
        </w:rPr>
        <w:t>that</w:t>
      </w:r>
      <w:r w:rsidR="00316081" w:rsidRPr="00802112">
        <w:rPr>
          <w:rStyle w:val="IntenseReference"/>
          <w:b w:val="0"/>
          <w:i w:val="0"/>
          <w:smallCaps w:val="0"/>
          <w:color w:val="auto"/>
          <w:spacing w:val="0"/>
          <w:lang w:val="en-AU"/>
        </w:rPr>
        <w:t xml:space="preserve"> </w:t>
      </w:r>
      <w:r w:rsidRPr="00802112">
        <w:rPr>
          <w:rStyle w:val="IntenseReference"/>
          <w:b w:val="0"/>
          <w:i w:val="0"/>
          <w:smallCaps w:val="0"/>
          <w:color w:val="auto"/>
          <w:spacing w:val="0"/>
          <w:lang w:val="en-AU"/>
        </w:rPr>
        <w:t>identify the specialty of the provider</w:t>
      </w:r>
      <w:r w:rsidR="00305651">
        <w:rPr>
          <w:rStyle w:val="IntenseReference"/>
          <w:b w:val="0"/>
          <w:i w:val="0"/>
          <w:smallCaps w:val="0"/>
          <w:color w:val="auto"/>
          <w:spacing w:val="0"/>
          <w:lang w:val="en-AU"/>
        </w:rPr>
        <w:t>,</w:t>
      </w:r>
      <w:r w:rsidRPr="00802112">
        <w:rPr>
          <w:rStyle w:val="IntenseReference"/>
          <w:b w:val="0"/>
          <w:i w:val="0"/>
          <w:smallCaps w:val="0"/>
          <w:color w:val="auto"/>
          <w:spacing w:val="0"/>
          <w:lang w:val="en-AU"/>
        </w:rPr>
        <w:t xml:space="preserve"> and have them co-claimed with any service provided.</w:t>
      </w:r>
    </w:p>
    <w:p w14:paraId="71663AA6" w14:textId="77777777" w:rsidR="002354DE" w:rsidRPr="00802112" w:rsidRDefault="002354DE" w:rsidP="008460E3">
      <w:pPr>
        <w:pStyle w:val="05number1"/>
        <w:ind w:left="709"/>
        <w:rPr>
          <w:rStyle w:val="IntenseReference"/>
          <w:b w:val="0"/>
          <w:i w:val="0"/>
          <w:smallCaps w:val="0"/>
          <w:color w:val="auto"/>
          <w:spacing w:val="0"/>
          <w:lang w:val="en-AU"/>
        </w:rPr>
      </w:pPr>
      <w:r w:rsidRPr="00802112">
        <w:rPr>
          <w:rStyle w:val="IntenseReference"/>
          <w:b w:val="0"/>
          <w:i w:val="0"/>
          <w:smallCaps w:val="0"/>
          <w:color w:val="auto"/>
          <w:spacing w:val="0"/>
          <w:lang w:val="en-AU"/>
        </w:rPr>
        <w:t xml:space="preserve">Recommend that </w:t>
      </w:r>
      <w:r w:rsidR="00A67DDB" w:rsidRPr="00802112">
        <w:rPr>
          <w:rStyle w:val="IntenseReference"/>
          <w:b w:val="0"/>
          <w:i w:val="0"/>
          <w:smallCaps w:val="0"/>
          <w:color w:val="auto"/>
          <w:spacing w:val="0"/>
          <w:lang w:val="en-AU"/>
        </w:rPr>
        <w:t>nurse practitioners be attributed specialty designations based on their area(s) of practice</w:t>
      </w:r>
      <w:r w:rsidR="00640BCE">
        <w:rPr>
          <w:rStyle w:val="IntenseReference"/>
          <w:b w:val="0"/>
          <w:i w:val="0"/>
          <w:smallCaps w:val="0"/>
          <w:color w:val="auto"/>
          <w:spacing w:val="0"/>
          <w:lang w:val="en-AU"/>
        </w:rPr>
        <w:t>.</w:t>
      </w:r>
    </w:p>
    <w:bookmarkEnd w:id="155"/>
    <w:bookmarkEnd w:id="156"/>
    <w:p w14:paraId="79E4DD14" w14:textId="77777777" w:rsidR="00E40B43" w:rsidRPr="00802112" w:rsidRDefault="008B3A66" w:rsidP="00E40B43">
      <w:pPr>
        <w:pStyle w:val="01squarebullet"/>
        <w:rPr>
          <w:rStyle w:val="IntenseReference"/>
          <w:b w:val="0"/>
          <w:i w:val="0"/>
          <w:smallCaps w:val="0"/>
          <w:color w:val="auto"/>
          <w:spacing w:val="0"/>
          <w:lang w:val="en-AU"/>
        </w:rPr>
      </w:pPr>
      <w:r w:rsidRPr="00802112">
        <w:rPr>
          <w:rStyle w:val="IntenseReference"/>
          <w:b w:val="0"/>
          <w:i w:val="0"/>
          <w:smallCaps w:val="0"/>
          <w:color w:val="auto"/>
          <w:spacing w:val="0"/>
          <w:lang w:val="en-AU"/>
        </w:rPr>
        <w:t xml:space="preserve">The </w:t>
      </w:r>
      <w:r w:rsidR="00112A74" w:rsidRPr="00802112">
        <w:rPr>
          <w:rStyle w:val="IntenseReference"/>
          <w:b w:val="0"/>
          <w:i w:val="0"/>
          <w:smallCaps w:val="0"/>
          <w:color w:val="auto"/>
          <w:spacing w:val="0"/>
          <w:lang w:val="en-AU"/>
        </w:rPr>
        <w:t xml:space="preserve">Committee agreed that </w:t>
      </w:r>
      <w:r w:rsidRPr="00802112">
        <w:rPr>
          <w:rStyle w:val="IntenseReference"/>
          <w:b w:val="0"/>
          <w:i w:val="0"/>
          <w:smallCaps w:val="0"/>
          <w:color w:val="auto"/>
          <w:spacing w:val="0"/>
          <w:lang w:val="en-AU"/>
        </w:rPr>
        <w:t>creatin</w:t>
      </w:r>
      <w:r w:rsidR="00112A74" w:rsidRPr="00802112">
        <w:rPr>
          <w:rStyle w:val="IntenseReference"/>
          <w:b w:val="0"/>
          <w:i w:val="0"/>
          <w:smallCaps w:val="0"/>
          <w:color w:val="auto"/>
          <w:spacing w:val="0"/>
          <w:lang w:val="en-AU"/>
        </w:rPr>
        <w:t>g</w:t>
      </w:r>
      <w:r w:rsidRPr="00802112">
        <w:rPr>
          <w:rStyle w:val="IntenseReference"/>
          <w:b w:val="0"/>
          <w:i w:val="0"/>
          <w:smallCaps w:val="0"/>
          <w:color w:val="auto"/>
          <w:spacing w:val="0"/>
          <w:lang w:val="en-AU"/>
        </w:rPr>
        <w:t xml:space="preserve"> an item for </w:t>
      </w:r>
      <w:r w:rsidR="003E4902" w:rsidRPr="00802112">
        <w:rPr>
          <w:rStyle w:val="IntenseReference"/>
          <w:b w:val="0"/>
          <w:i w:val="0"/>
          <w:smallCaps w:val="0"/>
          <w:color w:val="auto"/>
          <w:spacing w:val="0"/>
          <w:lang w:val="en-AU"/>
        </w:rPr>
        <w:t xml:space="preserve">more than </w:t>
      </w:r>
      <w:r w:rsidRPr="00802112">
        <w:rPr>
          <w:rStyle w:val="IntenseReference"/>
          <w:b w:val="0"/>
          <w:i w:val="0"/>
          <w:smallCaps w:val="0"/>
          <w:color w:val="auto"/>
          <w:spacing w:val="0"/>
          <w:lang w:val="en-AU"/>
        </w:rPr>
        <w:t xml:space="preserve">45 minutes </w:t>
      </w:r>
      <w:r w:rsidR="00B660D9" w:rsidRPr="00802112">
        <w:rPr>
          <w:rStyle w:val="IntenseReference"/>
          <w:b w:val="0"/>
          <w:i w:val="0"/>
          <w:smallCaps w:val="0"/>
          <w:color w:val="auto"/>
          <w:spacing w:val="0"/>
          <w:lang w:val="en-AU"/>
        </w:rPr>
        <w:t>may</w:t>
      </w:r>
      <w:r w:rsidR="00B660D9">
        <w:rPr>
          <w:rStyle w:val="IntenseReference"/>
          <w:b w:val="0"/>
          <w:i w:val="0"/>
          <w:smallCaps w:val="0"/>
          <w:color w:val="auto"/>
          <w:spacing w:val="0"/>
          <w:lang w:val="en-AU"/>
        </w:rPr>
        <w:t xml:space="preserve"> also </w:t>
      </w:r>
      <w:r w:rsidR="00225235" w:rsidRPr="00802112">
        <w:rPr>
          <w:rStyle w:val="IntenseReference"/>
          <w:b w:val="0"/>
          <w:i w:val="0"/>
          <w:smallCaps w:val="0"/>
          <w:color w:val="auto"/>
          <w:spacing w:val="0"/>
          <w:lang w:val="en-AU"/>
        </w:rPr>
        <w:t>be warranted, acknowledging</w:t>
      </w:r>
      <w:r w:rsidRPr="00802112">
        <w:rPr>
          <w:rStyle w:val="IntenseReference"/>
          <w:b w:val="0"/>
          <w:i w:val="0"/>
          <w:smallCaps w:val="0"/>
          <w:color w:val="auto"/>
          <w:spacing w:val="0"/>
          <w:lang w:val="en-AU"/>
        </w:rPr>
        <w:t xml:space="preserve"> that a consultation with a complex chronic </w:t>
      </w:r>
      <w:r w:rsidR="00225235" w:rsidRPr="00802112">
        <w:rPr>
          <w:rStyle w:val="IntenseReference"/>
          <w:b w:val="0"/>
          <w:i w:val="0"/>
          <w:smallCaps w:val="0"/>
          <w:color w:val="auto"/>
          <w:spacing w:val="0"/>
          <w:lang w:val="en-AU"/>
        </w:rPr>
        <w:t xml:space="preserve">kidney </w:t>
      </w:r>
      <w:r w:rsidRPr="00802112">
        <w:rPr>
          <w:rStyle w:val="IntenseReference"/>
          <w:b w:val="0"/>
          <w:i w:val="0"/>
          <w:smallCaps w:val="0"/>
          <w:color w:val="auto"/>
          <w:spacing w:val="0"/>
          <w:lang w:val="en-AU"/>
        </w:rPr>
        <w:t>patient often take</w:t>
      </w:r>
      <w:r w:rsidR="002E2198" w:rsidRPr="00802112">
        <w:rPr>
          <w:rStyle w:val="IntenseReference"/>
          <w:b w:val="0"/>
          <w:i w:val="0"/>
          <w:smallCaps w:val="0"/>
          <w:color w:val="auto"/>
          <w:spacing w:val="0"/>
          <w:lang w:val="en-AU"/>
        </w:rPr>
        <w:t>s</w:t>
      </w:r>
      <w:r w:rsidRPr="00802112">
        <w:rPr>
          <w:rStyle w:val="IntenseReference"/>
          <w:b w:val="0"/>
          <w:i w:val="0"/>
          <w:smallCaps w:val="0"/>
          <w:color w:val="auto"/>
          <w:spacing w:val="0"/>
          <w:lang w:val="en-AU"/>
        </w:rPr>
        <w:t xml:space="preserve"> considerable time if all appropriate aspects of care are reviewed and addressed. </w:t>
      </w:r>
    </w:p>
    <w:p w14:paraId="5C0232E3" w14:textId="77777777" w:rsidR="005F12E1" w:rsidRPr="00FC1976" w:rsidRDefault="00181F0F" w:rsidP="005076E4">
      <w:pPr>
        <w:pStyle w:val="Heading2"/>
        <w:rPr>
          <w:lang w:val="en-AU"/>
        </w:rPr>
      </w:pPr>
      <w:bookmarkStart w:id="157" w:name="_Toc459996825"/>
      <w:bookmarkStart w:id="158" w:name="_Toc458167017"/>
      <w:bookmarkStart w:id="159" w:name="_Toc467668968"/>
      <w:r w:rsidRPr="00FC1976">
        <w:rPr>
          <w:lang w:val="en-AU"/>
        </w:rPr>
        <w:t xml:space="preserve">Recommendations to </w:t>
      </w:r>
      <w:r w:rsidR="00F72CD0" w:rsidRPr="00FC1976">
        <w:rPr>
          <w:lang w:val="en-AU"/>
        </w:rPr>
        <w:t xml:space="preserve">the </w:t>
      </w:r>
      <w:r w:rsidRPr="00FC1976">
        <w:rPr>
          <w:lang w:val="en-AU"/>
        </w:rPr>
        <w:t>Urology Clinical Committee</w:t>
      </w:r>
      <w:bookmarkEnd w:id="157"/>
      <w:bookmarkEnd w:id="158"/>
      <w:bookmarkEnd w:id="159"/>
      <w:r w:rsidRPr="00FC1976">
        <w:rPr>
          <w:lang w:val="en-AU"/>
        </w:rPr>
        <w:t xml:space="preserve"> </w:t>
      </w:r>
    </w:p>
    <w:p w14:paraId="5B671A96" w14:textId="77777777" w:rsidR="00181F0F" w:rsidRPr="00FC1976" w:rsidRDefault="00181F0F" w:rsidP="00AB752F">
      <w:pPr>
        <w:pStyle w:val="Heading3"/>
        <w:rPr>
          <w:lang w:val="en-AU"/>
        </w:rPr>
      </w:pPr>
      <w:bookmarkStart w:id="160" w:name="_Toc459996826"/>
      <w:bookmarkStart w:id="161" w:name="_Toc458167018"/>
      <w:bookmarkStart w:id="162" w:name="_Toc467668969"/>
      <w:bookmarkStart w:id="163" w:name="_Toc455435952"/>
      <w:bookmarkStart w:id="164" w:name="_Toc456045454"/>
      <w:r w:rsidRPr="00FC1976">
        <w:rPr>
          <w:lang w:val="en-AU"/>
        </w:rPr>
        <w:t xml:space="preserve">Living </w:t>
      </w:r>
      <w:r w:rsidR="000671CD" w:rsidRPr="00FC1976">
        <w:rPr>
          <w:lang w:val="en-AU"/>
        </w:rPr>
        <w:t>d</w:t>
      </w:r>
      <w:r w:rsidRPr="00FC1976">
        <w:rPr>
          <w:lang w:val="en-AU"/>
        </w:rPr>
        <w:t xml:space="preserve">onor </w:t>
      </w:r>
      <w:r w:rsidR="000671CD" w:rsidRPr="00FC1976">
        <w:rPr>
          <w:lang w:val="en-AU"/>
        </w:rPr>
        <w:t>n</w:t>
      </w:r>
      <w:r w:rsidRPr="00FC1976">
        <w:rPr>
          <w:lang w:val="en-AU"/>
        </w:rPr>
        <w:t>ephrectomy</w:t>
      </w:r>
      <w:bookmarkEnd w:id="160"/>
      <w:bookmarkEnd w:id="161"/>
      <w:bookmarkEnd w:id="162"/>
    </w:p>
    <w:p w14:paraId="1D73CA74" w14:textId="77777777" w:rsidR="00181F0F" w:rsidRPr="00FC1976" w:rsidRDefault="00181F0F" w:rsidP="00BE5EBC">
      <w:pPr>
        <w:pStyle w:val="H4"/>
      </w:pPr>
      <w:r w:rsidRPr="00FC1976">
        <w:t>Recommendation</w:t>
      </w:r>
      <w:r w:rsidR="00B211CC">
        <w:t>s</w:t>
      </w:r>
      <w:r w:rsidRPr="00FC1976">
        <w:t xml:space="preserve"> </w:t>
      </w:r>
    </w:p>
    <w:p w14:paraId="7E2A956F" w14:textId="77777777" w:rsidR="00181F0F" w:rsidRPr="00FC1976" w:rsidRDefault="00CE45CA" w:rsidP="00E15A50">
      <w:pPr>
        <w:pStyle w:val="01squarebullet"/>
        <w:rPr>
          <w:lang w:val="en-AU"/>
        </w:rPr>
      </w:pPr>
      <w:r w:rsidRPr="00FC1976">
        <w:rPr>
          <w:lang w:val="en-AU"/>
        </w:rPr>
        <w:t>Create</w:t>
      </w:r>
      <w:r w:rsidR="00181F0F" w:rsidRPr="00FC1976">
        <w:rPr>
          <w:lang w:val="en-AU"/>
        </w:rPr>
        <w:t xml:space="preserve"> a new MBS number for “Living donor nephrectomy, Laparoscopic and/or open</w:t>
      </w:r>
      <w:r w:rsidR="0020200D" w:rsidRPr="00FC1976">
        <w:rPr>
          <w:lang w:val="en-AU"/>
        </w:rPr>
        <w:t>,</w:t>
      </w:r>
      <w:r w:rsidR="00181F0F" w:rsidRPr="00FC1976">
        <w:rPr>
          <w:lang w:val="en-AU"/>
        </w:rPr>
        <w:t>” including use of an assistant</w:t>
      </w:r>
      <w:r w:rsidR="00F1747C" w:rsidRPr="00FC1976">
        <w:rPr>
          <w:lang w:val="en-AU"/>
        </w:rPr>
        <w:t>.</w:t>
      </w:r>
    </w:p>
    <w:p w14:paraId="42B3C699" w14:textId="77777777" w:rsidR="00181F0F" w:rsidRPr="00FC1976" w:rsidRDefault="00A01B61" w:rsidP="00E15A50">
      <w:pPr>
        <w:pStyle w:val="01squarebullet"/>
        <w:rPr>
          <w:lang w:val="en-AU"/>
        </w:rPr>
      </w:pPr>
      <w:r w:rsidRPr="00FC1976">
        <w:rPr>
          <w:lang w:val="en-AU"/>
        </w:rPr>
        <w:t>When</w:t>
      </w:r>
      <w:r w:rsidR="00181F0F" w:rsidRPr="00FC1976">
        <w:rPr>
          <w:lang w:val="en-AU"/>
        </w:rPr>
        <w:t xml:space="preserve"> determining the schedule fee for the item, </w:t>
      </w:r>
      <w:r w:rsidR="002C4624" w:rsidRPr="00FC1976">
        <w:rPr>
          <w:lang w:val="en-AU"/>
        </w:rPr>
        <w:t>the M</w:t>
      </w:r>
      <w:r w:rsidR="00181F0F" w:rsidRPr="00FC1976">
        <w:rPr>
          <w:lang w:val="en-AU"/>
        </w:rPr>
        <w:t>SAC</w:t>
      </w:r>
      <w:r w:rsidR="002C4624" w:rsidRPr="00FC1976">
        <w:rPr>
          <w:lang w:val="en-AU"/>
        </w:rPr>
        <w:t xml:space="preserve"> should</w:t>
      </w:r>
      <w:r w:rsidR="00181F0F" w:rsidRPr="00FC1976">
        <w:rPr>
          <w:lang w:val="en-AU"/>
        </w:rPr>
        <w:t xml:space="preserve"> consider that item </w:t>
      </w:r>
      <w:r w:rsidR="00774A64" w:rsidRPr="00FC1976">
        <w:rPr>
          <w:lang w:val="en-AU"/>
        </w:rPr>
        <w:t>36532 (</w:t>
      </w:r>
      <w:r w:rsidR="00181F0F" w:rsidRPr="00FC1976">
        <w:rPr>
          <w:lang w:val="en-AU"/>
        </w:rPr>
        <w:t xml:space="preserve">for </w:t>
      </w:r>
      <w:r w:rsidR="00017509" w:rsidRPr="00FC1976">
        <w:rPr>
          <w:lang w:val="en-AU"/>
        </w:rPr>
        <w:t>n</w:t>
      </w:r>
      <w:r w:rsidR="00181F0F" w:rsidRPr="00FC1976">
        <w:rPr>
          <w:lang w:val="en-AU"/>
        </w:rPr>
        <w:t>ephro-uretectomy, for tumour</w:t>
      </w:r>
      <w:r w:rsidR="00774A64" w:rsidRPr="00FC1976">
        <w:rPr>
          <w:lang w:val="en-AU"/>
        </w:rPr>
        <w:t>)</w:t>
      </w:r>
      <w:r w:rsidR="00181F0F" w:rsidRPr="00FC1976">
        <w:rPr>
          <w:lang w:val="en-AU"/>
        </w:rPr>
        <w:t xml:space="preserve"> is the most equivalent service on the MBS</w:t>
      </w:r>
      <w:r w:rsidR="00F1747C" w:rsidRPr="00FC1976">
        <w:rPr>
          <w:lang w:val="en-AU"/>
        </w:rPr>
        <w:t>.</w:t>
      </w:r>
      <w:r w:rsidR="00181F0F" w:rsidRPr="00FC1976">
        <w:rPr>
          <w:lang w:val="en-AU"/>
        </w:rPr>
        <w:t xml:space="preserve"> </w:t>
      </w:r>
    </w:p>
    <w:p w14:paraId="05D6BE6B" w14:textId="6AEC6651" w:rsidR="00181F0F" w:rsidRPr="00FC1976" w:rsidRDefault="00181F0F" w:rsidP="0001005C">
      <w:pPr>
        <w:pStyle w:val="H4"/>
      </w:pPr>
      <w:r w:rsidRPr="00FC1976">
        <w:t>Rationale</w:t>
      </w:r>
    </w:p>
    <w:p w14:paraId="1A53B264" w14:textId="77777777" w:rsidR="000307DA" w:rsidRDefault="000307DA" w:rsidP="008B0D8A">
      <w:pPr>
        <w:pStyle w:val="01squarebullet"/>
        <w:numPr>
          <w:ilvl w:val="0"/>
          <w:numId w:val="0"/>
        </w:numPr>
        <w:spacing w:before="200"/>
        <w:ind w:left="357" w:hanging="357"/>
        <w:rPr>
          <w:lang w:val="en-AU"/>
        </w:rPr>
      </w:pPr>
      <w:r>
        <w:rPr>
          <w:lang w:val="en-AU"/>
        </w:rPr>
        <w:t>The recommendations focus on</w:t>
      </w:r>
      <w:r w:rsidR="00F65863">
        <w:rPr>
          <w:lang w:val="en-AU"/>
        </w:rPr>
        <w:t xml:space="preserve"> supporting best practice</w:t>
      </w:r>
      <w:r>
        <w:rPr>
          <w:lang w:val="en-AU"/>
        </w:rPr>
        <w:t xml:space="preserve"> and are based on the following observations.</w:t>
      </w:r>
    </w:p>
    <w:p w14:paraId="17EF5D8E" w14:textId="77777777" w:rsidR="00181F0F" w:rsidRPr="00FC1976" w:rsidRDefault="00181F0F" w:rsidP="00E15A50">
      <w:pPr>
        <w:pStyle w:val="01squarebullet"/>
        <w:rPr>
          <w:lang w:val="en-AU"/>
        </w:rPr>
      </w:pPr>
      <w:r w:rsidRPr="00FC1976">
        <w:rPr>
          <w:lang w:val="en-AU"/>
        </w:rPr>
        <w:t>Living donor nephrectomy is a unique operation performed to procure a kidney for transplantation.</w:t>
      </w:r>
      <w:r w:rsidR="003E34F9" w:rsidRPr="00FC1976">
        <w:rPr>
          <w:lang w:val="en-AU"/>
        </w:rPr>
        <w:t xml:space="preserve"> </w:t>
      </w:r>
      <w:r w:rsidRPr="00FC1976">
        <w:rPr>
          <w:lang w:val="en-AU"/>
        </w:rPr>
        <w:t xml:space="preserve">It is usually performed as a </w:t>
      </w:r>
      <w:r w:rsidR="003E34F9" w:rsidRPr="00FC1976">
        <w:rPr>
          <w:lang w:val="en-AU"/>
        </w:rPr>
        <w:t>l</w:t>
      </w:r>
      <w:r w:rsidRPr="00FC1976">
        <w:rPr>
          <w:lang w:val="en-AU"/>
        </w:rPr>
        <w:t>aparoscopic procedure</w:t>
      </w:r>
      <w:r w:rsidR="00DF3B1D" w:rsidRPr="00FC1976">
        <w:rPr>
          <w:lang w:val="en-AU"/>
        </w:rPr>
        <w:t>,</w:t>
      </w:r>
      <w:r w:rsidRPr="00FC1976">
        <w:rPr>
          <w:lang w:val="en-AU"/>
        </w:rPr>
        <w:t xml:space="preserve"> which is </w:t>
      </w:r>
      <w:r w:rsidR="00897E6A">
        <w:rPr>
          <w:lang w:val="en-AU"/>
        </w:rPr>
        <w:t xml:space="preserve">a </w:t>
      </w:r>
      <w:r w:rsidRPr="00FC1976">
        <w:rPr>
          <w:lang w:val="en-AU"/>
        </w:rPr>
        <w:t>standard</w:t>
      </w:r>
      <w:r w:rsidR="00897E6A">
        <w:rPr>
          <w:lang w:val="en-AU"/>
        </w:rPr>
        <w:t xml:space="preserve"> procedure</w:t>
      </w:r>
      <w:r w:rsidRPr="00FC1976">
        <w:rPr>
          <w:lang w:val="en-AU"/>
        </w:rPr>
        <w:t xml:space="preserve"> for live </w:t>
      </w:r>
      <w:r w:rsidR="00CE3315">
        <w:rPr>
          <w:lang w:val="en-AU"/>
        </w:rPr>
        <w:t>donor</w:t>
      </w:r>
      <w:r w:rsidRPr="00FC1976">
        <w:rPr>
          <w:lang w:val="en-AU"/>
        </w:rPr>
        <w:t xml:space="preserve"> operations and has been widely used in Australia since 2007</w:t>
      </w:r>
      <w:r w:rsidR="00A014A7" w:rsidRPr="00FC1976">
        <w:rPr>
          <w:lang w:val="en-AU"/>
        </w:rPr>
        <w:t xml:space="preserve"> </w:t>
      </w:r>
      <w:r w:rsidR="00A014A7" w:rsidRPr="00FC1976">
        <w:rPr>
          <w:lang w:val="en-AU"/>
        </w:rPr>
        <w:fldChar w:fldCharType="begin" w:fldLock="1"/>
      </w:r>
      <w:r w:rsidR="0099742A">
        <w:rPr>
          <w:lang w:val="en-AU"/>
        </w:rPr>
        <w:instrText>ADDIN CSL_CITATION { "citationItems" : [ { "id" : "ITEM-1", "itemData" : { "DOI" : "10.1111/j.1440-1797.2009.01214.x", "ISSN" : "1440-1797", "PMID" : "20591051", "author" : [ { "dropping-particle" : "", "family" : "Gibbons", "given" : "Norma", "non-dropping-particle" : "", "parse-names" : false, "suffix" : "" }, { "dropping-particle" : "", "family" : "Nicol", "given" : "David", "non-dropping-particle" : "", "parse-names" : false, "suffix" : "" }, { "dropping-particle" : "", "family" : "CARI", "given" : "", "non-dropping-particle" : "", "parse-names" : false, "suffix" : "" } ], "container-title" : "Nephrology (Carlton, Vic.)", "id" : "ITEM-1", "issued" : { "date-parts" : [ [ "2010", "4" ] ] }, "page" : "S88-95", "title" : "The CARI guidelines. Surgical techniques in living donor nephrectomy.", "type" : "article-journal", "volume" : "15 Suppl 1" }, "uris" : [ "http://www.mendeley.com/documents/?uuid=8eb9c0ee-cfa4-38d8-bea2-324fd2326331" ] } ], "mendeley" : { "formattedCitation" : "(37)", "plainTextFormattedCitation" : "(37)", "previouslyFormattedCitation" : "(37)" }, "properties" : { "noteIndex" : 0 }, "schema" : "https://github.com/citation-style-language/schema/raw/master/csl-citation.json" }</w:instrText>
      </w:r>
      <w:r w:rsidR="00A014A7" w:rsidRPr="00FC1976">
        <w:rPr>
          <w:lang w:val="en-AU"/>
        </w:rPr>
        <w:fldChar w:fldCharType="separate"/>
      </w:r>
      <w:r w:rsidR="0099742A" w:rsidRPr="0099742A">
        <w:rPr>
          <w:noProof/>
          <w:lang w:val="en-AU"/>
        </w:rPr>
        <w:t>(37)</w:t>
      </w:r>
      <w:r w:rsidR="00A014A7" w:rsidRPr="00FC1976">
        <w:rPr>
          <w:lang w:val="en-AU"/>
        </w:rPr>
        <w:fldChar w:fldCharType="end"/>
      </w:r>
      <w:r w:rsidRPr="00FC1976">
        <w:rPr>
          <w:lang w:val="en-AU"/>
        </w:rPr>
        <w:t>.</w:t>
      </w:r>
      <w:r w:rsidR="00DF3B1D" w:rsidRPr="00FC1976">
        <w:rPr>
          <w:lang w:val="en-AU"/>
        </w:rPr>
        <w:t xml:space="preserve"> </w:t>
      </w:r>
      <w:r w:rsidRPr="00FC1976">
        <w:rPr>
          <w:lang w:val="en-AU"/>
        </w:rPr>
        <w:t xml:space="preserve">It is different and more complex </w:t>
      </w:r>
      <w:r w:rsidR="00460EDB" w:rsidRPr="00FC1976">
        <w:rPr>
          <w:lang w:val="en-AU"/>
        </w:rPr>
        <w:t xml:space="preserve">than </w:t>
      </w:r>
      <w:r w:rsidRPr="00FC1976">
        <w:rPr>
          <w:lang w:val="en-AU"/>
        </w:rPr>
        <w:t>ablative nephrectomy for cancer or stone disease as it is very important to take</w:t>
      </w:r>
      <w:r w:rsidR="00EF2138" w:rsidRPr="00FC1976">
        <w:rPr>
          <w:lang w:val="en-AU"/>
        </w:rPr>
        <w:t xml:space="preserve"> the</w:t>
      </w:r>
      <w:r w:rsidRPr="00FC1976">
        <w:rPr>
          <w:lang w:val="en-AU"/>
        </w:rPr>
        <w:t xml:space="preserve"> maximum length of the renal artery, vein and ureter</w:t>
      </w:r>
      <w:r w:rsidR="00E06AC7" w:rsidRPr="00FC1976">
        <w:rPr>
          <w:lang w:val="en-AU"/>
        </w:rPr>
        <w:t>,</w:t>
      </w:r>
      <w:r w:rsidRPr="00FC1976">
        <w:rPr>
          <w:lang w:val="en-AU"/>
        </w:rPr>
        <w:t xml:space="preserve"> and to cause no damage to the kidney, </w:t>
      </w:r>
      <w:r w:rsidR="00F762FD" w:rsidRPr="00FC1976">
        <w:rPr>
          <w:lang w:val="en-AU"/>
        </w:rPr>
        <w:t xml:space="preserve">in order </w:t>
      </w:r>
      <w:r w:rsidRPr="00FC1976">
        <w:rPr>
          <w:lang w:val="en-AU"/>
        </w:rPr>
        <w:t>to facilitate the transplant operation.</w:t>
      </w:r>
      <w:r w:rsidR="00F72644" w:rsidRPr="00FC1976">
        <w:rPr>
          <w:lang w:val="en-AU"/>
        </w:rPr>
        <w:t xml:space="preserve"> </w:t>
      </w:r>
      <w:r w:rsidRPr="00FC1976">
        <w:rPr>
          <w:lang w:val="en-AU"/>
        </w:rPr>
        <w:t xml:space="preserve">For this reason, it is only performed by a small group of </w:t>
      </w:r>
      <w:r w:rsidR="00F72644" w:rsidRPr="00FC1976">
        <w:rPr>
          <w:lang w:val="en-AU"/>
        </w:rPr>
        <w:t>g</w:t>
      </w:r>
      <w:r w:rsidRPr="00FC1976">
        <w:rPr>
          <w:lang w:val="en-AU"/>
        </w:rPr>
        <w:t xml:space="preserve">eneral </w:t>
      </w:r>
      <w:r w:rsidR="00F72644" w:rsidRPr="00FC1976">
        <w:rPr>
          <w:lang w:val="en-AU"/>
        </w:rPr>
        <w:t>t</w:t>
      </w:r>
      <w:r w:rsidRPr="00FC1976">
        <w:rPr>
          <w:lang w:val="en-AU"/>
        </w:rPr>
        <w:t xml:space="preserve">ransplant, </w:t>
      </w:r>
      <w:r w:rsidR="00F72644" w:rsidRPr="00FC1976">
        <w:rPr>
          <w:lang w:val="en-AU"/>
        </w:rPr>
        <w:t>v</w:t>
      </w:r>
      <w:r w:rsidRPr="00FC1976">
        <w:rPr>
          <w:lang w:val="en-AU"/>
        </w:rPr>
        <w:t xml:space="preserve">ascular and </w:t>
      </w:r>
      <w:r w:rsidR="00F72644" w:rsidRPr="00FC1976">
        <w:rPr>
          <w:lang w:val="en-AU"/>
        </w:rPr>
        <w:t>u</w:t>
      </w:r>
      <w:r w:rsidRPr="00FC1976">
        <w:rPr>
          <w:lang w:val="en-AU"/>
        </w:rPr>
        <w:t xml:space="preserve">rology surgeons who are specially trained in the procedure. </w:t>
      </w:r>
      <w:r w:rsidR="00825A48" w:rsidRPr="00FC1976">
        <w:rPr>
          <w:lang w:val="en-AU"/>
        </w:rPr>
        <w:t xml:space="preserve">Approximately </w:t>
      </w:r>
      <w:r w:rsidRPr="00FC1976">
        <w:rPr>
          <w:lang w:val="en-AU"/>
        </w:rPr>
        <w:t>260 donor nephrectomies are performed in Australia each year</w:t>
      </w:r>
      <w:r w:rsidR="00A014A7" w:rsidRPr="00FC1976">
        <w:rPr>
          <w:lang w:val="en-AU"/>
        </w:rPr>
        <w:t xml:space="preserve"> </w:t>
      </w:r>
      <w:r w:rsidR="00A014A7" w:rsidRPr="00FC1976">
        <w:rPr>
          <w:lang w:val="en-AU"/>
        </w:rPr>
        <w:fldChar w:fldCharType="begin" w:fldLock="1"/>
      </w:r>
      <w:r w:rsidR="0099742A">
        <w:rPr>
          <w:lang w:val="en-AU"/>
        </w:rPr>
        <w:instrText>ADDIN CSL_CITATION { "citationItems" : [ { "id" : "ITEM-1", "itemData" : { "author" : [ { "dropping-particle" : "", "family" : "ANZDATA", "given" : "", "non-dropping-particle" : "", "parse-names" : false, "suffix" : "" } ], "id" : "ITEM-1", "issued" : { "date-parts" : [ [ "0" ] ] }, "title" : "Living Kidney Donor Registry", "type" : "article-journal" }, "uris" : [ "http://www.mendeley.com/documents/?uuid=0fa7412f-185f-44a1-bd58-2c09aa4f60c5" ] } ], "mendeley" : { "formattedCitation" : "(36)", "plainTextFormattedCitation" : "(36)", "previouslyFormattedCitation" : "(36)" }, "properties" : { "noteIndex" : 0 }, "schema" : "https://github.com/citation-style-language/schema/raw/master/csl-citation.json" }</w:instrText>
      </w:r>
      <w:r w:rsidR="00A014A7" w:rsidRPr="00FC1976">
        <w:rPr>
          <w:lang w:val="en-AU"/>
        </w:rPr>
        <w:fldChar w:fldCharType="separate"/>
      </w:r>
      <w:r w:rsidR="0099742A" w:rsidRPr="0099742A">
        <w:rPr>
          <w:noProof/>
          <w:lang w:val="en-AU"/>
        </w:rPr>
        <w:t>(36)</w:t>
      </w:r>
      <w:r w:rsidR="00A014A7" w:rsidRPr="00FC1976">
        <w:rPr>
          <w:lang w:val="en-AU"/>
        </w:rPr>
        <w:fldChar w:fldCharType="end"/>
      </w:r>
      <w:r w:rsidRPr="00FC1976">
        <w:rPr>
          <w:lang w:val="en-AU"/>
        </w:rPr>
        <w:t>.</w:t>
      </w:r>
    </w:p>
    <w:p w14:paraId="54E4BF0A" w14:textId="77777777" w:rsidR="00181F0F" w:rsidRPr="00FC1976" w:rsidRDefault="00181F0F" w:rsidP="00E15A50">
      <w:pPr>
        <w:pStyle w:val="01squarebullet"/>
        <w:rPr>
          <w:lang w:val="en-AU"/>
        </w:rPr>
      </w:pPr>
      <w:r w:rsidRPr="00FC1976">
        <w:rPr>
          <w:lang w:val="en-AU"/>
        </w:rPr>
        <w:t xml:space="preserve">Donor nephrectomy, either open or laparoscopic, has never had an </w:t>
      </w:r>
      <w:r w:rsidR="007A0938" w:rsidRPr="00FC1976">
        <w:rPr>
          <w:lang w:val="en-AU"/>
        </w:rPr>
        <w:t>i</w:t>
      </w:r>
      <w:r w:rsidRPr="00FC1976">
        <w:rPr>
          <w:lang w:val="en-AU"/>
        </w:rPr>
        <w:t xml:space="preserve">tem number attached to it. For </w:t>
      </w:r>
      <w:r w:rsidR="0053562D" w:rsidRPr="00FC1976">
        <w:rPr>
          <w:lang w:val="en-AU"/>
        </w:rPr>
        <w:t xml:space="preserve">this </w:t>
      </w:r>
      <w:r w:rsidRPr="00FC1976">
        <w:rPr>
          <w:lang w:val="en-AU"/>
        </w:rPr>
        <w:t>reason</w:t>
      </w:r>
      <w:r w:rsidR="0053562D" w:rsidRPr="00FC1976">
        <w:rPr>
          <w:lang w:val="en-AU"/>
        </w:rPr>
        <w:t>,</w:t>
      </w:r>
      <w:r w:rsidRPr="00FC1976">
        <w:rPr>
          <w:lang w:val="en-AU"/>
        </w:rPr>
        <w:t xml:space="preserve"> </w:t>
      </w:r>
      <w:r w:rsidR="003302A7" w:rsidRPr="00FC1976">
        <w:rPr>
          <w:lang w:val="en-AU"/>
        </w:rPr>
        <w:t xml:space="preserve">surgeons who perform donor nephrectomy use </w:t>
      </w:r>
      <w:r w:rsidRPr="00FC1976">
        <w:rPr>
          <w:lang w:val="en-AU"/>
        </w:rPr>
        <w:t>a variety of MBS numbers (</w:t>
      </w:r>
      <w:r w:rsidR="006B34AE" w:rsidRPr="00FC1976">
        <w:rPr>
          <w:lang w:val="en-AU"/>
        </w:rPr>
        <w:t xml:space="preserve">for example, </w:t>
      </w:r>
      <w:r w:rsidR="00202A4F" w:rsidRPr="00FC1976">
        <w:rPr>
          <w:lang w:val="en-AU"/>
        </w:rPr>
        <w:t xml:space="preserve">items </w:t>
      </w:r>
      <w:r w:rsidRPr="00FC1976">
        <w:rPr>
          <w:lang w:val="en-AU"/>
        </w:rPr>
        <w:t>36516, 36531</w:t>
      </w:r>
      <w:r w:rsidR="00254557">
        <w:rPr>
          <w:lang w:val="en-AU"/>
        </w:rPr>
        <w:t xml:space="preserve"> and</w:t>
      </w:r>
      <w:r w:rsidRPr="00FC1976">
        <w:rPr>
          <w:lang w:val="en-AU"/>
        </w:rPr>
        <w:t xml:space="preserve"> 30390)</w:t>
      </w:r>
      <w:r w:rsidR="00136B5C" w:rsidRPr="00FC1976">
        <w:rPr>
          <w:lang w:val="en-AU"/>
        </w:rPr>
        <w:t>.</w:t>
      </w:r>
      <w:r w:rsidRPr="00FC1976">
        <w:rPr>
          <w:lang w:val="en-AU"/>
        </w:rPr>
        <w:t xml:space="preserve"> </w:t>
      </w:r>
      <w:r w:rsidR="00136B5C" w:rsidRPr="00FC1976">
        <w:rPr>
          <w:lang w:val="en-AU"/>
        </w:rPr>
        <w:t>A</w:t>
      </w:r>
      <w:r w:rsidRPr="00FC1976">
        <w:rPr>
          <w:lang w:val="en-AU"/>
        </w:rPr>
        <w:t xml:space="preserve"> dedicated </w:t>
      </w:r>
      <w:r w:rsidR="008C374A" w:rsidRPr="00FC1976">
        <w:rPr>
          <w:lang w:val="en-AU"/>
        </w:rPr>
        <w:t xml:space="preserve">item </w:t>
      </w:r>
      <w:r w:rsidRPr="00FC1976">
        <w:rPr>
          <w:lang w:val="en-AU"/>
        </w:rPr>
        <w:t xml:space="preserve">number would be helpful to clarify and adequately remunerate the operating surgeon. </w:t>
      </w:r>
    </w:p>
    <w:p w14:paraId="6681D426" w14:textId="77777777" w:rsidR="00181F0F" w:rsidRPr="00FC1976" w:rsidRDefault="00E44BD1" w:rsidP="00E15A50">
      <w:pPr>
        <w:pStyle w:val="01squarebullet"/>
        <w:rPr>
          <w:lang w:val="en-AU"/>
        </w:rPr>
      </w:pPr>
      <w:r w:rsidRPr="00FC1976">
        <w:rPr>
          <w:lang w:val="en-AU"/>
        </w:rPr>
        <w:t>An assistant is required to complete a l</w:t>
      </w:r>
      <w:r w:rsidR="00181F0F" w:rsidRPr="00FC1976">
        <w:rPr>
          <w:lang w:val="en-AU"/>
        </w:rPr>
        <w:t xml:space="preserve">aparoscopic donor nephrectomy successfully, as </w:t>
      </w:r>
      <w:r w:rsidR="00B043BF" w:rsidRPr="00FC1976">
        <w:rPr>
          <w:lang w:val="en-AU"/>
        </w:rPr>
        <w:t>three</w:t>
      </w:r>
      <w:r w:rsidR="00181F0F" w:rsidRPr="00FC1976">
        <w:rPr>
          <w:lang w:val="en-AU"/>
        </w:rPr>
        <w:t xml:space="preserve"> to </w:t>
      </w:r>
      <w:r w:rsidR="00B043BF" w:rsidRPr="00FC1976">
        <w:rPr>
          <w:lang w:val="en-AU"/>
        </w:rPr>
        <w:t>four</w:t>
      </w:r>
      <w:r w:rsidR="00181F0F" w:rsidRPr="00FC1976">
        <w:rPr>
          <w:lang w:val="en-AU"/>
        </w:rPr>
        <w:t xml:space="preserve"> ports (requiring at least </w:t>
      </w:r>
      <w:r w:rsidR="004D2F61" w:rsidRPr="00FC1976">
        <w:rPr>
          <w:lang w:val="en-AU"/>
        </w:rPr>
        <w:t>two</w:t>
      </w:r>
      <w:r w:rsidR="00181F0F" w:rsidRPr="00FC1976">
        <w:rPr>
          <w:lang w:val="en-AU"/>
        </w:rPr>
        <w:t xml:space="preserve"> pairs of hands) are essential for the procedure</w:t>
      </w:r>
      <w:r w:rsidR="00CA2FDC" w:rsidRPr="00FC1976">
        <w:rPr>
          <w:lang w:val="en-AU"/>
        </w:rPr>
        <w:t xml:space="preserve">. For this reason, </w:t>
      </w:r>
      <w:r w:rsidR="00181F0F" w:rsidRPr="00FC1976">
        <w:rPr>
          <w:lang w:val="en-AU"/>
        </w:rPr>
        <w:t>an assistant fee is also required.</w:t>
      </w:r>
    </w:p>
    <w:p w14:paraId="1DB496C4" w14:textId="77777777" w:rsidR="000A6DFE" w:rsidRPr="00FC1976" w:rsidRDefault="00181F0F" w:rsidP="00AB752F">
      <w:pPr>
        <w:pStyle w:val="Heading3"/>
        <w:rPr>
          <w:lang w:val="en-AU"/>
        </w:rPr>
      </w:pPr>
      <w:bookmarkStart w:id="165" w:name="_Toc459996827"/>
      <w:bookmarkStart w:id="166" w:name="_Toc458167019"/>
      <w:bookmarkStart w:id="167" w:name="_Toc467668970"/>
      <w:r w:rsidRPr="00FC1976">
        <w:rPr>
          <w:lang w:val="en-AU"/>
        </w:rPr>
        <w:t xml:space="preserve">Renal </w:t>
      </w:r>
      <w:r w:rsidR="00110604" w:rsidRPr="00FC1976">
        <w:rPr>
          <w:lang w:val="en-AU"/>
        </w:rPr>
        <w:t>b</w:t>
      </w:r>
      <w:r w:rsidRPr="00FC1976">
        <w:rPr>
          <w:lang w:val="en-AU"/>
        </w:rPr>
        <w:t>iopsy</w:t>
      </w:r>
      <w:bookmarkEnd w:id="165"/>
      <w:bookmarkEnd w:id="166"/>
      <w:bookmarkEnd w:id="167"/>
      <w:r w:rsidR="00B37C72" w:rsidRPr="00FC1976">
        <w:rPr>
          <w:lang w:val="en-AU"/>
        </w:rPr>
        <w:t xml:space="preserve"> </w:t>
      </w:r>
    </w:p>
    <w:p w14:paraId="34089254" w14:textId="0998DE56" w:rsidR="000005DB" w:rsidRDefault="000005DB" w:rsidP="00082595">
      <w:pPr>
        <w:pStyle w:val="Caption"/>
        <w:rPr>
          <w:lang w:val="en-AU"/>
        </w:rPr>
      </w:pPr>
      <w:bookmarkStart w:id="168" w:name="_Toc458167032"/>
      <w:bookmarkStart w:id="169" w:name="_Toc459971214"/>
      <w:bookmarkStart w:id="170" w:name="_Toc459996841"/>
      <w:bookmarkStart w:id="171" w:name="_Toc459891302"/>
      <w:bookmarkStart w:id="172" w:name="_Toc463984895"/>
      <w:bookmarkEnd w:id="163"/>
      <w:bookmarkEnd w:id="164"/>
      <w:r w:rsidRPr="00FC1976">
        <w:rPr>
          <w:lang w:val="en-AU"/>
        </w:rPr>
        <w:t xml:space="preserve">Table </w:t>
      </w:r>
      <w:r w:rsidR="00F00C88" w:rsidRPr="00FC1976">
        <w:rPr>
          <w:lang w:val="en-AU"/>
        </w:rPr>
        <w:fldChar w:fldCharType="begin"/>
      </w:r>
      <w:r w:rsidR="00F00C88" w:rsidRPr="00FC1976">
        <w:rPr>
          <w:lang w:val="en-AU"/>
        </w:rPr>
        <w:instrText xml:space="preserve"> SEQ Table \* ARABIC </w:instrText>
      </w:r>
      <w:r w:rsidR="00F00C88" w:rsidRPr="00FC1976">
        <w:rPr>
          <w:lang w:val="en-AU"/>
        </w:rPr>
        <w:fldChar w:fldCharType="separate"/>
      </w:r>
      <w:r w:rsidR="00D17FB0">
        <w:rPr>
          <w:noProof/>
          <w:lang w:val="en-AU"/>
        </w:rPr>
        <w:t>8</w:t>
      </w:r>
      <w:r w:rsidR="00F00C88" w:rsidRPr="00FC1976">
        <w:rPr>
          <w:lang w:val="en-AU"/>
        </w:rPr>
        <w:fldChar w:fldCharType="end"/>
      </w:r>
      <w:r w:rsidRPr="00FC1976">
        <w:rPr>
          <w:lang w:val="en-AU"/>
        </w:rPr>
        <w:t xml:space="preserve">: Item introduction table for item </w:t>
      </w:r>
      <w:r w:rsidR="00D27AD1" w:rsidRPr="00FC1976">
        <w:rPr>
          <w:lang w:val="en-AU"/>
        </w:rPr>
        <w:t>36561</w:t>
      </w:r>
      <w:bookmarkEnd w:id="168"/>
      <w:bookmarkEnd w:id="169"/>
      <w:bookmarkEnd w:id="170"/>
      <w:bookmarkEnd w:id="171"/>
      <w:bookmarkEnd w:id="172"/>
      <w:r w:rsidRPr="00FC1976">
        <w:rPr>
          <w:lang w:val="en-AU"/>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8 shows the item introduction table for item 36561 which is for Renal biopsy. There are 6 columns: column 1. Item number, column 2. Descriptor, column 3. Schedule fee, column 4. Volume of services for financial year 2014-15, column 5. Total benefits, and column 6. Percentage of the services average annual growth."/>
      </w:tblPr>
      <w:tblGrid>
        <w:gridCol w:w="716"/>
        <w:gridCol w:w="4111"/>
        <w:gridCol w:w="917"/>
        <w:gridCol w:w="997"/>
        <w:gridCol w:w="1080"/>
        <w:gridCol w:w="1195"/>
      </w:tblGrid>
      <w:tr w:rsidR="00C2667E" w:rsidRPr="00FC1976" w14:paraId="57FA5168" w14:textId="77777777" w:rsidTr="00495DE2">
        <w:trPr>
          <w:tblHeader/>
        </w:trPr>
        <w:tc>
          <w:tcPr>
            <w:tcW w:w="716" w:type="dxa"/>
            <w:shd w:val="clear" w:color="auto" w:fill="F2F2F2" w:themeFill="background1" w:themeFillShade="F2"/>
            <w:tcMar>
              <w:top w:w="57" w:type="dxa"/>
              <w:left w:w="57" w:type="dxa"/>
              <w:bottom w:w="57" w:type="dxa"/>
              <w:right w:w="57" w:type="dxa"/>
            </w:tcMar>
            <w:vAlign w:val="bottom"/>
          </w:tcPr>
          <w:p w14:paraId="47E2720A" w14:textId="77777777" w:rsidR="00C2667E" w:rsidRPr="00FC1976" w:rsidRDefault="00C2667E" w:rsidP="00495DE2">
            <w:pPr>
              <w:pStyle w:val="01Tableheaderrow"/>
              <w:rPr>
                <w:lang w:val="en-AU"/>
              </w:rPr>
            </w:pPr>
            <w:r w:rsidRPr="00FC1976">
              <w:rPr>
                <w:lang w:val="en-AU"/>
              </w:rPr>
              <w:t>Item</w:t>
            </w:r>
          </w:p>
        </w:tc>
        <w:tc>
          <w:tcPr>
            <w:tcW w:w="4111" w:type="dxa"/>
            <w:shd w:val="clear" w:color="auto" w:fill="F2F2F2" w:themeFill="background1" w:themeFillShade="F2"/>
            <w:tcMar>
              <w:top w:w="57" w:type="dxa"/>
              <w:left w:w="57" w:type="dxa"/>
              <w:bottom w:w="57" w:type="dxa"/>
              <w:right w:w="57" w:type="dxa"/>
            </w:tcMar>
            <w:vAlign w:val="bottom"/>
          </w:tcPr>
          <w:p w14:paraId="553DB516" w14:textId="77777777" w:rsidR="00C2667E" w:rsidRPr="00FC1976" w:rsidRDefault="00C2667E" w:rsidP="00495DE2">
            <w:pPr>
              <w:pStyle w:val="01Tableheaderrow"/>
              <w:rPr>
                <w:lang w:val="en-AU"/>
              </w:rPr>
            </w:pPr>
            <w:r w:rsidRPr="00FC1976">
              <w:rPr>
                <w:lang w:val="en-AU"/>
              </w:rPr>
              <w:t>Descriptor</w:t>
            </w:r>
          </w:p>
        </w:tc>
        <w:tc>
          <w:tcPr>
            <w:tcW w:w="917" w:type="dxa"/>
            <w:shd w:val="clear" w:color="auto" w:fill="F2F2F2" w:themeFill="background1" w:themeFillShade="F2"/>
            <w:tcMar>
              <w:top w:w="57" w:type="dxa"/>
              <w:left w:w="57" w:type="dxa"/>
              <w:bottom w:w="57" w:type="dxa"/>
              <w:right w:w="57" w:type="dxa"/>
            </w:tcMar>
            <w:vAlign w:val="bottom"/>
          </w:tcPr>
          <w:p w14:paraId="3B58E376" w14:textId="77777777" w:rsidR="00C2667E" w:rsidRPr="00FC1976" w:rsidRDefault="00C2667E" w:rsidP="00495DE2">
            <w:pPr>
              <w:pStyle w:val="01Tableheaderrow"/>
              <w:rPr>
                <w:lang w:val="en-AU"/>
              </w:rPr>
            </w:pPr>
            <w:r w:rsidRPr="00FC1976">
              <w:rPr>
                <w:lang w:val="en-AU"/>
              </w:rPr>
              <w:t>Schedule</w:t>
            </w:r>
          </w:p>
          <w:p w14:paraId="5C1AF0DE" w14:textId="77777777" w:rsidR="00C2667E" w:rsidRPr="00FC1976" w:rsidRDefault="00C2667E" w:rsidP="00495DE2">
            <w:pPr>
              <w:pStyle w:val="01Tableheaderrow"/>
              <w:rPr>
                <w:lang w:val="en-AU"/>
              </w:rPr>
            </w:pPr>
            <w:r w:rsidRPr="00FC1976">
              <w:rPr>
                <w:lang w:val="en-AU"/>
              </w:rPr>
              <w:t>Fee</w:t>
            </w:r>
          </w:p>
        </w:tc>
        <w:tc>
          <w:tcPr>
            <w:tcW w:w="997" w:type="dxa"/>
            <w:shd w:val="clear" w:color="auto" w:fill="F2F2F2" w:themeFill="background1" w:themeFillShade="F2"/>
            <w:tcMar>
              <w:top w:w="57" w:type="dxa"/>
              <w:left w:w="57" w:type="dxa"/>
              <w:bottom w:w="57" w:type="dxa"/>
              <w:right w:w="57" w:type="dxa"/>
            </w:tcMar>
            <w:vAlign w:val="bottom"/>
          </w:tcPr>
          <w:p w14:paraId="10976E09" w14:textId="77777777" w:rsidR="00C2667E" w:rsidRPr="00FC1976" w:rsidRDefault="00C2667E" w:rsidP="00495DE2">
            <w:pPr>
              <w:pStyle w:val="01Tableheaderrow"/>
              <w:rPr>
                <w:lang w:val="en-AU"/>
              </w:rPr>
            </w:pPr>
            <w:r>
              <w:rPr>
                <w:lang w:val="en-AU"/>
              </w:rPr>
              <w:t>Volume of s</w:t>
            </w:r>
            <w:r w:rsidRPr="00FC1976">
              <w:rPr>
                <w:lang w:val="en-AU"/>
              </w:rPr>
              <w:t>ervices FY2014/15</w:t>
            </w:r>
          </w:p>
        </w:tc>
        <w:tc>
          <w:tcPr>
            <w:tcW w:w="1080" w:type="dxa"/>
            <w:shd w:val="clear" w:color="auto" w:fill="F2F2F2" w:themeFill="background1" w:themeFillShade="F2"/>
            <w:tcMar>
              <w:top w:w="57" w:type="dxa"/>
              <w:left w:w="57" w:type="dxa"/>
              <w:bottom w:w="57" w:type="dxa"/>
              <w:right w:w="57" w:type="dxa"/>
            </w:tcMar>
            <w:vAlign w:val="bottom"/>
          </w:tcPr>
          <w:p w14:paraId="1C650CA3" w14:textId="77777777" w:rsidR="00C2667E" w:rsidRPr="00FC1976" w:rsidRDefault="00C2667E" w:rsidP="00495DE2">
            <w:pPr>
              <w:pStyle w:val="01Tableheaderrow"/>
              <w:rPr>
                <w:lang w:val="en-AU"/>
              </w:rPr>
            </w:pPr>
            <w:r w:rsidRPr="00FC1976">
              <w:rPr>
                <w:lang w:val="en-AU"/>
              </w:rPr>
              <w:t>Total benefits</w:t>
            </w:r>
          </w:p>
        </w:tc>
        <w:tc>
          <w:tcPr>
            <w:tcW w:w="1195" w:type="dxa"/>
            <w:shd w:val="clear" w:color="auto" w:fill="F2F2F2" w:themeFill="background1" w:themeFillShade="F2"/>
            <w:tcMar>
              <w:top w:w="57" w:type="dxa"/>
              <w:left w:w="57" w:type="dxa"/>
              <w:bottom w:w="57" w:type="dxa"/>
              <w:right w:w="57" w:type="dxa"/>
            </w:tcMar>
            <w:vAlign w:val="bottom"/>
          </w:tcPr>
          <w:p w14:paraId="6BA299FC" w14:textId="77777777" w:rsidR="00C2667E" w:rsidRPr="00FC1976" w:rsidRDefault="00C2667E" w:rsidP="00495DE2">
            <w:pPr>
              <w:pStyle w:val="01Tableheaderrow"/>
              <w:rPr>
                <w:lang w:val="en-AU"/>
              </w:rPr>
            </w:pPr>
            <w:r w:rsidRPr="00FC1976">
              <w:rPr>
                <w:lang w:val="en-AU"/>
              </w:rPr>
              <w:t>Services average annual growth</w:t>
            </w:r>
          </w:p>
        </w:tc>
      </w:tr>
      <w:tr w:rsidR="00C2667E" w:rsidRPr="00FC1976" w14:paraId="2383FCF1" w14:textId="77777777" w:rsidTr="00495DE2">
        <w:tc>
          <w:tcPr>
            <w:tcW w:w="716" w:type="dxa"/>
            <w:tcMar>
              <w:top w:w="57" w:type="dxa"/>
              <w:left w:w="57" w:type="dxa"/>
              <w:bottom w:w="57" w:type="dxa"/>
              <w:right w:w="57" w:type="dxa"/>
            </w:tcMar>
          </w:tcPr>
          <w:p w14:paraId="3911DC2C" w14:textId="77777777" w:rsidR="00C2667E" w:rsidRPr="00FC1976" w:rsidRDefault="005147FF" w:rsidP="00495DE2">
            <w:pPr>
              <w:pStyle w:val="02Tabletext"/>
              <w:rPr>
                <w:lang w:val="en-AU"/>
              </w:rPr>
            </w:pPr>
            <w:r w:rsidRPr="00FC1976">
              <w:rPr>
                <w:lang w:val="en-AU"/>
              </w:rPr>
              <w:t>36561</w:t>
            </w:r>
          </w:p>
        </w:tc>
        <w:tc>
          <w:tcPr>
            <w:tcW w:w="4111" w:type="dxa"/>
            <w:tcMar>
              <w:top w:w="57" w:type="dxa"/>
              <w:left w:w="57" w:type="dxa"/>
              <w:bottom w:w="57" w:type="dxa"/>
              <w:right w:w="57" w:type="dxa"/>
            </w:tcMar>
          </w:tcPr>
          <w:p w14:paraId="7D385235" w14:textId="77777777" w:rsidR="00C2667E" w:rsidRPr="00FC1976" w:rsidRDefault="005147FF" w:rsidP="00495DE2">
            <w:pPr>
              <w:pStyle w:val="02Tabletext"/>
              <w:rPr>
                <w:lang w:val="en-AU"/>
              </w:rPr>
            </w:pPr>
            <w:r w:rsidRPr="00FC1976">
              <w:rPr>
                <w:lang w:val="en-AU"/>
              </w:rPr>
              <w:t>Renal Biopsy (closed)</w:t>
            </w:r>
            <w:r>
              <w:rPr>
                <w:lang w:val="en-AU"/>
              </w:rPr>
              <w:t>.</w:t>
            </w:r>
            <w:r w:rsidRPr="00FC1976">
              <w:rPr>
                <w:lang w:val="en-AU"/>
              </w:rPr>
              <w:t xml:space="preserve"> (Anaes.)</w:t>
            </w:r>
          </w:p>
        </w:tc>
        <w:tc>
          <w:tcPr>
            <w:tcW w:w="917" w:type="dxa"/>
            <w:tcMar>
              <w:top w:w="57" w:type="dxa"/>
              <w:left w:w="57" w:type="dxa"/>
              <w:bottom w:w="57" w:type="dxa"/>
              <w:right w:w="57" w:type="dxa"/>
            </w:tcMar>
          </w:tcPr>
          <w:p w14:paraId="74B6AD5E" w14:textId="77777777" w:rsidR="00C2667E" w:rsidRPr="00FC1976" w:rsidRDefault="005147FF" w:rsidP="00495DE2">
            <w:pPr>
              <w:pStyle w:val="02Tabletext"/>
              <w:rPr>
                <w:shd w:val="clear" w:color="auto" w:fill="FBFBFB"/>
                <w:lang w:val="en-AU"/>
              </w:rPr>
            </w:pPr>
            <w:r w:rsidRPr="00FC1976">
              <w:rPr>
                <w:lang w:val="en-AU"/>
              </w:rPr>
              <w:t>$172.50</w:t>
            </w:r>
          </w:p>
        </w:tc>
        <w:tc>
          <w:tcPr>
            <w:tcW w:w="997" w:type="dxa"/>
            <w:tcMar>
              <w:top w:w="57" w:type="dxa"/>
              <w:left w:w="57" w:type="dxa"/>
              <w:bottom w:w="57" w:type="dxa"/>
              <w:right w:w="57" w:type="dxa"/>
            </w:tcMar>
          </w:tcPr>
          <w:p w14:paraId="1F25E191" w14:textId="77777777" w:rsidR="00C2667E" w:rsidRPr="00FC1976" w:rsidRDefault="005147FF" w:rsidP="00495DE2">
            <w:pPr>
              <w:pStyle w:val="02Tabletext"/>
              <w:rPr>
                <w:shd w:val="clear" w:color="auto" w:fill="FBFBFB"/>
                <w:lang w:val="en-AU"/>
              </w:rPr>
            </w:pPr>
            <w:r w:rsidRPr="00FC1976">
              <w:rPr>
                <w:lang w:val="en-AU"/>
              </w:rPr>
              <w:t>1,592</w:t>
            </w:r>
          </w:p>
        </w:tc>
        <w:tc>
          <w:tcPr>
            <w:tcW w:w="1080" w:type="dxa"/>
            <w:tcMar>
              <w:top w:w="57" w:type="dxa"/>
              <w:left w:w="57" w:type="dxa"/>
              <w:bottom w:w="57" w:type="dxa"/>
              <w:right w:w="57" w:type="dxa"/>
            </w:tcMar>
          </w:tcPr>
          <w:p w14:paraId="0B4B393E" w14:textId="77777777" w:rsidR="00C2667E" w:rsidRPr="00FC1976" w:rsidRDefault="005147FF" w:rsidP="00495DE2">
            <w:pPr>
              <w:pStyle w:val="02Tabletext"/>
              <w:rPr>
                <w:shd w:val="clear" w:color="auto" w:fill="FBFBFB"/>
                <w:lang w:val="en-AU"/>
              </w:rPr>
            </w:pPr>
            <w:r w:rsidRPr="00FC1976">
              <w:rPr>
                <w:lang w:val="en-AU"/>
              </w:rPr>
              <w:t>$220,437</w:t>
            </w:r>
          </w:p>
        </w:tc>
        <w:tc>
          <w:tcPr>
            <w:tcW w:w="1195" w:type="dxa"/>
            <w:tcMar>
              <w:top w:w="57" w:type="dxa"/>
              <w:left w:w="57" w:type="dxa"/>
              <w:bottom w:w="57" w:type="dxa"/>
              <w:right w:w="57" w:type="dxa"/>
            </w:tcMar>
          </w:tcPr>
          <w:p w14:paraId="5FDFB086" w14:textId="77777777" w:rsidR="00C2667E" w:rsidRPr="00FC1976" w:rsidRDefault="005147FF" w:rsidP="00495DE2">
            <w:pPr>
              <w:pStyle w:val="02Tabletext"/>
              <w:rPr>
                <w:shd w:val="clear" w:color="auto" w:fill="FBFBFB"/>
                <w:lang w:val="en-AU"/>
              </w:rPr>
            </w:pPr>
            <w:r w:rsidRPr="00FC1976">
              <w:rPr>
                <w:lang w:val="en-AU"/>
              </w:rPr>
              <w:t>10.1%</w:t>
            </w:r>
          </w:p>
        </w:tc>
      </w:tr>
    </w:tbl>
    <w:p w14:paraId="198B717C" w14:textId="77777777" w:rsidR="00297A90" w:rsidRPr="00FC1976" w:rsidRDefault="00297A90" w:rsidP="0001005C">
      <w:pPr>
        <w:pStyle w:val="H4"/>
      </w:pPr>
      <w:r w:rsidRPr="00FC1976">
        <w:t xml:space="preserve">Recommendation </w:t>
      </w:r>
    </w:p>
    <w:p w14:paraId="158D63E9" w14:textId="77777777" w:rsidR="009F2BBC" w:rsidRPr="00BE639E" w:rsidRDefault="00297A90" w:rsidP="00BE639E">
      <w:pPr>
        <w:pStyle w:val="01squarebullet"/>
        <w:rPr>
          <w:lang w:val="en-AU"/>
        </w:rPr>
      </w:pPr>
      <w:r w:rsidRPr="00FC1976">
        <w:rPr>
          <w:lang w:val="en-AU"/>
        </w:rPr>
        <w:t xml:space="preserve">Amend the descriptor </w:t>
      </w:r>
      <w:r w:rsidR="00366606" w:rsidRPr="00FC1976">
        <w:rPr>
          <w:lang w:val="en-AU"/>
        </w:rPr>
        <w:t xml:space="preserve">for </w:t>
      </w:r>
      <w:r w:rsidRPr="00FC1976">
        <w:rPr>
          <w:lang w:val="en-AU"/>
        </w:rPr>
        <w:t xml:space="preserve">item 36561 to include a requirement that practitioners use ultrasound guidance when undertaking a renal biopsy. </w:t>
      </w:r>
      <w:r w:rsidR="00A659DC" w:rsidRPr="00FC1976">
        <w:rPr>
          <w:lang w:val="en-AU"/>
        </w:rPr>
        <w:t>The proposed descriptor is as follows:</w:t>
      </w:r>
      <w:r w:rsidR="00F55871" w:rsidRPr="0002528B">
        <w:rPr>
          <w:lang w:val="en-AU"/>
        </w:rPr>
        <w:t xml:space="preserve"> </w:t>
      </w:r>
      <w:r w:rsidR="00A659DC" w:rsidRPr="00BE639E">
        <w:rPr>
          <w:lang w:val="en-AU"/>
        </w:rPr>
        <w:t>“</w:t>
      </w:r>
      <w:r w:rsidRPr="00BE639E">
        <w:rPr>
          <w:lang w:val="en-AU"/>
        </w:rPr>
        <w:t xml:space="preserve">Renal biopsy (closed) performed </w:t>
      </w:r>
      <w:r w:rsidR="006E55E3" w:rsidRPr="00BE639E">
        <w:rPr>
          <w:lang w:val="en-AU"/>
        </w:rPr>
        <w:t>with</w:t>
      </w:r>
      <w:r w:rsidRPr="00BE639E">
        <w:rPr>
          <w:lang w:val="en-AU"/>
        </w:rPr>
        <w:t xml:space="preserve"> ultrasound guidance.</w:t>
      </w:r>
      <w:r w:rsidR="00A659DC" w:rsidRPr="00BE639E">
        <w:rPr>
          <w:lang w:val="en-AU"/>
        </w:rPr>
        <w:t>”</w:t>
      </w:r>
      <w:r w:rsidRPr="00BE639E">
        <w:rPr>
          <w:lang w:val="en-AU"/>
        </w:rPr>
        <w:t xml:space="preserve"> </w:t>
      </w:r>
    </w:p>
    <w:p w14:paraId="6C3EAE85" w14:textId="77777777" w:rsidR="00297A90" w:rsidRPr="00FC1976" w:rsidRDefault="00297A90" w:rsidP="0001005C">
      <w:pPr>
        <w:pStyle w:val="H4"/>
      </w:pPr>
      <w:r w:rsidRPr="00FC1976">
        <w:t>Rationale</w:t>
      </w:r>
    </w:p>
    <w:p w14:paraId="3BBA0C18" w14:textId="77777777" w:rsidR="0002528B" w:rsidRDefault="0002528B" w:rsidP="00BE639E">
      <w:pPr>
        <w:pStyle w:val="01squarebullet"/>
        <w:numPr>
          <w:ilvl w:val="0"/>
          <w:numId w:val="0"/>
        </w:numPr>
        <w:spacing w:before="200"/>
        <w:ind w:left="357" w:hanging="357"/>
        <w:rPr>
          <w:lang w:val="en-AU"/>
        </w:rPr>
      </w:pPr>
      <w:r>
        <w:rPr>
          <w:lang w:val="en-AU"/>
        </w:rPr>
        <w:t xml:space="preserve">The recommendation focuses on </w:t>
      </w:r>
      <w:r w:rsidR="00F65863">
        <w:rPr>
          <w:lang w:val="en-AU"/>
        </w:rPr>
        <w:t>ensuring best practice</w:t>
      </w:r>
      <w:r>
        <w:rPr>
          <w:lang w:val="en-AU"/>
        </w:rPr>
        <w:t xml:space="preserve"> and is based on the following observations.</w:t>
      </w:r>
    </w:p>
    <w:p w14:paraId="6B6EBE39" w14:textId="77777777" w:rsidR="00EB408E" w:rsidRPr="00FC1976" w:rsidRDefault="00EB408E" w:rsidP="00E15A50">
      <w:pPr>
        <w:pStyle w:val="01squarebullet"/>
        <w:rPr>
          <w:lang w:val="en-AU"/>
        </w:rPr>
      </w:pPr>
      <w:r w:rsidRPr="00FC1976">
        <w:rPr>
          <w:lang w:val="en-AU"/>
        </w:rPr>
        <w:t xml:space="preserve">Percutaneous renal biopsy continues to play an essential role in characterising and defining the processes involved in chronic and acute kidney disease. Although there are no global guidelines </w:t>
      </w:r>
      <w:r w:rsidR="00FA51B5" w:rsidRPr="00FC1976">
        <w:rPr>
          <w:lang w:val="en-AU"/>
        </w:rPr>
        <w:t>that outline</w:t>
      </w:r>
      <w:r w:rsidRPr="00FC1976">
        <w:rPr>
          <w:lang w:val="en-AU"/>
        </w:rPr>
        <w:t xml:space="preserve"> when to perform a diagnostic renal biopsy, it remains an important diagnostic, prognostic and relatively safe test. Figures indicate </w:t>
      </w:r>
      <w:r w:rsidR="00B13C7F" w:rsidRPr="00FC1976">
        <w:rPr>
          <w:lang w:val="en-AU"/>
        </w:rPr>
        <w:t xml:space="preserve">that </w:t>
      </w:r>
      <w:r w:rsidRPr="00FC1976">
        <w:rPr>
          <w:lang w:val="en-AU"/>
        </w:rPr>
        <w:t xml:space="preserve">there are relatively few procedures undertaken in the private setting under the MBS, but there is a clear indication for its ongoing schedule. </w:t>
      </w:r>
      <w:r w:rsidR="00CF6CDA">
        <w:rPr>
          <w:lang w:val="en-AU"/>
        </w:rPr>
        <w:t>Although</w:t>
      </w:r>
      <w:r w:rsidR="00CF6CDA" w:rsidRPr="00FC1976">
        <w:rPr>
          <w:lang w:val="en-AU"/>
        </w:rPr>
        <w:t xml:space="preserve"> </w:t>
      </w:r>
      <w:r w:rsidR="006B2917" w:rsidRPr="00FC1976">
        <w:rPr>
          <w:lang w:val="en-AU"/>
        </w:rPr>
        <w:t xml:space="preserve">the procedure </w:t>
      </w:r>
      <w:r w:rsidR="008F12F0">
        <w:rPr>
          <w:lang w:val="en-AU"/>
        </w:rPr>
        <w:t xml:space="preserve">has </w:t>
      </w:r>
      <w:r w:rsidR="006B2917" w:rsidRPr="00FC1976">
        <w:rPr>
          <w:lang w:val="en-AU"/>
        </w:rPr>
        <w:t xml:space="preserve">historically centred on diagnosing parenchymal renal disorders, the procedure has </w:t>
      </w:r>
      <w:r w:rsidR="002B1911" w:rsidRPr="00FC1976">
        <w:rPr>
          <w:lang w:val="en-AU"/>
        </w:rPr>
        <w:t xml:space="preserve">also </w:t>
      </w:r>
      <w:r w:rsidR="006B2917" w:rsidRPr="00FC1976">
        <w:rPr>
          <w:lang w:val="en-AU"/>
        </w:rPr>
        <w:t xml:space="preserve">found increased utility in the diagnosis and subsequent management of small renal tumours. </w:t>
      </w:r>
      <w:r w:rsidR="001C4151">
        <w:rPr>
          <w:lang w:val="en-AU"/>
        </w:rPr>
        <w:t>There</w:t>
      </w:r>
      <w:r w:rsidR="006B2917" w:rsidRPr="00FC1976">
        <w:rPr>
          <w:lang w:val="en-AU"/>
        </w:rPr>
        <w:t xml:space="preserve"> are </w:t>
      </w:r>
      <w:r w:rsidR="00A65BE2" w:rsidRPr="00FC1976">
        <w:rPr>
          <w:lang w:val="en-AU"/>
        </w:rPr>
        <w:t>no</w:t>
      </w:r>
      <w:r w:rsidR="006B2917" w:rsidRPr="00FC1976">
        <w:rPr>
          <w:lang w:val="en-AU"/>
        </w:rPr>
        <w:t xml:space="preserve"> guidelines </w:t>
      </w:r>
      <w:r w:rsidR="00253EE4" w:rsidRPr="00FC1976">
        <w:rPr>
          <w:lang w:val="en-AU"/>
        </w:rPr>
        <w:t>on</w:t>
      </w:r>
      <w:r w:rsidR="006B2917" w:rsidRPr="00FC1976">
        <w:rPr>
          <w:lang w:val="en-AU"/>
        </w:rPr>
        <w:t xml:space="preserve"> the utility of </w:t>
      </w:r>
      <w:r w:rsidR="006E0DC3" w:rsidRPr="00FC1976">
        <w:rPr>
          <w:lang w:val="en-AU"/>
        </w:rPr>
        <w:t>renal tumour biopsy</w:t>
      </w:r>
      <w:r w:rsidR="006B2917" w:rsidRPr="00FC1976">
        <w:rPr>
          <w:lang w:val="en-AU"/>
        </w:rPr>
        <w:t xml:space="preserve">, </w:t>
      </w:r>
      <w:r w:rsidR="00970213">
        <w:rPr>
          <w:lang w:val="en-AU"/>
        </w:rPr>
        <w:t xml:space="preserve">but </w:t>
      </w:r>
      <w:r w:rsidR="006B2917" w:rsidRPr="00FC1976">
        <w:rPr>
          <w:lang w:val="en-AU"/>
        </w:rPr>
        <w:t>it is recognised that biopsy of small renal tumours has a high diagnostic yield a</w:t>
      </w:r>
      <w:r w:rsidR="001E1953" w:rsidRPr="00FC1976">
        <w:rPr>
          <w:lang w:val="en-AU"/>
        </w:rPr>
        <w:t>nd low risk of complications.</w:t>
      </w:r>
      <w:r w:rsidR="007D479F">
        <w:rPr>
          <w:lang w:val="en-AU"/>
        </w:rPr>
        <w:t xml:space="preserve"> </w:t>
      </w:r>
    </w:p>
    <w:p w14:paraId="128471D1" w14:textId="77777777" w:rsidR="00297A90" w:rsidRPr="00FC1976" w:rsidRDefault="00297A90" w:rsidP="00E15A50">
      <w:pPr>
        <w:pStyle w:val="01squarebullet"/>
        <w:rPr>
          <w:lang w:val="en-AU"/>
        </w:rPr>
      </w:pPr>
      <w:r w:rsidRPr="00FC1976">
        <w:rPr>
          <w:lang w:val="en-AU"/>
        </w:rPr>
        <w:t xml:space="preserve">The Committee agreed that current best practice for renal biopsy </w:t>
      </w:r>
      <w:r w:rsidR="003A031F" w:rsidRPr="00FC1976">
        <w:rPr>
          <w:lang w:val="en-AU"/>
        </w:rPr>
        <w:t xml:space="preserve">involves </w:t>
      </w:r>
      <w:r w:rsidRPr="00FC1976">
        <w:rPr>
          <w:lang w:val="en-AU"/>
        </w:rPr>
        <w:t xml:space="preserve">the use of ultrasound </w:t>
      </w:r>
      <w:r w:rsidR="000C694D" w:rsidRPr="00FC1976">
        <w:rPr>
          <w:lang w:val="en-AU"/>
        </w:rPr>
        <w:fldChar w:fldCharType="begin" w:fldLock="1"/>
      </w:r>
      <w:r w:rsidR="0099742A">
        <w:rPr>
          <w:lang w:val="en-AU"/>
        </w:rPr>
        <w:instrText>ADDIN CSL_CITATION { "citationItems" : [ { "id" : "ITEM-1", "itemData" : { "DOI" : "10.1053/j.ajkd.2012.02.330", "ISSN" : "02726386", "author" : [ { "dropping-particle" : "", "family" : "Corapi", "given" : "Kristin M.", "non-dropping-particle" : "", "parse-names" : false, "suffix" : "" }, { "dropping-particle" : "", "family" : "Chen", "given" : "Joline L.T.", "non-dropping-particle" : "", "parse-names" : false, "suffix" : "" }, { "dropping-particle" : "", "family" : "Balk", "given" : "Ethan M.", "non-dropping-particle" : "", "parse-names" : false, "suffix" : "" }, { "dropping-particle" : "", "family" : "Gordon", "given" : "Craig E.", "non-dropping-particle" : "", "parse-names" : false, "suffix" : "" } ], "container-title" : "American Journal of Kidney Diseases", "id" : "ITEM-1", "issue" : "1", "issued" : { "date-parts" : [ [ "2012", "7" ] ] }, "page" : "62-73", "title" : "Bleeding Complications of Native Kidney Biopsy: A Systematic Review and Meta-analysis", "type" : "article-journal", "volume" : "60" }, "uris" : [ "http://www.mendeley.com/documents/?uuid=2cf5868a-34de-3bf5-97db-cac469d18dc2" ] } ], "mendeley" : { "formattedCitation" : "(38)", "plainTextFormattedCitation" : "(38)", "previouslyFormattedCitation" : "(38)" }, "properties" : { "noteIndex" : 0 }, "schema" : "https://github.com/citation-style-language/schema/raw/master/csl-citation.json" }</w:instrText>
      </w:r>
      <w:r w:rsidR="000C694D" w:rsidRPr="00FC1976">
        <w:rPr>
          <w:lang w:val="en-AU"/>
        </w:rPr>
        <w:fldChar w:fldCharType="separate"/>
      </w:r>
      <w:r w:rsidR="0099742A" w:rsidRPr="0099742A">
        <w:rPr>
          <w:noProof/>
          <w:lang w:val="en-AU"/>
        </w:rPr>
        <w:t>(38)</w:t>
      </w:r>
      <w:r w:rsidR="000C694D" w:rsidRPr="00FC1976">
        <w:rPr>
          <w:lang w:val="en-AU"/>
        </w:rPr>
        <w:fldChar w:fldCharType="end"/>
      </w:r>
      <w:r w:rsidR="00F62051" w:rsidRPr="00FC1976">
        <w:rPr>
          <w:lang w:val="en-AU"/>
        </w:rPr>
        <w:t>, and that</w:t>
      </w:r>
      <w:r w:rsidRPr="00FC1976">
        <w:rPr>
          <w:lang w:val="en-AU"/>
        </w:rPr>
        <w:t xml:space="preserve"> </w:t>
      </w:r>
      <w:r w:rsidR="00F62051" w:rsidRPr="00FC1976">
        <w:rPr>
          <w:lang w:val="en-AU"/>
        </w:rPr>
        <w:t>b</w:t>
      </w:r>
      <w:r w:rsidRPr="00FC1976">
        <w:rPr>
          <w:lang w:val="en-AU"/>
        </w:rPr>
        <w:t>iopsy without ultrasound</w:t>
      </w:r>
      <w:r w:rsidR="008F0B94">
        <w:rPr>
          <w:lang w:val="en-AU"/>
        </w:rPr>
        <w:t xml:space="preserve"> </w:t>
      </w:r>
      <w:r w:rsidRPr="00FC1976">
        <w:rPr>
          <w:lang w:val="en-AU"/>
        </w:rPr>
        <w:t xml:space="preserve">guidance should no longer be performed. </w:t>
      </w:r>
      <w:r w:rsidR="00586078" w:rsidRPr="00FC1976">
        <w:rPr>
          <w:lang w:val="en-AU"/>
        </w:rPr>
        <w:t xml:space="preserve">The Committee </w:t>
      </w:r>
      <w:r w:rsidR="008311AA">
        <w:rPr>
          <w:lang w:val="en-AU"/>
        </w:rPr>
        <w:t>felt</w:t>
      </w:r>
      <w:r w:rsidR="008311AA" w:rsidRPr="00FC1976">
        <w:rPr>
          <w:lang w:val="en-AU"/>
        </w:rPr>
        <w:t xml:space="preserve"> </w:t>
      </w:r>
      <w:r w:rsidR="00586078" w:rsidRPr="00FC1976">
        <w:rPr>
          <w:lang w:val="en-AU"/>
        </w:rPr>
        <w:t>that</w:t>
      </w:r>
      <w:r w:rsidRPr="00FC1976">
        <w:rPr>
          <w:lang w:val="en-AU"/>
        </w:rPr>
        <w:t xml:space="preserve"> clinical practice </w:t>
      </w:r>
      <w:r w:rsidR="00213F0B">
        <w:rPr>
          <w:lang w:val="en-AU"/>
        </w:rPr>
        <w:t>had</w:t>
      </w:r>
      <w:r w:rsidR="00213F0B" w:rsidRPr="00FC1976">
        <w:rPr>
          <w:lang w:val="en-AU"/>
        </w:rPr>
        <w:t xml:space="preserve"> </w:t>
      </w:r>
      <w:r w:rsidRPr="00FC1976">
        <w:rPr>
          <w:lang w:val="en-AU"/>
        </w:rPr>
        <w:t>already shifted to reflect this.</w:t>
      </w:r>
      <w:r w:rsidR="008F0B94">
        <w:rPr>
          <w:lang w:val="en-AU"/>
        </w:rPr>
        <w:t xml:space="preserve"> Services are provided under CT guidance, </w:t>
      </w:r>
      <w:r w:rsidR="008D2255">
        <w:rPr>
          <w:lang w:val="en-AU"/>
        </w:rPr>
        <w:t xml:space="preserve">although </w:t>
      </w:r>
      <w:r w:rsidR="008F0B94">
        <w:rPr>
          <w:lang w:val="en-AU"/>
        </w:rPr>
        <w:t>there are specific items for deep organ biopsy under CT guidance.</w:t>
      </w:r>
    </w:p>
    <w:p w14:paraId="7E0F21FC" w14:textId="77777777" w:rsidR="00297A90" w:rsidRPr="00FC1976" w:rsidRDefault="00790C76" w:rsidP="00E15A50">
      <w:pPr>
        <w:pStyle w:val="01squarebullet"/>
        <w:rPr>
          <w:lang w:val="en-AU"/>
        </w:rPr>
      </w:pPr>
      <w:r w:rsidRPr="00FC1976">
        <w:rPr>
          <w:lang w:val="en-AU"/>
        </w:rPr>
        <w:t>The Committee noted that</w:t>
      </w:r>
      <w:r w:rsidR="00297A90" w:rsidRPr="00FC1976">
        <w:rPr>
          <w:lang w:val="en-AU"/>
        </w:rPr>
        <w:t xml:space="preserve"> when a</w:t>
      </w:r>
      <w:r w:rsidR="00184957" w:rsidRPr="00FC1976">
        <w:rPr>
          <w:lang w:val="en-AU"/>
        </w:rPr>
        <w:t xml:space="preserve"> nephrologist who has not been accredited </w:t>
      </w:r>
      <w:r w:rsidR="003446BE" w:rsidRPr="00FC1976">
        <w:rPr>
          <w:lang w:val="en-AU"/>
        </w:rPr>
        <w:t>under the</w:t>
      </w:r>
      <w:r w:rsidR="00297A90" w:rsidRPr="00FC1976">
        <w:rPr>
          <w:lang w:val="en-AU"/>
        </w:rPr>
        <w:t xml:space="preserve"> </w:t>
      </w:r>
      <w:r w:rsidR="00FF1CE2" w:rsidRPr="00FC1976">
        <w:rPr>
          <w:lang w:val="en-AU"/>
        </w:rPr>
        <w:t>Diagnostic Imaging Services Table</w:t>
      </w:r>
      <w:r w:rsidR="00A37EA4">
        <w:rPr>
          <w:lang w:val="en-AU"/>
        </w:rPr>
        <w:t xml:space="preserve"> (DIST)</w:t>
      </w:r>
      <w:r w:rsidR="002A191C" w:rsidRPr="00FC1976">
        <w:rPr>
          <w:lang w:val="en-AU"/>
        </w:rPr>
        <w:t xml:space="preserve"> performs a renal biopsy</w:t>
      </w:r>
      <w:r w:rsidR="00297A90" w:rsidRPr="00FC1976">
        <w:rPr>
          <w:lang w:val="en-AU"/>
        </w:rPr>
        <w:t xml:space="preserve">, only </w:t>
      </w:r>
      <w:r w:rsidR="002D4395" w:rsidRPr="00FC1976">
        <w:rPr>
          <w:lang w:val="en-AU"/>
        </w:rPr>
        <w:t xml:space="preserve">item </w:t>
      </w:r>
      <w:r w:rsidR="00297A90" w:rsidRPr="00FC1976">
        <w:rPr>
          <w:lang w:val="en-AU"/>
        </w:rPr>
        <w:t>36561 is claimable</w:t>
      </w:r>
      <w:r w:rsidR="003446BE" w:rsidRPr="00FC1976">
        <w:rPr>
          <w:lang w:val="en-AU"/>
        </w:rPr>
        <w:t>, and the ultrasound equipment may be sourced from areas equipped with them</w:t>
      </w:r>
      <w:r w:rsidR="0037592D">
        <w:rPr>
          <w:lang w:val="en-AU"/>
        </w:rPr>
        <w:t>,</w:t>
      </w:r>
      <w:r w:rsidR="003446BE" w:rsidRPr="00FC1976">
        <w:rPr>
          <w:lang w:val="en-AU"/>
        </w:rPr>
        <w:t xml:space="preserve"> such as an </w:t>
      </w:r>
      <w:r w:rsidR="00F871C6" w:rsidRPr="00FC1976">
        <w:rPr>
          <w:lang w:val="en-AU"/>
        </w:rPr>
        <w:t>intensive care unit</w:t>
      </w:r>
      <w:r w:rsidR="002A191C" w:rsidRPr="00FC1976">
        <w:rPr>
          <w:lang w:val="en-AU"/>
        </w:rPr>
        <w:t>.</w:t>
      </w:r>
      <w:r w:rsidR="00297A90" w:rsidRPr="00FC1976">
        <w:rPr>
          <w:lang w:val="en-AU"/>
        </w:rPr>
        <w:t xml:space="preserve"> </w:t>
      </w:r>
      <w:r w:rsidR="003446BE" w:rsidRPr="00FC1976">
        <w:rPr>
          <w:lang w:val="en-AU"/>
        </w:rPr>
        <w:t>However, w</w:t>
      </w:r>
      <w:r w:rsidR="00534577" w:rsidRPr="00FC1976">
        <w:rPr>
          <w:lang w:val="en-AU"/>
        </w:rPr>
        <w:t>hen</w:t>
      </w:r>
      <w:r w:rsidR="00297A90" w:rsidRPr="00FC1976">
        <w:rPr>
          <w:lang w:val="en-AU"/>
        </w:rPr>
        <w:t xml:space="preserve"> performed by an accredited </w:t>
      </w:r>
      <w:r w:rsidR="003446BE" w:rsidRPr="00FC1976">
        <w:rPr>
          <w:lang w:val="en-AU"/>
        </w:rPr>
        <w:t>provider</w:t>
      </w:r>
      <w:r w:rsidR="00A37EA4">
        <w:rPr>
          <w:lang w:val="en-AU"/>
        </w:rPr>
        <w:t>,</w:t>
      </w:r>
      <w:r w:rsidR="003446BE" w:rsidRPr="00FC1976">
        <w:rPr>
          <w:lang w:val="en-AU"/>
        </w:rPr>
        <w:t xml:space="preserve"> </w:t>
      </w:r>
      <w:r w:rsidR="00B71038" w:rsidRPr="00FC1976">
        <w:rPr>
          <w:lang w:val="en-AU"/>
        </w:rPr>
        <w:t xml:space="preserve">items </w:t>
      </w:r>
      <w:r w:rsidR="00297A90" w:rsidRPr="00FC1976">
        <w:rPr>
          <w:lang w:val="en-AU"/>
        </w:rPr>
        <w:t>36561 and 55054 are claimable</w:t>
      </w:r>
      <w:r w:rsidR="00955E9C" w:rsidRPr="00FC1976">
        <w:rPr>
          <w:lang w:val="en-AU"/>
        </w:rPr>
        <w:t>,</w:t>
      </w:r>
      <w:r w:rsidR="00297A90" w:rsidRPr="00FC1976">
        <w:rPr>
          <w:lang w:val="en-AU"/>
        </w:rPr>
        <w:t xml:space="preserve"> as long as the provider complies with the formal reporting requirements under the DIST. </w:t>
      </w:r>
      <w:r w:rsidR="00471FC0">
        <w:rPr>
          <w:lang w:val="en-AU"/>
        </w:rPr>
        <w:t>P</w:t>
      </w:r>
      <w:r w:rsidR="003446BE" w:rsidRPr="00FC1976">
        <w:rPr>
          <w:lang w:val="en-AU"/>
        </w:rPr>
        <w:t xml:space="preserve">rocedures performed by a radiologist, or in a radiology department with </w:t>
      </w:r>
      <w:r w:rsidR="004007EC">
        <w:rPr>
          <w:lang w:val="en-AU"/>
        </w:rPr>
        <w:t xml:space="preserve">the </w:t>
      </w:r>
      <w:r w:rsidR="003446BE" w:rsidRPr="00FC1976">
        <w:rPr>
          <w:lang w:val="en-AU"/>
        </w:rPr>
        <w:t xml:space="preserve">assistance of another provider, attract a higher rebate for the same service. </w:t>
      </w:r>
      <w:r w:rsidR="00736654">
        <w:rPr>
          <w:lang w:val="en-AU"/>
        </w:rPr>
        <w:t>The Committee</w:t>
      </w:r>
      <w:r w:rsidR="00736654" w:rsidRPr="00FC1976">
        <w:rPr>
          <w:lang w:val="en-AU"/>
        </w:rPr>
        <w:t xml:space="preserve"> </w:t>
      </w:r>
      <w:r w:rsidR="003446BE" w:rsidRPr="00FC1976">
        <w:rPr>
          <w:lang w:val="en-AU"/>
        </w:rPr>
        <w:t xml:space="preserve">discussed </w:t>
      </w:r>
      <w:r w:rsidR="002F7B1C">
        <w:rPr>
          <w:lang w:val="en-AU"/>
        </w:rPr>
        <w:t>creating</w:t>
      </w:r>
      <w:r w:rsidR="003446BE" w:rsidRPr="00FC1976">
        <w:rPr>
          <w:lang w:val="en-AU"/>
        </w:rPr>
        <w:t xml:space="preserve"> a complete medical service</w:t>
      </w:r>
      <w:r w:rsidR="004A2C4C">
        <w:rPr>
          <w:lang w:val="en-AU"/>
        </w:rPr>
        <w:t>,</w:t>
      </w:r>
      <w:r w:rsidR="003446BE" w:rsidRPr="00FC1976">
        <w:rPr>
          <w:lang w:val="en-AU"/>
        </w:rPr>
        <w:t xml:space="preserve"> which would include imaging, </w:t>
      </w:r>
      <w:r w:rsidR="005201BC">
        <w:rPr>
          <w:lang w:val="en-AU"/>
        </w:rPr>
        <w:t>but</w:t>
      </w:r>
      <w:r w:rsidR="005201BC" w:rsidRPr="00FC1976">
        <w:rPr>
          <w:lang w:val="en-AU"/>
        </w:rPr>
        <w:t xml:space="preserve"> </w:t>
      </w:r>
      <w:r w:rsidR="003446BE" w:rsidRPr="00FC1976">
        <w:rPr>
          <w:lang w:val="en-AU"/>
        </w:rPr>
        <w:t xml:space="preserve">there was concern that </w:t>
      </w:r>
      <w:r w:rsidR="00E247A9" w:rsidRPr="00FC1976">
        <w:rPr>
          <w:lang w:val="en-AU"/>
        </w:rPr>
        <w:t xml:space="preserve">the restriction on co-claiming of imaging </w:t>
      </w:r>
      <w:r w:rsidR="003446BE" w:rsidRPr="00FC1976">
        <w:rPr>
          <w:lang w:val="en-AU"/>
        </w:rPr>
        <w:t>may result in restricted access to ultrasound equipment or increased out</w:t>
      </w:r>
      <w:r w:rsidR="00934EAD">
        <w:rPr>
          <w:lang w:val="en-AU"/>
        </w:rPr>
        <w:t>-</w:t>
      </w:r>
      <w:r w:rsidR="003446BE" w:rsidRPr="00FC1976">
        <w:rPr>
          <w:lang w:val="en-AU"/>
        </w:rPr>
        <w:t>of</w:t>
      </w:r>
      <w:r w:rsidR="00934EAD">
        <w:rPr>
          <w:lang w:val="en-AU"/>
        </w:rPr>
        <w:t>-</w:t>
      </w:r>
      <w:r w:rsidR="003446BE" w:rsidRPr="00FC1976">
        <w:rPr>
          <w:lang w:val="en-AU"/>
        </w:rPr>
        <w:t xml:space="preserve">pocket </w:t>
      </w:r>
      <w:r w:rsidR="00E247A9" w:rsidRPr="00FC1976">
        <w:rPr>
          <w:lang w:val="en-AU"/>
        </w:rPr>
        <w:t xml:space="preserve">costs </w:t>
      </w:r>
      <w:r w:rsidR="003446BE" w:rsidRPr="00FC1976">
        <w:rPr>
          <w:lang w:val="en-AU"/>
        </w:rPr>
        <w:t xml:space="preserve">for patients. </w:t>
      </w:r>
    </w:p>
    <w:p w14:paraId="2597B031" w14:textId="77777777" w:rsidR="00297A90" w:rsidRPr="00FC1976" w:rsidRDefault="00E53481" w:rsidP="00E15A50">
      <w:pPr>
        <w:pStyle w:val="01squarebullet"/>
        <w:rPr>
          <w:lang w:val="en-AU"/>
        </w:rPr>
      </w:pPr>
      <w:r>
        <w:rPr>
          <w:lang w:val="en-AU"/>
        </w:rPr>
        <w:t>The Committee</w:t>
      </w:r>
      <w:r w:rsidRPr="00FC1976">
        <w:rPr>
          <w:lang w:val="en-AU"/>
        </w:rPr>
        <w:t xml:space="preserve"> </w:t>
      </w:r>
      <w:r w:rsidR="00F06009" w:rsidRPr="00FC1976">
        <w:rPr>
          <w:lang w:val="en-AU"/>
        </w:rPr>
        <w:t xml:space="preserve">discussed the potential for a fee review to account for the shift in practice to require ultrasound guidance. It was noted </w:t>
      </w:r>
      <w:r w:rsidR="00196EF6">
        <w:rPr>
          <w:lang w:val="en-AU"/>
        </w:rPr>
        <w:t xml:space="preserve">that </w:t>
      </w:r>
      <w:r w:rsidR="00F06009" w:rsidRPr="00FC1976">
        <w:rPr>
          <w:lang w:val="en-AU"/>
        </w:rPr>
        <w:t>the MSAC recently considered an application to remunerate point</w:t>
      </w:r>
      <w:r w:rsidR="00C2204A">
        <w:rPr>
          <w:lang w:val="en-AU"/>
        </w:rPr>
        <w:t>-</w:t>
      </w:r>
      <w:r w:rsidR="004A6351" w:rsidRPr="00FC1976">
        <w:rPr>
          <w:lang w:val="en-AU"/>
        </w:rPr>
        <w:t>of</w:t>
      </w:r>
      <w:r w:rsidR="004A6351">
        <w:rPr>
          <w:lang w:val="en-AU"/>
        </w:rPr>
        <w:t>-</w:t>
      </w:r>
      <w:r w:rsidR="00F06009" w:rsidRPr="00FC1976">
        <w:rPr>
          <w:lang w:val="en-AU"/>
        </w:rPr>
        <w:t>care ultrasound guidance for other procedures</w:t>
      </w:r>
      <w:r w:rsidR="005A46A8">
        <w:rPr>
          <w:lang w:val="en-AU"/>
        </w:rPr>
        <w:t>,</w:t>
      </w:r>
      <w:r w:rsidR="00F06009" w:rsidRPr="00FC1976">
        <w:rPr>
          <w:lang w:val="en-AU"/>
        </w:rPr>
        <w:t xml:space="preserve"> and </w:t>
      </w:r>
      <w:r w:rsidR="005C00B4">
        <w:rPr>
          <w:lang w:val="en-AU"/>
        </w:rPr>
        <w:t xml:space="preserve">that </w:t>
      </w:r>
      <w:r w:rsidR="00F06009" w:rsidRPr="00FC1976">
        <w:rPr>
          <w:lang w:val="en-AU"/>
        </w:rPr>
        <w:t>this application was rejected on the grounds that the guidance allows for faster and more efficient procedures</w:t>
      </w:r>
      <w:r w:rsidR="00DB2A75">
        <w:rPr>
          <w:lang w:val="en-AU"/>
        </w:rPr>
        <w:t>,</w:t>
      </w:r>
      <w:r w:rsidR="00F06009" w:rsidRPr="00FC1976">
        <w:rPr>
          <w:lang w:val="en-AU"/>
        </w:rPr>
        <w:t xml:space="preserve"> which offsets the additional cost. The Committee regarded this as a materially similar situation and determined that it was not worthwhile </w:t>
      </w:r>
      <w:r w:rsidR="00E12346">
        <w:rPr>
          <w:lang w:val="en-AU"/>
        </w:rPr>
        <w:t>pursuing</w:t>
      </w:r>
      <w:r w:rsidR="00E12346" w:rsidRPr="00FC1976">
        <w:rPr>
          <w:lang w:val="en-AU"/>
        </w:rPr>
        <w:t xml:space="preserve"> </w:t>
      </w:r>
      <w:r w:rsidR="004D64B8">
        <w:rPr>
          <w:lang w:val="en-AU"/>
        </w:rPr>
        <w:t>it</w:t>
      </w:r>
      <w:r w:rsidR="00F06009" w:rsidRPr="00FC1976">
        <w:rPr>
          <w:lang w:val="en-AU"/>
        </w:rPr>
        <w:t xml:space="preserve">. </w:t>
      </w:r>
    </w:p>
    <w:p w14:paraId="474F1427" w14:textId="77777777" w:rsidR="00F06009" w:rsidRPr="00FC1976" w:rsidRDefault="00F06009" w:rsidP="00E15A50">
      <w:pPr>
        <w:pStyle w:val="01squarebullet"/>
        <w:rPr>
          <w:lang w:val="en-AU"/>
        </w:rPr>
      </w:pPr>
      <w:r w:rsidRPr="00FC1976">
        <w:rPr>
          <w:lang w:val="en-AU"/>
        </w:rPr>
        <w:t xml:space="preserve">In Australia, renal biopsy using real-time ultrasound guidance is </w:t>
      </w:r>
      <w:r w:rsidR="00636C75">
        <w:rPr>
          <w:lang w:val="en-AU"/>
        </w:rPr>
        <w:t xml:space="preserve">generally </w:t>
      </w:r>
      <w:r w:rsidRPr="00FC1976">
        <w:rPr>
          <w:lang w:val="en-AU"/>
        </w:rPr>
        <w:t xml:space="preserve">undertaken on the </w:t>
      </w:r>
      <w:r w:rsidR="00636C75">
        <w:rPr>
          <w:lang w:val="en-AU"/>
        </w:rPr>
        <w:t>conscious</w:t>
      </w:r>
      <w:r w:rsidRPr="00FC1976">
        <w:rPr>
          <w:lang w:val="en-AU"/>
        </w:rPr>
        <w:t xml:space="preserve"> patient using local anaesthetic. However, for the paediatric patient</w:t>
      </w:r>
      <w:r w:rsidR="00E45DFA">
        <w:rPr>
          <w:lang w:val="en-AU"/>
        </w:rPr>
        <w:t xml:space="preserve"> and some adult patients</w:t>
      </w:r>
      <w:r w:rsidRPr="00FC1976">
        <w:rPr>
          <w:lang w:val="en-AU"/>
        </w:rPr>
        <w:t xml:space="preserve">, general anaesthetic is required and this access </w:t>
      </w:r>
      <w:r w:rsidR="00E247A9" w:rsidRPr="00FC1976">
        <w:rPr>
          <w:lang w:val="en-AU"/>
        </w:rPr>
        <w:t>should be retained.</w:t>
      </w:r>
    </w:p>
    <w:p w14:paraId="3FC4F987" w14:textId="69B9FC4E" w:rsidR="00F3758F" w:rsidRPr="00FC1976" w:rsidRDefault="00F3758F" w:rsidP="005076E4">
      <w:pPr>
        <w:pStyle w:val="Heading2"/>
        <w:rPr>
          <w:lang w:val="en-AU"/>
        </w:rPr>
      </w:pPr>
      <w:bookmarkStart w:id="173" w:name="_Toc459996828"/>
      <w:bookmarkStart w:id="174" w:name="_Toc458167020"/>
      <w:bookmarkStart w:id="175" w:name="_Toc467668971"/>
      <w:r w:rsidRPr="00FC1976">
        <w:rPr>
          <w:lang w:val="en-AU"/>
        </w:rPr>
        <w:t xml:space="preserve">Recommendations to </w:t>
      </w:r>
      <w:r w:rsidR="00353DCB" w:rsidRPr="00FC1976">
        <w:rPr>
          <w:lang w:val="en-AU"/>
        </w:rPr>
        <w:t xml:space="preserve">the </w:t>
      </w:r>
      <w:r w:rsidR="000B4D14" w:rsidRPr="00FC1976">
        <w:rPr>
          <w:lang w:val="en-AU"/>
        </w:rPr>
        <w:t>Aboriginal and Torres Strait Islander</w:t>
      </w:r>
      <w:r w:rsidRPr="00FC1976">
        <w:rPr>
          <w:lang w:val="en-AU"/>
        </w:rPr>
        <w:t xml:space="preserve"> and </w:t>
      </w:r>
      <w:r w:rsidR="00621980">
        <w:rPr>
          <w:lang w:val="en-AU"/>
        </w:rPr>
        <w:t xml:space="preserve">General Practice and </w:t>
      </w:r>
      <w:r w:rsidRPr="00FC1976">
        <w:rPr>
          <w:lang w:val="en-AU"/>
        </w:rPr>
        <w:t xml:space="preserve">Primary Care </w:t>
      </w:r>
      <w:r w:rsidR="000B4D14" w:rsidRPr="00FC1976">
        <w:rPr>
          <w:lang w:val="en-AU"/>
        </w:rPr>
        <w:t xml:space="preserve">Clinical </w:t>
      </w:r>
      <w:r w:rsidRPr="00FC1976">
        <w:rPr>
          <w:lang w:val="en-AU"/>
        </w:rPr>
        <w:t>Committees</w:t>
      </w:r>
      <w:bookmarkEnd w:id="173"/>
      <w:bookmarkEnd w:id="174"/>
      <w:bookmarkEnd w:id="175"/>
      <w:r w:rsidRPr="00FC1976">
        <w:rPr>
          <w:lang w:val="en-AU"/>
        </w:rPr>
        <w:t xml:space="preserve"> </w:t>
      </w:r>
    </w:p>
    <w:p w14:paraId="02A59653" w14:textId="77777777" w:rsidR="00EA3AF2" w:rsidRPr="009E2845" w:rsidRDefault="00EA3AF2" w:rsidP="00EE7BD8">
      <w:pPr>
        <w:pStyle w:val="H3"/>
      </w:pPr>
      <w:r w:rsidRPr="009E2845">
        <w:t>Recommendation</w:t>
      </w:r>
      <w:r w:rsidR="009E2845" w:rsidRPr="009E2845">
        <w:t>s</w:t>
      </w:r>
    </w:p>
    <w:p w14:paraId="25849F4F" w14:textId="77777777" w:rsidR="00880CE1" w:rsidRPr="00FC1976" w:rsidRDefault="00694AB7" w:rsidP="00E15A50">
      <w:pPr>
        <w:pStyle w:val="01squarebullet"/>
        <w:rPr>
          <w:b/>
          <w:lang w:val="en-AU"/>
        </w:rPr>
      </w:pPr>
      <w:r w:rsidRPr="00FC1976">
        <w:rPr>
          <w:lang w:val="en-AU"/>
        </w:rPr>
        <w:t>R</w:t>
      </w:r>
      <w:r w:rsidR="00EA3AF2" w:rsidRPr="00FC1976">
        <w:rPr>
          <w:lang w:val="en-AU"/>
        </w:rPr>
        <w:t xml:space="preserve">eview </w:t>
      </w:r>
      <w:r w:rsidRPr="00FC1976">
        <w:rPr>
          <w:lang w:val="en-AU"/>
        </w:rPr>
        <w:t>h</w:t>
      </w:r>
      <w:r w:rsidR="00EA3AF2" w:rsidRPr="00FC1976">
        <w:rPr>
          <w:lang w:val="en-AU"/>
        </w:rPr>
        <w:t xml:space="preserve">ealth </w:t>
      </w:r>
      <w:r w:rsidRPr="00FC1976">
        <w:rPr>
          <w:lang w:val="en-AU"/>
        </w:rPr>
        <w:t>a</w:t>
      </w:r>
      <w:r w:rsidR="00EA3AF2" w:rsidRPr="00FC1976">
        <w:rPr>
          <w:lang w:val="en-AU"/>
        </w:rPr>
        <w:t>ssessment items 701, 703, 705</w:t>
      </w:r>
      <w:r w:rsidR="00824809" w:rsidRPr="00FC1976">
        <w:rPr>
          <w:lang w:val="en-AU"/>
        </w:rPr>
        <w:t>, 707</w:t>
      </w:r>
      <w:r w:rsidR="00EA3AF2" w:rsidRPr="00FC1976">
        <w:rPr>
          <w:lang w:val="en-AU"/>
        </w:rPr>
        <w:t xml:space="preserve"> </w:t>
      </w:r>
      <w:r w:rsidR="00891DF4">
        <w:rPr>
          <w:lang w:val="en-AU"/>
        </w:rPr>
        <w:t>and</w:t>
      </w:r>
      <w:r w:rsidR="00EA3AF2" w:rsidRPr="00FC1976">
        <w:rPr>
          <w:lang w:val="en-AU"/>
        </w:rPr>
        <w:t xml:space="preserve"> 715</w:t>
      </w:r>
      <w:r w:rsidR="00966951" w:rsidRPr="00FC1976">
        <w:rPr>
          <w:lang w:val="en-AU"/>
        </w:rPr>
        <w:t xml:space="preserve"> in relation to</w:t>
      </w:r>
      <w:r w:rsidR="00407505">
        <w:rPr>
          <w:lang w:val="en-AU"/>
        </w:rPr>
        <w:t xml:space="preserve"> both</w:t>
      </w:r>
      <w:r w:rsidR="00966951" w:rsidRPr="00FC1976">
        <w:rPr>
          <w:lang w:val="en-AU"/>
        </w:rPr>
        <w:t xml:space="preserve"> eligibility and content</w:t>
      </w:r>
      <w:r w:rsidR="00B27DDB" w:rsidRPr="00FC1976">
        <w:rPr>
          <w:lang w:val="en-AU"/>
        </w:rPr>
        <w:t>.</w:t>
      </w:r>
    </w:p>
    <w:p w14:paraId="6BE0532B" w14:textId="77777777" w:rsidR="00EA3AF2" w:rsidRPr="00FC1976" w:rsidRDefault="00880CE1" w:rsidP="00E15A50">
      <w:pPr>
        <w:pStyle w:val="01squarebullet"/>
        <w:rPr>
          <w:b/>
          <w:lang w:val="en-AU"/>
        </w:rPr>
      </w:pPr>
      <w:r w:rsidRPr="00FC1976">
        <w:rPr>
          <w:lang w:val="en-AU"/>
        </w:rPr>
        <w:t>I</w:t>
      </w:r>
      <w:r w:rsidR="00EA3AF2" w:rsidRPr="00FC1976">
        <w:rPr>
          <w:lang w:val="en-AU"/>
        </w:rPr>
        <w:t>ncorporate an integrated health assessment MBS item for vascular disease, diabetes and kidney disease</w:t>
      </w:r>
      <w:r w:rsidR="007B38C4" w:rsidRPr="00FC1976">
        <w:rPr>
          <w:lang w:val="en-AU"/>
        </w:rPr>
        <w:t xml:space="preserve">, </w:t>
      </w:r>
      <w:r w:rsidR="00EA3AF2" w:rsidRPr="00FC1976">
        <w:rPr>
          <w:lang w:val="en-AU"/>
        </w:rPr>
        <w:t>with eligibility and content that reflect evidence-based guidelines such as those contained in the R</w:t>
      </w:r>
      <w:r w:rsidR="00273AAE" w:rsidRPr="00FC1976">
        <w:rPr>
          <w:lang w:val="en-AU"/>
        </w:rPr>
        <w:t xml:space="preserve">oyal </w:t>
      </w:r>
      <w:r w:rsidR="00EA3AF2" w:rsidRPr="00FC1976">
        <w:rPr>
          <w:lang w:val="en-AU"/>
        </w:rPr>
        <w:t>A</w:t>
      </w:r>
      <w:r w:rsidR="00273AAE" w:rsidRPr="00FC1976">
        <w:rPr>
          <w:lang w:val="en-AU"/>
        </w:rPr>
        <w:t xml:space="preserve">ustralian </w:t>
      </w:r>
      <w:r w:rsidR="00EA3AF2" w:rsidRPr="00FC1976">
        <w:rPr>
          <w:lang w:val="en-AU"/>
        </w:rPr>
        <w:t>C</w:t>
      </w:r>
      <w:r w:rsidR="00273AAE" w:rsidRPr="00FC1976">
        <w:rPr>
          <w:lang w:val="en-AU"/>
        </w:rPr>
        <w:t xml:space="preserve">ollege of </w:t>
      </w:r>
      <w:r w:rsidR="00EA3AF2" w:rsidRPr="00FC1976">
        <w:rPr>
          <w:lang w:val="en-AU"/>
        </w:rPr>
        <w:t>G</w:t>
      </w:r>
      <w:r w:rsidR="00273AAE" w:rsidRPr="00FC1976">
        <w:rPr>
          <w:lang w:val="en-AU"/>
        </w:rPr>
        <w:t xml:space="preserve">eneral </w:t>
      </w:r>
      <w:r w:rsidR="00EA3AF2" w:rsidRPr="00FC1976">
        <w:rPr>
          <w:lang w:val="en-AU"/>
        </w:rPr>
        <w:t>P</w:t>
      </w:r>
      <w:r w:rsidR="00273AAE" w:rsidRPr="00FC1976">
        <w:rPr>
          <w:lang w:val="en-AU"/>
        </w:rPr>
        <w:t>ractitioners</w:t>
      </w:r>
      <w:r w:rsidR="00EA3AF2" w:rsidRPr="00FC1976">
        <w:rPr>
          <w:lang w:val="en-AU"/>
        </w:rPr>
        <w:t>’</w:t>
      </w:r>
      <w:r w:rsidR="00B27DDB" w:rsidRPr="00FC1976">
        <w:rPr>
          <w:lang w:val="en-AU"/>
        </w:rPr>
        <w:t xml:space="preserve"> (RACGP)</w:t>
      </w:r>
      <w:r w:rsidR="00EA3AF2" w:rsidRPr="00FC1976">
        <w:rPr>
          <w:lang w:val="en-AU"/>
        </w:rPr>
        <w:t xml:space="preserve"> Guidelines for Preventive Activities in General Practice.</w:t>
      </w:r>
    </w:p>
    <w:p w14:paraId="17E395AE" w14:textId="77777777" w:rsidR="00EA3AF2" w:rsidRPr="009E2845" w:rsidRDefault="00EA3AF2" w:rsidP="00EE7BD8">
      <w:pPr>
        <w:pStyle w:val="H3"/>
      </w:pPr>
      <w:r w:rsidRPr="009E2845">
        <w:t>Rationale</w:t>
      </w:r>
    </w:p>
    <w:p w14:paraId="10F1EDD6" w14:textId="77777777" w:rsidR="002A30E1" w:rsidRDefault="002A30E1" w:rsidP="00E839AF">
      <w:pPr>
        <w:pStyle w:val="01squarebullet"/>
        <w:numPr>
          <w:ilvl w:val="0"/>
          <w:numId w:val="0"/>
        </w:numPr>
        <w:spacing w:before="200"/>
        <w:ind w:left="357" w:hanging="357"/>
        <w:rPr>
          <w:lang w:val="en-AU"/>
        </w:rPr>
      </w:pPr>
      <w:r>
        <w:rPr>
          <w:lang w:val="en-AU"/>
        </w:rPr>
        <w:t xml:space="preserve">The recommendations focus on </w:t>
      </w:r>
      <w:r w:rsidR="00F65863">
        <w:rPr>
          <w:lang w:val="en-AU"/>
        </w:rPr>
        <w:t>improving quality of care</w:t>
      </w:r>
      <w:r>
        <w:rPr>
          <w:lang w:val="en-AU"/>
        </w:rPr>
        <w:t xml:space="preserve"> and are based on the following observations.</w:t>
      </w:r>
    </w:p>
    <w:p w14:paraId="2C3DD202" w14:textId="77777777" w:rsidR="00EA3AF2" w:rsidRDefault="00FA19EB" w:rsidP="00E15A50">
      <w:pPr>
        <w:pStyle w:val="01squarebullet"/>
        <w:rPr>
          <w:lang w:val="en-AU"/>
        </w:rPr>
      </w:pPr>
      <w:r w:rsidRPr="00FC1976">
        <w:rPr>
          <w:lang w:val="en-AU"/>
        </w:rPr>
        <w:t>The</w:t>
      </w:r>
      <w:r w:rsidR="00EA3AF2" w:rsidRPr="00FC1976">
        <w:rPr>
          <w:lang w:val="en-AU"/>
        </w:rPr>
        <w:t xml:space="preserve"> range of eligible population groups </w:t>
      </w:r>
      <w:r w:rsidR="008E7229" w:rsidRPr="00FC1976">
        <w:rPr>
          <w:lang w:val="en-AU"/>
        </w:rPr>
        <w:t xml:space="preserve">and </w:t>
      </w:r>
      <w:r w:rsidR="00EA3AF2" w:rsidRPr="00FC1976">
        <w:rPr>
          <w:lang w:val="en-AU"/>
        </w:rPr>
        <w:t xml:space="preserve">the specific requirements of the current MBS health assessment items are </w:t>
      </w:r>
      <w:r w:rsidR="00A27C75" w:rsidRPr="00FC1976">
        <w:rPr>
          <w:lang w:val="en-AU"/>
        </w:rPr>
        <w:t xml:space="preserve">not </w:t>
      </w:r>
      <w:r w:rsidR="00EA3AF2" w:rsidRPr="00FC1976">
        <w:rPr>
          <w:lang w:val="en-AU"/>
        </w:rPr>
        <w:t>fit for purpose.</w:t>
      </w:r>
      <w:r w:rsidR="003877AB" w:rsidRPr="00FC1976">
        <w:rPr>
          <w:lang w:val="en-AU"/>
        </w:rPr>
        <w:t xml:space="preserve"> For example, t</w:t>
      </w:r>
      <w:r w:rsidR="00EA3AF2" w:rsidRPr="00FC1976">
        <w:rPr>
          <w:lang w:val="en-AU"/>
        </w:rPr>
        <w:t>here are many individuals with one or more of the recogni</w:t>
      </w:r>
      <w:r w:rsidR="0043510F" w:rsidRPr="00FC1976">
        <w:rPr>
          <w:lang w:val="en-AU"/>
        </w:rPr>
        <w:t>s</w:t>
      </w:r>
      <w:r w:rsidR="00EA3AF2" w:rsidRPr="00FC1976">
        <w:rPr>
          <w:lang w:val="en-AU"/>
        </w:rPr>
        <w:t xml:space="preserve">ed risk factors for vascular </w:t>
      </w:r>
      <w:r w:rsidR="006E1919" w:rsidRPr="00FC1976">
        <w:rPr>
          <w:lang w:val="en-AU"/>
        </w:rPr>
        <w:t>and</w:t>
      </w:r>
      <w:r w:rsidR="00EA3AF2" w:rsidRPr="00FC1976">
        <w:rPr>
          <w:lang w:val="en-AU"/>
        </w:rPr>
        <w:t xml:space="preserve"> kidney disease who are not eligible for any of the health assessment items</w:t>
      </w:r>
      <w:r w:rsidR="005F1760" w:rsidRPr="00FC1976">
        <w:rPr>
          <w:lang w:val="en-AU"/>
        </w:rPr>
        <w:t>.</w:t>
      </w:r>
      <w:r w:rsidR="00EA3AF2" w:rsidRPr="00FC1976">
        <w:rPr>
          <w:lang w:val="en-AU"/>
        </w:rPr>
        <w:t xml:space="preserve"> </w:t>
      </w:r>
    </w:p>
    <w:p w14:paraId="5AAE5118" w14:textId="6DE7DDE7" w:rsidR="00EA3AF2" w:rsidRPr="003F3F88" w:rsidRDefault="003D73F1" w:rsidP="003F3F88">
      <w:pPr>
        <w:pStyle w:val="01squarebullet"/>
        <w:rPr>
          <w:lang w:val="en-AU"/>
        </w:rPr>
      </w:pPr>
      <w:r w:rsidRPr="003F3F88">
        <w:rPr>
          <w:lang w:val="en-AU"/>
        </w:rPr>
        <w:t>The</w:t>
      </w:r>
      <w:r w:rsidR="00EA3AF2" w:rsidRPr="003F3F88">
        <w:rPr>
          <w:lang w:val="en-AU"/>
        </w:rPr>
        <w:t xml:space="preserve"> specific requirements for items 701, 703, 705, 707 </w:t>
      </w:r>
      <w:r w:rsidR="005F1760" w:rsidRPr="003F3F88">
        <w:rPr>
          <w:lang w:val="en-AU"/>
        </w:rPr>
        <w:t>and</w:t>
      </w:r>
      <w:r w:rsidR="00EA3AF2" w:rsidRPr="003F3F88">
        <w:rPr>
          <w:lang w:val="en-AU"/>
        </w:rPr>
        <w:t xml:space="preserve"> 715 do not reflect current evidence-based practice and in some instances deviate significantly</w:t>
      </w:r>
      <w:r w:rsidR="000D67CB" w:rsidRPr="003F3F88">
        <w:rPr>
          <w:lang w:val="en-AU"/>
        </w:rPr>
        <w:t xml:space="preserve"> from this</w:t>
      </w:r>
      <w:r w:rsidR="00EA3AF2" w:rsidRPr="003F3F88">
        <w:rPr>
          <w:lang w:val="en-AU"/>
        </w:rPr>
        <w:t xml:space="preserve">. For example, </w:t>
      </w:r>
      <w:r w:rsidR="00FA4926" w:rsidRPr="003F3F88">
        <w:rPr>
          <w:lang w:val="en-AU"/>
        </w:rPr>
        <w:fldChar w:fldCharType="begin"/>
      </w:r>
      <w:r w:rsidR="00FA4926" w:rsidRPr="003F3F88">
        <w:rPr>
          <w:lang w:val="en-AU"/>
        </w:rPr>
        <w:instrText xml:space="preserve"> REF _Ref459996900 \h </w:instrText>
      </w:r>
      <w:r w:rsidR="00FA4926" w:rsidRPr="003F3F88">
        <w:rPr>
          <w:lang w:val="en-AU"/>
        </w:rPr>
      </w:r>
      <w:r w:rsidR="00FA4926" w:rsidRPr="003F3F88">
        <w:rPr>
          <w:lang w:val="en-AU"/>
        </w:rPr>
        <w:fldChar w:fldCharType="separate"/>
      </w:r>
      <w:r w:rsidR="00D17FB0" w:rsidRPr="00FC1976">
        <w:rPr>
          <w:lang w:val="en-AU"/>
        </w:rPr>
        <w:t xml:space="preserve">Table </w:t>
      </w:r>
      <w:r w:rsidR="00D17FB0">
        <w:rPr>
          <w:noProof/>
          <w:lang w:val="en-AU"/>
        </w:rPr>
        <w:t>9</w:t>
      </w:r>
      <w:r w:rsidR="00FA4926" w:rsidRPr="003F3F88">
        <w:rPr>
          <w:lang w:val="en-AU"/>
        </w:rPr>
        <w:fldChar w:fldCharType="end"/>
      </w:r>
      <w:r w:rsidR="00FA4926" w:rsidRPr="003F3F88">
        <w:rPr>
          <w:lang w:val="en-AU"/>
        </w:rPr>
        <w:t xml:space="preserve"> </w:t>
      </w:r>
      <w:r w:rsidR="00EA3AF2" w:rsidRPr="003F3F88">
        <w:rPr>
          <w:lang w:val="en-AU"/>
        </w:rPr>
        <w:t>compares the renal-related requirements with the recommendations from the</w:t>
      </w:r>
      <w:r w:rsidR="00FD3DAA">
        <w:rPr>
          <w:lang w:val="en-AU"/>
        </w:rPr>
        <w:t xml:space="preserve"> RACGP’s 2012</w:t>
      </w:r>
      <w:r w:rsidR="00EA3AF2" w:rsidRPr="003F3F88">
        <w:rPr>
          <w:lang w:val="en-AU"/>
        </w:rPr>
        <w:t xml:space="preserve"> Australian Guidelines for Preventive Activities in General Practice</w:t>
      </w:r>
      <w:r w:rsidR="00E839AF">
        <w:rPr>
          <w:lang w:val="en-AU"/>
        </w:rPr>
        <w:t xml:space="preserve"> (</w:t>
      </w:r>
      <w:r w:rsidR="00726344" w:rsidRPr="003F3F88">
        <w:rPr>
          <w:lang w:val="en-AU"/>
        </w:rPr>
        <w:t>Edition 8</w:t>
      </w:r>
      <w:r w:rsidR="00E839AF">
        <w:rPr>
          <w:lang w:val="en-AU"/>
        </w:rPr>
        <w:t>)</w:t>
      </w:r>
      <w:r w:rsidR="00EA3AF2" w:rsidRPr="003F3F88">
        <w:rPr>
          <w:lang w:val="en-AU"/>
        </w:rPr>
        <w:t xml:space="preserve">. These </w:t>
      </w:r>
      <w:r w:rsidR="003B1590" w:rsidRPr="003F3F88">
        <w:rPr>
          <w:lang w:val="en-AU"/>
        </w:rPr>
        <w:t>g</w:t>
      </w:r>
      <w:r w:rsidR="00EA3AF2" w:rsidRPr="003F3F88">
        <w:rPr>
          <w:lang w:val="en-AU"/>
        </w:rPr>
        <w:t>uidelines provide explicitly evidence-based recommendations for health promotion and disease prevention in Australian general practice, categori</w:t>
      </w:r>
      <w:r w:rsidR="00D14E08" w:rsidRPr="003F3F88">
        <w:rPr>
          <w:lang w:val="en-AU"/>
        </w:rPr>
        <w:t>s</w:t>
      </w:r>
      <w:r w:rsidR="00EA3AF2" w:rsidRPr="003F3F88">
        <w:rPr>
          <w:lang w:val="en-AU"/>
        </w:rPr>
        <w:t xml:space="preserve">ed by sex, age and population group. They are revised every </w:t>
      </w:r>
      <w:r w:rsidR="005E7DCC" w:rsidRPr="003F3F88">
        <w:rPr>
          <w:lang w:val="en-AU"/>
        </w:rPr>
        <w:t>two to four</w:t>
      </w:r>
      <w:r w:rsidR="00EA3AF2" w:rsidRPr="003F3F88">
        <w:rPr>
          <w:lang w:val="en-AU"/>
        </w:rPr>
        <w:t xml:space="preserve"> years</w:t>
      </w:r>
      <w:r w:rsidR="008111D6" w:rsidRPr="003F3F88">
        <w:rPr>
          <w:lang w:val="en-AU"/>
        </w:rPr>
        <w:t>,</w:t>
      </w:r>
      <w:r w:rsidR="00EA3AF2" w:rsidRPr="003F3F88">
        <w:rPr>
          <w:lang w:val="en-AU"/>
        </w:rPr>
        <w:t xml:space="preserve"> and a new edition is currently in preparation. The only reference to such guidelines </w:t>
      </w:r>
      <w:r w:rsidR="001C2EB2">
        <w:rPr>
          <w:lang w:val="en-AU"/>
        </w:rPr>
        <w:t>appears</w:t>
      </w:r>
      <w:r w:rsidR="00EA3AF2" w:rsidRPr="003F3F88">
        <w:rPr>
          <w:lang w:val="en-AU"/>
        </w:rPr>
        <w:t xml:space="preserve"> in the health assessment for patients aged 40</w:t>
      </w:r>
      <w:r w:rsidR="00F126A0" w:rsidRPr="003F3F88">
        <w:rPr>
          <w:lang w:val="en-AU"/>
        </w:rPr>
        <w:t>–</w:t>
      </w:r>
      <w:r w:rsidR="00EA3AF2" w:rsidRPr="003F3F88">
        <w:rPr>
          <w:lang w:val="en-AU"/>
        </w:rPr>
        <w:t xml:space="preserve">49 at high risk of type 2 diabetes. </w:t>
      </w:r>
    </w:p>
    <w:p w14:paraId="378F41A5" w14:textId="13C8E0A6" w:rsidR="00FB4C83" w:rsidRPr="00E6300C" w:rsidRDefault="00EA3AF2" w:rsidP="00E6300C">
      <w:pPr>
        <w:pStyle w:val="01squarebullet"/>
        <w:rPr>
          <w:lang w:val="en-AU"/>
        </w:rPr>
      </w:pPr>
      <w:r w:rsidRPr="00FC1976">
        <w:rPr>
          <w:lang w:val="en-AU"/>
        </w:rPr>
        <w:t>The</w:t>
      </w:r>
      <w:r w:rsidR="00966951" w:rsidRPr="00FC1976">
        <w:rPr>
          <w:lang w:val="en-AU"/>
        </w:rPr>
        <w:t xml:space="preserve"> two</w:t>
      </w:r>
      <w:r w:rsidRPr="00FC1976">
        <w:rPr>
          <w:lang w:val="en-AU"/>
        </w:rPr>
        <w:t xml:space="preserve"> recommendation</w:t>
      </w:r>
      <w:r w:rsidR="00D41DE0" w:rsidRPr="00FC1976">
        <w:rPr>
          <w:lang w:val="en-AU"/>
        </w:rPr>
        <w:t>s</w:t>
      </w:r>
      <w:r w:rsidRPr="00FC1976">
        <w:rPr>
          <w:lang w:val="en-AU"/>
        </w:rPr>
        <w:t xml:space="preserve"> </w:t>
      </w:r>
      <w:r w:rsidR="00966951" w:rsidRPr="00FC1976">
        <w:rPr>
          <w:lang w:val="en-AU"/>
        </w:rPr>
        <w:t xml:space="preserve">made by the Committee </w:t>
      </w:r>
      <w:r w:rsidR="00D41DE0" w:rsidRPr="00FC1976">
        <w:rPr>
          <w:lang w:val="en-AU"/>
        </w:rPr>
        <w:t>are</w:t>
      </w:r>
      <w:r w:rsidRPr="00FC1976">
        <w:rPr>
          <w:lang w:val="en-AU"/>
        </w:rPr>
        <w:t xml:space="preserve"> consistent with recommendations made by other bodies. In 2015</w:t>
      </w:r>
      <w:r w:rsidR="00953815" w:rsidRPr="00FC1976">
        <w:rPr>
          <w:lang w:val="en-AU"/>
        </w:rPr>
        <w:t>, for example,</w:t>
      </w:r>
      <w:r w:rsidRPr="00FC1976">
        <w:rPr>
          <w:lang w:val="en-AU"/>
        </w:rPr>
        <w:t xml:space="preserve"> the Standing Committee on Health’s Inquiry into Chronic Disease Prevention and Management in Primary Health Care recommended</w:t>
      </w:r>
      <w:r w:rsidR="00AF62FC" w:rsidRPr="00FC1976">
        <w:rPr>
          <w:i/>
          <w:lang w:val="en-AU"/>
        </w:rPr>
        <w:t xml:space="preserve"> </w:t>
      </w:r>
      <w:r w:rsidR="00AF62FC" w:rsidRPr="00FC1976">
        <w:rPr>
          <w:lang w:val="en-AU"/>
        </w:rPr>
        <w:t>“</w:t>
      </w:r>
      <w:r w:rsidRPr="00FC1976">
        <w:rPr>
          <w:lang w:val="en-AU"/>
        </w:rPr>
        <w:t>that the Australian Government examine the inclusion of an integrated health assessment check for cardiovascular, kidney disease risk and diabetes as per that developed by the National Vascular Disease Prevention Alliance, where a patient does not already qualify for an existing assessment and the treating practitioner suspects they are at risk of these chronic diseases.</w:t>
      </w:r>
      <w:r w:rsidR="00AF62FC" w:rsidRPr="00FC1976">
        <w:rPr>
          <w:lang w:val="en-AU"/>
        </w:rPr>
        <w:t>”</w:t>
      </w:r>
    </w:p>
    <w:p w14:paraId="6ACA14F8" w14:textId="52F68713" w:rsidR="00FB4C83" w:rsidRPr="00FC1976" w:rsidRDefault="00FB4C83" w:rsidP="008460E3">
      <w:pPr>
        <w:pStyle w:val="Caption"/>
        <w:keepLines/>
        <w:rPr>
          <w:lang w:val="en-AU"/>
        </w:rPr>
      </w:pPr>
      <w:bookmarkStart w:id="176" w:name="_Ref459984986"/>
      <w:bookmarkStart w:id="177" w:name="_Ref459996900"/>
      <w:bookmarkStart w:id="178" w:name="_Toc458167033"/>
      <w:bookmarkStart w:id="179" w:name="_Toc459971215"/>
      <w:bookmarkStart w:id="180" w:name="_Ref459984981"/>
      <w:bookmarkStart w:id="181" w:name="_Toc459996842"/>
      <w:bookmarkStart w:id="182" w:name="_Toc459891303"/>
      <w:bookmarkStart w:id="183" w:name="_Toc463984896"/>
      <w:r w:rsidRPr="00FC1976">
        <w:rPr>
          <w:lang w:val="en-AU"/>
        </w:rPr>
        <w:t xml:space="preserve">Table </w:t>
      </w:r>
      <w:r w:rsidR="00F00C88" w:rsidRPr="00FC1976">
        <w:rPr>
          <w:lang w:val="en-AU"/>
        </w:rPr>
        <w:fldChar w:fldCharType="begin"/>
      </w:r>
      <w:r w:rsidR="00F00C88" w:rsidRPr="00FC1976">
        <w:rPr>
          <w:lang w:val="en-AU"/>
        </w:rPr>
        <w:instrText xml:space="preserve"> SEQ Table \* ARABIC </w:instrText>
      </w:r>
      <w:r w:rsidR="00F00C88" w:rsidRPr="00FC1976">
        <w:rPr>
          <w:lang w:val="en-AU"/>
        </w:rPr>
        <w:fldChar w:fldCharType="separate"/>
      </w:r>
      <w:r w:rsidR="00D17FB0">
        <w:rPr>
          <w:noProof/>
          <w:lang w:val="en-AU"/>
        </w:rPr>
        <w:t>9</w:t>
      </w:r>
      <w:r w:rsidR="00F00C88" w:rsidRPr="00FC1976">
        <w:rPr>
          <w:lang w:val="en-AU"/>
        </w:rPr>
        <w:fldChar w:fldCharType="end"/>
      </w:r>
      <w:bookmarkEnd w:id="176"/>
      <w:bookmarkEnd w:id="177"/>
      <w:r w:rsidRPr="00FC1976">
        <w:rPr>
          <w:lang w:val="en-AU"/>
        </w:rPr>
        <w:t xml:space="preserve">: </w:t>
      </w:r>
      <w:r w:rsidR="006D7BEE" w:rsidRPr="00FC1976">
        <w:rPr>
          <w:lang w:val="en-AU"/>
        </w:rPr>
        <w:t>A c</w:t>
      </w:r>
      <w:r w:rsidRPr="00FC1976">
        <w:rPr>
          <w:lang w:val="en-AU"/>
        </w:rPr>
        <w:t>omparison table</w:t>
      </w:r>
      <w:r w:rsidR="006D7BEE" w:rsidRPr="00FC1976">
        <w:rPr>
          <w:lang w:val="en-AU"/>
        </w:rPr>
        <w:t xml:space="preserve"> </w:t>
      </w:r>
      <w:r w:rsidR="00383590" w:rsidRPr="00FC1976">
        <w:rPr>
          <w:lang w:val="en-AU"/>
        </w:rPr>
        <w:t>of</w:t>
      </w:r>
      <w:r w:rsidR="006D7BEE" w:rsidRPr="00FC1976">
        <w:rPr>
          <w:lang w:val="en-AU"/>
        </w:rPr>
        <w:t xml:space="preserve"> items 701, 703, 705 a</w:t>
      </w:r>
      <w:r w:rsidR="0036237D" w:rsidRPr="00FC1976">
        <w:rPr>
          <w:lang w:val="en-AU"/>
        </w:rPr>
        <w:t xml:space="preserve">nd 707 and the relevant </w:t>
      </w:r>
      <w:r w:rsidR="00925097" w:rsidRPr="00FC1976">
        <w:rPr>
          <w:lang w:val="en-AU"/>
        </w:rPr>
        <w:t xml:space="preserve">clinical </w:t>
      </w:r>
      <w:r w:rsidR="0036237D" w:rsidRPr="00FC1976">
        <w:rPr>
          <w:lang w:val="en-AU"/>
        </w:rPr>
        <w:t>guidelines</w:t>
      </w:r>
      <w:bookmarkEnd w:id="178"/>
      <w:bookmarkEnd w:id="179"/>
      <w:bookmarkEnd w:id="180"/>
      <w:bookmarkEnd w:id="181"/>
      <w:bookmarkEnd w:id="182"/>
      <w:bookmarkEnd w:id="18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9 is a comparison table for items 701, 703, 705, and 707 and the relevant clinical guidelines. There are 3 columns: column 1. Item/eligibility, column 2. Renal-related requirements stated in associated notes, and column 3. Red book edition 8 recommendations for ACR = Urinary albumin creatinine ratio, eGFR = estimated glomerular filtration rate, and CKD = Chronic kidney disease"/>
      </w:tblPr>
      <w:tblGrid>
        <w:gridCol w:w="2122"/>
        <w:gridCol w:w="3118"/>
        <w:gridCol w:w="3776"/>
      </w:tblGrid>
      <w:tr w:rsidR="00FB4C83" w:rsidRPr="00FC1976" w14:paraId="37CEC6F2" w14:textId="77777777" w:rsidTr="00B6486B">
        <w:trPr>
          <w:tblHeader/>
        </w:trPr>
        <w:tc>
          <w:tcPr>
            <w:tcW w:w="2122" w:type="dxa"/>
            <w:shd w:val="clear" w:color="auto" w:fill="F2F2F2" w:themeFill="background1" w:themeFillShade="F2"/>
            <w:vAlign w:val="bottom"/>
          </w:tcPr>
          <w:p w14:paraId="65934C6D" w14:textId="77777777" w:rsidR="00FB4C83" w:rsidRPr="00FC1976" w:rsidRDefault="00FB4C83" w:rsidP="005E1809">
            <w:pPr>
              <w:pStyle w:val="01Tableheaderrow"/>
              <w:rPr>
                <w:lang w:val="en-AU"/>
              </w:rPr>
            </w:pPr>
            <w:r w:rsidRPr="00FC1976">
              <w:rPr>
                <w:lang w:val="en-AU"/>
              </w:rPr>
              <w:t>Item/eligibility</w:t>
            </w:r>
          </w:p>
        </w:tc>
        <w:tc>
          <w:tcPr>
            <w:tcW w:w="3118" w:type="dxa"/>
            <w:shd w:val="clear" w:color="auto" w:fill="F2F2F2" w:themeFill="background1" w:themeFillShade="F2"/>
            <w:vAlign w:val="bottom"/>
          </w:tcPr>
          <w:p w14:paraId="5EE7E5CF" w14:textId="77777777" w:rsidR="00FB4C83" w:rsidRPr="00FC1976" w:rsidRDefault="00FB4C83" w:rsidP="005E1809">
            <w:pPr>
              <w:pStyle w:val="01Tableheaderrow"/>
              <w:rPr>
                <w:lang w:val="en-AU"/>
              </w:rPr>
            </w:pPr>
            <w:r w:rsidRPr="00FC1976">
              <w:rPr>
                <w:lang w:val="en-AU"/>
              </w:rPr>
              <w:t>Renal-related requirements stated in Associated Notes</w:t>
            </w:r>
          </w:p>
        </w:tc>
        <w:tc>
          <w:tcPr>
            <w:tcW w:w="3776" w:type="dxa"/>
            <w:shd w:val="clear" w:color="auto" w:fill="F2F2F2" w:themeFill="background1" w:themeFillShade="F2"/>
            <w:vAlign w:val="bottom"/>
          </w:tcPr>
          <w:p w14:paraId="01682BD7" w14:textId="77777777" w:rsidR="00FB4C83" w:rsidRPr="00FC1976" w:rsidRDefault="00FB4C83" w:rsidP="005E1809">
            <w:pPr>
              <w:pStyle w:val="01Tableheaderrow"/>
              <w:rPr>
                <w:lang w:val="en-AU"/>
              </w:rPr>
            </w:pPr>
            <w:r w:rsidRPr="00FC1976">
              <w:rPr>
                <w:lang w:val="en-AU"/>
              </w:rPr>
              <w:t>Red Book (Edition 8) recommendations</w:t>
            </w:r>
          </w:p>
          <w:p w14:paraId="14669154" w14:textId="77777777" w:rsidR="00FB4C83" w:rsidRPr="00FC1976" w:rsidRDefault="00FB4C83" w:rsidP="005E1809">
            <w:pPr>
              <w:pStyle w:val="01Tableheaderrow"/>
              <w:rPr>
                <w:lang w:val="en-AU"/>
              </w:rPr>
            </w:pPr>
            <w:r w:rsidRPr="00FC1976">
              <w:rPr>
                <w:lang w:val="en-AU"/>
              </w:rPr>
              <w:t>ACR = Urinary albumin creatinine ratio</w:t>
            </w:r>
          </w:p>
          <w:p w14:paraId="3DE1FC2A" w14:textId="77777777" w:rsidR="00FB4C83" w:rsidRPr="00FC1976" w:rsidRDefault="00FB4C83" w:rsidP="005E1809">
            <w:pPr>
              <w:pStyle w:val="01Tableheaderrow"/>
              <w:rPr>
                <w:lang w:val="en-AU"/>
              </w:rPr>
            </w:pPr>
            <w:r w:rsidRPr="00FC1976">
              <w:rPr>
                <w:lang w:val="en-AU"/>
              </w:rPr>
              <w:t xml:space="preserve">eGFR = </w:t>
            </w:r>
            <w:r w:rsidR="009F1779">
              <w:rPr>
                <w:lang w:val="en-AU"/>
              </w:rPr>
              <w:t>E</w:t>
            </w:r>
            <w:r w:rsidRPr="00FC1976">
              <w:rPr>
                <w:lang w:val="en-AU"/>
              </w:rPr>
              <w:t>stimated glomerular filtration rate</w:t>
            </w:r>
          </w:p>
          <w:p w14:paraId="2193A287" w14:textId="77777777" w:rsidR="00FB4C83" w:rsidRPr="00FC1976" w:rsidRDefault="00FB4C83" w:rsidP="005E1809">
            <w:pPr>
              <w:pStyle w:val="01Tableheaderrow"/>
              <w:rPr>
                <w:lang w:val="en-AU"/>
              </w:rPr>
            </w:pPr>
            <w:r w:rsidRPr="00FC1976">
              <w:rPr>
                <w:lang w:val="en-AU"/>
              </w:rPr>
              <w:t xml:space="preserve">CKD = </w:t>
            </w:r>
            <w:r w:rsidR="009F1779">
              <w:rPr>
                <w:lang w:val="en-AU"/>
              </w:rPr>
              <w:t>C</w:t>
            </w:r>
            <w:r w:rsidRPr="00FC1976">
              <w:rPr>
                <w:lang w:val="en-AU"/>
              </w:rPr>
              <w:t>hronic kidney disease</w:t>
            </w:r>
          </w:p>
        </w:tc>
      </w:tr>
      <w:tr w:rsidR="00FB4C83" w:rsidRPr="00FC1976" w14:paraId="22C1DB9C" w14:textId="77777777" w:rsidTr="00B6486B">
        <w:tc>
          <w:tcPr>
            <w:tcW w:w="2122" w:type="dxa"/>
            <w:shd w:val="clear" w:color="auto" w:fill="auto"/>
          </w:tcPr>
          <w:p w14:paraId="12B30AB5" w14:textId="77777777" w:rsidR="00FB4C83" w:rsidRPr="00FC1976" w:rsidRDefault="00FB4C83" w:rsidP="005E1809">
            <w:pPr>
              <w:pStyle w:val="02Tabletext"/>
              <w:rPr>
                <w:lang w:val="en-AU"/>
              </w:rPr>
            </w:pPr>
            <w:r w:rsidRPr="00FC1976">
              <w:rPr>
                <w:lang w:val="en-AU"/>
              </w:rPr>
              <w:t>701, 703, 705, 707:</w:t>
            </w:r>
          </w:p>
        </w:tc>
        <w:tc>
          <w:tcPr>
            <w:tcW w:w="3118" w:type="dxa"/>
            <w:shd w:val="clear" w:color="auto" w:fill="auto"/>
          </w:tcPr>
          <w:p w14:paraId="79AE7E98" w14:textId="77777777" w:rsidR="00FB4C83" w:rsidRPr="00FC1976" w:rsidRDefault="00FB4C83" w:rsidP="005E1809">
            <w:pPr>
              <w:pStyle w:val="02Tabletext"/>
              <w:rPr>
                <w:lang w:val="en-AU"/>
              </w:rPr>
            </w:pPr>
          </w:p>
        </w:tc>
        <w:tc>
          <w:tcPr>
            <w:tcW w:w="3776" w:type="dxa"/>
            <w:shd w:val="clear" w:color="auto" w:fill="auto"/>
          </w:tcPr>
          <w:p w14:paraId="363B79F1" w14:textId="77777777" w:rsidR="00FB4C83" w:rsidRPr="00FC1976" w:rsidRDefault="00FB4C83" w:rsidP="005E1809">
            <w:pPr>
              <w:pStyle w:val="02Tabletext"/>
              <w:rPr>
                <w:lang w:val="en-AU"/>
              </w:rPr>
            </w:pPr>
          </w:p>
        </w:tc>
      </w:tr>
      <w:tr w:rsidR="00FB4C83" w:rsidRPr="00FC1976" w14:paraId="58862CAF" w14:textId="77777777" w:rsidTr="00B6486B">
        <w:tc>
          <w:tcPr>
            <w:tcW w:w="2122" w:type="dxa"/>
          </w:tcPr>
          <w:p w14:paraId="0212A6F9" w14:textId="77777777" w:rsidR="00FB4C83" w:rsidRPr="00FC1976" w:rsidRDefault="00FB4C83" w:rsidP="005E1809">
            <w:pPr>
              <w:pStyle w:val="02Tabletext"/>
              <w:rPr>
                <w:lang w:val="en-AU"/>
              </w:rPr>
            </w:pPr>
            <w:r w:rsidRPr="00FC1976">
              <w:rPr>
                <w:lang w:val="en-AU"/>
              </w:rPr>
              <w:t>Aged 40</w:t>
            </w:r>
            <w:r w:rsidR="00B431AB" w:rsidRPr="00FC1976">
              <w:rPr>
                <w:lang w:val="en-AU"/>
              </w:rPr>
              <w:t>–</w:t>
            </w:r>
            <w:r w:rsidRPr="00FC1976">
              <w:rPr>
                <w:lang w:val="en-AU"/>
              </w:rPr>
              <w:t>49 at high risk of type 2 diabetes (</w:t>
            </w:r>
            <w:r w:rsidRPr="00FC1976">
              <w:rPr>
                <w:i/>
                <w:lang w:val="en-AU"/>
              </w:rPr>
              <w:t>every 3 years</w:t>
            </w:r>
            <w:r w:rsidRPr="00FC1976">
              <w:rPr>
                <w:lang w:val="en-AU"/>
              </w:rPr>
              <w:t>)</w:t>
            </w:r>
          </w:p>
        </w:tc>
        <w:tc>
          <w:tcPr>
            <w:tcW w:w="3118" w:type="dxa"/>
          </w:tcPr>
          <w:p w14:paraId="209C53E2" w14:textId="77777777" w:rsidR="00FB4C83" w:rsidRPr="00FC1976" w:rsidRDefault="00FB4C83" w:rsidP="005E1809">
            <w:pPr>
              <w:pStyle w:val="02Tabletext"/>
              <w:rPr>
                <w:lang w:val="en-AU"/>
              </w:rPr>
            </w:pPr>
            <w:r w:rsidRPr="00FC1976">
              <w:rPr>
                <w:lang w:val="en-AU"/>
              </w:rPr>
              <w:t>“History… physical examinations and clinical investigations in accordance with relevant guidelines”</w:t>
            </w:r>
          </w:p>
        </w:tc>
        <w:tc>
          <w:tcPr>
            <w:tcW w:w="3776" w:type="dxa"/>
          </w:tcPr>
          <w:p w14:paraId="284ACC23" w14:textId="77777777" w:rsidR="00FB4C83" w:rsidRPr="00FC1976" w:rsidRDefault="00FB4C83" w:rsidP="005E1809">
            <w:pPr>
              <w:pStyle w:val="02Tabletext"/>
              <w:rPr>
                <w:lang w:val="en-AU"/>
              </w:rPr>
            </w:pPr>
            <w:r w:rsidRPr="00FC1976">
              <w:rPr>
                <w:lang w:val="en-AU"/>
              </w:rPr>
              <w:t>Blood pressure, ACR</w:t>
            </w:r>
            <w:r w:rsidR="000D2E58" w:rsidRPr="00FC1976">
              <w:rPr>
                <w:lang w:val="en-AU"/>
              </w:rPr>
              <w:t xml:space="preserve"> and</w:t>
            </w:r>
            <w:r w:rsidRPr="00FC1976">
              <w:rPr>
                <w:lang w:val="en-AU"/>
              </w:rPr>
              <w:t xml:space="preserve"> eGFR every 1</w:t>
            </w:r>
            <w:r w:rsidR="000D2E58" w:rsidRPr="00FC1976">
              <w:rPr>
                <w:lang w:val="en-AU"/>
              </w:rPr>
              <w:t>–</w:t>
            </w:r>
            <w:r w:rsidRPr="00FC1976">
              <w:rPr>
                <w:lang w:val="en-AU"/>
              </w:rPr>
              <w:t>2 years</w:t>
            </w:r>
          </w:p>
        </w:tc>
      </w:tr>
      <w:tr w:rsidR="00FB4C83" w:rsidRPr="00FC1976" w14:paraId="55D202E2" w14:textId="77777777" w:rsidTr="00B6486B">
        <w:tc>
          <w:tcPr>
            <w:tcW w:w="2122" w:type="dxa"/>
          </w:tcPr>
          <w:p w14:paraId="2E6D2AD7" w14:textId="77777777" w:rsidR="00FB4C83" w:rsidRPr="00FC1976" w:rsidRDefault="00FB4C83" w:rsidP="005E1809">
            <w:pPr>
              <w:pStyle w:val="02Tabletext"/>
              <w:rPr>
                <w:lang w:val="en-AU"/>
              </w:rPr>
            </w:pPr>
            <w:r w:rsidRPr="00FC1976">
              <w:rPr>
                <w:lang w:val="en-AU"/>
              </w:rPr>
              <w:t>Aged 45</w:t>
            </w:r>
            <w:r w:rsidR="00394AE3" w:rsidRPr="00FC1976">
              <w:rPr>
                <w:lang w:val="en-AU"/>
              </w:rPr>
              <w:t>–</w:t>
            </w:r>
            <w:r w:rsidRPr="00FC1976">
              <w:rPr>
                <w:lang w:val="en-AU"/>
              </w:rPr>
              <w:t>49 at risk of a chronic disease (</w:t>
            </w:r>
            <w:r w:rsidRPr="00FC1976">
              <w:rPr>
                <w:i/>
                <w:lang w:val="en-AU"/>
              </w:rPr>
              <w:t>once only</w:t>
            </w:r>
            <w:r w:rsidRPr="00FC1976">
              <w:rPr>
                <w:lang w:val="en-AU"/>
              </w:rPr>
              <w:t>)</w:t>
            </w:r>
          </w:p>
        </w:tc>
        <w:tc>
          <w:tcPr>
            <w:tcW w:w="3118" w:type="dxa"/>
          </w:tcPr>
          <w:p w14:paraId="2D1137D9" w14:textId="77777777" w:rsidR="00FB4C83" w:rsidRPr="00FC1976" w:rsidRDefault="00FB4C83" w:rsidP="005E1809">
            <w:pPr>
              <w:pStyle w:val="02Tabletext"/>
              <w:rPr>
                <w:lang w:val="en-AU"/>
              </w:rPr>
            </w:pPr>
            <w:r w:rsidRPr="00FC1976">
              <w:rPr>
                <w:lang w:val="en-AU"/>
              </w:rPr>
              <w:t>Clinical judg</w:t>
            </w:r>
            <w:r w:rsidR="00EF45C2">
              <w:rPr>
                <w:lang w:val="en-AU"/>
              </w:rPr>
              <w:t>e</w:t>
            </w:r>
            <w:r w:rsidRPr="00FC1976">
              <w:rPr>
                <w:lang w:val="en-AU"/>
              </w:rPr>
              <w:t>ment</w:t>
            </w:r>
          </w:p>
        </w:tc>
        <w:tc>
          <w:tcPr>
            <w:tcW w:w="3776" w:type="dxa"/>
          </w:tcPr>
          <w:p w14:paraId="08984D16" w14:textId="77777777" w:rsidR="00FB4C83" w:rsidRPr="00FC1976" w:rsidRDefault="00FB4C83" w:rsidP="005E1809">
            <w:pPr>
              <w:pStyle w:val="02Tabletext"/>
              <w:rPr>
                <w:lang w:val="en-AU"/>
              </w:rPr>
            </w:pPr>
            <w:r w:rsidRPr="00FC1976">
              <w:rPr>
                <w:lang w:val="en-AU"/>
              </w:rPr>
              <w:t>Blood pressure, ACR</w:t>
            </w:r>
            <w:r w:rsidR="00A962F7" w:rsidRPr="00FC1976">
              <w:rPr>
                <w:lang w:val="en-AU"/>
              </w:rPr>
              <w:t xml:space="preserve"> and</w:t>
            </w:r>
            <w:r w:rsidRPr="00FC1976">
              <w:rPr>
                <w:lang w:val="en-AU"/>
              </w:rPr>
              <w:t xml:space="preserve"> eGFR every 1</w:t>
            </w:r>
            <w:r w:rsidR="00A962F7" w:rsidRPr="00FC1976">
              <w:rPr>
                <w:lang w:val="en-AU"/>
              </w:rPr>
              <w:t>–</w:t>
            </w:r>
            <w:r w:rsidRPr="00FC1976">
              <w:rPr>
                <w:lang w:val="en-AU"/>
              </w:rPr>
              <w:t>2 years</w:t>
            </w:r>
          </w:p>
        </w:tc>
      </w:tr>
      <w:tr w:rsidR="00FB4C83" w:rsidRPr="00FC1976" w14:paraId="2C4D7018" w14:textId="77777777" w:rsidTr="00B6486B">
        <w:tc>
          <w:tcPr>
            <w:tcW w:w="2122" w:type="dxa"/>
          </w:tcPr>
          <w:p w14:paraId="74C57349" w14:textId="77777777" w:rsidR="00FB4C83" w:rsidRPr="00FC1976" w:rsidRDefault="00FB4C83" w:rsidP="005E1809">
            <w:pPr>
              <w:pStyle w:val="02Tabletext"/>
              <w:rPr>
                <w:lang w:val="en-AU"/>
              </w:rPr>
            </w:pPr>
            <w:r w:rsidRPr="00FC1976">
              <w:rPr>
                <w:lang w:val="en-AU"/>
              </w:rPr>
              <w:t>Aged 75 and older (</w:t>
            </w:r>
            <w:r w:rsidRPr="00FC1976">
              <w:rPr>
                <w:i/>
                <w:lang w:val="en-AU"/>
              </w:rPr>
              <w:t>annually</w:t>
            </w:r>
            <w:r w:rsidRPr="00FC1976">
              <w:rPr>
                <w:lang w:val="en-AU"/>
              </w:rPr>
              <w:t>)</w:t>
            </w:r>
          </w:p>
        </w:tc>
        <w:tc>
          <w:tcPr>
            <w:tcW w:w="3118" w:type="dxa"/>
          </w:tcPr>
          <w:p w14:paraId="55E4B9E5" w14:textId="77777777" w:rsidR="00FB4C83" w:rsidRPr="00FC1976" w:rsidRDefault="00FB4C83" w:rsidP="005E1809">
            <w:pPr>
              <w:pStyle w:val="02Tabletext"/>
              <w:rPr>
                <w:lang w:val="en-AU"/>
              </w:rPr>
            </w:pPr>
            <w:r w:rsidRPr="00FC1976">
              <w:rPr>
                <w:lang w:val="en-AU"/>
              </w:rPr>
              <w:t>Blood pressure measurement</w:t>
            </w:r>
          </w:p>
        </w:tc>
        <w:tc>
          <w:tcPr>
            <w:tcW w:w="3776" w:type="dxa"/>
          </w:tcPr>
          <w:p w14:paraId="42BC6221" w14:textId="77777777" w:rsidR="00FB4C83" w:rsidRPr="00FC1976" w:rsidRDefault="00FB4C83" w:rsidP="005E1809">
            <w:pPr>
              <w:pStyle w:val="02Tabletext"/>
              <w:rPr>
                <w:lang w:val="en-AU"/>
              </w:rPr>
            </w:pPr>
            <w:r w:rsidRPr="00FC1976">
              <w:rPr>
                <w:lang w:val="en-AU"/>
              </w:rPr>
              <w:t>Blood pressure;</w:t>
            </w:r>
          </w:p>
          <w:p w14:paraId="500D60F5" w14:textId="77777777" w:rsidR="00FB4C83" w:rsidRPr="00FC1976" w:rsidRDefault="00FB4C83" w:rsidP="005E1809">
            <w:pPr>
              <w:pStyle w:val="02Tabletext"/>
              <w:rPr>
                <w:lang w:val="en-AU"/>
              </w:rPr>
            </w:pPr>
            <w:r w:rsidRPr="00FC1976">
              <w:rPr>
                <w:lang w:val="en-AU"/>
              </w:rPr>
              <w:t xml:space="preserve">ACR </w:t>
            </w:r>
            <w:r w:rsidR="00A470B9" w:rsidRPr="00FC1976">
              <w:rPr>
                <w:lang w:val="en-AU"/>
              </w:rPr>
              <w:t>and</w:t>
            </w:r>
            <w:r w:rsidRPr="00FC1976">
              <w:rPr>
                <w:lang w:val="en-AU"/>
              </w:rPr>
              <w:t xml:space="preserve"> eGFR if at increased risk of CKD</w:t>
            </w:r>
          </w:p>
        </w:tc>
      </w:tr>
      <w:tr w:rsidR="00FB4C83" w:rsidRPr="00FC1976" w14:paraId="76BD6FE8" w14:textId="77777777" w:rsidTr="00B6486B">
        <w:tc>
          <w:tcPr>
            <w:tcW w:w="2122" w:type="dxa"/>
          </w:tcPr>
          <w:p w14:paraId="31D2216F" w14:textId="77777777" w:rsidR="00FB4C83" w:rsidRPr="00FC1976" w:rsidRDefault="00FB4C83" w:rsidP="005E1809">
            <w:pPr>
              <w:pStyle w:val="02Tabletext"/>
              <w:rPr>
                <w:lang w:val="en-AU"/>
              </w:rPr>
            </w:pPr>
            <w:r w:rsidRPr="00FC1976">
              <w:rPr>
                <w:lang w:val="en-AU"/>
              </w:rPr>
              <w:t xml:space="preserve">Permanent resident of </w:t>
            </w:r>
            <w:r w:rsidR="004E0725" w:rsidRPr="00FC1976">
              <w:rPr>
                <w:lang w:val="en-AU"/>
              </w:rPr>
              <w:t xml:space="preserve">Residential Aged Care Facility </w:t>
            </w:r>
            <w:r w:rsidRPr="00FC1976">
              <w:rPr>
                <w:lang w:val="en-AU"/>
              </w:rPr>
              <w:t>(</w:t>
            </w:r>
            <w:r w:rsidRPr="00FC1976">
              <w:rPr>
                <w:i/>
                <w:lang w:val="en-AU"/>
              </w:rPr>
              <w:t>annually</w:t>
            </w:r>
            <w:r w:rsidRPr="00FC1976">
              <w:rPr>
                <w:lang w:val="en-AU"/>
              </w:rPr>
              <w:t>)</w:t>
            </w:r>
          </w:p>
        </w:tc>
        <w:tc>
          <w:tcPr>
            <w:tcW w:w="3118" w:type="dxa"/>
          </w:tcPr>
          <w:p w14:paraId="65597B8F" w14:textId="77777777" w:rsidR="00FB4C83" w:rsidRPr="00FC1976" w:rsidRDefault="00FB4C83" w:rsidP="005E1809">
            <w:pPr>
              <w:pStyle w:val="02Tabletext"/>
              <w:rPr>
                <w:lang w:val="en-AU"/>
              </w:rPr>
            </w:pPr>
            <w:r w:rsidRPr="00FC1976">
              <w:rPr>
                <w:lang w:val="en-AU"/>
              </w:rPr>
              <w:t>Clinical judg</w:t>
            </w:r>
            <w:r w:rsidR="002F3A20">
              <w:rPr>
                <w:lang w:val="en-AU"/>
              </w:rPr>
              <w:t>e</w:t>
            </w:r>
            <w:r w:rsidRPr="00FC1976">
              <w:rPr>
                <w:lang w:val="en-AU"/>
              </w:rPr>
              <w:t>ment</w:t>
            </w:r>
          </w:p>
        </w:tc>
        <w:tc>
          <w:tcPr>
            <w:tcW w:w="3776" w:type="dxa"/>
          </w:tcPr>
          <w:p w14:paraId="34E60DCB" w14:textId="77777777" w:rsidR="00FB4C83" w:rsidRPr="00FC1976" w:rsidRDefault="00FB4C83" w:rsidP="005E1809">
            <w:pPr>
              <w:pStyle w:val="02Tabletext"/>
              <w:rPr>
                <w:lang w:val="en-AU"/>
              </w:rPr>
            </w:pPr>
            <w:r w:rsidRPr="00FC1976">
              <w:rPr>
                <w:lang w:val="en-AU"/>
              </w:rPr>
              <w:t>Blood pressure;</w:t>
            </w:r>
          </w:p>
          <w:p w14:paraId="78ABED59" w14:textId="77777777" w:rsidR="00FB4C83" w:rsidRPr="00FC1976" w:rsidRDefault="00FB4C83" w:rsidP="005E1809">
            <w:pPr>
              <w:pStyle w:val="02Tabletext"/>
              <w:rPr>
                <w:lang w:val="en-AU"/>
              </w:rPr>
            </w:pPr>
            <w:r w:rsidRPr="00FC1976">
              <w:rPr>
                <w:lang w:val="en-AU"/>
              </w:rPr>
              <w:t xml:space="preserve">ACR </w:t>
            </w:r>
            <w:r w:rsidR="003711BF" w:rsidRPr="00FC1976">
              <w:rPr>
                <w:lang w:val="en-AU"/>
              </w:rPr>
              <w:t>and</w:t>
            </w:r>
            <w:r w:rsidRPr="00FC1976">
              <w:rPr>
                <w:lang w:val="en-AU"/>
              </w:rPr>
              <w:t xml:space="preserve"> eGFR if at increased risk of CKD</w:t>
            </w:r>
          </w:p>
        </w:tc>
      </w:tr>
      <w:tr w:rsidR="00FB4C83" w:rsidRPr="00FC1976" w14:paraId="6E14314F" w14:textId="77777777" w:rsidTr="00B6486B">
        <w:tc>
          <w:tcPr>
            <w:tcW w:w="2122" w:type="dxa"/>
          </w:tcPr>
          <w:p w14:paraId="5C7B0BCB" w14:textId="77777777" w:rsidR="00FB4C83" w:rsidRPr="00FC1976" w:rsidRDefault="00FB4C83" w:rsidP="005E1809">
            <w:pPr>
              <w:pStyle w:val="02Tabletext"/>
              <w:rPr>
                <w:lang w:val="en-AU"/>
              </w:rPr>
            </w:pPr>
            <w:r w:rsidRPr="00FC1976">
              <w:rPr>
                <w:lang w:val="en-AU"/>
              </w:rPr>
              <w:t>Intellectual disability (</w:t>
            </w:r>
            <w:r w:rsidRPr="00FC1976">
              <w:rPr>
                <w:i/>
                <w:lang w:val="en-AU"/>
              </w:rPr>
              <w:t>annually</w:t>
            </w:r>
            <w:r w:rsidRPr="00FC1976">
              <w:rPr>
                <w:lang w:val="en-AU"/>
              </w:rPr>
              <w:t>)</w:t>
            </w:r>
          </w:p>
        </w:tc>
        <w:tc>
          <w:tcPr>
            <w:tcW w:w="3118" w:type="dxa"/>
          </w:tcPr>
          <w:p w14:paraId="778055F7" w14:textId="77777777" w:rsidR="00FE3FA4" w:rsidRPr="00FC1976" w:rsidRDefault="00FB4C83" w:rsidP="005E1809">
            <w:pPr>
              <w:pStyle w:val="02Tabletext"/>
              <w:rPr>
                <w:lang w:val="en-AU"/>
              </w:rPr>
            </w:pPr>
            <w:r w:rsidRPr="00FC1976">
              <w:rPr>
                <w:lang w:val="en-AU"/>
              </w:rPr>
              <w:t xml:space="preserve">“Comprehensively assess … physical, psychological and social function” </w:t>
            </w:r>
          </w:p>
          <w:p w14:paraId="116EE22A" w14:textId="77777777" w:rsidR="00FB4C83" w:rsidRPr="00FC1976" w:rsidRDefault="00FE3FA4" w:rsidP="005E1809">
            <w:pPr>
              <w:pStyle w:val="02Tabletext"/>
              <w:rPr>
                <w:lang w:val="en-AU"/>
              </w:rPr>
            </w:pPr>
            <w:r w:rsidRPr="00FC1976">
              <w:rPr>
                <w:lang w:val="en-AU"/>
              </w:rPr>
              <w:t>N</w:t>
            </w:r>
            <w:r w:rsidR="00FB4C83" w:rsidRPr="00FC1976">
              <w:rPr>
                <w:lang w:val="en-AU"/>
              </w:rPr>
              <w:t>o specific mention of CKD or vascular screening</w:t>
            </w:r>
          </w:p>
        </w:tc>
        <w:tc>
          <w:tcPr>
            <w:tcW w:w="3776" w:type="dxa"/>
          </w:tcPr>
          <w:p w14:paraId="65E71B6E" w14:textId="77777777" w:rsidR="00FB4C83" w:rsidRPr="00FC1976" w:rsidRDefault="00FB4C83" w:rsidP="005E1809">
            <w:pPr>
              <w:pStyle w:val="02Tabletext"/>
              <w:rPr>
                <w:lang w:val="en-AU"/>
              </w:rPr>
            </w:pPr>
            <w:r w:rsidRPr="00FC1976">
              <w:rPr>
                <w:lang w:val="en-AU"/>
              </w:rPr>
              <w:t>Not specified</w:t>
            </w:r>
          </w:p>
        </w:tc>
      </w:tr>
      <w:tr w:rsidR="00FB4C83" w:rsidRPr="00FC1976" w14:paraId="12E7BD94" w14:textId="77777777" w:rsidTr="00B6486B">
        <w:tc>
          <w:tcPr>
            <w:tcW w:w="2122" w:type="dxa"/>
          </w:tcPr>
          <w:p w14:paraId="17B4A88D" w14:textId="77777777" w:rsidR="00FB4C83" w:rsidRPr="00FC1976" w:rsidRDefault="00FB4C83" w:rsidP="005E1809">
            <w:pPr>
              <w:pStyle w:val="02Tabletext"/>
              <w:rPr>
                <w:lang w:val="en-AU"/>
              </w:rPr>
            </w:pPr>
            <w:r w:rsidRPr="00FC1976">
              <w:rPr>
                <w:lang w:val="en-AU"/>
              </w:rPr>
              <w:t>Humanitarian entrants (</w:t>
            </w:r>
            <w:r w:rsidRPr="00FC1976">
              <w:rPr>
                <w:i/>
                <w:lang w:val="en-AU"/>
              </w:rPr>
              <w:t>once only</w:t>
            </w:r>
            <w:r w:rsidRPr="00FC1976">
              <w:rPr>
                <w:lang w:val="en-AU"/>
              </w:rPr>
              <w:t>)</w:t>
            </w:r>
          </w:p>
        </w:tc>
        <w:tc>
          <w:tcPr>
            <w:tcW w:w="3118" w:type="dxa"/>
          </w:tcPr>
          <w:p w14:paraId="08B2DEA6" w14:textId="77777777" w:rsidR="00FB4C83" w:rsidRPr="00FC1976" w:rsidRDefault="00FB4C83" w:rsidP="005E1809">
            <w:pPr>
              <w:pStyle w:val="02Tabletext"/>
              <w:rPr>
                <w:lang w:val="en-AU"/>
              </w:rPr>
            </w:pPr>
            <w:r w:rsidRPr="00FC1976">
              <w:rPr>
                <w:lang w:val="en-AU"/>
              </w:rPr>
              <w:t>Clinical judg</w:t>
            </w:r>
            <w:r w:rsidR="00EF45C2">
              <w:rPr>
                <w:lang w:val="en-AU"/>
              </w:rPr>
              <w:t>e</w:t>
            </w:r>
            <w:r w:rsidRPr="00FC1976">
              <w:rPr>
                <w:lang w:val="en-AU"/>
              </w:rPr>
              <w:t>ment</w:t>
            </w:r>
          </w:p>
        </w:tc>
        <w:tc>
          <w:tcPr>
            <w:tcW w:w="3776" w:type="dxa"/>
          </w:tcPr>
          <w:p w14:paraId="51144D56" w14:textId="77777777" w:rsidR="00FB4C83" w:rsidRPr="00FC1976" w:rsidRDefault="00FB4C83" w:rsidP="005E1809">
            <w:pPr>
              <w:pStyle w:val="02Tabletext"/>
              <w:rPr>
                <w:lang w:val="en-AU"/>
              </w:rPr>
            </w:pPr>
            <w:r w:rsidRPr="00FC1976">
              <w:rPr>
                <w:lang w:val="en-AU"/>
              </w:rPr>
              <w:t>Not specified</w:t>
            </w:r>
          </w:p>
        </w:tc>
      </w:tr>
      <w:tr w:rsidR="00FB4C83" w:rsidRPr="00FC1976" w14:paraId="25B689BE" w14:textId="77777777" w:rsidTr="00B6486B">
        <w:tc>
          <w:tcPr>
            <w:tcW w:w="2122" w:type="dxa"/>
          </w:tcPr>
          <w:p w14:paraId="5F60885E" w14:textId="77777777" w:rsidR="00FB4C83" w:rsidRPr="00FC1976" w:rsidRDefault="00FB4C83" w:rsidP="005E1809">
            <w:pPr>
              <w:pStyle w:val="02Tabletext"/>
              <w:rPr>
                <w:lang w:val="en-AU"/>
              </w:rPr>
            </w:pPr>
            <w:r w:rsidRPr="00FC1976">
              <w:rPr>
                <w:lang w:val="en-AU"/>
              </w:rPr>
              <w:t>Former serving members of ADF (once only)</w:t>
            </w:r>
          </w:p>
        </w:tc>
        <w:tc>
          <w:tcPr>
            <w:tcW w:w="3118" w:type="dxa"/>
          </w:tcPr>
          <w:p w14:paraId="155C616E" w14:textId="77777777" w:rsidR="00FB4C83" w:rsidRPr="00FC1976" w:rsidRDefault="00FB4C83" w:rsidP="005E1809">
            <w:pPr>
              <w:pStyle w:val="02Tabletext"/>
              <w:rPr>
                <w:lang w:val="en-AU"/>
              </w:rPr>
            </w:pPr>
            <w:r w:rsidRPr="00FC1976">
              <w:rPr>
                <w:lang w:val="en-AU"/>
              </w:rPr>
              <w:t>Blood pressure</w:t>
            </w:r>
          </w:p>
        </w:tc>
        <w:tc>
          <w:tcPr>
            <w:tcW w:w="3776" w:type="dxa"/>
          </w:tcPr>
          <w:p w14:paraId="1412864A" w14:textId="77777777" w:rsidR="00FB4C83" w:rsidRPr="00FC1976" w:rsidRDefault="00FB4C83" w:rsidP="005E1809">
            <w:pPr>
              <w:pStyle w:val="02Tabletext"/>
              <w:rPr>
                <w:lang w:val="en-AU"/>
              </w:rPr>
            </w:pPr>
            <w:r w:rsidRPr="00FC1976">
              <w:rPr>
                <w:lang w:val="en-AU"/>
              </w:rPr>
              <w:t>Not specified</w:t>
            </w:r>
          </w:p>
        </w:tc>
      </w:tr>
      <w:tr w:rsidR="00FB4C83" w:rsidRPr="00FC1976" w14:paraId="2FFCC36A" w14:textId="77777777" w:rsidTr="00B6486B">
        <w:tc>
          <w:tcPr>
            <w:tcW w:w="2122" w:type="dxa"/>
            <w:shd w:val="clear" w:color="auto" w:fill="auto"/>
          </w:tcPr>
          <w:p w14:paraId="66CF1517" w14:textId="77777777" w:rsidR="00FB4C83" w:rsidRPr="00FC1976" w:rsidRDefault="00FB4C83" w:rsidP="005E1809">
            <w:pPr>
              <w:pStyle w:val="02Tabletext"/>
              <w:rPr>
                <w:lang w:val="en-AU"/>
              </w:rPr>
            </w:pPr>
            <w:r w:rsidRPr="00FC1976">
              <w:rPr>
                <w:lang w:val="en-AU"/>
              </w:rPr>
              <w:t>715</w:t>
            </w:r>
          </w:p>
        </w:tc>
        <w:tc>
          <w:tcPr>
            <w:tcW w:w="3118" w:type="dxa"/>
            <w:shd w:val="clear" w:color="auto" w:fill="auto"/>
          </w:tcPr>
          <w:p w14:paraId="3168EFBE" w14:textId="77777777" w:rsidR="00FB4C83" w:rsidRPr="00FC1976" w:rsidRDefault="00FB4C83" w:rsidP="005E1809">
            <w:pPr>
              <w:pStyle w:val="02Tabletext"/>
              <w:rPr>
                <w:lang w:val="en-AU"/>
              </w:rPr>
            </w:pPr>
          </w:p>
        </w:tc>
        <w:tc>
          <w:tcPr>
            <w:tcW w:w="3776" w:type="dxa"/>
            <w:shd w:val="clear" w:color="auto" w:fill="auto"/>
          </w:tcPr>
          <w:p w14:paraId="21C22471" w14:textId="77777777" w:rsidR="00FB4C83" w:rsidRPr="00FC1976" w:rsidRDefault="00FB4C83" w:rsidP="005E1809">
            <w:pPr>
              <w:pStyle w:val="02Tabletext"/>
              <w:rPr>
                <w:lang w:val="en-AU"/>
              </w:rPr>
            </w:pPr>
          </w:p>
        </w:tc>
      </w:tr>
      <w:tr w:rsidR="00FB4C83" w:rsidRPr="00FC1976" w14:paraId="1706FE42" w14:textId="77777777" w:rsidTr="00B6486B">
        <w:tc>
          <w:tcPr>
            <w:tcW w:w="2122" w:type="dxa"/>
          </w:tcPr>
          <w:p w14:paraId="0EE19479" w14:textId="77777777" w:rsidR="00FB4C83" w:rsidRPr="00FC1976" w:rsidRDefault="002C2638" w:rsidP="005E1809">
            <w:pPr>
              <w:pStyle w:val="02Tabletext"/>
              <w:rPr>
                <w:lang w:val="en-AU"/>
              </w:rPr>
            </w:pPr>
            <w:r w:rsidRPr="00FC1976">
              <w:rPr>
                <w:lang w:val="en-AU"/>
              </w:rPr>
              <w:t>Aboriginal and Torres Strait Islander</w:t>
            </w:r>
            <w:r w:rsidR="00FB4C83" w:rsidRPr="00FC1976">
              <w:rPr>
                <w:lang w:val="en-AU"/>
              </w:rPr>
              <w:t xml:space="preserve"> Peoples Health Assessment (</w:t>
            </w:r>
            <w:r w:rsidR="00FB4C83" w:rsidRPr="00FC1976">
              <w:rPr>
                <w:i/>
                <w:lang w:val="en-AU"/>
              </w:rPr>
              <w:t>annually</w:t>
            </w:r>
            <w:r w:rsidR="00FB4C83" w:rsidRPr="00FC1976">
              <w:rPr>
                <w:lang w:val="en-AU"/>
              </w:rPr>
              <w:t>)</w:t>
            </w:r>
          </w:p>
        </w:tc>
        <w:tc>
          <w:tcPr>
            <w:tcW w:w="3118" w:type="dxa"/>
          </w:tcPr>
          <w:p w14:paraId="7F09AD0F" w14:textId="77777777" w:rsidR="00FB4C83" w:rsidRPr="00FC1976" w:rsidRDefault="00FB4C83" w:rsidP="005E1809">
            <w:pPr>
              <w:pStyle w:val="02Tabletext"/>
              <w:rPr>
                <w:lang w:val="en-AU"/>
              </w:rPr>
            </w:pPr>
            <w:r w:rsidRPr="00FC1976">
              <w:rPr>
                <w:lang w:val="en-AU"/>
              </w:rPr>
              <w:t>Blood pressure (aged 15 yr</w:t>
            </w:r>
            <w:r w:rsidR="00222AC8" w:rsidRPr="00FC1976">
              <w:rPr>
                <w:lang w:val="en-AU"/>
              </w:rPr>
              <w:t>s</w:t>
            </w:r>
            <w:r w:rsidRPr="00FC1976">
              <w:rPr>
                <w:lang w:val="en-AU"/>
              </w:rPr>
              <w:t xml:space="preserve"> and older);</w:t>
            </w:r>
          </w:p>
          <w:p w14:paraId="3141271D" w14:textId="77777777" w:rsidR="00FB4C83" w:rsidRPr="00FC1976" w:rsidRDefault="00FB4C83" w:rsidP="005E1809">
            <w:pPr>
              <w:pStyle w:val="02Tabletext"/>
              <w:rPr>
                <w:lang w:val="en-AU"/>
              </w:rPr>
            </w:pPr>
            <w:r w:rsidRPr="00FC1976">
              <w:rPr>
                <w:lang w:val="en-AU"/>
              </w:rPr>
              <w:t>“Urinalysis (by dipstick) for proteinurea” (aged 15</w:t>
            </w:r>
            <w:r w:rsidR="003D1381" w:rsidRPr="00FC1976">
              <w:rPr>
                <w:lang w:val="en-AU"/>
              </w:rPr>
              <w:t>–</w:t>
            </w:r>
            <w:r w:rsidRPr="00FC1976">
              <w:rPr>
                <w:lang w:val="en-AU"/>
              </w:rPr>
              <w:t>54</w:t>
            </w:r>
            <w:r w:rsidR="00317AC9">
              <w:rPr>
                <w:lang w:val="en-AU"/>
              </w:rPr>
              <w:t xml:space="preserve"> </w:t>
            </w:r>
            <w:r w:rsidRPr="00FC1976">
              <w:rPr>
                <w:lang w:val="en-AU"/>
              </w:rPr>
              <w:t>yr</w:t>
            </w:r>
            <w:r w:rsidR="009708A2" w:rsidRPr="00FC1976">
              <w:rPr>
                <w:lang w:val="en-AU"/>
              </w:rPr>
              <w:t>s</w:t>
            </w:r>
            <w:r w:rsidRPr="00FC1976">
              <w:rPr>
                <w:lang w:val="en-AU"/>
              </w:rPr>
              <w:t>);</w:t>
            </w:r>
          </w:p>
          <w:p w14:paraId="2B865762" w14:textId="77777777" w:rsidR="00FB4C83" w:rsidRPr="00FC1976" w:rsidRDefault="00655A8A" w:rsidP="005E1809">
            <w:pPr>
              <w:pStyle w:val="02Tabletext"/>
              <w:rPr>
                <w:lang w:val="en-AU"/>
              </w:rPr>
            </w:pPr>
            <w:r w:rsidRPr="00FC1976">
              <w:rPr>
                <w:lang w:val="en-AU"/>
              </w:rPr>
              <w:t>n</w:t>
            </w:r>
            <w:r w:rsidR="00FB4C83" w:rsidRPr="00FC1976">
              <w:rPr>
                <w:lang w:val="en-AU"/>
              </w:rPr>
              <w:t>o requirement for eGFR</w:t>
            </w:r>
          </w:p>
        </w:tc>
        <w:tc>
          <w:tcPr>
            <w:tcW w:w="3776" w:type="dxa"/>
          </w:tcPr>
          <w:p w14:paraId="5BD307E4" w14:textId="77777777" w:rsidR="00FB4C83" w:rsidRPr="00FC1976" w:rsidRDefault="00FB4C83" w:rsidP="005E1809">
            <w:pPr>
              <w:pStyle w:val="02Tabletext"/>
              <w:rPr>
                <w:lang w:val="en-AU"/>
              </w:rPr>
            </w:pPr>
            <w:r w:rsidRPr="00FC1976">
              <w:rPr>
                <w:lang w:val="en-AU"/>
              </w:rPr>
              <w:t xml:space="preserve">Blood pressure, ACR </w:t>
            </w:r>
            <w:r w:rsidR="00DC6E2A" w:rsidRPr="00FC1976">
              <w:rPr>
                <w:lang w:val="en-AU"/>
              </w:rPr>
              <w:t>and</w:t>
            </w:r>
            <w:r w:rsidRPr="00FC1976">
              <w:rPr>
                <w:lang w:val="en-AU"/>
              </w:rPr>
              <w:t xml:space="preserve"> eGFR from 30 years of age</w:t>
            </w:r>
          </w:p>
          <w:p w14:paraId="49E2A5FF" w14:textId="77777777" w:rsidR="00FB4C83" w:rsidRPr="00FC1976" w:rsidRDefault="00FB4C83" w:rsidP="005E1809">
            <w:pPr>
              <w:pStyle w:val="02Tabletext"/>
              <w:rPr>
                <w:lang w:val="en-AU"/>
              </w:rPr>
            </w:pPr>
            <w:r w:rsidRPr="00FC1976">
              <w:rPr>
                <w:lang w:val="en-AU"/>
              </w:rPr>
              <w:t>(NB</w:t>
            </w:r>
            <w:r w:rsidR="00291BD8" w:rsidRPr="00FC1976">
              <w:rPr>
                <w:lang w:val="en-AU"/>
              </w:rPr>
              <w:t>.</w:t>
            </w:r>
            <w:r w:rsidRPr="00FC1976">
              <w:rPr>
                <w:lang w:val="en-AU"/>
              </w:rPr>
              <w:t xml:space="preserve"> Dipstick urinalysis </w:t>
            </w:r>
            <w:r w:rsidRPr="00FC1976">
              <w:rPr>
                <w:u w:val="single"/>
                <w:lang w:val="en-AU"/>
              </w:rPr>
              <w:t>not</w:t>
            </w:r>
            <w:r w:rsidRPr="00FC1976">
              <w:rPr>
                <w:lang w:val="en-AU"/>
              </w:rPr>
              <w:t xml:space="preserve"> recommended)</w:t>
            </w:r>
          </w:p>
        </w:tc>
      </w:tr>
    </w:tbl>
    <w:p w14:paraId="7DE0836C" w14:textId="77777777" w:rsidR="000607EE" w:rsidRPr="00D220C9" w:rsidRDefault="0059491E" w:rsidP="00EE7BD8">
      <w:pPr>
        <w:pStyle w:val="Heading1"/>
        <w:pageBreakBefore/>
        <w:ind w:left="431" w:hanging="431"/>
        <w:rPr>
          <w:lang w:val="en-AU"/>
        </w:rPr>
      </w:pPr>
      <w:bookmarkStart w:id="184" w:name="_Toc459996829"/>
      <w:bookmarkStart w:id="185" w:name="_Toc467668972"/>
      <w:bookmarkStart w:id="186" w:name="_Toc458167022"/>
      <w:r w:rsidRPr="000607EE">
        <w:rPr>
          <w:lang w:val="en-AU"/>
        </w:rPr>
        <w:t>References</w:t>
      </w:r>
      <w:bookmarkEnd w:id="184"/>
      <w:bookmarkEnd w:id="185"/>
    </w:p>
    <w:p w14:paraId="291ECA4C"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 </w:t>
      </w:r>
      <w:r>
        <w:rPr>
          <w:rFonts w:ascii="Times New Roman" w:hAnsi="Times New Roman"/>
          <w:sz w:val="24"/>
        </w:rPr>
        <w:tab/>
        <w:t xml:space="preserve">Elshaug A (Menzies C for HP. Appropriate Use Criteria. 2016. </w:t>
      </w:r>
    </w:p>
    <w:p w14:paraId="1D4391D0"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 </w:t>
      </w:r>
      <w:r>
        <w:rPr>
          <w:rFonts w:ascii="Times New Roman" w:hAnsi="Times New Roman"/>
          <w:sz w:val="24"/>
        </w:rPr>
        <w:tab/>
        <w:t xml:space="preserve">MBS. MBS Data. </w:t>
      </w:r>
    </w:p>
    <w:p w14:paraId="443DA7FD"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3. </w:t>
      </w:r>
      <w:r>
        <w:rPr>
          <w:rFonts w:ascii="Times New Roman" w:hAnsi="Times New Roman"/>
          <w:sz w:val="24"/>
        </w:rPr>
        <w:tab/>
        <w:t>ANZDATA Registry. 38th Annual ANZDATA Report [Internet]. Adelaide; 2016. Available from: http://www.anzdata.org.au/v1/report_2015.html</w:t>
      </w:r>
    </w:p>
    <w:p w14:paraId="0C625D12"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4. </w:t>
      </w:r>
      <w:r>
        <w:rPr>
          <w:rFonts w:ascii="Times New Roman" w:hAnsi="Times New Roman"/>
          <w:sz w:val="24"/>
        </w:rPr>
        <w:tab/>
        <w:t>Preston-Thomas A, Cass A, O’Rourke P. Trends in the incidence of treated end-stage kidney disease among Indigenous Australians and access to treatment. Aust N Z J Public Health [Internet]. 2007 Oct [cited 2016 Jul 29];31(5):419–21. Available from: http://www.ncbi.nlm.nih.gov/pubmed/17931287</w:t>
      </w:r>
    </w:p>
    <w:p w14:paraId="34992BF2"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5. </w:t>
      </w:r>
      <w:r>
        <w:rPr>
          <w:rFonts w:ascii="Times New Roman" w:hAnsi="Times New Roman"/>
          <w:sz w:val="24"/>
        </w:rPr>
        <w:tab/>
        <w:t>Brophy PD, Shoham DA, CKD Life Course Group, Charlton JR, Carmody JB, Reidy KJ, et al. Early-Life Course Socioeconomic Factors and Chronic Kidney Disease. Adv Chronic Kidney Dis [Internet]. 2015 Jan [cited 2016 Jul 29];22(1):16–23. Available from: http://linkinghub.elsevier.com/retrieve/pii/S1548559514001013</w:t>
      </w:r>
    </w:p>
    <w:p w14:paraId="7337A36D"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6. </w:t>
      </w:r>
      <w:r>
        <w:rPr>
          <w:rFonts w:ascii="Times New Roman" w:hAnsi="Times New Roman"/>
          <w:sz w:val="24"/>
        </w:rPr>
        <w:tab/>
        <w:t>Cass A, Cunningham J, Hoy W. The relationship between the incidence of end-stage renal disease and markers of socioeconomic disadvantage. N S W Public Health Bull [Internet]. 2002 [cited 2016 Jul 29];13(7):147–51. Available from: http://phrp.com.au/issues/volume-13-issue-7/the-relationship-between-the-incidence-of-end-stage-renal-disease-and-markers-of-socioeconomic-disadvantage/</w:t>
      </w:r>
    </w:p>
    <w:p w14:paraId="3885757F"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7. </w:t>
      </w:r>
      <w:r>
        <w:rPr>
          <w:rFonts w:ascii="Times New Roman" w:hAnsi="Times New Roman"/>
          <w:sz w:val="24"/>
        </w:rPr>
        <w:tab/>
        <w:t>Garcia-Garcia G, Jha V. Chronic kidney disease in disadvantaged populations. Indian J Nephrol [Internet]. 2015 [cited 2016 Jul 29];25(2):65–9. Available from: http://www.ncbi.nlm.nih.gov/pubmed/25838641</w:t>
      </w:r>
    </w:p>
    <w:p w14:paraId="72F96E5D"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8. </w:t>
      </w:r>
      <w:r>
        <w:rPr>
          <w:rFonts w:ascii="Times New Roman" w:hAnsi="Times New Roman"/>
          <w:sz w:val="24"/>
        </w:rPr>
        <w:tab/>
        <w:t xml:space="preserve">Australian Institute of Health and Welfare. Chronic Kidney Disease: Regional Variation in Australia. Canberra; 2013. </w:t>
      </w:r>
    </w:p>
    <w:p w14:paraId="660BCED5"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9. </w:t>
      </w:r>
      <w:r>
        <w:rPr>
          <w:rFonts w:ascii="Times New Roman" w:hAnsi="Times New Roman"/>
          <w:sz w:val="24"/>
        </w:rPr>
        <w:tab/>
        <w:t xml:space="preserve">Statistics AB of. Australian Aboriginal and Torres Strait Islander Health Survey: Biomedical Results, 2012–13. Cat No 4727055003. Canberra: Australian Government; 2014. </w:t>
      </w:r>
    </w:p>
    <w:p w14:paraId="6E0AB4B1"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10. </w:t>
      </w:r>
      <w:r>
        <w:rPr>
          <w:rFonts w:ascii="Times New Roman" w:hAnsi="Times New Roman"/>
          <w:sz w:val="24"/>
        </w:rPr>
        <w:tab/>
        <w:t xml:space="preserve">ABS. Estimates of Aboriginal and Torres Strait Islander Australians, Jun 2011. </w:t>
      </w:r>
    </w:p>
    <w:p w14:paraId="2BC2D90C"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11. </w:t>
      </w:r>
      <w:r>
        <w:rPr>
          <w:rFonts w:ascii="Times New Roman" w:hAnsi="Times New Roman"/>
          <w:sz w:val="24"/>
        </w:rPr>
        <w:tab/>
        <w:t>Gorham G. Review of Tiwi Dialysis Centre: The Economic and Social Repercussions of Client Relocation [Internet]. Review of Tiwi Dialysis Centre: The Economic and Social Repercussions of Client Relocation. Darwin: G. Gorham; 2000. Available from: http://trove.nla.gov.au/version/43196870</w:t>
      </w:r>
    </w:p>
    <w:p w14:paraId="6D0D66D1"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12. </w:t>
      </w:r>
      <w:r>
        <w:rPr>
          <w:rFonts w:ascii="Times New Roman" w:hAnsi="Times New Roman"/>
          <w:sz w:val="24"/>
        </w:rPr>
        <w:tab/>
        <w:t xml:space="preserve">Lavoie J, Forget E, Rowe G DM. The leaving for the city project (medical relocation project phase 2): Final report. Winnipeg; 2009. </w:t>
      </w:r>
    </w:p>
    <w:p w14:paraId="362E4860"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13. </w:t>
      </w:r>
      <w:r>
        <w:rPr>
          <w:rFonts w:ascii="Times New Roman" w:hAnsi="Times New Roman"/>
          <w:sz w:val="24"/>
        </w:rPr>
        <w:tab/>
        <w:t>McGrath P. “I don”t want to be in that big city; this is my country here’: research findings on Aboriginal peoples’ preference to die at home. Aust J Rural Health [Internet]. 2007 Aug [cited 2016 Jul 29];15(4):264–8. Available from: http://www.ncbi.nlm.nih.gov/pubmed/17617091</w:t>
      </w:r>
    </w:p>
    <w:p w14:paraId="289B6CCF"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14. </w:t>
      </w:r>
      <w:r>
        <w:rPr>
          <w:rFonts w:ascii="Times New Roman" w:hAnsi="Times New Roman"/>
          <w:sz w:val="24"/>
        </w:rPr>
        <w:tab/>
        <w:t>Wilson R, Krefting L, Sutcliffe P, Van Bussel L. Native Canadians relocating for renal dialysis. Psychosocial and cultural issues. Can Fam physician Médecin Fam Can [Internet]. 1994 Nov [cited 2016 Jul 29];40:1934–41. Available from: http://www.ncbi.nlm.nih.gov/pubmed/7841825</w:t>
      </w:r>
    </w:p>
    <w:p w14:paraId="6DAA042F"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15. </w:t>
      </w:r>
      <w:r>
        <w:rPr>
          <w:rFonts w:ascii="Times New Roman" w:hAnsi="Times New Roman"/>
          <w:sz w:val="24"/>
        </w:rPr>
        <w:tab/>
        <w:t xml:space="preserve">Anderson K, Cass A, Cunningham J, Snelling P, Devitt J PC. The use of psychosocial criteria in Australian patient selection guidelines for kidney transplantation. Soc Sci Med. 2007;64(10):2107–14. </w:t>
      </w:r>
    </w:p>
    <w:p w14:paraId="2E6F67C0"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16. </w:t>
      </w:r>
      <w:r>
        <w:rPr>
          <w:rFonts w:ascii="Times New Roman" w:hAnsi="Times New Roman"/>
          <w:sz w:val="24"/>
        </w:rPr>
        <w:tab/>
        <w:t>Anderson K, Cunningham J, Devitt J, Preece C, Cass A. “Looking back to my family”: Indigenous Australian patients’ experience of hemodialysis. BMC Nephrol [Internet]. 2012 Dec 20 [cited 2016 Jul 29];13(1):114. Available from: http://bmcnephrol.biomedcentral.com/articles/10.1186/1471-2369-13-114</w:t>
      </w:r>
    </w:p>
    <w:p w14:paraId="02EC0127"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17. </w:t>
      </w:r>
      <w:r>
        <w:rPr>
          <w:rFonts w:ascii="Times New Roman" w:hAnsi="Times New Roman"/>
          <w:sz w:val="24"/>
        </w:rPr>
        <w:tab/>
        <w:t xml:space="preserve">Anderson K, Yeates K, Cunningham J, Devitt J, Cass A. They really want to go back home, they hate it here: The importance of place in Canadian health professionals’ views on the barriers facing Aboriginal patients accessing kidney transplants. Heal Place. 2009;15. </w:t>
      </w:r>
    </w:p>
    <w:p w14:paraId="32F4E4D3"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18. </w:t>
      </w:r>
      <w:r>
        <w:rPr>
          <w:rFonts w:ascii="Times New Roman" w:hAnsi="Times New Roman"/>
          <w:sz w:val="24"/>
        </w:rPr>
        <w:tab/>
        <w:t>Stumpers S, Thomson N. Review of Kidney Disease among Indigenous People [Internet]. 2013 [cited 2016 Jul 25]. Available from: http://www.healthinfonet.ecu.edu.au/chronic-conditions/kidney/reviews/our-review</w:t>
      </w:r>
    </w:p>
    <w:p w14:paraId="77FB3A35"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19. </w:t>
      </w:r>
      <w:r>
        <w:rPr>
          <w:rFonts w:ascii="Times New Roman" w:hAnsi="Times New Roman"/>
          <w:sz w:val="24"/>
        </w:rPr>
        <w:tab/>
        <w:t xml:space="preserve">Just PM, Riella MC, Tschosik EA, Noe LL BS. Economic evaluations of dialysis treatment modalities. Health Policy. 2008;86(2–3):163–80. </w:t>
      </w:r>
    </w:p>
    <w:p w14:paraId="7BF50600"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20. </w:t>
      </w:r>
      <w:r>
        <w:rPr>
          <w:rFonts w:ascii="Times New Roman" w:hAnsi="Times New Roman"/>
          <w:sz w:val="24"/>
        </w:rPr>
        <w:tab/>
        <w:t>Karopadi AN, Mason G, Rettore E, Ronco C. Cost of peritoneal dialysis and haemodialysis across the world. Nephrol Dial Transplant [Internet]. 2013 Oct [cited 2016 Jul 29];28(10):2553–69. Available from: http://www.ncbi.nlm.nih.gov/pubmed/23737482</w:t>
      </w:r>
    </w:p>
    <w:p w14:paraId="01F42CDC"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21. </w:t>
      </w:r>
      <w:r>
        <w:rPr>
          <w:rFonts w:ascii="Times New Roman" w:hAnsi="Times New Roman"/>
          <w:sz w:val="24"/>
        </w:rPr>
        <w:tab/>
        <w:t>Klarenbach SW, Tonelli M, Chui B, Manns BJ. Economic evaluation of dialysis therapies. Nat Rev Nephrol [Internet]. 2014 Nov [cited 2016 Jul 29];10(11):644–52. Available from: http://www.ncbi.nlm.nih.gov/pubmed/25157840</w:t>
      </w:r>
    </w:p>
    <w:p w14:paraId="0F6994F8"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22. </w:t>
      </w:r>
      <w:r>
        <w:rPr>
          <w:rFonts w:ascii="Times New Roman" w:hAnsi="Times New Roman"/>
          <w:sz w:val="24"/>
        </w:rPr>
        <w:tab/>
        <w:t xml:space="preserve">Marley J, Dent H, Wearne M, Fitzclarence C, Nelson C, Siu K, et al. Haemodialysis outcomes of Aboriginal and Torres Strait Islander patients of remote Kimberley region origin. Med J Aust. 2010;193(9):516–20. </w:t>
      </w:r>
    </w:p>
    <w:p w14:paraId="6084A58B"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23. </w:t>
      </w:r>
      <w:r>
        <w:rPr>
          <w:rFonts w:ascii="Times New Roman" w:hAnsi="Times New Roman"/>
          <w:sz w:val="24"/>
        </w:rPr>
        <w:tab/>
        <w:t xml:space="preserve">MBS. MBS data Q20321. </w:t>
      </w:r>
    </w:p>
    <w:p w14:paraId="5BCF9FDC"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24. </w:t>
      </w:r>
      <w:r>
        <w:rPr>
          <w:rFonts w:ascii="Times New Roman" w:hAnsi="Times New Roman"/>
          <w:sz w:val="24"/>
        </w:rPr>
        <w:tab/>
        <w:t xml:space="preserve">MBS. MBS data Q20348 FY14/15. </w:t>
      </w:r>
    </w:p>
    <w:p w14:paraId="47349702"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25. </w:t>
      </w:r>
      <w:r>
        <w:rPr>
          <w:rFonts w:ascii="Times New Roman" w:hAnsi="Times New Roman"/>
          <w:sz w:val="24"/>
        </w:rPr>
        <w:tab/>
        <w:t>Lopez-Vargas P, Polkinghorne K. Preparation and placement of vascular access. KHA-CARI Guidel [Internet]. 2012;(February):1–10. Available from: http://www.cari.org.au/Dialysis/dialysis vascular access/Preparation_and_ placement.pdf</w:t>
      </w:r>
    </w:p>
    <w:p w14:paraId="47920AA2"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26. </w:t>
      </w:r>
      <w:r>
        <w:rPr>
          <w:rFonts w:ascii="Times New Roman" w:hAnsi="Times New Roman"/>
          <w:sz w:val="24"/>
        </w:rPr>
        <w:tab/>
        <w:t>Mudge D. Technique of Insertion of Peritoneal Dialysis Catheter [Internet]. 2013. Available from: http://www.cari.org.au/Dialysis/dialysis peritonitis/Technique_ Insertion_final_DC_ 14May2014.pdf</w:t>
      </w:r>
    </w:p>
    <w:p w14:paraId="48AEB9B3"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27. </w:t>
      </w:r>
      <w:r>
        <w:rPr>
          <w:rFonts w:ascii="Times New Roman" w:hAnsi="Times New Roman"/>
          <w:sz w:val="24"/>
        </w:rPr>
        <w:tab/>
        <w:t>Jiang C, Xu L, Chen Y, Yan X, Sun C, Zhang M. A modified open surgery technique for peritoneal dialysis catheter placement decreases catheter malfunction. Perit Dial Int [Internet]. 2014 Jun [cited 2016 Aug 1];34(4):358–67. Available from: http://www.ncbi.nlm.nih.gov/pubmed/24991051</w:t>
      </w:r>
    </w:p>
    <w:p w14:paraId="7216E17D"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28. </w:t>
      </w:r>
      <w:r>
        <w:rPr>
          <w:rFonts w:ascii="Times New Roman" w:hAnsi="Times New Roman"/>
          <w:sz w:val="24"/>
        </w:rPr>
        <w:tab/>
        <w:t>McTaggart S. Transplant guidelines for paediatric recipients [Internet]. CARI Guidelines. 2011 [cited 2016 Jul 28]. p. 1–8. Available from: http://www.cari.org.au/Transplantation/transplantation recipient assessment/Paediatric_recipients.pdf</w:t>
      </w:r>
    </w:p>
    <w:p w14:paraId="72D573F7"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29. </w:t>
      </w:r>
      <w:r>
        <w:rPr>
          <w:rFonts w:ascii="Times New Roman" w:hAnsi="Times New Roman"/>
          <w:sz w:val="24"/>
        </w:rPr>
        <w:tab/>
        <w:t>Foster BJ. Heightened graft failure risk during emerging adulthood and transition to adult care. Pediatr Nephrol [Internet]. 2015 Apr [cited 2016 Jul 29];30(4):567–76. Available from: http://www.ncbi.nlm.nih.gov/pubmed/24890339</w:t>
      </w:r>
    </w:p>
    <w:p w14:paraId="01CEB8CE"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30. </w:t>
      </w:r>
      <w:r>
        <w:rPr>
          <w:rFonts w:ascii="Times New Roman" w:hAnsi="Times New Roman"/>
          <w:sz w:val="24"/>
        </w:rPr>
        <w:tab/>
        <w:t xml:space="preserve">Harden PN, Walsh G, Bandler N, Bradley S, Lonsdale D, Taylor J, et al. Bridging the gap: an integrated paediatric to adult clinical service for young adults with kidney failure. Bmj. 2012;344(jun01 1):e3718–e3718. </w:t>
      </w:r>
    </w:p>
    <w:p w14:paraId="729463DD"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31. </w:t>
      </w:r>
      <w:r>
        <w:rPr>
          <w:rFonts w:ascii="Times New Roman" w:hAnsi="Times New Roman"/>
          <w:sz w:val="24"/>
        </w:rPr>
        <w:tab/>
        <w:t xml:space="preserve">ANZDATA Registry. ANZDATA Registry data. </w:t>
      </w:r>
    </w:p>
    <w:p w14:paraId="41C81BDC"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32. </w:t>
      </w:r>
      <w:r>
        <w:rPr>
          <w:rFonts w:ascii="Times New Roman" w:hAnsi="Times New Roman"/>
          <w:sz w:val="24"/>
        </w:rPr>
        <w:tab/>
        <w:t xml:space="preserve">Watson AR, Harden P, Ferris M, Kerr PG, Mahan J, Ramzy MF. Transition from pediatric to adult renal services: A consensus statement by the International Society of Nephrology (ISN) and the International Pediatric Nephrology Association (IPNA). Pediatr Nephrol. 2011;26(10):1953–7. </w:t>
      </w:r>
    </w:p>
    <w:p w14:paraId="34E19A2B"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33. </w:t>
      </w:r>
      <w:r>
        <w:rPr>
          <w:rFonts w:ascii="Times New Roman" w:hAnsi="Times New Roman"/>
          <w:sz w:val="24"/>
        </w:rPr>
        <w:tab/>
        <w:t xml:space="preserve">Kidney Health Australia. Kidney Health Australia Submission : Legislative Council Inquiry into Organ Donation in Victoria. J Nephrol. 2011;(May):1–18. </w:t>
      </w:r>
    </w:p>
    <w:p w14:paraId="4DE435E4"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34. </w:t>
      </w:r>
      <w:r>
        <w:rPr>
          <w:rFonts w:ascii="Times New Roman" w:hAnsi="Times New Roman"/>
          <w:sz w:val="24"/>
        </w:rPr>
        <w:tab/>
        <w:t>Agerskov H, Ludvigsen MS, Bistrup C, Pedersen BD. From donation to everyday life: Living kidney donors’ experiences three months after donation. J Ren Care [Internet]. 2016 Mar [cited 2016 Jul 29];42(1):43–52. Available from: http://doi.wiley.com/10.1111/jorc.12137</w:t>
      </w:r>
    </w:p>
    <w:p w14:paraId="46F4569A"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35. </w:t>
      </w:r>
      <w:r>
        <w:rPr>
          <w:rFonts w:ascii="Times New Roman" w:hAnsi="Times New Roman"/>
          <w:sz w:val="24"/>
        </w:rPr>
        <w:tab/>
        <w:t xml:space="preserve">Davis CL, Delmonico FL. Living-Donor Transplantation: A Review of the Current Practices for the Live Donor. J Am Soc Nephrol. 2005;16(7):2098–110. </w:t>
      </w:r>
    </w:p>
    <w:p w14:paraId="26AB2591"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36. </w:t>
      </w:r>
      <w:r>
        <w:rPr>
          <w:rFonts w:ascii="Times New Roman" w:hAnsi="Times New Roman"/>
          <w:sz w:val="24"/>
        </w:rPr>
        <w:tab/>
        <w:t>ANZDATA. Living Kidney Donor Registry. Available from: http://www.anzdata.org.au/anzod/v1/TransplantsByYear.html</w:t>
      </w:r>
    </w:p>
    <w:p w14:paraId="0ECCFA6E" w14:textId="77777777" w:rsidR="000B30DE" w:rsidRDefault="000B30DE">
      <w:pPr>
        <w:widowControl w:val="0"/>
        <w:autoSpaceDE w:val="0"/>
        <w:autoSpaceDN w:val="0"/>
        <w:adjustRightInd w:val="0"/>
        <w:spacing w:after="140" w:line="288" w:lineRule="auto"/>
        <w:ind w:left="640" w:hanging="640"/>
        <w:rPr>
          <w:rFonts w:ascii="Times New Roman" w:hAnsi="Times New Roman"/>
          <w:sz w:val="24"/>
        </w:rPr>
      </w:pPr>
      <w:r>
        <w:rPr>
          <w:rFonts w:ascii="Times New Roman" w:hAnsi="Times New Roman"/>
          <w:sz w:val="24"/>
        </w:rPr>
        <w:t xml:space="preserve">37. </w:t>
      </w:r>
      <w:r>
        <w:rPr>
          <w:rFonts w:ascii="Times New Roman" w:hAnsi="Times New Roman"/>
          <w:sz w:val="24"/>
        </w:rPr>
        <w:tab/>
        <w:t>Gibbons N, Nicol D, CARI. The CARI guidelines. Surgical techniques in living donor nephrectomy. Nephrology (Carlton) [Internet]. 2010 Apr [cited 2016 Aug 5];15 Suppl 1:S88-95. Available from: http://www.ncbi.nlm.nih.gov/pubmed/20591051</w:t>
      </w:r>
    </w:p>
    <w:p w14:paraId="68AFFDC3" w14:textId="77777777" w:rsidR="000B30DE" w:rsidRDefault="000B30DE">
      <w:pPr>
        <w:widowControl w:val="0"/>
        <w:autoSpaceDE w:val="0"/>
        <w:autoSpaceDN w:val="0"/>
        <w:adjustRightInd w:val="0"/>
        <w:spacing w:after="140" w:line="288" w:lineRule="auto"/>
        <w:ind w:left="640" w:hanging="640"/>
      </w:pPr>
      <w:r>
        <w:rPr>
          <w:rFonts w:ascii="Times New Roman" w:hAnsi="Times New Roman"/>
          <w:sz w:val="24"/>
        </w:rPr>
        <w:t xml:space="preserve">38. </w:t>
      </w:r>
      <w:r>
        <w:rPr>
          <w:rFonts w:ascii="Times New Roman" w:hAnsi="Times New Roman"/>
          <w:sz w:val="24"/>
        </w:rPr>
        <w:tab/>
        <w:t>Corapi KM, Chen JLT, Balk EM, Gordon CE. Bleeding Complications of Native Kidney Biopsy: A Systematic Review and Meta-analysis. Am J Kidney Dis [Internet]. 2012 Jul [cited 2016 Aug 5];60(1):62–73. Available from: http://linkinghub.elsevier.com/retrieve/pii/S0272638612005586</w:t>
      </w:r>
    </w:p>
    <w:p w14:paraId="202B192C" w14:textId="77777777" w:rsidR="00E97B6F" w:rsidRPr="00915D28" w:rsidRDefault="004778A6" w:rsidP="00EE7BD8">
      <w:pPr>
        <w:pStyle w:val="AppendixStyle1"/>
        <w:pageBreakBefore/>
      </w:pPr>
      <w:bookmarkStart w:id="187" w:name="_Toc456045469"/>
      <w:bookmarkStart w:id="188" w:name="_Toc459996830"/>
      <w:bookmarkStart w:id="189" w:name="_Toc458167023"/>
      <w:bookmarkStart w:id="190" w:name="_Toc467668973"/>
      <w:bookmarkEnd w:id="186"/>
      <w:r w:rsidRPr="00915D28">
        <w:t>A</w:t>
      </w:r>
      <w:r w:rsidR="000F7566" w:rsidRPr="00915D28">
        <w:t xml:space="preserve">ssigned </w:t>
      </w:r>
      <w:r w:rsidR="007F6814" w:rsidRPr="00915D28">
        <w:t>item</w:t>
      </w:r>
      <w:r w:rsidR="0050672A" w:rsidRPr="00915D28">
        <w:t>s</w:t>
      </w:r>
      <w:r w:rsidR="00D20356" w:rsidRPr="00915D28">
        <w:t>:</w:t>
      </w:r>
      <w:r w:rsidR="007F6814" w:rsidRPr="00915D28">
        <w:t xml:space="preserve"> </w:t>
      </w:r>
      <w:r w:rsidR="000F7566" w:rsidRPr="00915D28">
        <w:t>recommendations</w:t>
      </w:r>
      <w:r w:rsidRPr="00915D28">
        <w:t xml:space="preserve"> list</w:t>
      </w:r>
      <w:bookmarkEnd w:id="187"/>
      <w:bookmarkEnd w:id="188"/>
      <w:bookmarkEnd w:id="189"/>
      <w:bookmarkEnd w:id="190"/>
    </w:p>
    <w:tbl>
      <w:tblPr>
        <w:tblStyle w:val="TableGrid3"/>
        <w:tblW w:w="49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Appendix A is a table for assigned items recommendations list. There are 4 columns: column 1. List of items, column 2. Current descriptor, column 3. Recommendation, and column 4. Page reference"/>
      </w:tblPr>
      <w:tblGrid>
        <w:gridCol w:w="611"/>
        <w:gridCol w:w="4771"/>
        <w:gridCol w:w="1741"/>
        <w:gridCol w:w="1803"/>
      </w:tblGrid>
      <w:tr w:rsidR="00B6486B" w:rsidRPr="00FC1976" w14:paraId="0AD1C25D" w14:textId="77777777" w:rsidTr="00802112">
        <w:trPr>
          <w:cnfStyle w:val="100000000000" w:firstRow="1" w:lastRow="0" w:firstColumn="0" w:lastColumn="0" w:oddVBand="0" w:evenVBand="0" w:oddHBand="0" w:evenHBand="0" w:firstRowFirstColumn="0" w:firstRowLastColumn="0" w:lastRowFirstColumn="0" w:lastRowLastColumn="0"/>
          <w:trHeight w:val="182"/>
          <w:tblHeader/>
        </w:trPr>
        <w:tc>
          <w:tcPr>
            <w:tcW w:w="611" w:type="dxa"/>
            <w:shd w:val="clear" w:color="auto" w:fill="F2F2F2" w:themeFill="background1" w:themeFillShade="F2"/>
            <w:tcMar>
              <w:top w:w="57" w:type="dxa"/>
              <w:left w:w="57" w:type="dxa"/>
              <w:bottom w:w="57" w:type="dxa"/>
            </w:tcMar>
            <w:vAlign w:val="bottom"/>
          </w:tcPr>
          <w:p w14:paraId="307168DA" w14:textId="77777777" w:rsidR="004E781E" w:rsidRPr="00FC1976" w:rsidRDefault="004E781E" w:rsidP="00802112">
            <w:pPr>
              <w:pStyle w:val="01Tableheaderrow"/>
              <w:jc w:val="left"/>
              <w:rPr>
                <w:b/>
                <w:lang w:val="en-AU"/>
              </w:rPr>
            </w:pPr>
            <w:r w:rsidRPr="00FC1976">
              <w:rPr>
                <w:b/>
                <w:lang w:val="en-AU"/>
              </w:rPr>
              <w:t>Item</w:t>
            </w:r>
          </w:p>
        </w:tc>
        <w:tc>
          <w:tcPr>
            <w:tcW w:w="4771" w:type="dxa"/>
            <w:shd w:val="clear" w:color="auto" w:fill="F2F2F2" w:themeFill="background1" w:themeFillShade="F2"/>
            <w:tcMar>
              <w:top w:w="57" w:type="dxa"/>
              <w:left w:w="57" w:type="dxa"/>
              <w:bottom w:w="57" w:type="dxa"/>
            </w:tcMar>
            <w:vAlign w:val="bottom"/>
          </w:tcPr>
          <w:p w14:paraId="09D0520F" w14:textId="77777777" w:rsidR="004E781E" w:rsidRPr="00FC1976" w:rsidRDefault="004E781E" w:rsidP="00802112">
            <w:pPr>
              <w:pStyle w:val="01Tableheaderrow"/>
              <w:jc w:val="left"/>
              <w:rPr>
                <w:b/>
                <w:lang w:val="en-AU"/>
              </w:rPr>
            </w:pPr>
            <w:r w:rsidRPr="00FC1976">
              <w:rPr>
                <w:b/>
                <w:lang w:val="en-AU"/>
              </w:rPr>
              <w:t xml:space="preserve">Current </w:t>
            </w:r>
            <w:r w:rsidR="00FD4BE8">
              <w:rPr>
                <w:b/>
                <w:lang w:val="en-AU"/>
              </w:rPr>
              <w:t>d</w:t>
            </w:r>
            <w:r w:rsidRPr="00FC1976">
              <w:rPr>
                <w:b/>
                <w:lang w:val="en-AU"/>
              </w:rPr>
              <w:t>escriptor</w:t>
            </w:r>
          </w:p>
        </w:tc>
        <w:tc>
          <w:tcPr>
            <w:tcW w:w="1741" w:type="dxa"/>
            <w:shd w:val="clear" w:color="auto" w:fill="F2F2F2" w:themeFill="background1" w:themeFillShade="F2"/>
            <w:tcMar>
              <w:top w:w="57" w:type="dxa"/>
              <w:left w:w="57" w:type="dxa"/>
              <w:bottom w:w="57" w:type="dxa"/>
            </w:tcMar>
            <w:vAlign w:val="bottom"/>
          </w:tcPr>
          <w:p w14:paraId="17E8BB48" w14:textId="77777777" w:rsidR="004E781E" w:rsidRPr="00FC1976" w:rsidRDefault="004E781E" w:rsidP="00802112">
            <w:pPr>
              <w:pStyle w:val="01Tableheaderrow"/>
              <w:jc w:val="left"/>
              <w:rPr>
                <w:b/>
                <w:lang w:val="en-AU"/>
              </w:rPr>
            </w:pPr>
            <w:r w:rsidRPr="00FC1976">
              <w:rPr>
                <w:b/>
                <w:lang w:val="en-AU"/>
              </w:rPr>
              <w:t>Recommendation</w:t>
            </w:r>
          </w:p>
        </w:tc>
        <w:tc>
          <w:tcPr>
            <w:tcW w:w="1803" w:type="dxa"/>
            <w:shd w:val="clear" w:color="auto" w:fill="F2F2F2" w:themeFill="background1" w:themeFillShade="F2"/>
            <w:tcMar>
              <w:top w:w="57" w:type="dxa"/>
              <w:left w:w="57" w:type="dxa"/>
              <w:bottom w:w="57" w:type="dxa"/>
            </w:tcMar>
            <w:vAlign w:val="bottom"/>
          </w:tcPr>
          <w:p w14:paraId="5665649D" w14:textId="77777777" w:rsidR="004E781E" w:rsidRPr="00FC1976" w:rsidRDefault="004E781E" w:rsidP="00802112">
            <w:pPr>
              <w:pStyle w:val="01Tableheaderrow"/>
              <w:jc w:val="left"/>
              <w:rPr>
                <w:b/>
                <w:lang w:val="en-AU"/>
              </w:rPr>
            </w:pPr>
            <w:r w:rsidRPr="00FC1976">
              <w:rPr>
                <w:b/>
                <w:lang w:val="en-AU"/>
              </w:rPr>
              <w:t>Page reference</w:t>
            </w:r>
          </w:p>
        </w:tc>
      </w:tr>
      <w:tr w:rsidR="008E71C7" w:rsidRPr="00FC1976" w14:paraId="1A7BF38B" w14:textId="77777777" w:rsidTr="00802112">
        <w:tc>
          <w:tcPr>
            <w:tcW w:w="611" w:type="dxa"/>
            <w:tcMar>
              <w:top w:w="57" w:type="dxa"/>
              <w:left w:w="57" w:type="dxa"/>
              <w:bottom w:w="57" w:type="dxa"/>
            </w:tcMar>
          </w:tcPr>
          <w:p w14:paraId="2C1A2FC5" w14:textId="77777777" w:rsidR="008E71C7" w:rsidRPr="00FC1976" w:rsidRDefault="008E71C7" w:rsidP="00984BD0">
            <w:pPr>
              <w:pStyle w:val="02Tabletext"/>
              <w:rPr>
                <w:lang w:val="en-AU"/>
              </w:rPr>
            </w:pPr>
            <w:r w:rsidRPr="00FC1976">
              <w:rPr>
                <w:lang w:val="en-AU"/>
              </w:rPr>
              <w:t>13100</w:t>
            </w:r>
          </w:p>
        </w:tc>
        <w:tc>
          <w:tcPr>
            <w:tcW w:w="4771" w:type="dxa"/>
            <w:tcMar>
              <w:top w:w="57" w:type="dxa"/>
              <w:left w:w="57" w:type="dxa"/>
              <w:bottom w:w="57" w:type="dxa"/>
            </w:tcMar>
          </w:tcPr>
          <w:p w14:paraId="03A76512" w14:textId="77777777" w:rsidR="008E71C7" w:rsidRPr="00FC1976" w:rsidRDefault="008E71C7" w:rsidP="00984BD0">
            <w:pPr>
              <w:pStyle w:val="02Tabletext"/>
              <w:rPr>
                <w:lang w:val="en-AU"/>
              </w:rPr>
            </w:pPr>
            <w:r w:rsidRPr="00FC1976">
              <w:rPr>
                <w:lang w:val="en-AU"/>
              </w:rPr>
              <w:t>Supervision of dialysis by specialist, more than 45 minutes</w:t>
            </w:r>
            <w:r w:rsidR="004134F7">
              <w:rPr>
                <w:lang w:val="en-AU"/>
              </w:rPr>
              <w:t>.</w:t>
            </w:r>
          </w:p>
        </w:tc>
        <w:tc>
          <w:tcPr>
            <w:tcW w:w="1741" w:type="dxa"/>
            <w:tcMar>
              <w:top w:w="57" w:type="dxa"/>
              <w:left w:w="57" w:type="dxa"/>
              <w:bottom w:w="57" w:type="dxa"/>
            </w:tcMar>
          </w:tcPr>
          <w:p w14:paraId="47DD2879" w14:textId="77777777" w:rsidR="008E71C7" w:rsidRPr="00FC1976" w:rsidRDefault="008E71C7" w:rsidP="00984BD0">
            <w:pPr>
              <w:pStyle w:val="02Tabletext"/>
              <w:rPr>
                <w:lang w:val="en-AU"/>
              </w:rPr>
            </w:pPr>
            <w:r w:rsidRPr="00FC1976">
              <w:rPr>
                <w:lang w:val="en-AU"/>
              </w:rPr>
              <w:t>Change</w:t>
            </w:r>
          </w:p>
        </w:tc>
        <w:tc>
          <w:tcPr>
            <w:tcW w:w="1803" w:type="dxa"/>
            <w:tcMar>
              <w:top w:w="57" w:type="dxa"/>
              <w:left w:w="57" w:type="dxa"/>
              <w:bottom w:w="57" w:type="dxa"/>
            </w:tcMar>
          </w:tcPr>
          <w:p w14:paraId="0A6687FF" w14:textId="203C82AD" w:rsidR="008E71C7" w:rsidRPr="00FC1976" w:rsidRDefault="009D2B0E" w:rsidP="00984BD0">
            <w:pPr>
              <w:pStyle w:val="02Tabletext"/>
              <w:rPr>
                <w:lang w:val="en-AU"/>
              </w:rPr>
            </w:pPr>
            <w:r>
              <w:rPr>
                <w:lang w:val="en-AU"/>
              </w:rPr>
              <w:t>18</w:t>
            </w:r>
          </w:p>
        </w:tc>
      </w:tr>
      <w:tr w:rsidR="008E71C7" w:rsidRPr="00FC1976" w14:paraId="7071AFD0" w14:textId="77777777" w:rsidTr="00802112">
        <w:tc>
          <w:tcPr>
            <w:tcW w:w="611" w:type="dxa"/>
            <w:tcMar>
              <w:top w:w="57" w:type="dxa"/>
              <w:left w:w="57" w:type="dxa"/>
              <w:bottom w:w="57" w:type="dxa"/>
            </w:tcMar>
          </w:tcPr>
          <w:p w14:paraId="203ACDED" w14:textId="77777777" w:rsidR="008E71C7" w:rsidRPr="00FC1976" w:rsidRDefault="008E71C7" w:rsidP="005E1809">
            <w:pPr>
              <w:pStyle w:val="02Tabletext"/>
              <w:rPr>
                <w:lang w:val="en-AU"/>
              </w:rPr>
            </w:pPr>
            <w:r w:rsidRPr="00FC1976">
              <w:rPr>
                <w:lang w:val="en-AU"/>
              </w:rPr>
              <w:t>13103</w:t>
            </w:r>
          </w:p>
        </w:tc>
        <w:tc>
          <w:tcPr>
            <w:tcW w:w="4771" w:type="dxa"/>
            <w:tcMar>
              <w:top w:w="57" w:type="dxa"/>
              <w:left w:w="57" w:type="dxa"/>
              <w:bottom w:w="57" w:type="dxa"/>
            </w:tcMar>
          </w:tcPr>
          <w:p w14:paraId="0AFAB9F1" w14:textId="77777777" w:rsidR="008E71C7" w:rsidRPr="00FC1976" w:rsidRDefault="008E71C7" w:rsidP="005E1809">
            <w:pPr>
              <w:pStyle w:val="02Tabletext"/>
              <w:rPr>
                <w:lang w:val="en-AU"/>
              </w:rPr>
            </w:pPr>
            <w:r w:rsidRPr="00FC1976">
              <w:rPr>
                <w:lang w:val="en-AU"/>
              </w:rPr>
              <w:t>Supervision of dialysis by specialist, less than 45 minutes</w:t>
            </w:r>
            <w:r w:rsidR="004134F7">
              <w:rPr>
                <w:lang w:val="en-AU"/>
              </w:rPr>
              <w:t>.</w:t>
            </w:r>
          </w:p>
        </w:tc>
        <w:tc>
          <w:tcPr>
            <w:tcW w:w="1741" w:type="dxa"/>
            <w:tcMar>
              <w:top w:w="57" w:type="dxa"/>
              <w:left w:w="57" w:type="dxa"/>
              <w:bottom w:w="57" w:type="dxa"/>
            </w:tcMar>
          </w:tcPr>
          <w:p w14:paraId="4FBC18E8" w14:textId="77777777" w:rsidR="008E71C7" w:rsidRPr="00FC1976" w:rsidRDefault="008E71C7" w:rsidP="005E1809">
            <w:pPr>
              <w:pStyle w:val="02Tabletext"/>
              <w:rPr>
                <w:lang w:val="en-AU"/>
              </w:rPr>
            </w:pPr>
            <w:r w:rsidRPr="00FC1976">
              <w:rPr>
                <w:lang w:val="en-AU"/>
              </w:rPr>
              <w:t>Change</w:t>
            </w:r>
          </w:p>
        </w:tc>
        <w:tc>
          <w:tcPr>
            <w:tcW w:w="1803" w:type="dxa"/>
            <w:tcMar>
              <w:top w:w="57" w:type="dxa"/>
              <w:left w:w="57" w:type="dxa"/>
              <w:bottom w:w="57" w:type="dxa"/>
            </w:tcMar>
          </w:tcPr>
          <w:p w14:paraId="7E146B9F" w14:textId="7D211E8E" w:rsidR="008E71C7" w:rsidRPr="00FC1976" w:rsidRDefault="009D2B0E" w:rsidP="005E1809">
            <w:pPr>
              <w:pStyle w:val="02Tabletext"/>
              <w:rPr>
                <w:lang w:val="en-AU"/>
              </w:rPr>
            </w:pPr>
            <w:r>
              <w:rPr>
                <w:lang w:val="en-AU"/>
              </w:rPr>
              <w:t>19</w:t>
            </w:r>
          </w:p>
        </w:tc>
      </w:tr>
      <w:tr w:rsidR="008E71C7" w:rsidRPr="00FC1976" w14:paraId="7A14352C" w14:textId="77777777" w:rsidTr="00802112">
        <w:tc>
          <w:tcPr>
            <w:tcW w:w="611" w:type="dxa"/>
            <w:tcMar>
              <w:top w:w="57" w:type="dxa"/>
              <w:left w:w="57" w:type="dxa"/>
              <w:bottom w:w="57" w:type="dxa"/>
            </w:tcMar>
          </w:tcPr>
          <w:p w14:paraId="5472C4E8" w14:textId="77777777" w:rsidR="008E71C7" w:rsidRPr="00FC1976" w:rsidRDefault="008E71C7" w:rsidP="005E1809">
            <w:pPr>
              <w:pStyle w:val="02Tabletext"/>
              <w:rPr>
                <w:b/>
                <w:lang w:val="en-AU"/>
              </w:rPr>
            </w:pPr>
            <w:r w:rsidRPr="00FC1976">
              <w:rPr>
                <w:lang w:val="en-AU"/>
              </w:rPr>
              <w:t>13104</w:t>
            </w:r>
          </w:p>
        </w:tc>
        <w:tc>
          <w:tcPr>
            <w:tcW w:w="4771" w:type="dxa"/>
            <w:tcMar>
              <w:top w:w="57" w:type="dxa"/>
              <w:left w:w="57" w:type="dxa"/>
              <w:bottom w:w="57" w:type="dxa"/>
            </w:tcMar>
          </w:tcPr>
          <w:p w14:paraId="51F8EC58" w14:textId="77777777" w:rsidR="008E71C7" w:rsidRPr="00FC1976" w:rsidRDefault="008E71C7" w:rsidP="005E1809">
            <w:pPr>
              <w:pStyle w:val="02Tabletext"/>
              <w:rPr>
                <w:lang w:val="en-AU"/>
              </w:rPr>
            </w:pPr>
            <w:r w:rsidRPr="00FC1976">
              <w:rPr>
                <w:lang w:val="en-AU"/>
              </w:rPr>
              <w:t>Planning and management of home dialysis</w:t>
            </w:r>
            <w:r w:rsidR="004134F7">
              <w:rPr>
                <w:lang w:val="en-AU"/>
              </w:rPr>
              <w:t>.</w:t>
            </w:r>
          </w:p>
        </w:tc>
        <w:tc>
          <w:tcPr>
            <w:tcW w:w="1741" w:type="dxa"/>
            <w:tcMar>
              <w:top w:w="57" w:type="dxa"/>
              <w:left w:w="57" w:type="dxa"/>
              <w:bottom w:w="57" w:type="dxa"/>
            </w:tcMar>
          </w:tcPr>
          <w:p w14:paraId="558FD3AB" w14:textId="77777777" w:rsidR="008E71C7" w:rsidRPr="00FC1976" w:rsidRDefault="008E71C7" w:rsidP="005E1809">
            <w:pPr>
              <w:pStyle w:val="02Tabletext"/>
              <w:rPr>
                <w:lang w:val="en-AU"/>
              </w:rPr>
            </w:pPr>
            <w:r w:rsidRPr="00FC1976">
              <w:rPr>
                <w:lang w:val="en-AU"/>
              </w:rPr>
              <w:t>No Change</w:t>
            </w:r>
          </w:p>
        </w:tc>
        <w:tc>
          <w:tcPr>
            <w:tcW w:w="1803" w:type="dxa"/>
            <w:tcMar>
              <w:top w:w="57" w:type="dxa"/>
              <w:left w:w="57" w:type="dxa"/>
              <w:bottom w:w="57" w:type="dxa"/>
            </w:tcMar>
          </w:tcPr>
          <w:p w14:paraId="09B82FF3" w14:textId="77777777" w:rsidR="008E71C7" w:rsidRPr="00FC1976" w:rsidRDefault="008E71C7" w:rsidP="005E1809">
            <w:pPr>
              <w:pStyle w:val="02Tabletext"/>
              <w:rPr>
                <w:lang w:val="en-AU"/>
              </w:rPr>
            </w:pPr>
          </w:p>
        </w:tc>
      </w:tr>
      <w:tr w:rsidR="008E71C7" w:rsidRPr="00FC1976" w14:paraId="7B2CF940" w14:textId="77777777" w:rsidTr="00802112">
        <w:tc>
          <w:tcPr>
            <w:tcW w:w="611" w:type="dxa"/>
            <w:tcMar>
              <w:top w:w="57" w:type="dxa"/>
              <w:left w:w="57" w:type="dxa"/>
              <w:bottom w:w="57" w:type="dxa"/>
            </w:tcMar>
          </w:tcPr>
          <w:p w14:paraId="7448C627" w14:textId="77777777" w:rsidR="008E71C7" w:rsidRPr="00FC1976" w:rsidRDefault="008E71C7" w:rsidP="005E1809">
            <w:pPr>
              <w:pStyle w:val="02Tabletext"/>
              <w:rPr>
                <w:b/>
                <w:lang w:val="en-AU"/>
              </w:rPr>
            </w:pPr>
            <w:r w:rsidRPr="00FC1976">
              <w:rPr>
                <w:lang w:val="en-AU"/>
              </w:rPr>
              <w:t>13106</w:t>
            </w:r>
          </w:p>
        </w:tc>
        <w:tc>
          <w:tcPr>
            <w:tcW w:w="4771" w:type="dxa"/>
            <w:tcMar>
              <w:top w:w="57" w:type="dxa"/>
              <w:left w:w="57" w:type="dxa"/>
              <w:bottom w:w="57" w:type="dxa"/>
            </w:tcMar>
          </w:tcPr>
          <w:p w14:paraId="26E6B909" w14:textId="77777777" w:rsidR="008E71C7" w:rsidRPr="00FC1976" w:rsidRDefault="008E71C7" w:rsidP="005E1809">
            <w:pPr>
              <w:pStyle w:val="02Tabletext"/>
              <w:rPr>
                <w:lang w:val="en-AU"/>
              </w:rPr>
            </w:pPr>
            <w:r w:rsidRPr="00FC1976">
              <w:rPr>
                <w:lang w:val="en-AU"/>
              </w:rPr>
              <w:t>Declotting of arteriovenous shunt</w:t>
            </w:r>
            <w:r w:rsidR="004134F7">
              <w:rPr>
                <w:lang w:val="en-AU"/>
              </w:rPr>
              <w:t>.</w:t>
            </w:r>
          </w:p>
        </w:tc>
        <w:tc>
          <w:tcPr>
            <w:tcW w:w="1741" w:type="dxa"/>
            <w:tcMar>
              <w:top w:w="57" w:type="dxa"/>
              <w:left w:w="57" w:type="dxa"/>
              <w:bottom w:w="57" w:type="dxa"/>
            </w:tcMar>
          </w:tcPr>
          <w:p w14:paraId="7C555346" w14:textId="77777777" w:rsidR="008E71C7" w:rsidRPr="00FC1976" w:rsidRDefault="008E71C7" w:rsidP="005E1809">
            <w:pPr>
              <w:pStyle w:val="02Tabletext"/>
              <w:rPr>
                <w:lang w:val="en-AU"/>
              </w:rPr>
            </w:pPr>
            <w:r w:rsidRPr="00FC1976">
              <w:rPr>
                <w:shd w:val="clear" w:color="auto" w:fill="FFFFFF"/>
                <w:lang w:val="en-AU"/>
              </w:rPr>
              <w:t>Delete</w:t>
            </w:r>
          </w:p>
        </w:tc>
        <w:tc>
          <w:tcPr>
            <w:tcW w:w="1803" w:type="dxa"/>
            <w:tcMar>
              <w:top w:w="57" w:type="dxa"/>
              <w:left w:w="57" w:type="dxa"/>
              <w:bottom w:w="57" w:type="dxa"/>
            </w:tcMar>
          </w:tcPr>
          <w:p w14:paraId="7068AFCB" w14:textId="3ACC4843" w:rsidR="008E71C7" w:rsidRPr="00FC1976" w:rsidRDefault="009D2B0E" w:rsidP="005E1809">
            <w:pPr>
              <w:pStyle w:val="02Tabletext"/>
              <w:rPr>
                <w:lang w:val="en-AU"/>
              </w:rPr>
            </w:pPr>
            <w:r>
              <w:rPr>
                <w:lang w:val="en-AU"/>
              </w:rPr>
              <w:t>25</w:t>
            </w:r>
          </w:p>
        </w:tc>
      </w:tr>
      <w:tr w:rsidR="008E71C7" w:rsidRPr="00FC1976" w14:paraId="78FF7A64" w14:textId="77777777" w:rsidTr="00802112">
        <w:tc>
          <w:tcPr>
            <w:tcW w:w="611" w:type="dxa"/>
            <w:tcMar>
              <w:top w:w="57" w:type="dxa"/>
              <w:left w:w="57" w:type="dxa"/>
              <w:bottom w:w="57" w:type="dxa"/>
            </w:tcMar>
          </w:tcPr>
          <w:p w14:paraId="07630BDB" w14:textId="77777777" w:rsidR="008E71C7" w:rsidRPr="00FC1976" w:rsidRDefault="008E71C7" w:rsidP="005E1809">
            <w:pPr>
              <w:pStyle w:val="02Tabletext"/>
              <w:rPr>
                <w:b/>
                <w:lang w:val="en-AU"/>
              </w:rPr>
            </w:pPr>
            <w:r w:rsidRPr="00FC1976">
              <w:rPr>
                <w:lang w:val="en-AU"/>
              </w:rPr>
              <w:t>13109</w:t>
            </w:r>
          </w:p>
        </w:tc>
        <w:tc>
          <w:tcPr>
            <w:tcW w:w="4771" w:type="dxa"/>
            <w:tcMar>
              <w:top w:w="57" w:type="dxa"/>
              <w:left w:w="57" w:type="dxa"/>
              <w:bottom w:w="57" w:type="dxa"/>
            </w:tcMar>
          </w:tcPr>
          <w:p w14:paraId="7DCA90EB" w14:textId="77777777" w:rsidR="008E71C7" w:rsidRPr="00FC1976" w:rsidRDefault="008E71C7" w:rsidP="005E1809">
            <w:pPr>
              <w:pStyle w:val="02Tabletext"/>
              <w:rPr>
                <w:lang w:val="en-AU"/>
              </w:rPr>
            </w:pPr>
            <w:r w:rsidRPr="00FC1976">
              <w:rPr>
                <w:lang w:val="en-AU"/>
              </w:rPr>
              <w:t>Indwelling peritoneal catheter for dialysis insertion and fixation of</w:t>
            </w:r>
            <w:r w:rsidR="004134F7">
              <w:rPr>
                <w:lang w:val="en-AU"/>
              </w:rPr>
              <w:t>.</w:t>
            </w:r>
            <w:r w:rsidRPr="00FC1976">
              <w:rPr>
                <w:lang w:val="en-AU"/>
              </w:rPr>
              <w:t xml:space="preserve"> (Anaes.)</w:t>
            </w:r>
          </w:p>
        </w:tc>
        <w:tc>
          <w:tcPr>
            <w:tcW w:w="1741" w:type="dxa"/>
            <w:tcMar>
              <w:top w:w="57" w:type="dxa"/>
              <w:left w:w="57" w:type="dxa"/>
              <w:bottom w:w="57" w:type="dxa"/>
            </w:tcMar>
          </w:tcPr>
          <w:p w14:paraId="5F2688B2" w14:textId="77777777" w:rsidR="008E71C7" w:rsidRPr="00FC1976" w:rsidRDefault="008E71C7" w:rsidP="005E1809">
            <w:pPr>
              <w:pStyle w:val="02Tabletext"/>
              <w:rPr>
                <w:lang w:val="en-AU"/>
              </w:rPr>
            </w:pPr>
            <w:r w:rsidRPr="00FC1976">
              <w:rPr>
                <w:lang w:val="en-AU"/>
              </w:rPr>
              <w:t>Change</w:t>
            </w:r>
          </w:p>
        </w:tc>
        <w:tc>
          <w:tcPr>
            <w:tcW w:w="1803" w:type="dxa"/>
            <w:tcMar>
              <w:top w:w="57" w:type="dxa"/>
              <w:left w:w="57" w:type="dxa"/>
              <w:bottom w:w="57" w:type="dxa"/>
            </w:tcMar>
          </w:tcPr>
          <w:p w14:paraId="64570248" w14:textId="0AB25302" w:rsidR="008E71C7" w:rsidRPr="00FC1976" w:rsidRDefault="009D2B0E" w:rsidP="005E1809">
            <w:pPr>
              <w:pStyle w:val="02Tabletext"/>
              <w:rPr>
                <w:lang w:val="en-AU"/>
              </w:rPr>
            </w:pPr>
            <w:r>
              <w:rPr>
                <w:lang w:val="en-AU"/>
              </w:rPr>
              <w:t>26</w:t>
            </w:r>
          </w:p>
        </w:tc>
      </w:tr>
      <w:tr w:rsidR="008E71C7" w:rsidRPr="00FC1976" w14:paraId="2E1705B7" w14:textId="77777777" w:rsidTr="00802112">
        <w:tc>
          <w:tcPr>
            <w:tcW w:w="611" w:type="dxa"/>
            <w:tcMar>
              <w:top w:w="57" w:type="dxa"/>
              <w:left w:w="57" w:type="dxa"/>
              <w:bottom w:w="57" w:type="dxa"/>
            </w:tcMar>
          </w:tcPr>
          <w:p w14:paraId="7C07404A" w14:textId="77777777" w:rsidR="008E71C7" w:rsidRPr="00FC1976" w:rsidRDefault="008E71C7" w:rsidP="005E1809">
            <w:pPr>
              <w:pStyle w:val="02Tabletext"/>
              <w:rPr>
                <w:b/>
                <w:lang w:val="en-AU"/>
              </w:rPr>
            </w:pPr>
            <w:r w:rsidRPr="00FC1976">
              <w:rPr>
                <w:lang w:val="en-AU"/>
              </w:rPr>
              <w:t>13110</w:t>
            </w:r>
          </w:p>
        </w:tc>
        <w:tc>
          <w:tcPr>
            <w:tcW w:w="4771" w:type="dxa"/>
            <w:tcMar>
              <w:top w:w="57" w:type="dxa"/>
              <w:left w:w="57" w:type="dxa"/>
              <w:bottom w:w="57" w:type="dxa"/>
            </w:tcMar>
          </w:tcPr>
          <w:p w14:paraId="3D3A61BA" w14:textId="77777777" w:rsidR="008E71C7" w:rsidRPr="00FC1976" w:rsidRDefault="008E71C7" w:rsidP="004134F7">
            <w:pPr>
              <w:pStyle w:val="02Tabletext"/>
              <w:rPr>
                <w:lang w:val="en-AU"/>
              </w:rPr>
            </w:pPr>
            <w:r w:rsidRPr="00FC1976">
              <w:rPr>
                <w:lang w:val="en-AU"/>
              </w:rPr>
              <w:t xml:space="preserve">Tenckhoff peritoneal dialysis catheter, removal </w:t>
            </w:r>
            <w:r w:rsidR="004134F7" w:rsidRPr="00FC1976">
              <w:rPr>
                <w:lang w:val="en-AU"/>
              </w:rPr>
              <w:t>of</w:t>
            </w:r>
            <w:r w:rsidR="004134F7">
              <w:rPr>
                <w:lang w:val="en-AU"/>
              </w:rPr>
              <w:t xml:space="preserve">. </w:t>
            </w:r>
            <w:r w:rsidRPr="00FC1976">
              <w:rPr>
                <w:lang w:val="en-AU"/>
              </w:rPr>
              <w:t>(Anaes.)</w:t>
            </w:r>
          </w:p>
        </w:tc>
        <w:tc>
          <w:tcPr>
            <w:tcW w:w="1741" w:type="dxa"/>
            <w:tcMar>
              <w:top w:w="57" w:type="dxa"/>
              <w:left w:w="57" w:type="dxa"/>
              <w:bottom w:w="57" w:type="dxa"/>
            </w:tcMar>
          </w:tcPr>
          <w:p w14:paraId="03C3E661" w14:textId="77777777" w:rsidR="008E71C7" w:rsidRPr="00FC1976" w:rsidRDefault="008E71C7" w:rsidP="005E1809">
            <w:pPr>
              <w:pStyle w:val="02Tabletext"/>
              <w:rPr>
                <w:lang w:val="en-AU"/>
              </w:rPr>
            </w:pPr>
            <w:r w:rsidRPr="00FC1976">
              <w:rPr>
                <w:lang w:val="en-AU"/>
              </w:rPr>
              <w:t>Change</w:t>
            </w:r>
          </w:p>
        </w:tc>
        <w:tc>
          <w:tcPr>
            <w:tcW w:w="1803" w:type="dxa"/>
            <w:tcMar>
              <w:top w:w="57" w:type="dxa"/>
              <w:left w:w="57" w:type="dxa"/>
              <w:bottom w:w="57" w:type="dxa"/>
            </w:tcMar>
          </w:tcPr>
          <w:p w14:paraId="0D69C77F" w14:textId="58037CF5" w:rsidR="008E71C7" w:rsidRPr="00FC1976" w:rsidRDefault="008E71C7" w:rsidP="005E1809">
            <w:pPr>
              <w:pStyle w:val="02Tabletext"/>
              <w:rPr>
                <w:lang w:val="en-AU"/>
              </w:rPr>
            </w:pPr>
            <w:r w:rsidRPr="00FC1976">
              <w:rPr>
                <w:lang w:val="en-AU"/>
              </w:rPr>
              <w:t>2</w:t>
            </w:r>
            <w:r w:rsidR="009D2B0E">
              <w:rPr>
                <w:lang w:val="en-AU"/>
              </w:rPr>
              <w:t>6</w:t>
            </w:r>
          </w:p>
        </w:tc>
      </w:tr>
      <w:tr w:rsidR="008E71C7" w:rsidRPr="00FC1976" w14:paraId="68733D79" w14:textId="77777777" w:rsidTr="00802112">
        <w:tc>
          <w:tcPr>
            <w:tcW w:w="611" w:type="dxa"/>
            <w:tcMar>
              <w:top w:w="57" w:type="dxa"/>
              <w:left w:w="57" w:type="dxa"/>
              <w:bottom w:w="57" w:type="dxa"/>
            </w:tcMar>
          </w:tcPr>
          <w:p w14:paraId="44430842" w14:textId="77777777" w:rsidR="008E71C7" w:rsidRPr="00FC1976" w:rsidRDefault="008E71C7" w:rsidP="005E1809">
            <w:pPr>
              <w:pStyle w:val="02Tabletext"/>
              <w:rPr>
                <w:b/>
                <w:lang w:val="en-AU"/>
              </w:rPr>
            </w:pPr>
            <w:r w:rsidRPr="00FC1976">
              <w:rPr>
                <w:lang w:val="en-AU"/>
              </w:rPr>
              <w:t>13112</w:t>
            </w:r>
          </w:p>
        </w:tc>
        <w:tc>
          <w:tcPr>
            <w:tcW w:w="4771" w:type="dxa"/>
            <w:tcMar>
              <w:top w:w="57" w:type="dxa"/>
              <w:left w:w="57" w:type="dxa"/>
              <w:bottom w:w="57" w:type="dxa"/>
            </w:tcMar>
          </w:tcPr>
          <w:p w14:paraId="5AA0B074" w14:textId="77777777" w:rsidR="008E71C7" w:rsidRPr="00FC1976" w:rsidRDefault="008E71C7" w:rsidP="005E1809">
            <w:pPr>
              <w:pStyle w:val="02Tabletext"/>
              <w:rPr>
                <w:lang w:val="en-AU"/>
              </w:rPr>
            </w:pPr>
            <w:r w:rsidRPr="00FC1976">
              <w:rPr>
                <w:lang w:val="en-AU"/>
              </w:rPr>
              <w:t>Peritoneal dialysis by abdominal puncture and insertion of temporary catheter (including associated consultation)</w:t>
            </w:r>
            <w:r w:rsidR="004134F7">
              <w:rPr>
                <w:lang w:val="en-AU"/>
              </w:rPr>
              <w:t>.</w:t>
            </w:r>
            <w:r w:rsidRPr="00FC1976">
              <w:rPr>
                <w:lang w:val="en-AU"/>
              </w:rPr>
              <w:t xml:space="preserve"> (Anaes.)</w:t>
            </w:r>
          </w:p>
        </w:tc>
        <w:tc>
          <w:tcPr>
            <w:tcW w:w="1741" w:type="dxa"/>
            <w:tcMar>
              <w:top w:w="57" w:type="dxa"/>
              <w:left w:w="57" w:type="dxa"/>
              <w:bottom w:w="57" w:type="dxa"/>
            </w:tcMar>
          </w:tcPr>
          <w:p w14:paraId="619E423B" w14:textId="77777777" w:rsidR="008E71C7" w:rsidRPr="00FC1976" w:rsidRDefault="008E71C7" w:rsidP="005E1809">
            <w:pPr>
              <w:pStyle w:val="02Tabletext"/>
              <w:rPr>
                <w:shd w:val="clear" w:color="auto" w:fill="FFFFFF"/>
                <w:lang w:val="en-AU"/>
              </w:rPr>
            </w:pPr>
            <w:r w:rsidRPr="00FC1976">
              <w:rPr>
                <w:lang w:val="en-AU"/>
              </w:rPr>
              <w:t>Delete</w:t>
            </w:r>
          </w:p>
        </w:tc>
        <w:tc>
          <w:tcPr>
            <w:tcW w:w="1803" w:type="dxa"/>
            <w:tcMar>
              <w:top w:w="57" w:type="dxa"/>
              <w:left w:w="57" w:type="dxa"/>
              <w:bottom w:w="57" w:type="dxa"/>
            </w:tcMar>
          </w:tcPr>
          <w:p w14:paraId="0F5FC773" w14:textId="09DF503F" w:rsidR="008E71C7" w:rsidRPr="00FC1976" w:rsidRDefault="008E71C7" w:rsidP="005E1809">
            <w:pPr>
              <w:pStyle w:val="02Tabletext"/>
              <w:rPr>
                <w:shd w:val="clear" w:color="auto" w:fill="FFFFFF"/>
                <w:lang w:val="en-AU"/>
              </w:rPr>
            </w:pPr>
            <w:r w:rsidRPr="00FC1976">
              <w:rPr>
                <w:lang w:val="en-AU"/>
              </w:rPr>
              <w:t>2</w:t>
            </w:r>
            <w:r w:rsidR="009D2B0E">
              <w:rPr>
                <w:lang w:val="en-AU"/>
              </w:rPr>
              <w:t>5</w:t>
            </w:r>
          </w:p>
        </w:tc>
      </w:tr>
    </w:tbl>
    <w:p w14:paraId="2BA21036" w14:textId="77777777" w:rsidR="004E781E" w:rsidRPr="00915D28" w:rsidRDefault="004E781E" w:rsidP="00EE7BD8">
      <w:pPr>
        <w:pStyle w:val="AppendixStyle1"/>
        <w:pageBreakBefore/>
      </w:pPr>
      <w:bookmarkStart w:id="191" w:name="_Toc456045470"/>
      <w:bookmarkStart w:id="192" w:name="_Toc459996831"/>
      <w:bookmarkStart w:id="193" w:name="_Toc458167024"/>
      <w:bookmarkStart w:id="194" w:name="_Toc467668974"/>
      <w:r w:rsidRPr="00915D28">
        <w:t>Additional items</w:t>
      </w:r>
      <w:r w:rsidR="00D20356" w:rsidRPr="00915D28">
        <w:t>:</w:t>
      </w:r>
      <w:r w:rsidRPr="00915D28">
        <w:t xml:space="preserve"> recommendations list</w:t>
      </w:r>
      <w:bookmarkEnd w:id="191"/>
      <w:bookmarkEnd w:id="192"/>
      <w:bookmarkEnd w:id="193"/>
      <w:bookmarkEnd w:id="194"/>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Appendix B is a table for additional items recommendations list. There are 4 columns: column 1. List of items, column 2. Descriptor, column 3. Recommendation, and column 4. Page reference"/>
      </w:tblPr>
      <w:tblGrid>
        <w:gridCol w:w="716"/>
        <w:gridCol w:w="4515"/>
        <w:gridCol w:w="1892"/>
        <w:gridCol w:w="1893"/>
      </w:tblGrid>
      <w:tr w:rsidR="00B6486B" w:rsidRPr="00FC1976" w14:paraId="22F287CE" w14:textId="77777777" w:rsidTr="00802112">
        <w:trPr>
          <w:cnfStyle w:val="100000000000" w:firstRow="1" w:lastRow="0" w:firstColumn="0" w:lastColumn="0" w:oddVBand="0" w:evenVBand="0" w:oddHBand="0" w:evenHBand="0" w:firstRowFirstColumn="0" w:firstRowLastColumn="0" w:lastRowFirstColumn="0" w:lastRowLastColumn="0"/>
          <w:tblHeader/>
        </w:trPr>
        <w:tc>
          <w:tcPr>
            <w:tcW w:w="716" w:type="dxa"/>
            <w:shd w:val="clear" w:color="auto" w:fill="F2F2F2" w:themeFill="background1" w:themeFillShade="F2"/>
            <w:vAlign w:val="bottom"/>
          </w:tcPr>
          <w:p w14:paraId="03549F98" w14:textId="77777777" w:rsidR="005E1809" w:rsidRPr="00FC1976" w:rsidRDefault="005E1809" w:rsidP="00802112">
            <w:pPr>
              <w:pStyle w:val="01Tableheaderrow"/>
              <w:jc w:val="left"/>
              <w:rPr>
                <w:lang w:val="en-AU"/>
              </w:rPr>
            </w:pPr>
            <w:r w:rsidRPr="00FC1976">
              <w:rPr>
                <w:b/>
                <w:lang w:val="en-AU"/>
              </w:rPr>
              <w:t>Item</w:t>
            </w:r>
          </w:p>
        </w:tc>
        <w:tc>
          <w:tcPr>
            <w:tcW w:w="4515" w:type="dxa"/>
            <w:shd w:val="clear" w:color="auto" w:fill="F2F2F2" w:themeFill="background1" w:themeFillShade="F2"/>
            <w:vAlign w:val="bottom"/>
          </w:tcPr>
          <w:p w14:paraId="607B31A1" w14:textId="77777777" w:rsidR="005E1809" w:rsidRPr="00FC1976" w:rsidRDefault="005E1809" w:rsidP="00802112">
            <w:pPr>
              <w:pStyle w:val="01Tableheaderrow"/>
              <w:jc w:val="left"/>
              <w:rPr>
                <w:lang w:val="en-AU"/>
              </w:rPr>
            </w:pPr>
            <w:r w:rsidRPr="00FC1976">
              <w:rPr>
                <w:b/>
                <w:lang w:val="en-AU"/>
              </w:rPr>
              <w:t>Descriptor</w:t>
            </w:r>
          </w:p>
        </w:tc>
        <w:tc>
          <w:tcPr>
            <w:tcW w:w="1892" w:type="dxa"/>
            <w:shd w:val="clear" w:color="auto" w:fill="F2F2F2" w:themeFill="background1" w:themeFillShade="F2"/>
            <w:vAlign w:val="bottom"/>
          </w:tcPr>
          <w:p w14:paraId="712BDC28" w14:textId="77777777" w:rsidR="005E1809" w:rsidRPr="00FC1976" w:rsidRDefault="00984BD0" w:rsidP="00802112">
            <w:pPr>
              <w:pStyle w:val="01Tableheaderrow"/>
              <w:jc w:val="left"/>
              <w:rPr>
                <w:lang w:val="en-AU"/>
              </w:rPr>
            </w:pPr>
            <w:r>
              <w:rPr>
                <w:b/>
                <w:lang w:val="en-AU"/>
              </w:rPr>
              <w:t>Recommendation</w:t>
            </w:r>
          </w:p>
        </w:tc>
        <w:tc>
          <w:tcPr>
            <w:tcW w:w="1893" w:type="dxa"/>
            <w:shd w:val="clear" w:color="auto" w:fill="F2F2F2" w:themeFill="background1" w:themeFillShade="F2"/>
            <w:vAlign w:val="bottom"/>
          </w:tcPr>
          <w:p w14:paraId="3AA9E63D" w14:textId="77777777" w:rsidR="005E1809" w:rsidRPr="00FC1976" w:rsidRDefault="00984BD0" w:rsidP="00802112">
            <w:pPr>
              <w:pStyle w:val="01Tableheaderrow"/>
              <w:jc w:val="left"/>
              <w:rPr>
                <w:highlight w:val="yellow"/>
                <w:lang w:val="en-AU"/>
              </w:rPr>
            </w:pPr>
            <w:r>
              <w:rPr>
                <w:b/>
                <w:lang w:val="en-AU"/>
              </w:rPr>
              <w:t>Page reference</w:t>
            </w:r>
          </w:p>
        </w:tc>
      </w:tr>
      <w:tr w:rsidR="008E71C7" w:rsidRPr="00FC1976" w14:paraId="2858EE3F" w14:textId="77777777" w:rsidTr="00802112">
        <w:tc>
          <w:tcPr>
            <w:tcW w:w="716" w:type="dxa"/>
          </w:tcPr>
          <w:p w14:paraId="4D50B4EA" w14:textId="77777777" w:rsidR="008E71C7" w:rsidRPr="00FC1976" w:rsidRDefault="008E71C7" w:rsidP="005E1809">
            <w:pPr>
              <w:pStyle w:val="02Tabletext"/>
              <w:rPr>
                <w:lang w:val="en-AU"/>
              </w:rPr>
            </w:pPr>
            <w:r w:rsidRPr="00FC1976">
              <w:rPr>
                <w:lang w:val="en-AU"/>
              </w:rPr>
              <w:t>110</w:t>
            </w:r>
          </w:p>
        </w:tc>
        <w:tc>
          <w:tcPr>
            <w:tcW w:w="4515" w:type="dxa"/>
          </w:tcPr>
          <w:p w14:paraId="2C394F00" w14:textId="77777777" w:rsidR="008E71C7" w:rsidRPr="00FC1976" w:rsidRDefault="008E71C7" w:rsidP="005E1809">
            <w:pPr>
              <w:pStyle w:val="02Tabletext"/>
              <w:rPr>
                <w:lang w:val="en-AU"/>
              </w:rPr>
            </w:pPr>
            <w:r w:rsidRPr="00FC1976">
              <w:rPr>
                <w:lang w:val="en-AU"/>
              </w:rPr>
              <w:t>Professional attendance at consulting rooms or hospital, by a consultant physician in the practice of his or her specialty (other than psychiatry) following referral of the patient to him or her by a referring practitioner – initial attendance in a single course of treatment</w:t>
            </w:r>
            <w:r w:rsidR="0050672A">
              <w:rPr>
                <w:lang w:val="en-AU"/>
              </w:rPr>
              <w:t>.</w:t>
            </w:r>
          </w:p>
        </w:tc>
        <w:tc>
          <w:tcPr>
            <w:tcW w:w="1892" w:type="dxa"/>
          </w:tcPr>
          <w:p w14:paraId="2D986C3F" w14:textId="77777777" w:rsidR="008E71C7" w:rsidRPr="00FC1976" w:rsidRDefault="008E71C7" w:rsidP="005E1809">
            <w:pPr>
              <w:pStyle w:val="02Tabletext"/>
              <w:rPr>
                <w:lang w:val="en-AU"/>
              </w:rPr>
            </w:pPr>
            <w:r w:rsidRPr="00FC1976">
              <w:rPr>
                <w:lang w:val="en-AU"/>
              </w:rPr>
              <w:t>Change</w:t>
            </w:r>
          </w:p>
        </w:tc>
        <w:tc>
          <w:tcPr>
            <w:tcW w:w="1893" w:type="dxa"/>
          </w:tcPr>
          <w:p w14:paraId="4B7D7E09" w14:textId="0A7EDE7A" w:rsidR="008E71C7" w:rsidRPr="00A3061A" w:rsidRDefault="0084663A" w:rsidP="005E1809">
            <w:pPr>
              <w:pStyle w:val="02Tabletext"/>
              <w:rPr>
                <w:lang w:val="en-AU"/>
              </w:rPr>
            </w:pPr>
            <w:r w:rsidRPr="00A3061A">
              <w:rPr>
                <w:lang w:val="en-AU"/>
              </w:rPr>
              <w:t xml:space="preserve"> 3</w:t>
            </w:r>
            <w:r w:rsidR="009D2B0E">
              <w:rPr>
                <w:lang w:val="en-AU"/>
              </w:rPr>
              <w:t>1</w:t>
            </w:r>
          </w:p>
        </w:tc>
      </w:tr>
      <w:tr w:rsidR="008E71C7" w:rsidRPr="00FC1976" w14:paraId="79C73E7D" w14:textId="77777777" w:rsidTr="00802112">
        <w:tc>
          <w:tcPr>
            <w:tcW w:w="716" w:type="dxa"/>
          </w:tcPr>
          <w:p w14:paraId="76B8AB98" w14:textId="77777777" w:rsidR="008E71C7" w:rsidRPr="00FC1976" w:rsidRDefault="008E71C7" w:rsidP="005E1809">
            <w:pPr>
              <w:pStyle w:val="02Tabletext"/>
              <w:rPr>
                <w:b/>
                <w:lang w:val="en-AU"/>
              </w:rPr>
            </w:pPr>
            <w:r w:rsidRPr="00FC1976">
              <w:rPr>
                <w:lang w:val="en-AU"/>
              </w:rPr>
              <w:t>116</w:t>
            </w:r>
          </w:p>
        </w:tc>
        <w:tc>
          <w:tcPr>
            <w:tcW w:w="4515" w:type="dxa"/>
          </w:tcPr>
          <w:p w14:paraId="259BD5B7" w14:textId="77777777" w:rsidR="008E71C7" w:rsidRPr="00FC1976" w:rsidRDefault="008E71C7" w:rsidP="005E1809">
            <w:pPr>
              <w:pStyle w:val="02Tabletext"/>
              <w:rPr>
                <w:lang w:val="en-AU"/>
              </w:rPr>
            </w:pPr>
            <w:r w:rsidRPr="00FC1976">
              <w:rPr>
                <w:lang w:val="en-AU"/>
              </w:rPr>
              <w:t>Professional attendance at consulting rooms or hospital, by a consultant physician in the practice of his or her specialty (other than psychiatry) following referral of the patient to him or her by a medical practitioner — each attendance (not being a service to which item 119</w:t>
            </w:r>
            <w:r w:rsidR="0050672A">
              <w:rPr>
                <w:lang w:val="en-AU"/>
              </w:rPr>
              <w:t xml:space="preserve"> </w:t>
            </w:r>
            <w:r w:rsidRPr="00FC1976">
              <w:rPr>
                <w:lang w:val="en-AU"/>
              </w:rPr>
              <w:t>applies) subsequent to the first in a single course of treatment</w:t>
            </w:r>
            <w:r w:rsidR="0050672A">
              <w:rPr>
                <w:lang w:val="en-AU"/>
              </w:rPr>
              <w:t>.</w:t>
            </w:r>
          </w:p>
        </w:tc>
        <w:tc>
          <w:tcPr>
            <w:tcW w:w="1892" w:type="dxa"/>
          </w:tcPr>
          <w:p w14:paraId="66628BBE" w14:textId="77777777" w:rsidR="008E71C7" w:rsidRPr="00FC1976" w:rsidRDefault="008E71C7" w:rsidP="005E1809">
            <w:pPr>
              <w:pStyle w:val="02Tabletext"/>
              <w:rPr>
                <w:lang w:val="en-AU"/>
              </w:rPr>
            </w:pPr>
            <w:r w:rsidRPr="00FC1976">
              <w:rPr>
                <w:lang w:val="en-AU"/>
              </w:rPr>
              <w:t>Change</w:t>
            </w:r>
          </w:p>
        </w:tc>
        <w:tc>
          <w:tcPr>
            <w:tcW w:w="1893" w:type="dxa"/>
          </w:tcPr>
          <w:p w14:paraId="6D97F60D" w14:textId="0093E78E" w:rsidR="008E71C7" w:rsidRPr="00A3061A" w:rsidRDefault="009D2B0E" w:rsidP="005E1809">
            <w:pPr>
              <w:pStyle w:val="02Tabletext"/>
              <w:rPr>
                <w:lang w:val="en-AU"/>
              </w:rPr>
            </w:pPr>
            <w:r>
              <w:rPr>
                <w:lang w:val="en-AU"/>
              </w:rPr>
              <w:t>31</w:t>
            </w:r>
          </w:p>
        </w:tc>
      </w:tr>
      <w:tr w:rsidR="005D41CC" w:rsidRPr="00FC1976" w14:paraId="0E5532E6" w14:textId="77777777" w:rsidTr="00802112">
        <w:tc>
          <w:tcPr>
            <w:tcW w:w="716" w:type="dxa"/>
          </w:tcPr>
          <w:p w14:paraId="6BB545A8" w14:textId="77777777" w:rsidR="005D41CC" w:rsidRPr="00FC1976" w:rsidRDefault="005D41CC" w:rsidP="005D41CC">
            <w:pPr>
              <w:pStyle w:val="02Tabletext"/>
              <w:rPr>
                <w:b/>
                <w:lang w:val="en-AU"/>
              </w:rPr>
            </w:pPr>
            <w:r w:rsidRPr="00FC1976">
              <w:rPr>
                <w:lang w:val="en-AU"/>
              </w:rPr>
              <w:t>132</w:t>
            </w:r>
          </w:p>
        </w:tc>
        <w:tc>
          <w:tcPr>
            <w:tcW w:w="4515" w:type="dxa"/>
          </w:tcPr>
          <w:p w14:paraId="243E2ECD" w14:textId="77777777" w:rsidR="005D41CC" w:rsidRPr="00FC1976" w:rsidRDefault="005D41CC" w:rsidP="005D41CC">
            <w:pPr>
              <w:pStyle w:val="02Tabletext"/>
              <w:rPr>
                <w:lang w:val="en-AU"/>
              </w:rPr>
            </w:pPr>
            <w:r w:rsidRPr="00FC1976">
              <w:rPr>
                <w:lang w:val="en-AU"/>
              </w:rPr>
              <w:t>Professional attendance of at least 45 minutes duration for an initial assessment of a patient with at least two morbidities (this can include complex congenital, developmental and behavioural disorders), where the patient is referred by a referring practitioner, and where a) assessment is undertaken that covers: a comprehensive history, including psychosocial history and medication review; comprehensive multi or detailed single organ system assessment; the formulation of differential diagnoses; and b) a consultant physician treatment and management plan of significant complexity is developed and provided to the referring practitioner that involves: an opinion on diagnosis and risk assessment</w:t>
            </w:r>
            <w:r w:rsidR="006F7C28">
              <w:rPr>
                <w:lang w:val="en-AU"/>
              </w:rPr>
              <w:t>,</w:t>
            </w:r>
            <w:r w:rsidRPr="00FC1976">
              <w:rPr>
                <w:lang w:val="en-AU"/>
              </w:rPr>
              <w:t xml:space="preserve"> treatment options and decisions</w:t>
            </w:r>
            <w:r w:rsidR="006F7C28">
              <w:rPr>
                <w:lang w:val="en-AU"/>
              </w:rPr>
              <w:t>,</w:t>
            </w:r>
            <w:r w:rsidRPr="00FC1976">
              <w:rPr>
                <w:lang w:val="en-AU"/>
              </w:rPr>
              <w:t xml:space="preserve"> medication recommendations</w:t>
            </w:r>
            <w:r w:rsidR="006F7C28">
              <w:rPr>
                <w:lang w:val="en-AU"/>
              </w:rPr>
              <w:t>;</w:t>
            </w:r>
            <w:r w:rsidRPr="00FC1976">
              <w:rPr>
                <w:lang w:val="en-AU"/>
              </w:rPr>
              <w:t xml:space="preserve"> not being an attendance on a patient in respect of whom, an attendance under items 110, 116 and 119 has been received on the same day by the same consultant physician. </w:t>
            </w:r>
            <w:r w:rsidR="00D46138">
              <w:rPr>
                <w:lang w:val="en-AU"/>
              </w:rPr>
              <w:t>N</w:t>
            </w:r>
            <w:r w:rsidRPr="00FC1976">
              <w:rPr>
                <w:lang w:val="en-AU"/>
              </w:rPr>
              <w:t>ot being an attendance on the patient in respect of whom, in the preceding 12 months, payment has been made under this item for attendance by the same consultant physician.</w:t>
            </w:r>
          </w:p>
        </w:tc>
        <w:tc>
          <w:tcPr>
            <w:tcW w:w="1892" w:type="dxa"/>
          </w:tcPr>
          <w:p w14:paraId="00963030" w14:textId="77777777" w:rsidR="005D41CC" w:rsidRPr="00FC1976" w:rsidRDefault="005D41CC" w:rsidP="005D41CC">
            <w:pPr>
              <w:pStyle w:val="02Tabletext"/>
              <w:rPr>
                <w:lang w:val="en-AU"/>
              </w:rPr>
            </w:pPr>
            <w:r w:rsidRPr="00EA788F">
              <w:rPr>
                <w:lang w:val="en-AU"/>
              </w:rPr>
              <w:t>Referred</w:t>
            </w:r>
          </w:p>
        </w:tc>
        <w:tc>
          <w:tcPr>
            <w:tcW w:w="1893" w:type="dxa"/>
          </w:tcPr>
          <w:p w14:paraId="1CC36061" w14:textId="7E3B3DAA" w:rsidR="005D41CC" w:rsidRPr="00A3061A" w:rsidRDefault="00356FAF" w:rsidP="005D41CC">
            <w:pPr>
              <w:pStyle w:val="02Tabletext"/>
              <w:rPr>
                <w:lang w:val="en-AU"/>
              </w:rPr>
            </w:pPr>
            <w:r w:rsidRPr="00A3061A">
              <w:rPr>
                <w:lang w:val="en-AU"/>
              </w:rPr>
              <w:t>3</w:t>
            </w:r>
            <w:r w:rsidR="009D2B0E">
              <w:rPr>
                <w:lang w:val="en-AU"/>
              </w:rPr>
              <w:t>1</w:t>
            </w:r>
          </w:p>
        </w:tc>
      </w:tr>
      <w:tr w:rsidR="005D41CC" w:rsidRPr="00FC1976" w14:paraId="73BAEC93" w14:textId="77777777" w:rsidTr="00802112">
        <w:tc>
          <w:tcPr>
            <w:tcW w:w="716" w:type="dxa"/>
          </w:tcPr>
          <w:p w14:paraId="758E4F5F" w14:textId="77777777" w:rsidR="005D41CC" w:rsidRPr="00FC1976" w:rsidRDefault="005D41CC" w:rsidP="005D41CC">
            <w:pPr>
              <w:pStyle w:val="02Tabletext"/>
              <w:rPr>
                <w:lang w:val="en-AU"/>
              </w:rPr>
            </w:pPr>
            <w:r w:rsidRPr="00FC1976">
              <w:rPr>
                <w:lang w:val="en-AU"/>
              </w:rPr>
              <w:t>133</w:t>
            </w:r>
          </w:p>
        </w:tc>
        <w:tc>
          <w:tcPr>
            <w:tcW w:w="4515" w:type="dxa"/>
          </w:tcPr>
          <w:p w14:paraId="6F87DF57" w14:textId="77777777" w:rsidR="005D41CC" w:rsidRPr="00FC1976" w:rsidRDefault="005D41CC" w:rsidP="005D41CC">
            <w:pPr>
              <w:pStyle w:val="02Tabletext"/>
              <w:rPr>
                <w:lang w:val="en-AU"/>
              </w:rPr>
            </w:pPr>
            <w:r w:rsidRPr="00FC1976">
              <w:rPr>
                <w:lang w:val="en-AU"/>
              </w:rPr>
              <w:t>Professional attendance of at least 20 minutes duration subsequent to the first attendance in a single course of treatment for a review of a patient with at least two morbidities (this can include complex congenital, developmental and behavioural disorders), where</w:t>
            </w:r>
            <w:r w:rsidR="00743F50">
              <w:rPr>
                <w:lang w:val="en-AU"/>
              </w:rPr>
              <w:t xml:space="preserve"> </w:t>
            </w:r>
            <w:r w:rsidRPr="00FC1976">
              <w:rPr>
                <w:lang w:val="en-AU"/>
              </w:rPr>
              <w:t>a) a review is undertaken that covers:</w:t>
            </w:r>
            <w:r w:rsidR="00E92F6A">
              <w:rPr>
                <w:lang w:val="en-AU"/>
              </w:rPr>
              <w:t xml:space="preserve"> –</w:t>
            </w:r>
            <w:r w:rsidRPr="00FC1976">
              <w:rPr>
                <w:lang w:val="en-AU"/>
              </w:rPr>
              <w:t xml:space="preserve"> review of initial presenting problem/s and results of diagnostic investigations</w:t>
            </w:r>
            <w:r w:rsidR="0050676F">
              <w:rPr>
                <w:lang w:val="en-AU"/>
              </w:rPr>
              <w:t>,</w:t>
            </w:r>
            <w:r w:rsidR="00743F50">
              <w:rPr>
                <w:lang w:val="en-AU"/>
              </w:rPr>
              <w:t xml:space="preserve"> –</w:t>
            </w:r>
            <w:r w:rsidRPr="00FC1976">
              <w:rPr>
                <w:lang w:val="en-AU"/>
              </w:rPr>
              <w:t xml:space="preserve"> review of responses to treatment and medication plans initiated at time of initial consultation comprehensive multi or detailed single organ system assessment,</w:t>
            </w:r>
            <w:r w:rsidR="005F1FE6">
              <w:rPr>
                <w:lang w:val="en-AU"/>
              </w:rPr>
              <w:t xml:space="preserve"> –</w:t>
            </w:r>
            <w:r w:rsidRPr="00FC1976">
              <w:rPr>
                <w:lang w:val="en-AU"/>
              </w:rPr>
              <w:t xml:space="preserve"> review of original and differential diagnoses; and b) a modified consultant physician treatment and management plan is provided to the referring practitioner that involves, where appropriate:</w:t>
            </w:r>
            <w:r w:rsidR="001720B7">
              <w:rPr>
                <w:lang w:val="en-AU"/>
              </w:rPr>
              <w:t xml:space="preserve"> –</w:t>
            </w:r>
            <w:r w:rsidRPr="00FC1976">
              <w:rPr>
                <w:lang w:val="en-AU"/>
              </w:rPr>
              <w:t xml:space="preserve"> a revised opinion on the diagnosis and risk assessment</w:t>
            </w:r>
            <w:r w:rsidR="00742A44">
              <w:rPr>
                <w:lang w:val="en-AU"/>
              </w:rPr>
              <w:t>,</w:t>
            </w:r>
            <w:r w:rsidRPr="00FC1976">
              <w:rPr>
                <w:lang w:val="en-AU"/>
              </w:rPr>
              <w:t xml:space="preserve"> </w:t>
            </w:r>
            <w:r w:rsidR="00926B3C">
              <w:rPr>
                <w:lang w:val="en-AU"/>
              </w:rPr>
              <w:t>–</w:t>
            </w:r>
            <w:r w:rsidRPr="00FC1976">
              <w:rPr>
                <w:lang w:val="en-AU"/>
              </w:rPr>
              <w:t xml:space="preserve"> treatment options and decisions</w:t>
            </w:r>
            <w:r w:rsidR="00742A44">
              <w:rPr>
                <w:lang w:val="en-AU"/>
              </w:rPr>
              <w:t>,</w:t>
            </w:r>
            <w:r w:rsidR="001F1C87">
              <w:rPr>
                <w:lang w:val="en-AU"/>
              </w:rPr>
              <w:t xml:space="preserve"> –</w:t>
            </w:r>
            <w:r w:rsidRPr="00FC1976">
              <w:rPr>
                <w:lang w:val="en-AU"/>
              </w:rPr>
              <w:t xml:space="preserve"> revised medication recommendations</w:t>
            </w:r>
            <w:r w:rsidR="00742A44">
              <w:rPr>
                <w:lang w:val="en-AU"/>
              </w:rPr>
              <w:t>,</w:t>
            </w:r>
            <w:r w:rsidRPr="00FC1976">
              <w:rPr>
                <w:lang w:val="en-AU"/>
              </w:rPr>
              <w:t xml:space="preserve"> not being an attendance on a patient in respect of whom, an attendance under item 110, 116 and 119 has been received on the same day by the same consultant physician or locum tenens. Being an attendance on a patient in respect of whom, in the preceding 12 months, payment has been made under item 132. Item 133 can be provided by either the same consultant physician or a locum tenens. Payable no more than twice in any 12 month period.</w:t>
            </w:r>
          </w:p>
        </w:tc>
        <w:tc>
          <w:tcPr>
            <w:tcW w:w="1892" w:type="dxa"/>
          </w:tcPr>
          <w:p w14:paraId="4A8FFD86" w14:textId="77777777" w:rsidR="005D41CC" w:rsidRPr="00FC1976" w:rsidRDefault="005D41CC" w:rsidP="005D41CC">
            <w:pPr>
              <w:pStyle w:val="02Tabletext"/>
              <w:rPr>
                <w:lang w:val="en-AU"/>
              </w:rPr>
            </w:pPr>
            <w:r w:rsidRPr="00EA788F">
              <w:rPr>
                <w:lang w:val="en-AU"/>
              </w:rPr>
              <w:t>Referred</w:t>
            </w:r>
          </w:p>
        </w:tc>
        <w:tc>
          <w:tcPr>
            <w:tcW w:w="1893" w:type="dxa"/>
          </w:tcPr>
          <w:p w14:paraId="10FDCD55" w14:textId="0BD57049" w:rsidR="005D41CC" w:rsidRPr="00A3061A" w:rsidRDefault="00356FAF" w:rsidP="005D41CC">
            <w:pPr>
              <w:pStyle w:val="02Tabletext"/>
              <w:rPr>
                <w:lang w:val="en-AU"/>
              </w:rPr>
            </w:pPr>
            <w:r w:rsidRPr="00A3061A">
              <w:rPr>
                <w:lang w:val="en-AU"/>
              </w:rPr>
              <w:t>3</w:t>
            </w:r>
            <w:r w:rsidR="009D2B0E">
              <w:rPr>
                <w:lang w:val="en-AU"/>
              </w:rPr>
              <w:t>2</w:t>
            </w:r>
          </w:p>
        </w:tc>
      </w:tr>
      <w:tr w:rsidR="005D41CC" w:rsidRPr="00FC1976" w14:paraId="28185F6F" w14:textId="77777777" w:rsidTr="00802112">
        <w:tc>
          <w:tcPr>
            <w:tcW w:w="716" w:type="dxa"/>
          </w:tcPr>
          <w:p w14:paraId="6512B42B" w14:textId="77777777" w:rsidR="005D41CC" w:rsidRPr="00FC1976" w:rsidRDefault="005D41CC" w:rsidP="005D41CC">
            <w:pPr>
              <w:pStyle w:val="02Tabletext"/>
              <w:rPr>
                <w:b/>
                <w:lang w:val="en-AU"/>
              </w:rPr>
            </w:pPr>
            <w:r w:rsidRPr="00FC1976">
              <w:rPr>
                <w:lang w:val="en-AU"/>
              </w:rPr>
              <w:t>701</w:t>
            </w:r>
          </w:p>
        </w:tc>
        <w:tc>
          <w:tcPr>
            <w:tcW w:w="4515" w:type="dxa"/>
          </w:tcPr>
          <w:p w14:paraId="1996BDB3" w14:textId="77777777" w:rsidR="005D41CC" w:rsidRPr="00FC1976" w:rsidRDefault="005D41CC" w:rsidP="005D41CC">
            <w:pPr>
              <w:pStyle w:val="02Tabletext"/>
              <w:rPr>
                <w:lang w:val="en-AU"/>
              </w:rPr>
            </w:pPr>
            <w:r w:rsidRPr="00FC1976">
              <w:rPr>
                <w:lang w:val="en-AU"/>
              </w:rPr>
              <w:t>Attendance by a medical practitioner (including a general practitioner, but not including a specialist or a consultant physician) to perform a brief health assessment, lasting not more than 30 minutes and including:</w:t>
            </w:r>
            <w:r w:rsidR="00CE1C74">
              <w:rPr>
                <w:lang w:val="en-AU"/>
              </w:rPr>
              <w:t xml:space="preserve"> </w:t>
            </w:r>
            <w:r w:rsidRPr="00FC1976">
              <w:rPr>
                <w:lang w:val="en-AU"/>
              </w:rPr>
              <w:t>(a) collection of relevant information, including taking a patient history; and</w:t>
            </w:r>
            <w:r w:rsidR="00CE1C74">
              <w:rPr>
                <w:lang w:val="en-AU"/>
              </w:rPr>
              <w:t xml:space="preserve"> </w:t>
            </w:r>
            <w:r w:rsidRPr="00FC1976">
              <w:rPr>
                <w:lang w:val="en-AU"/>
              </w:rPr>
              <w:t>(b) a basic physical examination; and</w:t>
            </w:r>
            <w:r w:rsidR="00CE1C74">
              <w:rPr>
                <w:lang w:val="en-AU"/>
              </w:rPr>
              <w:t xml:space="preserve"> </w:t>
            </w:r>
            <w:r w:rsidRPr="00FC1976">
              <w:rPr>
                <w:lang w:val="en-AU"/>
              </w:rPr>
              <w:t>(c) initiating interventions and referrals as indicated; and</w:t>
            </w:r>
            <w:r w:rsidR="00CE1C74">
              <w:rPr>
                <w:lang w:val="en-AU"/>
              </w:rPr>
              <w:t xml:space="preserve"> </w:t>
            </w:r>
            <w:r w:rsidRPr="00FC1976">
              <w:rPr>
                <w:lang w:val="en-AU"/>
              </w:rPr>
              <w:t>(d) providing the patient with preventive health care advice and information</w:t>
            </w:r>
            <w:r w:rsidR="00CE1C74">
              <w:rPr>
                <w:lang w:val="en-AU"/>
              </w:rPr>
              <w:t>.</w:t>
            </w:r>
          </w:p>
        </w:tc>
        <w:tc>
          <w:tcPr>
            <w:tcW w:w="1892" w:type="dxa"/>
          </w:tcPr>
          <w:p w14:paraId="46F83AF8" w14:textId="77777777" w:rsidR="005D41CC" w:rsidRPr="00FC1976" w:rsidRDefault="005D41CC" w:rsidP="005D41CC">
            <w:pPr>
              <w:pStyle w:val="02Tabletext"/>
              <w:rPr>
                <w:lang w:val="en-AU"/>
              </w:rPr>
            </w:pPr>
            <w:r w:rsidRPr="00EA788F">
              <w:rPr>
                <w:lang w:val="en-AU"/>
              </w:rPr>
              <w:t>Referred</w:t>
            </w:r>
          </w:p>
        </w:tc>
        <w:tc>
          <w:tcPr>
            <w:tcW w:w="1893" w:type="dxa"/>
          </w:tcPr>
          <w:p w14:paraId="3BFB05C0" w14:textId="166B8028" w:rsidR="005D41CC" w:rsidRPr="00A3061A" w:rsidRDefault="0032666B" w:rsidP="009D2B0E">
            <w:pPr>
              <w:pStyle w:val="02Tabletext"/>
              <w:rPr>
                <w:lang w:val="en-AU"/>
              </w:rPr>
            </w:pPr>
            <w:r>
              <w:rPr>
                <w:lang w:val="en-AU"/>
              </w:rPr>
              <w:t>40</w:t>
            </w:r>
          </w:p>
        </w:tc>
      </w:tr>
      <w:tr w:rsidR="005D41CC" w:rsidRPr="00FC1976" w14:paraId="08D33B3A" w14:textId="77777777" w:rsidTr="00802112">
        <w:tc>
          <w:tcPr>
            <w:tcW w:w="716" w:type="dxa"/>
          </w:tcPr>
          <w:p w14:paraId="4A11E025" w14:textId="77777777" w:rsidR="005D41CC" w:rsidRPr="00FC1976" w:rsidRDefault="005D41CC" w:rsidP="005D41CC">
            <w:pPr>
              <w:pStyle w:val="02Tabletext"/>
              <w:rPr>
                <w:b/>
                <w:lang w:val="en-AU"/>
              </w:rPr>
            </w:pPr>
            <w:r w:rsidRPr="00FC1976">
              <w:rPr>
                <w:lang w:val="en-AU"/>
              </w:rPr>
              <w:t>703</w:t>
            </w:r>
          </w:p>
        </w:tc>
        <w:tc>
          <w:tcPr>
            <w:tcW w:w="4515" w:type="dxa"/>
          </w:tcPr>
          <w:p w14:paraId="2AD0B579" w14:textId="77777777" w:rsidR="005D41CC" w:rsidRPr="00FC1976" w:rsidRDefault="005D41CC" w:rsidP="005D41CC">
            <w:pPr>
              <w:pStyle w:val="02Tabletext"/>
              <w:rPr>
                <w:lang w:val="en-AU"/>
              </w:rPr>
            </w:pPr>
            <w:r w:rsidRPr="00FC1976">
              <w:rPr>
                <w:lang w:val="en-AU"/>
              </w:rPr>
              <w:t>Attendance by a medical practitioner (including a general practitioner, but not including a specialist or a consultant physician) to perform a standard health assessment, lasting more than 30 minutes but less than 45 minutes, including:</w:t>
            </w:r>
            <w:r w:rsidR="00CE1C74">
              <w:rPr>
                <w:lang w:val="en-AU"/>
              </w:rPr>
              <w:t xml:space="preserve"> </w:t>
            </w:r>
            <w:r w:rsidRPr="00FC1976">
              <w:rPr>
                <w:lang w:val="en-AU"/>
              </w:rPr>
              <w:t>(a) detailed information collection, including taking a patient history; and</w:t>
            </w:r>
            <w:r w:rsidR="00CE1C74">
              <w:rPr>
                <w:lang w:val="en-AU"/>
              </w:rPr>
              <w:t xml:space="preserve"> </w:t>
            </w:r>
            <w:r w:rsidRPr="00FC1976">
              <w:rPr>
                <w:lang w:val="en-AU"/>
              </w:rPr>
              <w:t>(b) an extensive physical examination; and</w:t>
            </w:r>
            <w:r w:rsidR="00CE1C74">
              <w:rPr>
                <w:lang w:val="en-AU"/>
              </w:rPr>
              <w:t xml:space="preserve"> </w:t>
            </w:r>
            <w:r w:rsidRPr="00FC1976">
              <w:rPr>
                <w:lang w:val="en-AU"/>
              </w:rPr>
              <w:t>(c) initiating interventions and referrals as indicated; and</w:t>
            </w:r>
            <w:r w:rsidR="00CE1C74">
              <w:rPr>
                <w:lang w:val="en-AU"/>
              </w:rPr>
              <w:t xml:space="preserve"> </w:t>
            </w:r>
            <w:r w:rsidRPr="00FC1976">
              <w:rPr>
                <w:lang w:val="en-AU"/>
              </w:rPr>
              <w:t>(d) providing a preventive health care strategy for the patient</w:t>
            </w:r>
            <w:r w:rsidR="00CE1C74">
              <w:rPr>
                <w:lang w:val="en-AU"/>
              </w:rPr>
              <w:t>.</w:t>
            </w:r>
          </w:p>
        </w:tc>
        <w:tc>
          <w:tcPr>
            <w:tcW w:w="1892" w:type="dxa"/>
          </w:tcPr>
          <w:p w14:paraId="23CEA81E" w14:textId="77777777" w:rsidR="005D41CC" w:rsidRPr="00FC1976" w:rsidRDefault="005D41CC" w:rsidP="005D41CC">
            <w:pPr>
              <w:pStyle w:val="02Tabletext"/>
              <w:rPr>
                <w:lang w:val="en-AU"/>
              </w:rPr>
            </w:pPr>
            <w:r w:rsidRPr="00EA788F">
              <w:rPr>
                <w:lang w:val="en-AU"/>
              </w:rPr>
              <w:t>Referred</w:t>
            </w:r>
          </w:p>
        </w:tc>
        <w:tc>
          <w:tcPr>
            <w:tcW w:w="1893" w:type="dxa"/>
          </w:tcPr>
          <w:p w14:paraId="4A14537A" w14:textId="31AF53BA" w:rsidR="005D41CC" w:rsidRPr="00A3061A" w:rsidRDefault="009D2B0E" w:rsidP="005D41CC">
            <w:pPr>
              <w:pStyle w:val="02Tabletext"/>
              <w:rPr>
                <w:lang w:val="en-AU"/>
              </w:rPr>
            </w:pPr>
            <w:r>
              <w:rPr>
                <w:lang w:val="en-AU"/>
              </w:rPr>
              <w:t>40</w:t>
            </w:r>
          </w:p>
        </w:tc>
      </w:tr>
      <w:tr w:rsidR="005D41CC" w:rsidRPr="00FC1976" w14:paraId="3B422F5D" w14:textId="77777777" w:rsidTr="00802112">
        <w:tc>
          <w:tcPr>
            <w:tcW w:w="716" w:type="dxa"/>
          </w:tcPr>
          <w:p w14:paraId="2A93D39F" w14:textId="77777777" w:rsidR="005D41CC" w:rsidRPr="00FC1976" w:rsidRDefault="005D41CC" w:rsidP="005D41CC">
            <w:pPr>
              <w:pStyle w:val="02Tabletext"/>
              <w:rPr>
                <w:b/>
                <w:lang w:val="en-AU"/>
              </w:rPr>
            </w:pPr>
            <w:r w:rsidRPr="00FC1976">
              <w:rPr>
                <w:lang w:val="en-AU"/>
              </w:rPr>
              <w:t>705</w:t>
            </w:r>
          </w:p>
        </w:tc>
        <w:tc>
          <w:tcPr>
            <w:tcW w:w="4515" w:type="dxa"/>
          </w:tcPr>
          <w:p w14:paraId="042A5368" w14:textId="77777777" w:rsidR="005D41CC" w:rsidRPr="00FC1976" w:rsidRDefault="00CE1C74" w:rsidP="005D41CC">
            <w:pPr>
              <w:pStyle w:val="02Tabletext"/>
              <w:rPr>
                <w:lang w:val="en-AU"/>
              </w:rPr>
            </w:pPr>
            <w:r>
              <w:rPr>
                <w:lang w:val="en-AU"/>
              </w:rPr>
              <w:t>A</w:t>
            </w:r>
            <w:r w:rsidR="005D41CC" w:rsidRPr="00FC1976">
              <w:rPr>
                <w:lang w:val="en-AU"/>
              </w:rPr>
              <w:t>ttendance by a medical practitioner (including a general practitioner, but not including a specialist or a consultant physician) to perform a long health assessment, lasting at least 45 minutes but less than 60 minutes, including:</w:t>
            </w:r>
            <w:r w:rsidR="00C163E2">
              <w:rPr>
                <w:lang w:val="en-AU"/>
              </w:rPr>
              <w:t xml:space="preserve"> </w:t>
            </w:r>
            <w:r w:rsidR="005D41CC" w:rsidRPr="00FC1976">
              <w:rPr>
                <w:lang w:val="en-AU"/>
              </w:rPr>
              <w:t>(a) comprehensive information collection, including taking a patient history; and</w:t>
            </w:r>
            <w:r w:rsidR="00C163E2">
              <w:rPr>
                <w:lang w:val="en-AU"/>
              </w:rPr>
              <w:t xml:space="preserve"> </w:t>
            </w:r>
            <w:r w:rsidR="005D41CC" w:rsidRPr="00FC1976">
              <w:rPr>
                <w:lang w:val="en-AU"/>
              </w:rPr>
              <w:t>(b) an extensive examination of the patient’s medical condition and physical function; and</w:t>
            </w:r>
            <w:r w:rsidR="00C163E2">
              <w:rPr>
                <w:lang w:val="en-AU"/>
              </w:rPr>
              <w:t xml:space="preserve"> </w:t>
            </w:r>
            <w:r w:rsidR="005D41CC" w:rsidRPr="00FC1976">
              <w:rPr>
                <w:lang w:val="en-AU"/>
              </w:rPr>
              <w:t>(c) initiating interventions and referrals as indicated; and</w:t>
            </w:r>
            <w:r w:rsidR="00C163E2">
              <w:rPr>
                <w:lang w:val="en-AU"/>
              </w:rPr>
              <w:t xml:space="preserve"> </w:t>
            </w:r>
            <w:r w:rsidR="005D41CC" w:rsidRPr="00FC1976">
              <w:rPr>
                <w:lang w:val="en-AU"/>
              </w:rPr>
              <w:t>(d) providing a basic preventive health care management plan for the patient</w:t>
            </w:r>
            <w:r w:rsidR="00C163E2">
              <w:rPr>
                <w:lang w:val="en-AU"/>
              </w:rPr>
              <w:t>.</w:t>
            </w:r>
          </w:p>
        </w:tc>
        <w:tc>
          <w:tcPr>
            <w:tcW w:w="1892" w:type="dxa"/>
          </w:tcPr>
          <w:p w14:paraId="66CE6BAF" w14:textId="77777777" w:rsidR="005D41CC" w:rsidRPr="00FC1976" w:rsidRDefault="005D41CC" w:rsidP="005D41CC">
            <w:pPr>
              <w:pStyle w:val="02Tabletext"/>
              <w:rPr>
                <w:lang w:val="en-AU"/>
              </w:rPr>
            </w:pPr>
            <w:r w:rsidRPr="00EA788F">
              <w:rPr>
                <w:lang w:val="en-AU"/>
              </w:rPr>
              <w:t>Referred</w:t>
            </w:r>
          </w:p>
        </w:tc>
        <w:tc>
          <w:tcPr>
            <w:tcW w:w="1893" w:type="dxa"/>
          </w:tcPr>
          <w:p w14:paraId="18060D8A" w14:textId="7D004F23" w:rsidR="005D41CC" w:rsidRPr="00A3061A" w:rsidRDefault="009D2B0E" w:rsidP="009D2B0E">
            <w:pPr>
              <w:pStyle w:val="02Tabletext"/>
              <w:rPr>
                <w:lang w:val="en-AU"/>
              </w:rPr>
            </w:pPr>
            <w:r>
              <w:rPr>
                <w:lang w:val="en-AU"/>
              </w:rPr>
              <w:t>40</w:t>
            </w:r>
          </w:p>
        </w:tc>
      </w:tr>
      <w:tr w:rsidR="005D41CC" w:rsidRPr="00FC1976" w14:paraId="2A546072" w14:textId="77777777" w:rsidTr="00802112">
        <w:tc>
          <w:tcPr>
            <w:tcW w:w="716" w:type="dxa"/>
          </w:tcPr>
          <w:p w14:paraId="751FE084" w14:textId="77777777" w:rsidR="005D41CC" w:rsidRPr="00FC1976" w:rsidRDefault="005D41CC" w:rsidP="005D41CC">
            <w:pPr>
              <w:pStyle w:val="02Tabletext"/>
              <w:rPr>
                <w:b/>
                <w:lang w:val="en-AU"/>
              </w:rPr>
            </w:pPr>
            <w:r w:rsidRPr="00FC1976">
              <w:rPr>
                <w:lang w:val="en-AU"/>
              </w:rPr>
              <w:t>707</w:t>
            </w:r>
          </w:p>
        </w:tc>
        <w:tc>
          <w:tcPr>
            <w:tcW w:w="4515" w:type="dxa"/>
          </w:tcPr>
          <w:p w14:paraId="62F53112" w14:textId="77777777" w:rsidR="005D41CC" w:rsidRPr="00FC1976" w:rsidRDefault="005D41CC" w:rsidP="00D20D9A">
            <w:pPr>
              <w:pStyle w:val="02Tabletext"/>
              <w:rPr>
                <w:lang w:val="en-AU"/>
              </w:rPr>
            </w:pPr>
            <w:r w:rsidRPr="00FC1976">
              <w:rPr>
                <w:lang w:val="en-AU"/>
              </w:rPr>
              <w:t>Attendance by a medical practitioner (including a general practitioner, but not including a specialist or consultant physician) to perform a prolonged health assessment (lasting at least 60 minutes) including:</w:t>
            </w:r>
            <w:r w:rsidR="00D20D9A">
              <w:rPr>
                <w:lang w:val="en-AU"/>
              </w:rPr>
              <w:t xml:space="preserve"> </w:t>
            </w:r>
            <w:r w:rsidRPr="00FC1976">
              <w:rPr>
                <w:lang w:val="en-AU"/>
              </w:rPr>
              <w:t>(a) comprehensive information collection, including taking a patient history; and</w:t>
            </w:r>
            <w:r w:rsidR="00D20D9A">
              <w:rPr>
                <w:lang w:val="en-AU"/>
              </w:rPr>
              <w:t xml:space="preserve"> </w:t>
            </w:r>
            <w:r w:rsidRPr="00FC1976">
              <w:rPr>
                <w:lang w:val="en-AU"/>
              </w:rPr>
              <w:t>(b) an extensive examination of the patient’s medical condition, and physical, psychological and social function; and</w:t>
            </w:r>
            <w:r w:rsidR="00D20D9A">
              <w:rPr>
                <w:lang w:val="en-AU"/>
              </w:rPr>
              <w:t xml:space="preserve"> (</w:t>
            </w:r>
            <w:r w:rsidRPr="00FC1976">
              <w:rPr>
                <w:lang w:val="en-AU"/>
              </w:rPr>
              <w:t>c) initiating interventions or referrals as indicated; and</w:t>
            </w:r>
            <w:r w:rsidR="00F44806">
              <w:rPr>
                <w:lang w:val="en-AU"/>
              </w:rPr>
              <w:t xml:space="preserve"> </w:t>
            </w:r>
            <w:r w:rsidRPr="00FC1976">
              <w:rPr>
                <w:lang w:val="en-AU"/>
              </w:rPr>
              <w:t>(d) providing a comprehensive preventive health care management plan for the patient</w:t>
            </w:r>
            <w:r w:rsidR="00F44806">
              <w:rPr>
                <w:lang w:val="en-AU"/>
              </w:rPr>
              <w:t>.</w:t>
            </w:r>
          </w:p>
        </w:tc>
        <w:tc>
          <w:tcPr>
            <w:tcW w:w="1892" w:type="dxa"/>
          </w:tcPr>
          <w:p w14:paraId="736868F6" w14:textId="77777777" w:rsidR="005D41CC" w:rsidRPr="00FC1976" w:rsidRDefault="005D41CC" w:rsidP="005D41CC">
            <w:pPr>
              <w:pStyle w:val="02Tabletext"/>
              <w:rPr>
                <w:lang w:val="en-AU"/>
              </w:rPr>
            </w:pPr>
            <w:r w:rsidRPr="00EA788F">
              <w:rPr>
                <w:lang w:val="en-AU"/>
              </w:rPr>
              <w:t>Referred</w:t>
            </w:r>
          </w:p>
        </w:tc>
        <w:tc>
          <w:tcPr>
            <w:tcW w:w="1893" w:type="dxa"/>
          </w:tcPr>
          <w:p w14:paraId="078F9504" w14:textId="48D4113A" w:rsidR="005D41CC" w:rsidRPr="00A3061A" w:rsidRDefault="003C24D9" w:rsidP="009D2B0E">
            <w:pPr>
              <w:pStyle w:val="02Tabletext"/>
              <w:rPr>
                <w:lang w:val="en-AU"/>
              </w:rPr>
            </w:pPr>
            <w:r>
              <w:rPr>
                <w:lang w:val="en-AU"/>
              </w:rPr>
              <w:t>40</w:t>
            </w:r>
          </w:p>
        </w:tc>
      </w:tr>
      <w:tr w:rsidR="005D41CC" w:rsidRPr="00FC1976" w14:paraId="4F8F9381" w14:textId="77777777" w:rsidTr="00802112">
        <w:tc>
          <w:tcPr>
            <w:tcW w:w="716" w:type="dxa"/>
          </w:tcPr>
          <w:p w14:paraId="0204AC6A" w14:textId="77777777" w:rsidR="005D41CC" w:rsidRPr="00FC1976" w:rsidRDefault="005D41CC" w:rsidP="005D41CC">
            <w:pPr>
              <w:pStyle w:val="02Tabletext"/>
              <w:rPr>
                <w:lang w:val="en-AU"/>
              </w:rPr>
            </w:pPr>
            <w:r w:rsidRPr="00FC1976">
              <w:rPr>
                <w:lang w:val="en-AU"/>
              </w:rPr>
              <w:t>715</w:t>
            </w:r>
          </w:p>
        </w:tc>
        <w:tc>
          <w:tcPr>
            <w:tcW w:w="4515" w:type="dxa"/>
          </w:tcPr>
          <w:p w14:paraId="08571E6D" w14:textId="77777777" w:rsidR="005D41CC" w:rsidRPr="00FC1976" w:rsidRDefault="005D41CC" w:rsidP="005D41CC">
            <w:pPr>
              <w:pStyle w:val="02Tabletext"/>
              <w:rPr>
                <w:lang w:val="en-AU"/>
              </w:rPr>
            </w:pPr>
            <w:r w:rsidRPr="00FC1976">
              <w:rPr>
                <w:lang w:val="en-AU"/>
              </w:rPr>
              <w:t xml:space="preserve">Attendance by a medical practitioner (including a general practitioner, but not including a specialist or consultant physician) at consulting rooms or in another place other than a hospital or residential aged care facility, for a health assessment of a patient who is of </w:t>
            </w:r>
            <w:r w:rsidR="00742A44">
              <w:rPr>
                <w:lang w:val="en-AU"/>
              </w:rPr>
              <w:t>A</w:t>
            </w:r>
            <w:r w:rsidRPr="00FC1976">
              <w:rPr>
                <w:lang w:val="en-AU"/>
              </w:rPr>
              <w:t xml:space="preserve">boriginal or </w:t>
            </w:r>
            <w:r w:rsidR="00742A44">
              <w:rPr>
                <w:lang w:val="en-AU"/>
              </w:rPr>
              <w:t>T</w:t>
            </w:r>
            <w:r w:rsidRPr="00FC1976">
              <w:rPr>
                <w:lang w:val="en-AU"/>
              </w:rPr>
              <w:t xml:space="preserve">orres </w:t>
            </w:r>
            <w:r w:rsidR="00742A44">
              <w:rPr>
                <w:lang w:val="en-AU"/>
              </w:rPr>
              <w:t>S</w:t>
            </w:r>
            <w:r w:rsidRPr="00FC1976">
              <w:rPr>
                <w:lang w:val="en-AU"/>
              </w:rPr>
              <w:t xml:space="preserve">trait </w:t>
            </w:r>
            <w:r w:rsidR="00742A44">
              <w:rPr>
                <w:lang w:val="en-AU"/>
              </w:rPr>
              <w:t>I</w:t>
            </w:r>
            <w:r w:rsidRPr="00FC1976">
              <w:rPr>
                <w:lang w:val="en-AU"/>
              </w:rPr>
              <w:t xml:space="preserve">slander descent </w:t>
            </w:r>
            <w:r w:rsidR="00ED6637">
              <w:rPr>
                <w:lang w:val="en-AU"/>
              </w:rPr>
              <w:t>–</w:t>
            </w:r>
            <w:r w:rsidRPr="00FC1976">
              <w:rPr>
                <w:lang w:val="en-AU"/>
              </w:rPr>
              <w:t xml:space="preserve"> not more than once in a 9 month period</w:t>
            </w:r>
            <w:r w:rsidR="007061D2">
              <w:rPr>
                <w:lang w:val="en-AU"/>
              </w:rPr>
              <w:t>.</w:t>
            </w:r>
          </w:p>
        </w:tc>
        <w:tc>
          <w:tcPr>
            <w:tcW w:w="1892" w:type="dxa"/>
          </w:tcPr>
          <w:p w14:paraId="1136ECC2" w14:textId="77777777" w:rsidR="005D41CC" w:rsidRPr="00FC1976" w:rsidRDefault="005D41CC" w:rsidP="005D41CC">
            <w:pPr>
              <w:pStyle w:val="02Tabletext"/>
              <w:rPr>
                <w:lang w:val="en-AU"/>
              </w:rPr>
            </w:pPr>
            <w:r w:rsidRPr="00EA788F">
              <w:rPr>
                <w:lang w:val="en-AU"/>
              </w:rPr>
              <w:t>Referred</w:t>
            </w:r>
          </w:p>
        </w:tc>
        <w:tc>
          <w:tcPr>
            <w:tcW w:w="1893" w:type="dxa"/>
          </w:tcPr>
          <w:p w14:paraId="03257895" w14:textId="59E3006C" w:rsidR="005D41CC" w:rsidRPr="00A3061A" w:rsidRDefault="00916A51" w:rsidP="009D2B0E">
            <w:pPr>
              <w:pStyle w:val="02Tabletext"/>
              <w:rPr>
                <w:lang w:val="en-AU"/>
              </w:rPr>
            </w:pPr>
            <w:r>
              <w:rPr>
                <w:lang w:val="en-AU"/>
              </w:rPr>
              <w:t>40</w:t>
            </w:r>
          </w:p>
        </w:tc>
      </w:tr>
      <w:tr w:rsidR="00752334" w:rsidRPr="00FC1976" w14:paraId="5B3D5C42" w14:textId="77777777" w:rsidTr="00802112">
        <w:tc>
          <w:tcPr>
            <w:tcW w:w="716" w:type="dxa"/>
          </w:tcPr>
          <w:p w14:paraId="521A93DE" w14:textId="77777777" w:rsidR="00752334" w:rsidRPr="00FC1976" w:rsidRDefault="00752334" w:rsidP="00752334">
            <w:pPr>
              <w:pStyle w:val="02Tabletext"/>
              <w:rPr>
                <w:lang w:val="en-AU"/>
              </w:rPr>
            </w:pPr>
            <w:r w:rsidRPr="00FC1976">
              <w:rPr>
                <w:lang w:val="en-AU"/>
              </w:rPr>
              <w:t>30390</w:t>
            </w:r>
          </w:p>
        </w:tc>
        <w:tc>
          <w:tcPr>
            <w:tcW w:w="4515" w:type="dxa"/>
            <w:vAlign w:val="bottom"/>
          </w:tcPr>
          <w:p w14:paraId="60A79632" w14:textId="77777777" w:rsidR="00752334" w:rsidRPr="00FC1976" w:rsidRDefault="00752334" w:rsidP="00752334">
            <w:pPr>
              <w:pStyle w:val="02Tabletext"/>
              <w:rPr>
                <w:lang w:val="en-AU"/>
              </w:rPr>
            </w:pPr>
            <w:r w:rsidRPr="00FC1976">
              <w:rPr>
                <w:lang w:val="en-AU"/>
              </w:rPr>
              <w:t>Laparoscopy, diagnostic, not being a service associated with any other laparoscopic procedure, on a person 10 years of age or over</w:t>
            </w:r>
            <w:r w:rsidR="00760502">
              <w:rPr>
                <w:lang w:val="en-AU"/>
              </w:rPr>
              <w:t>.</w:t>
            </w:r>
            <w:r w:rsidRPr="00FC1976">
              <w:rPr>
                <w:lang w:val="en-AU"/>
              </w:rPr>
              <w:t xml:space="preserve"> (Anaes.)</w:t>
            </w:r>
          </w:p>
        </w:tc>
        <w:tc>
          <w:tcPr>
            <w:tcW w:w="1892" w:type="dxa"/>
          </w:tcPr>
          <w:p w14:paraId="1839E13F" w14:textId="77777777" w:rsidR="00752334" w:rsidRPr="00FC1976" w:rsidRDefault="00752334" w:rsidP="00752334">
            <w:pPr>
              <w:pStyle w:val="02Tabletext"/>
              <w:rPr>
                <w:lang w:val="en-AU"/>
              </w:rPr>
            </w:pPr>
            <w:r w:rsidRPr="00FB2820">
              <w:rPr>
                <w:lang w:val="en-AU"/>
              </w:rPr>
              <w:t>Referred</w:t>
            </w:r>
          </w:p>
        </w:tc>
        <w:tc>
          <w:tcPr>
            <w:tcW w:w="1893" w:type="dxa"/>
          </w:tcPr>
          <w:p w14:paraId="7F82E2A2" w14:textId="6F973648" w:rsidR="00752334" w:rsidRPr="00A3061A" w:rsidRDefault="00371E38" w:rsidP="00752334">
            <w:pPr>
              <w:pStyle w:val="02Tabletext"/>
              <w:rPr>
                <w:lang w:val="en-AU"/>
              </w:rPr>
            </w:pPr>
            <w:r>
              <w:rPr>
                <w:lang w:val="en-AU"/>
              </w:rPr>
              <w:t>3</w:t>
            </w:r>
            <w:r w:rsidR="009D2B0E">
              <w:rPr>
                <w:lang w:val="en-AU"/>
              </w:rPr>
              <w:t>6</w:t>
            </w:r>
          </w:p>
        </w:tc>
      </w:tr>
      <w:tr w:rsidR="00752334" w:rsidRPr="00FC1976" w14:paraId="5B093452" w14:textId="77777777" w:rsidTr="00802112">
        <w:tc>
          <w:tcPr>
            <w:tcW w:w="716" w:type="dxa"/>
          </w:tcPr>
          <w:p w14:paraId="5C09301C" w14:textId="77777777" w:rsidR="00752334" w:rsidRPr="00FC1976" w:rsidRDefault="00752334" w:rsidP="00752334">
            <w:pPr>
              <w:pStyle w:val="02Tabletext"/>
              <w:rPr>
                <w:lang w:val="en-AU"/>
              </w:rPr>
            </w:pPr>
            <w:r w:rsidRPr="00FC1976">
              <w:rPr>
                <w:lang w:val="en-AU"/>
              </w:rPr>
              <w:t>36516</w:t>
            </w:r>
          </w:p>
        </w:tc>
        <w:tc>
          <w:tcPr>
            <w:tcW w:w="4515" w:type="dxa"/>
            <w:vAlign w:val="bottom"/>
          </w:tcPr>
          <w:p w14:paraId="67877DBB" w14:textId="77777777" w:rsidR="00752334" w:rsidRPr="00FC1976" w:rsidRDefault="00752334" w:rsidP="00752334">
            <w:pPr>
              <w:pStyle w:val="02Tabletext"/>
              <w:rPr>
                <w:lang w:val="en-AU"/>
              </w:rPr>
            </w:pPr>
            <w:r w:rsidRPr="00FC1976">
              <w:rPr>
                <w:lang w:val="en-AU"/>
              </w:rPr>
              <w:t>Nephrectomy, complete</w:t>
            </w:r>
            <w:r w:rsidR="00760502">
              <w:rPr>
                <w:lang w:val="en-AU"/>
              </w:rPr>
              <w:t>.</w:t>
            </w:r>
            <w:r w:rsidRPr="00FC1976">
              <w:rPr>
                <w:lang w:val="en-AU"/>
              </w:rPr>
              <w:t xml:space="preserve"> (Anaes.) (Assist.)</w:t>
            </w:r>
          </w:p>
        </w:tc>
        <w:tc>
          <w:tcPr>
            <w:tcW w:w="1892" w:type="dxa"/>
          </w:tcPr>
          <w:p w14:paraId="53EF6DC9" w14:textId="77777777" w:rsidR="00752334" w:rsidRPr="00FC1976" w:rsidRDefault="00752334" w:rsidP="00752334">
            <w:pPr>
              <w:pStyle w:val="02Tabletext"/>
              <w:rPr>
                <w:lang w:val="en-AU"/>
              </w:rPr>
            </w:pPr>
            <w:r w:rsidRPr="00FB2820">
              <w:rPr>
                <w:lang w:val="en-AU"/>
              </w:rPr>
              <w:t>Referred</w:t>
            </w:r>
          </w:p>
        </w:tc>
        <w:tc>
          <w:tcPr>
            <w:tcW w:w="1893" w:type="dxa"/>
          </w:tcPr>
          <w:p w14:paraId="2353A5B7" w14:textId="00D496E7" w:rsidR="00752334" w:rsidRPr="00A3061A" w:rsidRDefault="00371E38" w:rsidP="00752334">
            <w:pPr>
              <w:pStyle w:val="02Tabletext"/>
              <w:rPr>
                <w:lang w:val="en-AU"/>
              </w:rPr>
            </w:pPr>
            <w:r>
              <w:rPr>
                <w:lang w:val="en-AU"/>
              </w:rPr>
              <w:t>3</w:t>
            </w:r>
            <w:r w:rsidR="009D2B0E">
              <w:rPr>
                <w:lang w:val="en-AU"/>
              </w:rPr>
              <w:t>6</w:t>
            </w:r>
          </w:p>
        </w:tc>
      </w:tr>
      <w:tr w:rsidR="00752334" w:rsidRPr="00FC1976" w14:paraId="0545EFAA" w14:textId="77777777" w:rsidTr="00802112">
        <w:tc>
          <w:tcPr>
            <w:tcW w:w="716" w:type="dxa"/>
          </w:tcPr>
          <w:p w14:paraId="0B291BA3" w14:textId="77777777" w:rsidR="00752334" w:rsidRPr="00FC1976" w:rsidRDefault="00752334" w:rsidP="00752334">
            <w:pPr>
              <w:pStyle w:val="02Tabletext"/>
              <w:rPr>
                <w:lang w:val="en-AU"/>
              </w:rPr>
            </w:pPr>
            <w:r w:rsidRPr="00FC1976">
              <w:rPr>
                <w:lang w:val="en-AU"/>
              </w:rPr>
              <w:t>36531</w:t>
            </w:r>
          </w:p>
        </w:tc>
        <w:tc>
          <w:tcPr>
            <w:tcW w:w="4515" w:type="dxa"/>
            <w:vAlign w:val="bottom"/>
          </w:tcPr>
          <w:p w14:paraId="4315FAA1" w14:textId="77777777" w:rsidR="00752334" w:rsidRPr="00FC1976" w:rsidRDefault="00752334" w:rsidP="00752334">
            <w:pPr>
              <w:pStyle w:val="02Tabletext"/>
              <w:rPr>
                <w:lang w:val="en-AU"/>
              </w:rPr>
            </w:pPr>
            <w:r w:rsidRPr="00FC1976">
              <w:rPr>
                <w:lang w:val="en-AU"/>
              </w:rPr>
              <w:t>Nephroureterectomy, complete, including associated bladder repair and any associated endoscopic procedure</w:t>
            </w:r>
            <w:r w:rsidR="00760502">
              <w:rPr>
                <w:lang w:val="en-AU"/>
              </w:rPr>
              <w:t>.</w:t>
            </w:r>
            <w:r w:rsidRPr="00FC1976">
              <w:rPr>
                <w:lang w:val="en-AU"/>
              </w:rPr>
              <w:t xml:space="preserve"> (Anaes.) (Assist.)</w:t>
            </w:r>
          </w:p>
        </w:tc>
        <w:tc>
          <w:tcPr>
            <w:tcW w:w="1892" w:type="dxa"/>
          </w:tcPr>
          <w:p w14:paraId="3D3CD817" w14:textId="77777777" w:rsidR="00752334" w:rsidRPr="00FC1976" w:rsidRDefault="00752334" w:rsidP="00752334">
            <w:pPr>
              <w:pStyle w:val="02Tabletext"/>
              <w:rPr>
                <w:lang w:val="en-AU"/>
              </w:rPr>
            </w:pPr>
            <w:r w:rsidRPr="00FB2820">
              <w:rPr>
                <w:lang w:val="en-AU"/>
              </w:rPr>
              <w:t>Referred</w:t>
            </w:r>
          </w:p>
        </w:tc>
        <w:tc>
          <w:tcPr>
            <w:tcW w:w="1893" w:type="dxa"/>
          </w:tcPr>
          <w:p w14:paraId="623ACFE2" w14:textId="05C63E30" w:rsidR="00752334" w:rsidRPr="00A3061A" w:rsidRDefault="00752334" w:rsidP="00752334">
            <w:pPr>
              <w:pStyle w:val="02Tabletext"/>
              <w:rPr>
                <w:lang w:val="en-AU"/>
              </w:rPr>
            </w:pPr>
            <w:r w:rsidRPr="00A3061A">
              <w:rPr>
                <w:lang w:val="en-AU"/>
              </w:rPr>
              <w:t>3</w:t>
            </w:r>
            <w:r w:rsidR="009D2B0E">
              <w:rPr>
                <w:lang w:val="en-AU"/>
              </w:rPr>
              <w:t>6</w:t>
            </w:r>
          </w:p>
        </w:tc>
      </w:tr>
    </w:tbl>
    <w:p w14:paraId="67080913" w14:textId="77777777" w:rsidR="004A4F8A" w:rsidRPr="00FC1976" w:rsidRDefault="004A4F8A" w:rsidP="00082595">
      <w:pPr>
        <w:rPr>
          <w:lang w:val="en-AU" w:eastAsia="en-US"/>
        </w:rPr>
      </w:pPr>
    </w:p>
    <w:p w14:paraId="3A510035" w14:textId="77777777" w:rsidR="0042744A" w:rsidRPr="00FC1976" w:rsidRDefault="004A4F8A" w:rsidP="00915D28">
      <w:pPr>
        <w:rPr>
          <w:lang w:val="en-AU"/>
        </w:rPr>
        <w:sectPr w:rsidR="0042744A" w:rsidRPr="00FC1976" w:rsidSect="0048563C">
          <w:pgSz w:w="11906" w:h="16838" w:code="9"/>
          <w:pgMar w:top="1440" w:right="1440" w:bottom="1276" w:left="1440" w:header="720" w:footer="720" w:gutter="0"/>
          <w:paperSrc w:first="2" w:other="2"/>
          <w:cols w:space="720"/>
          <w:docGrid w:linePitch="326"/>
        </w:sectPr>
      </w:pPr>
      <w:r w:rsidRPr="00FC1976">
        <w:rPr>
          <w:lang w:val="en-AU" w:eastAsia="en-US"/>
        </w:rPr>
        <w:br w:type="page"/>
      </w:r>
    </w:p>
    <w:p w14:paraId="5081D715" w14:textId="77777777" w:rsidR="004A4F8A" w:rsidRPr="00915D28" w:rsidRDefault="004A4F8A" w:rsidP="00D10783">
      <w:pPr>
        <w:pStyle w:val="AppendixStyle1"/>
      </w:pPr>
      <w:bookmarkStart w:id="195" w:name="_Ref459396425"/>
      <w:bookmarkStart w:id="196" w:name="_Toc459996832"/>
      <w:bookmarkStart w:id="197" w:name="_Toc467668975"/>
      <w:r w:rsidRPr="00915D28">
        <w:t>Current Australian paediatric</w:t>
      </w:r>
      <w:r w:rsidR="00760502" w:rsidRPr="00915D28">
        <w:softHyphen/>
      </w:r>
      <w:r w:rsidR="00444E5A" w:rsidRPr="00915D28">
        <w:t>–</w:t>
      </w:r>
      <w:r w:rsidRPr="00915D28">
        <w:t>adult renal transition models</w:t>
      </w:r>
      <w:bookmarkEnd w:id="195"/>
      <w:bookmarkEnd w:id="196"/>
      <w:bookmarkEnd w:id="197"/>
    </w:p>
    <w:p w14:paraId="202514B3" w14:textId="77777777" w:rsidR="0013441A" w:rsidRPr="00B325D6" w:rsidRDefault="00A54553" w:rsidP="00B325D6">
      <w:pPr>
        <w:pStyle w:val="60exhnormal"/>
        <w:jc w:val="center"/>
      </w:pPr>
      <w:bookmarkStart w:id="198" w:name="ExhibitNum"/>
      <w:bookmarkEnd w:id="198"/>
      <w:r w:rsidRPr="00A54553">
        <w:rPr>
          <w:lang w:val="en-AU"/>
        </w:rPr>
        <w:t xml:space="preserve"> </w:t>
      </w:r>
      <w:r w:rsidRPr="00A54553">
        <w:rPr>
          <w:noProof/>
          <w:lang w:val="en-AU" w:eastAsia="en-AU"/>
        </w:rPr>
        <w:drawing>
          <wp:inline distT="0" distB="0" distL="0" distR="0" wp14:anchorId="7E8B24E3" wp14:editId="7C192D2B">
            <wp:extent cx="7488000" cy="5619600"/>
            <wp:effectExtent l="0" t="0" r="0" b="635"/>
            <wp:docPr id="6" name="Picture 6" descr="Appendix C is a table for the current Australian paediatric-adult renal transistion models. There are 7 columns: column 1. Service number, column 2. Hospital wide transition service, column 3. Defined renal transition program, column 4. Personnel, column 5. Destination, column 6. Allied health  attendance, and column 7. Comments. The table shows that 4 of 7 services have some best practice features, and 1 of those 4 meets all best practice requirements except allied health involvement. " title="Appendix C - Current Australian paediatric¬adult renal transition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88000" cy="5619600"/>
                    </a:xfrm>
                    <a:prstGeom prst="rect">
                      <a:avLst/>
                    </a:prstGeom>
                    <a:noFill/>
                    <a:ln>
                      <a:noFill/>
                    </a:ln>
                  </pic:spPr>
                </pic:pic>
              </a:graphicData>
            </a:graphic>
          </wp:inline>
        </w:drawing>
      </w:r>
      <w:r w:rsidR="0013441A" w:rsidRPr="00FC1976">
        <w:rPr>
          <w:lang w:val="en-AU"/>
        </w:rPr>
        <w:br w:type="page"/>
      </w:r>
    </w:p>
    <w:p w14:paraId="4997E939" w14:textId="77777777" w:rsidR="0013441A" w:rsidRPr="00D10783" w:rsidRDefault="0013441A" w:rsidP="00D10783">
      <w:pPr>
        <w:pStyle w:val="AppendixStyle1"/>
      </w:pPr>
      <w:bookmarkStart w:id="199" w:name="_Toc459707287"/>
      <w:bookmarkStart w:id="200" w:name="_Toc459996833"/>
      <w:bookmarkStart w:id="201" w:name="_Ref462783356"/>
      <w:bookmarkStart w:id="202" w:name="_Ref462783365"/>
      <w:bookmarkStart w:id="203" w:name="_Toc467668976"/>
      <w:r w:rsidRPr="00D10783">
        <w:t xml:space="preserve">Summary for </w:t>
      </w:r>
      <w:r w:rsidR="001F7D9B" w:rsidRPr="00D10783">
        <w:t>c</w:t>
      </w:r>
      <w:r w:rsidRPr="00D10783">
        <w:t>onsumers</w:t>
      </w:r>
      <w:bookmarkEnd w:id="199"/>
      <w:bookmarkEnd w:id="200"/>
      <w:bookmarkEnd w:id="201"/>
      <w:bookmarkEnd w:id="202"/>
      <w:bookmarkEnd w:id="203"/>
    </w:p>
    <w:p w14:paraId="63DB1382" w14:textId="77777777" w:rsidR="0013441A" w:rsidRPr="00FC1976" w:rsidRDefault="0013441A" w:rsidP="00082595">
      <w:pPr>
        <w:rPr>
          <w:lang w:val="en-AU"/>
        </w:rPr>
      </w:pPr>
      <w:r w:rsidRPr="00FC1976">
        <w:rPr>
          <w:lang w:val="en-AU"/>
        </w:rPr>
        <w:t>This table describes the medical service,</w:t>
      </w:r>
      <w:r w:rsidR="001E7E30">
        <w:rPr>
          <w:lang w:val="en-AU"/>
        </w:rPr>
        <w:t xml:space="preserve"> the</w:t>
      </w:r>
      <w:r w:rsidRPr="00FC1976">
        <w:rPr>
          <w:lang w:val="en-AU"/>
        </w:rPr>
        <w:t xml:space="preserve"> recommendation</w:t>
      </w:r>
      <w:r w:rsidR="00395F78">
        <w:rPr>
          <w:lang w:val="en-AU"/>
        </w:rPr>
        <w:t>(</w:t>
      </w:r>
      <w:r w:rsidRPr="00FC1976">
        <w:rPr>
          <w:lang w:val="en-AU"/>
        </w:rPr>
        <w:t>s</w:t>
      </w:r>
      <w:r w:rsidR="00395F78">
        <w:rPr>
          <w:lang w:val="en-AU"/>
        </w:rPr>
        <w:t>)</w:t>
      </w:r>
      <w:r w:rsidRPr="00FC1976">
        <w:rPr>
          <w:lang w:val="en-AU"/>
        </w:rPr>
        <w:t xml:space="preserve"> of the </w:t>
      </w:r>
      <w:r w:rsidR="001E7E30">
        <w:rPr>
          <w:lang w:val="en-AU"/>
        </w:rPr>
        <w:t>c</w:t>
      </w:r>
      <w:r w:rsidRPr="00FC1976">
        <w:rPr>
          <w:lang w:val="en-AU"/>
        </w:rPr>
        <w:t xml:space="preserve">linical </w:t>
      </w:r>
      <w:r w:rsidR="001E7E30">
        <w:rPr>
          <w:lang w:val="en-AU"/>
        </w:rPr>
        <w:t>e</w:t>
      </w:r>
      <w:r w:rsidRPr="00FC1976">
        <w:rPr>
          <w:lang w:val="en-AU"/>
        </w:rPr>
        <w:t>xperts and why the recommendation</w:t>
      </w:r>
      <w:r w:rsidR="00395F78">
        <w:rPr>
          <w:lang w:val="en-AU"/>
        </w:rPr>
        <w:t>(s)</w:t>
      </w:r>
      <w:r w:rsidRPr="00FC1976">
        <w:rPr>
          <w:lang w:val="en-AU"/>
        </w:rPr>
        <w:t xml:space="preserve"> has been made.</w:t>
      </w:r>
    </w:p>
    <w:p w14:paraId="5602D4C7" w14:textId="26282F75" w:rsidR="00740D54" w:rsidRDefault="00740D54" w:rsidP="00740D54">
      <w:pPr>
        <w:pStyle w:val="Caption"/>
      </w:pPr>
      <w:r>
        <w:t xml:space="preserve">Recommendation </w:t>
      </w:r>
      <w:r>
        <w:fldChar w:fldCharType="begin"/>
      </w:r>
      <w:r>
        <w:instrText xml:space="preserve"> SEQ Recommendation \* ARABIC </w:instrText>
      </w:r>
      <w:r>
        <w:fldChar w:fldCharType="separate"/>
      </w:r>
      <w:r w:rsidR="00D17FB0">
        <w:rPr>
          <w:noProof/>
        </w:rPr>
        <w:t>1</w:t>
      </w:r>
      <w:r>
        <w:fldChar w:fldCharType="end"/>
      </w:r>
      <w:r>
        <w:t xml:space="preserve">: </w:t>
      </w:r>
      <w:r w:rsidRPr="009416B5">
        <w:t>Very remote dialysis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
        <w:tblDescription w:val="Appendix D is a summary for consumers. There are 6 recommendation tables listed. Recommendation 1 table looks at very remote dialysis, .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13441A" w:rsidRPr="00FC1976" w14:paraId="78C94894" w14:textId="77777777" w:rsidTr="00740D54">
        <w:trPr>
          <w:cantSplit/>
          <w:tblHeader/>
        </w:trPr>
        <w:tc>
          <w:tcPr>
            <w:tcW w:w="2126" w:type="dxa"/>
          </w:tcPr>
          <w:p w14:paraId="0DF3764E" w14:textId="77777777" w:rsidR="0013441A" w:rsidRPr="00FC1976" w:rsidRDefault="0013441A" w:rsidP="00B325D6">
            <w:pPr>
              <w:pStyle w:val="01Tableheaderrow"/>
              <w:rPr>
                <w:color w:val="222222"/>
                <w:lang w:val="en-AU"/>
              </w:rPr>
            </w:pPr>
            <w:r w:rsidRPr="00FC1976">
              <w:rPr>
                <w:lang w:val="en-AU"/>
              </w:rPr>
              <w:t xml:space="preserve">Item </w:t>
            </w:r>
          </w:p>
        </w:tc>
        <w:tc>
          <w:tcPr>
            <w:tcW w:w="3118" w:type="dxa"/>
          </w:tcPr>
          <w:p w14:paraId="500E5212" w14:textId="77777777" w:rsidR="0013441A" w:rsidRPr="00FC1976" w:rsidRDefault="0013441A" w:rsidP="00B325D6">
            <w:pPr>
              <w:pStyle w:val="01Tableheaderrow"/>
              <w:rPr>
                <w:color w:val="222222"/>
                <w:lang w:val="en-AU"/>
              </w:rPr>
            </w:pPr>
            <w:r w:rsidRPr="00FC1976">
              <w:rPr>
                <w:lang w:val="en-AU"/>
              </w:rPr>
              <w:t xml:space="preserve">What it does </w:t>
            </w:r>
          </w:p>
        </w:tc>
        <w:tc>
          <w:tcPr>
            <w:tcW w:w="3086" w:type="dxa"/>
          </w:tcPr>
          <w:p w14:paraId="506F5E2C" w14:textId="77777777" w:rsidR="0013441A" w:rsidRPr="00FC1976" w:rsidRDefault="0013441A" w:rsidP="00B325D6">
            <w:pPr>
              <w:pStyle w:val="01Tableheaderrow"/>
              <w:rPr>
                <w:lang w:val="en-AU"/>
              </w:rPr>
            </w:pPr>
            <w:r w:rsidRPr="00FC1976">
              <w:rPr>
                <w:lang w:val="en-AU"/>
              </w:rPr>
              <w:t xml:space="preserve">Committee </w:t>
            </w:r>
            <w:r w:rsidR="00515E46">
              <w:rPr>
                <w:lang w:val="en-AU"/>
              </w:rPr>
              <w:t>r</w:t>
            </w:r>
            <w:r w:rsidRPr="00FC1976">
              <w:rPr>
                <w:lang w:val="en-AU"/>
              </w:rPr>
              <w:t>ecommendation</w:t>
            </w:r>
          </w:p>
        </w:tc>
        <w:tc>
          <w:tcPr>
            <w:tcW w:w="2977" w:type="dxa"/>
          </w:tcPr>
          <w:p w14:paraId="5B7C8B75" w14:textId="77777777" w:rsidR="0013441A" w:rsidRPr="00FC1976" w:rsidRDefault="0013441A" w:rsidP="00B325D6">
            <w:pPr>
              <w:pStyle w:val="01Tableheaderrow"/>
              <w:rPr>
                <w:lang w:val="en-AU"/>
              </w:rPr>
            </w:pPr>
            <w:r w:rsidRPr="00FC1976">
              <w:rPr>
                <w:lang w:val="en-AU"/>
              </w:rPr>
              <w:t>What would be different</w:t>
            </w:r>
          </w:p>
        </w:tc>
        <w:tc>
          <w:tcPr>
            <w:tcW w:w="3118" w:type="dxa"/>
          </w:tcPr>
          <w:p w14:paraId="53FF00A9" w14:textId="77777777" w:rsidR="0013441A" w:rsidRPr="00FC1976" w:rsidRDefault="0013441A" w:rsidP="00B325D6">
            <w:pPr>
              <w:pStyle w:val="01Tableheaderrow"/>
              <w:rPr>
                <w:lang w:val="en-AU"/>
              </w:rPr>
            </w:pPr>
            <w:r w:rsidRPr="00FC1976">
              <w:rPr>
                <w:lang w:val="en-AU"/>
              </w:rPr>
              <w:t>Why</w:t>
            </w:r>
          </w:p>
        </w:tc>
      </w:tr>
      <w:tr w:rsidR="00EF79EC" w:rsidRPr="00FC1976" w14:paraId="413B416C" w14:textId="77777777" w:rsidTr="00740D54">
        <w:trPr>
          <w:cantSplit/>
        </w:trPr>
        <w:tc>
          <w:tcPr>
            <w:tcW w:w="2126" w:type="dxa"/>
          </w:tcPr>
          <w:p w14:paraId="5CF25943" w14:textId="77777777" w:rsidR="00EF79EC" w:rsidRPr="002A1292" w:rsidRDefault="00EF79EC" w:rsidP="002A1292">
            <w:pPr>
              <w:pStyle w:val="02Tabletext"/>
            </w:pPr>
            <w:r w:rsidRPr="002A1292">
              <w:t>New item –</w:t>
            </w:r>
          </w:p>
          <w:p w14:paraId="58575726" w14:textId="77777777" w:rsidR="00EF79EC" w:rsidRPr="002A1292" w:rsidRDefault="00EF79EC" w:rsidP="002A1292">
            <w:pPr>
              <w:pStyle w:val="02Tabletext"/>
            </w:pPr>
            <w:r w:rsidRPr="002A1292">
              <w:t>very remote dialysis</w:t>
            </w:r>
          </w:p>
        </w:tc>
        <w:tc>
          <w:tcPr>
            <w:tcW w:w="3118" w:type="dxa"/>
          </w:tcPr>
          <w:p w14:paraId="29B737A7" w14:textId="77777777" w:rsidR="002A1292" w:rsidRPr="002A1292" w:rsidRDefault="00EF79EC" w:rsidP="002A1292">
            <w:pPr>
              <w:pStyle w:val="02Tabletext"/>
            </w:pPr>
            <w:r w:rsidRPr="002A1292">
              <w:t>The new item will provide funding for the delivery of dialysis by nurses</w:t>
            </w:r>
            <w:r w:rsidR="00F13245">
              <w:t>,</w:t>
            </w:r>
            <w:r w:rsidR="00F13245" w:rsidRPr="008F0B94">
              <w:rPr>
                <w:lang w:val="en-AU"/>
              </w:rPr>
              <w:t xml:space="preserve"> Aboriginal and Torres Strait Islander health practitioners</w:t>
            </w:r>
            <w:r w:rsidR="00F13245">
              <w:rPr>
                <w:lang w:val="en-AU"/>
              </w:rPr>
              <w:t xml:space="preserve"> and Aboriginal health workers</w:t>
            </w:r>
            <w:r w:rsidRPr="002A1292">
              <w:t xml:space="preserve"> in very remote areas of Australia.</w:t>
            </w:r>
          </w:p>
          <w:p w14:paraId="24B49A9B" w14:textId="77777777" w:rsidR="00EF79EC" w:rsidRPr="002A1292" w:rsidRDefault="00EF79EC" w:rsidP="002A1292">
            <w:pPr>
              <w:pStyle w:val="02Tabletext"/>
            </w:pPr>
            <w:r w:rsidRPr="002A1292">
              <w:t>Dialysis is the process of removing waste products and excess fluid from the body. Dialysis is necessary when the kidneys are not able to adequately filter the blood</w:t>
            </w:r>
          </w:p>
        </w:tc>
        <w:tc>
          <w:tcPr>
            <w:tcW w:w="3086" w:type="dxa"/>
          </w:tcPr>
          <w:p w14:paraId="3F9C02DA" w14:textId="7ABAB000" w:rsidR="00EF79EC" w:rsidRPr="002A1292" w:rsidRDefault="00EF79EC" w:rsidP="007E4981">
            <w:pPr>
              <w:pStyle w:val="02Tabletext"/>
            </w:pPr>
            <w:r w:rsidRPr="002A1292">
              <w:t xml:space="preserve">Introduce a new MBS item (see section </w:t>
            </w:r>
            <w:r w:rsidR="007E4981">
              <w:t>4</w:t>
            </w:r>
            <w:r w:rsidRPr="002A1292">
              <w:t>.1 of full report for detail)</w:t>
            </w:r>
          </w:p>
        </w:tc>
        <w:tc>
          <w:tcPr>
            <w:tcW w:w="2977" w:type="dxa"/>
          </w:tcPr>
          <w:p w14:paraId="5F26372A" w14:textId="77777777" w:rsidR="00EF79EC" w:rsidRPr="002A1292" w:rsidRDefault="00EF79EC" w:rsidP="002A1292">
            <w:pPr>
              <w:pStyle w:val="02Tabletext"/>
            </w:pPr>
            <w:r w:rsidRPr="002A1292">
              <w:t>At present, most Indigenous patients from very remote areas are forced to move to more urban areas for dialysis services. This has large economic and social impacts on the patient, family and health services. The proposed new MBS item would help to address this problem by funding the delivery of dialysis in communities in very remote areas.</w:t>
            </w:r>
          </w:p>
        </w:tc>
        <w:tc>
          <w:tcPr>
            <w:tcW w:w="3118" w:type="dxa"/>
          </w:tcPr>
          <w:p w14:paraId="581F3B85" w14:textId="77777777" w:rsidR="00EF79EC" w:rsidRPr="002A1292" w:rsidRDefault="00EF79EC" w:rsidP="002A1292">
            <w:pPr>
              <w:pStyle w:val="02Tabletext"/>
            </w:pPr>
            <w:r w:rsidRPr="002A1292">
              <w:t>Having dialysis funding available for services in very remote areas will provide greater access for those patients, leading to better attendance for dialysis and improved health outcomes.</w:t>
            </w:r>
          </w:p>
        </w:tc>
      </w:tr>
    </w:tbl>
    <w:p w14:paraId="541CC9DE" w14:textId="42F60B68" w:rsidR="00740D54" w:rsidRDefault="00740D54" w:rsidP="00740D54">
      <w:pPr>
        <w:pStyle w:val="Caption"/>
      </w:pPr>
      <w:r>
        <w:t xml:space="preserve">Recommendation </w:t>
      </w:r>
      <w:r>
        <w:fldChar w:fldCharType="begin"/>
      </w:r>
      <w:r>
        <w:instrText xml:space="preserve"> SEQ Recommendation \* ARABIC </w:instrText>
      </w:r>
      <w:r>
        <w:fldChar w:fldCharType="separate"/>
      </w:r>
      <w:r w:rsidR="00D17FB0">
        <w:rPr>
          <w:noProof/>
        </w:rPr>
        <w:t>2</w:t>
      </w:r>
      <w:r>
        <w:fldChar w:fldCharType="end"/>
      </w:r>
      <w:r>
        <w:t xml:space="preserve">: </w:t>
      </w:r>
      <w:r w:rsidRPr="00AD6B17">
        <w:t>Medical supervision of dialysis items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D is a summary for consumers. There are 6 recommendation tables listed. Recommendation 2 table looks at Medical supervision of dialysis items.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1707A" w:rsidRPr="00FC1976" w14:paraId="67B798C6" w14:textId="77777777" w:rsidTr="00740D54">
        <w:trPr>
          <w:cantSplit/>
          <w:tblHeader/>
        </w:trPr>
        <w:tc>
          <w:tcPr>
            <w:tcW w:w="2126" w:type="dxa"/>
          </w:tcPr>
          <w:p w14:paraId="793B7B28" w14:textId="77777777" w:rsidR="00A1707A" w:rsidRPr="00FC1976" w:rsidRDefault="00A1707A" w:rsidP="00B325D6">
            <w:pPr>
              <w:pStyle w:val="01Tableheaderrow"/>
              <w:rPr>
                <w:color w:val="222222"/>
                <w:lang w:val="en-AU"/>
              </w:rPr>
            </w:pPr>
            <w:r w:rsidRPr="00FC1976">
              <w:rPr>
                <w:lang w:val="en-AU"/>
              </w:rPr>
              <w:t xml:space="preserve">Item </w:t>
            </w:r>
          </w:p>
        </w:tc>
        <w:tc>
          <w:tcPr>
            <w:tcW w:w="3118" w:type="dxa"/>
          </w:tcPr>
          <w:p w14:paraId="79F0AFE7" w14:textId="77777777" w:rsidR="00A1707A" w:rsidRPr="00FC1976" w:rsidRDefault="00A1707A" w:rsidP="00B325D6">
            <w:pPr>
              <w:pStyle w:val="01Tableheaderrow"/>
              <w:rPr>
                <w:color w:val="222222"/>
                <w:lang w:val="en-AU"/>
              </w:rPr>
            </w:pPr>
            <w:r w:rsidRPr="00FC1976">
              <w:rPr>
                <w:lang w:val="en-AU"/>
              </w:rPr>
              <w:t xml:space="preserve">What it does </w:t>
            </w:r>
          </w:p>
        </w:tc>
        <w:tc>
          <w:tcPr>
            <w:tcW w:w="3086" w:type="dxa"/>
          </w:tcPr>
          <w:p w14:paraId="21993338" w14:textId="77777777" w:rsidR="00A1707A" w:rsidRPr="00FC1976" w:rsidRDefault="00A1707A" w:rsidP="00B325D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0D4EC064" w14:textId="77777777" w:rsidR="00A1707A" w:rsidRPr="00FC1976" w:rsidRDefault="00A1707A" w:rsidP="00B325D6">
            <w:pPr>
              <w:pStyle w:val="01Tableheaderrow"/>
              <w:rPr>
                <w:lang w:val="en-AU"/>
              </w:rPr>
            </w:pPr>
            <w:r w:rsidRPr="00FC1976">
              <w:rPr>
                <w:lang w:val="en-AU"/>
              </w:rPr>
              <w:t>What would be different</w:t>
            </w:r>
          </w:p>
        </w:tc>
        <w:tc>
          <w:tcPr>
            <w:tcW w:w="3118" w:type="dxa"/>
          </w:tcPr>
          <w:p w14:paraId="21377606" w14:textId="77777777" w:rsidR="00A1707A" w:rsidRPr="00FC1976" w:rsidRDefault="00A1707A" w:rsidP="00B325D6">
            <w:pPr>
              <w:pStyle w:val="01Tableheaderrow"/>
              <w:rPr>
                <w:lang w:val="en-AU"/>
              </w:rPr>
            </w:pPr>
            <w:r w:rsidRPr="00FC1976">
              <w:rPr>
                <w:lang w:val="en-AU"/>
              </w:rPr>
              <w:t>Why</w:t>
            </w:r>
          </w:p>
        </w:tc>
      </w:tr>
      <w:tr w:rsidR="00EF79EC" w:rsidRPr="00FC1976" w14:paraId="7F6E706E" w14:textId="77777777" w:rsidTr="002A1292">
        <w:trPr>
          <w:cantSplit/>
        </w:trPr>
        <w:tc>
          <w:tcPr>
            <w:tcW w:w="2126" w:type="dxa"/>
          </w:tcPr>
          <w:p w14:paraId="096CC08B" w14:textId="77777777" w:rsidR="00EF79EC" w:rsidRPr="002A1292" w:rsidRDefault="00EF79EC" w:rsidP="002A1292">
            <w:pPr>
              <w:pStyle w:val="02Tabletext"/>
            </w:pPr>
            <w:r w:rsidRPr="002A1292">
              <w:t>Replace items 13100</w:t>
            </w:r>
          </w:p>
          <w:p w14:paraId="2C235B74" w14:textId="77777777" w:rsidR="00EF79EC" w:rsidRPr="002A1292" w:rsidRDefault="00EF79EC" w:rsidP="002A1292">
            <w:pPr>
              <w:pStyle w:val="02Tabletext"/>
            </w:pPr>
            <w:r w:rsidRPr="002A1292">
              <w:t xml:space="preserve">13103 </w:t>
            </w:r>
          </w:p>
          <w:p w14:paraId="63784B81" w14:textId="77777777" w:rsidR="00EF79EC" w:rsidRPr="002A1292" w:rsidRDefault="00EF79EC" w:rsidP="002A1292">
            <w:pPr>
              <w:pStyle w:val="02Tabletext"/>
            </w:pPr>
            <w:r w:rsidRPr="002A1292">
              <w:t>New item –</w:t>
            </w:r>
            <w:r w:rsidR="007D479F">
              <w:t xml:space="preserve"> </w:t>
            </w:r>
            <w:r w:rsidRPr="002A1292">
              <w:t>single item claimable weekly for payment for care of a dialysis patient including all routine consultations</w:t>
            </w:r>
          </w:p>
        </w:tc>
        <w:tc>
          <w:tcPr>
            <w:tcW w:w="3118" w:type="dxa"/>
          </w:tcPr>
          <w:p w14:paraId="18F56FF4" w14:textId="77777777" w:rsidR="00EF79EC" w:rsidRPr="002A1292" w:rsidRDefault="00EF79EC" w:rsidP="002A1292">
            <w:pPr>
              <w:pStyle w:val="02Tabletext"/>
            </w:pPr>
            <w:r w:rsidRPr="002A1292">
              <w:t xml:space="preserve">Current MBS funding is for a doctor reviewing a patient during a dialysis session. </w:t>
            </w:r>
          </w:p>
        </w:tc>
        <w:tc>
          <w:tcPr>
            <w:tcW w:w="3086" w:type="dxa"/>
          </w:tcPr>
          <w:p w14:paraId="1AD4A02F" w14:textId="77777777" w:rsidR="00EF79EC" w:rsidRPr="002A1292" w:rsidRDefault="00EF79EC" w:rsidP="002A1292">
            <w:pPr>
              <w:pStyle w:val="02Tabletext"/>
            </w:pPr>
            <w:r w:rsidRPr="002A1292">
              <w:t xml:space="preserve">Change the funding of in-centre dialysis supervision to better reflect the role of the nephrologist in overseeing treatment and planning of care for patients on dialysis. The new item would cover supervision of dialysis treatments occurring through the week including consultations and attendances for routine assessment of the dialysis treatment and the ongoing planning, care, and monitoring required between treatments. </w:t>
            </w:r>
          </w:p>
        </w:tc>
        <w:tc>
          <w:tcPr>
            <w:tcW w:w="2977" w:type="dxa"/>
          </w:tcPr>
          <w:p w14:paraId="6A11FBEB" w14:textId="77777777" w:rsidR="00EF79EC" w:rsidRPr="002A1292" w:rsidRDefault="00EF79EC" w:rsidP="002A1292">
            <w:pPr>
              <w:pStyle w:val="02Tabletext"/>
            </w:pPr>
            <w:r w:rsidRPr="002A1292">
              <w:t>The MBS benefit would be based on a week’s worth of dialysis treatment including all the other care provided by the nephrologist. This means that all in-centre dialysis patients should receive the same rebate for their care.</w:t>
            </w:r>
          </w:p>
          <w:p w14:paraId="4EFA6633" w14:textId="77777777" w:rsidR="002A1292" w:rsidRPr="002A1292" w:rsidRDefault="002A1292" w:rsidP="002A1292">
            <w:pPr>
              <w:pStyle w:val="02Tabletext"/>
            </w:pPr>
          </w:p>
          <w:p w14:paraId="772F87B8" w14:textId="77777777" w:rsidR="00EF79EC" w:rsidRPr="002A1292" w:rsidRDefault="00EF79EC" w:rsidP="002A1292">
            <w:pPr>
              <w:pStyle w:val="02Tabletext"/>
            </w:pPr>
            <w:r w:rsidRPr="002A1292">
              <w:t>Episodes of acute care or weeks which require a high number of specialist consultations could still be claimed separately under existing consult items instead of using the weekly dialysis item.</w:t>
            </w:r>
          </w:p>
        </w:tc>
        <w:tc>
          <w:tcPr>
            <w:tcW w:w="3118" w:type="dxa"/>
          </w:tcPr>
          <w:p w14:paraId="75768BD6" w14:textId="77777777" w:rsidR="00EF79EC" w:rsidRDefault="00EF79EC" w:rsidP="002A1292">
            <w:pPr>
              <w:pStyle w:val="02Tabletext"/>
            </w:pPr>
            <w:r w:rsidRPr="002A1292">
              <w:t xml:space="preserve">While most providers bill the current items less than once a month, some providers bill for every dialysis session (~3 per week). This change would ensure that all patients receive the same rebate for their dialysis supervision. </w:t>
            </w:r>
          </w:p>
          <w:p w14:paraId="5FDF8375" w14:textId="77777777" w:rsidR="002A1292" w:rsidRPr="002A1292" w:rsidRDefault="002A1292" w:rsidP="002A1292">
            <w:pPr>
              <w:pStyle w:val="02Tabletext"/>
            </w:pPr>
          </w:p>
          <w:p w14:paraId="1CC2FCF1" w14:textId="77777777" w:rsidR="00EF79EC" w:rsidRPr="002A1292" w:rsidRDefault="00EF79EC" w:rsidP="002A1292">
            <w:pPr>
              <w:pStyle w:val="02Tabletext"/>
            </w:pPr>
            <w:r w:rsidRPr="002A1292">
              <w:t>The current item numbers only describe the care that occurs during direct contact with a patient during a dialysis session. This does not account for the fact that much of the activity involved in caring for a dialysis patient does not require or involve direct physician contact during a dialysis session. Doctors are believed to already be providing this care, the new item simply recognises this.</w:t>
            </w:r>
          </w:p>
        </w:tc>
      </w:tr>
    </w:tbl>
    <w:p w14:paraId="37014330" w14:textId="602FB1C1" w:rsidR="00740D54" w:rsidRDefault="00740D54" w:rsidP="001022E9">
      <w:pPr>
        <w:pStyle w:val="Caption"/>
        <w:pageBreakBefore/>
      </w:pPr>
      <w:r>
        <w:t xml:space="preserve">Recommendation </w:t>
      </w:r>
      <w:r>
        <w:fldChar w:fldCharType="begin"/>
      </w:r>
      <w:r>
        <w:instrText xml:space="preserve"> SEQ Recommendation \* ARABIC </w:instrText>
      </w:r>
      <w:r>
        <w:fldChar w:fldCharType="separate"/>
      </w:r>
      <w:r w:rsidR="00D17FB0">
        <w:rPr>
          <w:noProof/>
        </w:rPr>
        <w:t>3</w:t>
      </w:r>
      <w:r>
        <w:fldChar w:fldCharType="end"/>
      </w:r>
      <w:r>
        <w:t xml:space="preserve">: </w:t>
      </w:r>
      <w:r w:rsidRPr="00715701">
        <w:t>Arteriovenous shunt</w:t>
      </w:r>
      <w:r>
        <w:t xml:space="preserve"> i</w:t>
      </w:r>
      <w:r w:rsidRPr="00715701">
        <w:t>tem 13106</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3"/>
        <w:tblDescription w:val="Appendix D is a summary for consumers. There are 6 recommendation tables listed. Recommendation 3 table looks at arteriovenous shunt item 13106.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1707A" w:rsidRPr="00FC1976" w14:paraId="0909E029" w14:textId="77777777" w:rsidTr="00740D54">
        <w:trPr>
          <w:cantSplit/>
          <w:tblHeader/>
        </w:trPr>
        <w:tc>
          <w:tcPr>
            <w:tcW w:w="2126" w:type="dxa"/>
          </w:tcPr>
          <w:p w14:paraId="003C60E1" w14:textId="77777777" w:rsidR="00A1707A" w:rsidRPr="00FC1976" w:rsidRDefault="00A1707A" w:rsidP="00B325D6">
            <w:pPr>
              <w:pStyle w:val="01Tableheaderrow"/>
              <w:rPr>
                <w:color w:val="222222"/>
                <w:lang w:val="en-AU"/>
              </w:rPr>
            </w:pPr>
            <w:r w:rsidRPr="00FC1976">
              <w:rPr>
                <w:lang w:val="en-AU"/>
              </w:rPr>
              <w:t xml:space="preserve">Item </w:t>
            </w:r>
          </w:p>
        </w:tc>
        <w:tc>
          <w:tcPr>
            <w:tcW w:w="3118" w:type="dxa"/>
          </w:tcPr>
          <w:p w14:paraId="275D3975" w14:textId="77777777" w:rsidR="00A1707A" w:rsidRPr="00FC1976" w:rsidRDefault="00A1707A" w:rsidP="00B325D6">
            <w:pPr>
              <w:pStyle w:val="01Tableheaderrow"/>
              <w:rPr>
                <w:color w:val="222222"/>
                <w:lang w:val="en-AU"/>
              </w:rPr>
            </w:pPr>
            <w:r w:rsidRPr="00FC1976">
              <w:rPr>
                <w:lang w:val="en-AU"/>
              </w:rPr>
              <w:t xml:space="preserve">What it does </w:t>
            </w:r>
          </w:p>
        </w:tc>
        <w:tc>
          <w:tcPr>
            <w:tcW w:w="3086" w:type="dxa"/>
          </w:tcPr>
          <w:p w14:paraId="3E720D4E" w14:textId="77777777" w:rsidR="00A1707A" w:rsidRPr="00FC1976" w:rsidRDefault="00A1707A" w:rsidP="00B325D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38753C5B" w14:textId="77777777" w:rsidR="00A1707A" w:rsidRPr="00FC1976" w:rsidRDefault="00A1707A" w:rsidP="00B325D6">
            <w:pPr>
              <w:pStyle w:val="01Tableheaderrow"/>
              <w:rPr>
                <w:lang w:val="en-AU"/>
              </w:rPr>
            </w:pPr>
            <w:r w:rsidRPr="00FC1976">
              <w:rPr>
                <w:lang w:val="en-AU"/>
              </w:rPr>
              <w:t>What would be different</w:t>
            </w:r>
          </w:p>
        </w:tc>
        <w:tc>
          <w:tcPr>
            <w:tcW w:w="3118" w:type="dxa"/>
          </w:tcPr>
          <w:p w14:paraId="049952CB" w14:textId="77777777" w:rsidR="00A1707A" w:rsidRPr="00FC1976" w:rsidRDefault="00A1707A" w:rsidP="00B325D6">
            <w:pPr>
              <w:pStyle w:val="01Tableheaderrow"/>
              <w:rPr>
                <w:lang w:val="en-AU"/>
              </w:rPr>
            </w:pPr>
            <w:r w:rsidRPr="00FC1976">
              <w:rPr>
                <w:lang w:val="en-AU"/>
              </w:rPr>
              <w:t>Why</w:t>
            </w:r>
          </w:p>
        </w:tc>
      </w:tr>
      <w:tr w:rsidR="00A1707A" w:rsidRPr="00FC1976" w14:paraId="603D55A0" w14:textId="77777777" w:rsidTr="002A1292">
        <w:trPr>
          <w:cantSplit/>
        </w:trPr>
        <w:tc>
          <w:tcPr>
            <w:tcW w:w="2126" w:type="dxa"/>
          </w:tcPr>
          <w:p w14:paraId="5AE93107" w14:textId="77777777" w:rsidR="00A1707A" w:rsidRPr="00FC1976" w:rsidRDefault="002A1292" w:rsidP="0074549B">
            <w:pPr>
              <w:pStyle w:val="02Tabletext"/>
              <w:rPr>
                <w:lang w:val="en-AU"/>
              </w:rPr>
            </w:pPr>
            <w:r w:rsidRPr="002A1292">
              <w:rPr>
                <w:lang w:val="en-AU"/>
              </w:rPr>
              <w:t>Remove item 13106 — Declotting of an arteriovenous shunt.</w:t>
            </w:r>
          </w:p>
        </w:tc>
        <w:tc>
          <w:tcPr>
            <w:tcW w:w="3118" w:type="dxa"/>
          </w:tcPr>
          <w:p w14:paraId="3F0AB2DC" w14:textId="77777777" w:rsidR="00A1707A" w:rsidRPr="00FC1976" w:rsidRDefault="002A1292" w:rsidP="0074549B">
            <w:pPr>
              <w:pStyle w:val="02Tabletext"/>
              <w:rPr>
                <w:lang w:val="en-AU"/>
              </w:rPr>
            </w:pPr>
            <w:r w:rsidRPr="002A1292">
              <w:rPr>
                <w:lang w:val="en-AU"/>
              </w:rPr>
              <w:t>Shunts were previously used as a way to access a patient’s veins for dialysis. This was done using a plastic tube which would occasionally block with a blood clot and need to be cleaned out or ‘declotted’.</w:t>
            </w:r>
          </w:p>
        </w:tc>
        <w:tc>
          <w:tcPr>
            <w:tcW w:w="3086" w:type="dxa"/>
          </w:tcPr>
          <w:p w14:paraId="187C692E" w14:textId="77777777" w:rsidR="00A1707A" w:rsidRPr="00FC1976" w:rsidRDefault="002A1292" w:rsidP="0074549B">
            <w:pPr>
              <w:pStyle w:val="02Tabletext"/>
              <w:rPr>
                <w:lang w:val="en-AU"/>
              </w:rPr>
            </w:pPr>
            <w:r w:rsidRPr="002A1292">
              <w:rPr>
                <w:lang w:val="en-AU"/>
              </w:rPr>
              <w:t>Remove this item from the MBS.</w:t>
            </w:r>
          </w:p>
        </w:tc>
        <w:tc>
          <w:tcPr>
            <w:tcW w:w="2977" w:type="dxa"/>
          </w:tcPr>
          <w:p w14:paraId="77DBD995" w14:textId="77777777" w:rsidR="002A1292" w:rsidRPr="002A1292" w:rsidRDefault="002A1292" w:rsidP="002A1292">
            <w:pPr>
              <w:pStyle w:val="02Tabletext"/>
              <w:rPr>
                <w:lang w:val="en-AU"/>
              </w:rPr>
            </w:pPr>
            <w:r w:rsidRPr="002A1292">
              <w:rPr>
                <w:lang w:val="en-AU"/>
              </w:rPr>
              <w:t xml:space="preserve">The MBS will be simpler. </w:t>
            </w:r>
          </w:p>
          <w:p w14:paraId="48371B18" w14:textId="77777777" w:rsidR="002A1292" w:rsidRPr="002A1292" w:rsidRDefault="002A1292" w:rsidP="002A1292">
            <w:pPr>
              <w:pStyle w:val="02Tabletext"/>
              <w:rPr>
                <w:lang w:val="en-AU"/>
              </w:rPr>
            </w:pPr>
          </w:p>
          <w:p w14:paraId="05174C34" w14:textId="77777777" w:rsidR="00A1707A" w:rsidRPr="00FC1976" w:rsidRDefault="002A1292" w:rsidP="002A1292">
            <w:pPr>
              <w:pStyle w:val="02Tabletext"/>
              <w:rPr>
                <w:lang w:val="en-AU"/>
              </w:rPr>
            </w:pPr>
            <w:r w:rsidRPr="002A1292">
              <w:rPr>
                <w:lang w:val="en-AU"/>
              </w:rPr>
              <w:t>No impact on patients as shunts are no longer used and all patients should have venous access established using either fistulas or grafts.</w:t>
            </w:r>
          </w:p>
        </w:tc>
        <w:tc>
          <w:tcPr>
            <w:tcW w:w="3118" w:type="dxa"/>
          </w:tcPr>
          <w:p w14:paraId="69D30A41" w14:textId="77777777" w:rsidR="00A1707A" w:rsidRPr="00FC1976" w:rsidRDefault="002A1292" w:rsidP="0074549B">
            <w:pPr>
              <w:pStyle w:val="02Tabletext"/>
              <w:rPr>
                <w:lang w:val="en-AU"/>
              </w:rPr>
            </w:pPr>
            <w:r w:rsidRPr="002A1292">
              <w:rPr>
                <w:lang w:val="en-AU"/>
              </w:rPr>
              <w:t>Arteriovenous shunts are no longer part of contemporary clinical practice. This is reflected in the extremely low volume of items claimed which are believed to be miscoding.</w:t>
            </w:r>
          </w:p>
        </w:tc>
      </w:tr>
    </w:tbl>
    <w:p w14:paraId="685556B1" w14:textId="53EDD7AD" w:rsidR="00740D54" w:rsidRDefault="00740D54" w:rsidP="00740D54">
      <w:pPr>
        <w:pStyle w:val="Caption"/>
      </w:pPr>
      <w:r>
        <w:t xml:space="preserve">Recommendation </w:t>
      </w:r>
      <w:r>
        <w:fldChar w:fldCharType="begin"/>
      </w:r>
      <w:r>
        <w:instrText xml:space="preserve"> SEQ Recommendation \* ARABIC </w:instrText>
      </w:r>
      <w:r>
        <w:fldChar w:fldCharType="separate"/>
      </w:r>
      <w:r w:rsidR="00D17FB0">
        <w:rPr>
          <w:noProof/>
        </w:rPr>
        <w:t>4</w:t>
      </w:r>
      <w:r>
        <w:fldChar w:fldCharType="end"/>
      </w:r>
      <w:r>
        <w:t>: Insertion of temporary catheter i</w:t>
      </w:r>
      <w:r w:rsidRPr="006B547A">
        <w:t>tem 13112</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4"/>
        <w:tblDescription w:val="Appendix D is a summary for consumers. There are 6 recommendation tables listed. Recommendation 4 table looks at insertion of temporary catheter.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1707A" w:rsidRPr="00FC1976" w14:paraId="6ACB4A5C" w14:textId="77777777" w:rsidTr="00740D54">
        <w:trPr>
          <w:cantSplit/>
          <w:tblHeader/>
        </w:trPr>
        <w:tc>
          <w:tcPr>
            <w:tcW w:w="2126" w:type="dxa"/>
          </w:tcPr>
          <w:p w14:paraId="2EF3C71B" w14:textId="77777777" w:rsidR="00A1707A" w:rsidRPr="00FC1976" w:rsidRDefault="00A1707A" w:rsidP="00B325D6">
            <w:pPr>
              <w:pStyle w:val="01Tableheaderrow"/>
              <w:rPr>
                <w:color w:val="222222"/>
                <w:lang w:val="en-AU"/>
              </w:rPr>
            </w:pPr>
            <w:r w:rsidRPr="00FC1976">
              <w:rPr>
                <w:lang w:val="en-AU"/>
              </w:rPr>
              <w:t xml:space="preserve">Item </w:t>
            </w:r>
          </w:p>
        </w:tc>
        <w:tc>
          <w:tcPr>
            <w:tcW w:w="3118" w:type="dxa"/>
          </w:tcPr>
          <w:p w14:paraId="592A3524" w14:textId="77777777" w:rsidR="00A1707A" w:rsidRPr="00FC1976" w:rsidRDefault="00A1707A" w:rsidP="00B325D6">
            <w:pPr>
              <w:pStyle w:val="01Tableheaderrow"/>
              <w:rPr>
                <w:color w:val="222222"/>
                <w:lang w:val="en-AU"/>
              </w:rPr>
            </w:pPr>
            <w:r w:rsidRPr="00FC1976">
              <w:rPr>
                <w:lang w:val="en-AU"/>
              </w:rPr>
              <w:t xml:space="preserve">What it does </w:t>
            </w:r>
          </w:p>
        </w:tc>
        <w:tc>
          <w:tcPr>
            <w:tcW w:w="3086" w:type="dxa"/>
          </w:tcPr>
          <w:p w14:paraId="43459A38" w14:textId="77777777" w:rsidR="00A1707A" w:rsidRPr="00FC1976" w:rsidRDefault="00A1707A" w:rsidP="00B325D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603A1EA6" w14:textId="77777777" w:rsidR="00A1707A" w:rsidRPr="00FC1976" w:rsidRDefault="00A1707A" w:rsidP="00B325D6">
            <w:pPr>
              <w:pStyle w:val="01Tableheaderrow"/>
              <w:rPr>
                <w:lang w:val="en-AU"/>
              </w:rPr>
            </w:pPr>
            <w:r w:rsidRPr="00FC1976">
              <w:rPr>
                <w:lang w:val="en-AU"/>
              </w:rPr>
              <w:t>What would be different</w:t>
            </w:r>
          </w:p>
        </w:tc>
        <w:tc>
          <w:tcPr>
            <w:tcW w:w="3118" w:type="dxa"/>
          </w:tcPr>
          <w:p w14:paraId="30B6AB02" w14:textId="77777777" w:rsidR="00A1707A" w:rsidRPr="00FC1976" w:rsidRDefault="00A1707A" w:rsidP="00B325D6">
            <w:pPr>
              <w:pStyle w:val="01Tableheaderrow"/>
              <w:rPr>
                <w:lang w:val="en-AU"/>
              </w:rPr>
            </w:pPr>
            <w:r w:rsidRPr="00FC1976">
              <w:rPr>
                <w:lang w:val="en-AU"/>
              </w:rPr>
              <w:t>Why</w:t>
            </w:r>
          </w:p>
        </w:tc>
      </w:tr>
      <w:tr w:rsidR="00A1707A" w:rsidRPr="00FC1976" w14:paraId="2D4C6231" w14:textId="77777777" w:rsidTr="002A1292">
        <w:trPr>
          <w:cantSplit/>
        </w:trPr>
        <w:tc>
          <w:tcPr>
            <w:tcW w:w="2126" w:type="dxa"/>
          </w:tcPr>
          <w:p w14:paraId="13F09513" w14:textId="77777777" w:rsidR="002A1292" w:rsidRPr="002A1292" w:rsidRDefault="002A1292" w:rsidP="002A1292">
            <w:pPr>
              <w:pStyle w:val="02Tabletext"/>
              <w:rPr>
                <w:lang w:val="en-AU"/>
              </w:rPr>
            </w:pPr>
            <w:r w:rsidRPr="002A1292">
              <w:rPr>
                <w:lang w:val="en-AU"/>
              </w:rPr>
              <w:t>Remove item 13112 —</w:t>
            </w:r>
          </w:p>
          <w:p w14:paraId="0F93B1E1" w14:textId="77777777" w:rsidR="00A1707A" w:rsidRPr="00FC1976" w:rsidRDefault="002A1292" w:rsidP="002A1292">
            <w:pPr>
              <w:pStyle w:val="02Tabletext"/>
              <w:rPr>
                <w:lang w:val="en-AU"/>
              </w:rPr>
            </w:pPr>
            <w:r w:rsidRPr="002A1292">
              <w:rPr>
                <w:lang w:val="en-AU"/>
              </w:rPr>
              <w:t>Insertion of a temporary catheter</w:t>
            </w:r>
          </w:p>
        </w:tc>
        <w:tc>
          <w:tcPr>
            <w:tcW w:w="3118" w:type="dxa"/>
          </w:tcPr>
          <w:p w14:paraId="301BAC27" w14:textId="77777777" w:rsidR="00A1707A" w:rsidRPr="00FC1976" w:rsidRDefault="002A1292" w:rsidP="0074549B">
            <w:pPr>
              <w:pStyle w:val="02Tabletext"/>
              <w:rPr>
                <w:lang w:val="en-AU"/>
              </w:rPr>
            </w:pPr>
            <w:r w:rsidRPr="002A1292">
              <w:rPr>
                <w:lang w:val="en-AU"/>
              </w:rPr>
              <w:t>Establishing peritoneal dialysis by abdominal puncture and insertion of a temporary catheter.</w:t>
            </w:r>
          </w:p>
        </w:tc>
        <w:tc>
          <w:tcPr>
            <w:tcW w:w="3086" w:type="dxa"/>
          </w:tcPr>
          <w:p w14:paraId="30A81C7A" w14:textId="77777777" w:rsidR="00A1707A" w:rsidRPr="00FC1976" w:rsidRDefault="002A1292" w:rsidP="0074549B">
            <w:pPr>
              <w:pStyle w:val="02Tabletext"/>
              <w:rPr>
                <w:lang w:val="en-AU"/>
              </w:rPr>
            </w:pPr>
            <w:r w:rsidRPr="002A1292">
              <w:rPr>
                <w:lang w:val="en-AU"/>
              </w:rPr>
              <w:t>Remove this item from the MBS.</w:t>
            </w:r>
          </w:p>
        </w:tc>
        <w:tc>
          <w:tcPr>
            <w:tcW w:w="2977" w:type="dxa"/>
          </w:tcPr>
          <w:p w14:paraId="3C5932A9" w14:textId="77777777" w:rsidR="00A1707A" w:rsidRPr="00FC1976" w:rsidRDefault="002A1292" w:rsidP="0074549B">
            <w:pPr>
              <w:pStyle w:val="02Tabletext"/>
              <w:rPr>
                <w:lang w:val="en-AU"/>
              </w:rPr>
            </w:pPr>
            <w:r w:rsidRPr="002A1292">
              <w:rPr>
                <w:lang w:val="en-AU"/>
              </w:rPr>
              <w:t>No impact on patients. This procedure has been replaced in clinical practice by alternative procedures, such as insertion of catheters via laparoscopy (item 13109).</w:t>
            </w:r>
          </w:p>
        </w:tc>
        <w:tc>
          <w:tcPr>
            <w:tcW w:w="3118" w:type="dxa"/>
          </w:tcPr>
          <w:p w14:paraId="44F95C07" w14:textId="77777777" w:rsidR="00A1707A" w:rsidRPr="00FC1976" w:rsidRDefault="002A1292" w:rsidP="0074549B">
            <w:pPr>
              <w:pStyle w:val="02Tabletext"/>
              <w:rPr>
                <w:lang w:val="en-AU"/>
              </w:rPr>
            </w:pPr>
            <w:r w:rsidRPr="002A1292">
              <w:rPr>
                <w:lang w:val="en-AU"/>
              </w:rPr>
              <w:t xml:space="preserve">Item 13112 covers a procedure that is no longer part of contemporary clinical practice. This is reflected in the extremely low volume of items claimed. </w:t>
            </w:r>
          </w:p>
        </w:tc>
      </w:tr>
    </w:tbl>
    <w:p w14:paraId="39DF9B7E" w14:textId="5DE8DD91" w:rsidR="00740D54" w:rsidRDefault="00740D54" w:rsidP="00740D54">
      <w:pPr>
        <w:pStyle w:val="Caption"/>
      </w:pPr>
      <w:r>
        <w:t xml:space="preserve">Recommendation </w:t>
      </w:r>
      <w:r>
        <w:fldChar w:fldCharType="begin"/>
      </w:r>
      <w:r>
        <w:instrText xml:space="preserve"> SEQ Recommendation \* ARABIC </w:instrText>
      </w:r>
      <w:r>
        <w:fldChar w:fldCharType="separate"/>
      </w:r>
      <w:r w:rsidR="00D17FB0">
        <w:rPr>
          <w:noProof/>
        </w:rPr>
        <w:t>5</w:t>
      </w:r>
      <w:r>
        <w:fldChar w:fldCharType="end"/>
      </w:r>
      <w:r>
        <w:t xml:space="preserve">: </w:t>
      </w:r>
      <w:r w:rsidRPr="0005329C">
        <w:t>Indwelling pe</w:t>
      </w:r>
      <w:r>
        <w:t>ritoneal catheter for dialysis i</w:t>
      </w:r>
      <w:r w:rsidRPr="0005329C">
        <w:t>tems 13109 and 13110</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5"/>
        <w:tblDescription w:val="Appendix D is a summary for consumers. There are 6 recommendation tables listed. Recommendation 5 table looks at indwelling peritoneal catheter for dialysis items 13109 and 13110.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1707A" w:rsidRPr="00FC1976" w14:paraId="5577154A" w14:textId="77777777" w:rsidTr="00740D54">
        <w:trPr>
          <w:cantSplit/>
          <w:tblHeader/>
        </w:trPr>
        <w:tc>
          <w:tcPr>
            <w:tcW w:w="2126" w:type="dxa"/>
          </w:tcPr>
          <w:p w14:paraId="0FB3824D" w14:textId="77777777" w:rsidR="00A1707A" w:rsidRPr="00FC1976" w:rsidRDefault="00A1707A" w:rsidP="00B325D6">
            <w:pPr>
              <w:pStyle w:val="01Tableheaderrow"/>
              <w:rPr>
                <w:color w:val="222222"/>
                <w:lang w:val="en-AU"/>
              </w:rPr>
            </w:pPr>
            <w:r w:rsidRPr="00FC1976">
              <w:rPr>
                <w:lang w:val="en-AU"/>
              </w:rPr>
              <w:t xml:space="preserve">Item </w:t>
            </w:r>
          </w:p>
        </w:tc>
        <w:tc>
          <w:tcPr>
            <w:tcW w:w="3118" w:type="dxa"/>
          </w:tcPr>
          <w:p w14:paraId="749A8190" w14:textId="77777777" w:rsidR="00A1707A" w:rsidRPr="00FC1976" w:rsidRDefault="00A1707A" w:rsidP="00B325D6">
            <w:pPr>
              <w:pStyle w:val="01Tableheaderrow"/>
              <w:rPr>
                <w:color w:val="222222"/>
                <w:lang w:val="en-AU"/>
              </w:rPr>
            </w:pPr>
            <w:r w:rsidRPr="00FC1976">
              <w:rPr>
                <w:lang w:val="en-AU"/>
              </w:rPr>
              <w:t xml:space="preserve">What it does </w:t>
            </w:r>
          </w:p>
        </w:tc>
        <w:tc>
          <w:tcPr>
            <w:tcW w:w="3086" w:type="dxa"/>
          </w:tcPr>
          <w:p w14:paraId="666956FD" w14:textId="77777777" w:rsidR="00A1707A" w:rsidRPr="00FC1976" w:rsidRDefault="00A1707A" w:rsidP="00B325D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723B147A" w14:textId="77777777" w:rsidR="00A1707A" w:rsidRPr="00FC1976" w:rsidRDefault="00A1707A" w:rsidP="00B325D6">
            <w:pPr>
              <w:pStyle w:val="01Tableheaderrow"/>
              <w:rPr>
                <w:lang w:val="en-AU"/>
              </w:rPr>
            </w:pPr>
            <w:r w:rsidRPr="00FC1976">
              <w:rPr>
                <w:lang w:val="en-AU"/>
              </w:rPr>
              <w:t>What would be different</w:t>
            </w:r>
          </w:p>
        </w:tc>
        <w:tc>
          <w:tcPr>
            <w:tcW w:w="3118" w:type="dxa"/>
          </w:tcPr>
          <w:p w14:paraId="5F8D9417" w14:textId="77777777" w:rsidR="00A1707A" w:rsidRPr="00FC1976" w:rsidRDefault="00A1707A" w:rsidP="00B325D6">
            <w:pPr>
              <w:pStyle w:val="01Tableheaderrow"/>
              <w:rPr>
                <w:lang w:val="en-AU"/>
              </w:rPr>
            </w:pPr>
            <w:r w:rsidRPr="00FC1976">
              <w:rPr>
                <w:lang w:val="en-AU"/>
              </w:rPr>
              <w:t>Why</w:t>
            </w:r>
          </w:p>
        </w:tc>
      </w:tr>
      <w:tr w:rsidR="00A1707A" w:rsidRPr="00FC1976" w14:paraId="4BA52E1F" w14:textId="77777777" w:rsidTr="002A1292">
        <w:trPr>
          <w:cantSplit/>
        </w:trPr>
        <w:tc>
          <w:tcPr>
            <w:tcW w:w="2126" w:type="dxa"/>
          </w:tcPr>
          <w:p w14:paraId="5478970A" w14:textId="77777777" w:rsidR="00A1707A" w:rsidRPr="00FC1976" w:rsidRDefault="002A1292" w:rsidP="00EC145E">
            <w:pPr>
              <w:pStyle w:val="02Tabletext"/>
              <w:rPr>
                <w:lang w:val="en-AU"/>
              </w:rPr>
            </w:pPr>
            <w:r w:rsidRPr="002A1292">
              <w:rPr>
                <w:lang w:val="en-AU"/>
              </w:rPr>
              <w:t>13109 and 13110</w:t>
            </w:r>
          </w:p>
        </w:tc>
        <w:tc>
          <w:tcPr>
            <w:tcW w:w="3118" w:type="dxa"/>
          </w:tcPr>
          <w:p w14:paraId="31474EB3" w14:textId="77777777" w:rsidR="002A1292" w:rsidRDefault="002A1292" w:rsidP="00EC145E">
            <w:pPr>
              <w:pStyle w:val="02Tabletext"/>
              <w:rPr>
                <w:lang w:val="en-AU"/>
              </w:rPr>
            </w:pPr>
            <w:r w:rsidRPr="002A1292">
              <w:rPr>
                <w:lang w:val="en-AU"/>
              </w:rPr>
              <w:t>Peritoneal dialysis works by having a soft tube (catheter) placed in the belly by surgery. A sterile fluid is put into the belly through this catheter to absorb different chemicals and toxins the kidneys would normally filter into urine. After the filtering process is finished, the fluid leaves the body through the catheter.</w:t>
            </w:r>
          </w:p>
          <w:p w14:paraId="17A2EA5E" w14:textId="77777777" w:rsidR="00EC145E" w:rsidRPr="00EC145E" w:rsidRDefault="00EC145E" w:rsidP="00EC145E">
            <w:pPr>
              <w:pStyle w:val="02Tabletext"/>
              <w:rPr>
                <w:lang w:val="en-AU"/>
              </w:rPr>
            </w:pPr>
          </w:p>
          <w:p w14:paraId="6005DA9C" w14:textId="77777777" w:rsidR="00EC145E" w:rsidRPr="00EC145E" w:rsidRDefault="002A1292" w:rsidP="00EC145E">
            <w:pPr>
              <w:pStyle w:val="02Tabletext"/>
              <w:rPr>
                <w:lang w:val="en-AU"/>
              </w:rPr>
            </w:pPr>
            <w:r w:rsidRPr="002A1292">
              <w:rPr>
                <w:lang w:val="en-AU"/>
              </w:rPr>
              <w:t>These two MBS items describe the insertion (13109) and removal (13110) of an indwelling peritoneal catheter.</w:t>
            </w:r>
          </w:p>
        </w:tc>
        <w:tc>
          <w:tcPr>
            <w:tcW w:w="3086" w:type="dxa"/>
          </w:tcPr>
          <w:p w14:paraId="5BA070EE" w14:textId="77777777" w:rsidR="00A1707A" w:rsidRPr="00FC1976" w:rsidRDefault="002A1292" w:rsidP="0074549B">
            <w:pPr>
              <w:pStyle w:val="02Tabletext"/>
              <w:rPr>
                <w:lang w:val="en-AU"/>
              </w:rPr>
            </w:pPr>
            <w:r w:rsidRPr="002A1292">
              <w:rPr>
                <w:lang w:val="en-AU"/>
              </w:rPr>
              <w:t>Change the item descriptor for item 13110 to look similar to item 13109. Both are very similar already, very minor changes made.</w:t>
            </w:r>
          </w:p>
        </w:tc>
        <w:tc>
          <w:tcPr>
            <w:tcW w:w="2977" w:type="dxa"/>
          </w:tcPr>
          <w:p w14:paraId="351947A2" w14:textId="77777777" w:rsidR="00A1707A" w:rsidRPr="00FC1976" w:rsidRDefault="002A1292" w:rsidP="0074549B">
            <w:pPr>
              <w:pStyle w:val="02Tabletext"/>
              <w:rPr>
                <w:lang w:val="en-AU"/>
              </w:rPr>
            </w:pPr>
            <w:r w:rsidRPr="002A1292">
              <w:rPr>
                <w:lang w:val="en-AU"/>
              </w:rPr>
              <w:t>These descriptions will now be the same, with the only difference being whether it is for insertion and fixation, or removal of the catheter.</w:t>
            </w:r>
          </w:p>
        </w:tc>
        <w:tc>
          <w:tcPr>
            <w:tcW w:w="3118" w:type="dxa"/>
          </w:tcPr>
          <w:p w14:paraId="25DDDE48" w14:textId="77777777" w:rsidR="00A1707A" w:rsidRPr="00FC1976" w:rsidRDefault="002A1292" w:rsidP="0074549B">
            <w:pPr>
              <w:pStyle w:val="02Tabletext"/>
              <w:rPr>
                <w:lang w:val="en-AU"/>
              </w:rPr>
            </w:pPr>
            <w:r w:rsidRPr="002A1292">
              <w:rPr>
                <w:lang w:val="en-AU"/>
              </w:rPr>
              <w:t>The discrepancies between the two item descriptors were unnecessary and confusing. Aligning the wording of the two item descriptors increases consistency across the MBS.</w:t>
            </w:r>
          </w:p>
        </w:tc>
      </w:tr>
    </w:tbl>
    <w:p w14:paraId="6E6ACBA3" w14:textId="104BC03C" w:rsidR="00740D54" w:rsidRDefault="00740D54" w:rsidP="00635906">
      <w:pPr>
        <w:pStyle w:val="Caption"/>
        <w:pageBreakBefore/>
      </w:pPr>
      <w:r>
        <w:t xml:space="preserve">Recommendation </w:t>
      </w:r>
      <w:r>
        <w:fldChar w:fldCharType="begin"/>
      </w:r>
      <w:r>
        <w:instrText xml:space="preserve"> SEQ Recommendation \* ARABIC </w:instrText>
      </w:r>
      <w:r>
        <w:fldChar w:fldCharType="separate"/>
      </w:r>
      <w:r w:rsidR="00D17FB0">
        <w:rPr>
          <w:noProof/>
        </w:rPr>
        <w:t>6</w:t>
      </w:r>
      <w:r>
        <w:fldChar w:fldCharType="end"/>
      </w:r>
      <w:r>
        <w:t xml:space="preserve">: </w:t>
      </w:r>
      <w:r w:rsidRPr="0088648D">
        <w:t>Paediatric–adult transition</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6"/>
        <w:tblDescription w:val="Appendix D is a summary for consumers. There are 6 recommendation tables listed. Recommendation 6 table looks at Paediatric-Adult transition.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A1707A" w:rsidRPr="00FC1976" w14:paraId="0A765B25" w14:textId="77777777" w:rsidTr="00740D54">
        <w:trPr>
          <w:cantSplit/>
          <w:tblHeader/>
        </w:trPr>
        <w:tc>
          <w:tcPr>
            <w:tcW w:w="2126" w:type="dxa"/>
          </w:tcPr>
          <w:p w14:paraId="1D7180E3" w14:textId="77777777" w:rsidR="00A1707A" w:rsidRPr="00FC1976" w:rsidRDefault="00A1707A" w:rsidP="00B325D6">
            <w:pPr>
              <w:pStyle w:val="01Tableheaderrow"/>
              <w:rPr>
                <w:color w:val="222222"/>
                <w:lang w:val="en-AU"/>
              </w:rPr>
            </w:pPr>
            <w:r w:rsidRPr="00FC1976">
              <w:rPr>
                <w:lang w:val="en-AU"/>
              </w:rPr>
              <w:t xml:space="preserve">Item </w:t>
            </w:r>
          </w:p>
        </w:tc>
        <w:tc>
          <w:tcPr>
            <w:tcW w:w="3118" w:type="dxa"/>
          </w:tcPr>
          <w:p w14:paraId="266A38B1" w14:textId="77777777" w:rsidR="00A1707A" w:rsidRPr="00FC1976" w:rsidRDefault="00A1707A" w:rsidP="00B325D6">
            <w:pPr>
              <w:pStyle w:val="01Tableheaderrow"/>
              <w:rPr>
                <w:color w:val="222222"/>
                <w:lang w:val="en-AU"/>
              </w:rPr>
            </w:pPr>
            <w:r w:rsidRPr="00FC1976">
              <w:rPr>
                <w:lang w:val="en-AU"/>
              </w:rPr>
              <w:t xml:space="preserve">What it does </w:t>
            </w:r>
          </w:p>
        </w:tc>
        <w:tc>
          <w:tcPr>
            <w:tcW w:w="3086" w:type="dxa"/>
          </w:tcPr>
          <w:p w14:paraId="540DA8EE" w14:textId="77777777" w:rsidR="00A1707A" w:rsidRPr="00FC1976" w:rsidRDefault="00A1707A" w:rsidP="00B325D6">
            <w:pPr>
              <w:pStyle w:val="01Tableheaderrow"/>
              <w:rPr>
                <w:lang w:val="en-AU"/>
              </w:rPr>
            </w:pPr>
            <w:r w:rsidRPr="00FC1976">
              <w:rPr>
                <w:lang w:val="en-AU"/>
              </w:rPr>
              <w:t xml:space="preserve">Committee </w:t>
            </w:r>
            <w:r>
              <w:rPr>
                <w:lang w:val="en-AU"/>
              </w:rPr>
              <w:t>r</w:t>
            </w:r>
            <w:r w:rsidRPr="00FC1976">
              <w:rPr>
                <w:lang w:val="en-AU"/>
              </w:rPr>
              <w:t>ecommendation</w:t>
            </w:r>
          </w:p>
        </w:tc>
        <w:tc>
          <w:tcPr>
            <w:tcW w:w="2977" w:type="dxa"/>
          </w:tcPr>
          <w:p w14:paraId="2B168901" w14:textId="77777777" w:rsidR="00A1707A" w:rsidRPr="00FC1976" w:rsidRDefault="00A1707A" w:rsidP="00B325D6">
            <w:pPr>
              <w:pStyle w:val="01Tableheaderrow"/>
              <w:rPr>
                <w:lang w:val="en-AU"/>
              </w:rPr>
            </w:pPr>
            <w:r w:rsidRPr="00FC1976">
              <w:rPr>
                <w:lang w:val="en-AU"/>
              </w:rPr>
              <w:t>What would be different</w:t>
            </w:r>
          </w:p>
        </w:tc>
        <w:tc>
          <w:tcPr>
            <w:tcW w:w="3118" w:type="dxa"/>
          </w:tcPr>
          <w:p w14:paraId="1A92BD56" w14:textId="77777777" w:rsidR="00A1707A" w:rsidRPr="00FC1976" w:rsidRDefault="00A1707A" w:rsidP="00B325D6">
            <w:pPr>
              <w:pStyle w:val="01Tableheaderrow"/>
              <w:rPr>
                <w:lang w:val="en-AU"/>
              </w:rPr>
            </w:pPr>
            <w:r w:rsidRPr="00FC1976">
              <w:rPr>
                <w:lang w:val="en-AU"/>
              </w:rPr>
              <w:t>Why</w:t>
            </w:r>
          </w:p>
        </w:tc>
      </w:tr>
      <w:tr w:rsidR="00A1707A" w:rsidRPr="00FC1976" w14:paraId="3DEEA78C" w14:textId="77777777" w:rsidTr="002A1292">
        <w:trPr>
          <w:cantSplit/>
        </w:trPr>
        <w:tc>
          <w:tcPr>
            <w:tcW w:w="2126" w:type="dxa"/>
          </w:tcPr>
          <w:p w14:paraId="7993582E" w14:textId="77777777" w:rsidR="002A1292" w:rsidRPr="002A1292" w:rsidRDefault="002A1292" w:rsidP="002A1292">
            <w:pPr>
              <w:pStyle w:val="02Tabletext"/>
              <w:rPr>
                <w:lang w:val="en-AU"/>
              </w:rPr>
            </w:pPr>
            <w:r w:rsidRPr="002A1292">
              <w:rPr>
                <w:lang w:val="en-AU"/>
              </w:rPr>
              <w:t>Not an MBS item</w:t>
            </w:r>
          </w:p>
          <w:p w14:paraId="24AAD054" w14:textId="77777777" w:rsidR="00A1707A" w:rsidRPr="00FC1976" w:rsidRDefault="002A1292" w:rsidP="002A1292">
            <w:pPr>
              <w:pStyle w:val="02Tabletext"/>
              <w:rPr>
                <w:lang w:val="en-AU"/>
              </w:rPr>
            </w:pPr>
            <w:r w:rsidRPr="002A1292">
              <w:rPr>
                <w:lang w:val="en-AU"/>
              </w:rPr>
              <w:t>Funding of services to support the care of patients during the transition from paediatric to adult services, particularly for adolescent patients with complex kidney disease.</w:t>
            </w:r>
          </w:p>
        </w:tc>
        <w:tc>
          <w:tcPr>
            <w:tcW w:w="3118" w:type="dxa"/>
          </w:tcPr>
          <w:p w14:paraId="4806E47B" w14:textId="77777777" w:rsidR="00A1707A" w:rsidRPr="00FC1976" w:rsidRDefault="002A1292" w:rsidP="0074549B">
            <w:pPr>
              <w:pStyle w:val="02Tabletext"/>
              <w:rPr>
                <w:lang w:val="en-AU"/>
              </w:rPr>
            </w:pPr>
            <w:r w:rsidRPr="002A1292">
              <w:rPr>
                <w:lang w:val="en-AU"/>
              </w:rPr>
              <w:t>Better co-ordinated support for adolescents and young adults, who have poorer outcomes than other transplant recipients, including a high incidence of the transplant (graft) being rejected (late acute rejection episodes).</w:t>
            </w:r>
            <w:r w:rsidR="007D479F">
              <w:rPr>
                <w:lang w:val="en-AU"/>
              </w:rPr>
              <w:t xml:space="preserve"> </w:t>
            </w:r>
          </w:p>
        </w:tc>
        <w:tc>
          <w:tcPr>
            <w:tcW w:w="3086" w:type="dxa"/>
          </w:tcPr>
          <w:p w14:paraId="4B7824D7" w14:textId="77777777" w:rsidR="002A1292" w:rsidRDefault="002A1292" w:rsidP="00EC145E">
            <w:pPr>
              <w:pStyle w:val="02Tabletext"/>
              <w:rPr>
                <w:lang w:val="en-AU"/>
              </w:rPr>
            </w:pPr>
            <w:r w:rsidRPr="002A1292">
              <w:rPr>
                <w:lang w:val="en-AU"/>
              </w:rPr>
              <w:t>An ongoing and sustainable service (or funding for a service) should be created to provide support for the care of adolescent patients with complex kidney disease.</w:t>
            </w:r>
          </w:p>
          <w:p w14:paraId="5B2A23FF" w14:textId="77777777" w:rsidR="00EC145E" w:rsidRPr="00EC145E" w:rsidRDefault="00EC145E" w:rsidP="00EC145E">
            <w:pPr>
              <w:pStyle w:val="02Tabletext"/>
              <w:rPr>
                <w:lang w:val="en-AU"/>
              </w:rPr>
            </w:pPr>
          </w:p>
          <w:p w14:paraId="7AB3C9F2" w14:textId="77777777" w:rsidR="00A1707A" w:rsidRPr="00FC1976" w:rsidRDefault="002A1292" w:rsidP="00EC145E">
            <w:pPr>
              <w:pStyle w:val="02Tabletext"/>
              <w:rPr>
                <w:lang w:val="en-AU"/>
              </w:rPr>
            </w:pPr>
            <w:r w:rsidRPr="002A1292">
              <w:rPr>
                <w:lang w:val="en-AU"/>
              </w:rPr>
              <w:t>As this issue involves both public and private systems; both primary and acute care; and the involvement of non-medical healthcare providers such as youth workers, the Committee recommended that the issue of paediatric–adult transition of patients with complex kidney disease be referred to an appropriate government or inter-governmental body or group, such as the Council of Australian Governments, to be addressed in an appropriate and sustainable way.</w:t>
            </w:r>
          </w:p>
        </w:tc>
        <w:tc>
          <w:tcPr>
            <w:tcW w:w="2977" w:type="dxa"/>
          </w:tcPr>
          <w:p w14:paraId="5E5740B9" w14:textId="77777777" w:rsidR="00A1707A" w:rsidRPr="00FC1976" w:rsidRDefault="002A1292" w:rsidP="0074549B">
            <w:pPr>
              <w:pStyle w:val="02Tabletext"/>
              <w:rPr>
                <w:lang w:val="en-AU"/>
              </w:rPr>
            </w:pPr>
            <w:r w:rsidRPr="002A1292">
              <w:rPr>
                <w:lang w:val="en-AU"/>
              </w:rPr>
              <w:t>Current models are funded through grants and charitable donations, which may not be sustainable and result in variable services being available across Australia. Clinicians across Australia have been searching for sustainable funding for this model for several years, and it remains an ongoing challenge.</w:t>
            </w:r>
            <w:r w:rsidR="007D479F">
              <w:rPr>
                <w:lang w:val="en-AU"/>
              </w:rPr>
              <w:t xml:space="preserve"> </w:t>
            </w:r>
          </w:p>
        </w:tc>
        <w:tc>
          <w:tcPr>
            <w:tcW w:w="3118" w:type="dxa"/>
          </w:tcPr>
          <w:p w14:paraId="545AE421" w14:textId="4144702D" w:rsidR="00A1707A" w:rsidRPr="00FC1976" w:rsidRDefault="002A1292" w:rsidP="00EA5F1C">
            <w:pPr>
              <w:pStyle w:val="02Tabletext"/>
              <w:rPr>
                <w:lang w:val="en-AU"/>
              </w:rPr>
            </w:pPr>
            <w:r w:rsidRPr="002A1292">
              <w:rPr>
                <w:lang w:val="en-AU"/>
              </w:rPr>
              <w:t>Patients are transitioning from a paediatric system, where parents and the health care team assume great responsibility, to an adult system where they need to become responsible for their own care—a shift that can require upskilling. They also move from a youth friendly environment to an adult and often elderly focused environment, and experience the other challenges of adolescence. This leads to them disengaging and developing negative health outcomes like hospital admissions and loss of transplants. In the UK a dedicated service has been shown to prevent transplant failures which is beneficial for patients and may save $250,000 - $</w:t>
            </w:r>
            <w:r w:rsidR="00EA5F1C">
              <w:rPr>
                <w:lang w:val="en-AU"/>
              </w:rPr>
              <w:t>3</w:t>
            </w:r>
            <w:r w:rsidRPr="002A1292">
              <w:rPr>
                <w:lang w:val="en-AU"/>
              </w:rPr>
              <w:t>50,000 for each avoided failure.</w:t>
            </w:r>
          </w:p>
        </w:tc>
      </w:tr>
    </w:tbl>
    <w:p w14:paraId="079E6C5F" w14:textId="77777777" w:rsidR="0013441A" w:rsidRPr="00FC1976" w:rsidRDefault="0013441A" w:rsidP="00984BD0">
      <w:pPr>
        <w:spacing w:before="60"/>
        <w:contextualSpacing/>
        <w:rPr>
          <w:lang w:val="en-AU"/>
        </w:rPr>
        <w:sectPr w:rsidR="0013441A" w:rsidRPr="00FC1976" w:rsidSect="00C54F6B">
          <w:footerReference w:type="default" r:id="rId15"/>
          <w:pgSz w:w="16838" w:h="11906" w:orient="landscape" w:code="9"/>
          <w:pgMar w:top="1077" w:right="1440" w:bottom="624" w:left="1276" w:header="720" w:footer="720" w:gutter="0"/>
          <w:paperSrc w:first="2" w:other="2"/>
          <w:cols w:space="720"/>
          <w:docGrid w:linePitch="326"/>
        </w:sectPr>
      </w:pPr>
    </w:p>
    <w:p w14:paraId="63B02910" w14:textId="77777777" w:rsidR="00D10783" w:rsidRPr="00FC1976" w:rsidRDefault="00D10783" w:rsidP="00D10783">
      <w:pPr>
        <w:pStyle w:val="AppendixStyle1"/>
      </w:pPr>
      <w:bookmarkStart w:id="204" w:name="_Toc456045468"/>
      <w:bookmarkStart w:id="205" w:name="_Toc467668977"/>
      <w:r w:rsidRPr="00D10783">
        <w:t>Glossary</w:t>
      </w:r>
      <w:bookmarkEnd w:id="204"/>
      <w:bookmarkEnd w:id="205"/>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Glossary table contains two heading columns: terms and their descriptions."/>
      </w:tblPr>
      <w:tblGrid>
        <w:gridCol w:w="2128"/>
        <w:gridCol w:w="6888"/>
      </w:tblGrid>
      <w:tr w:rsidR="00D10783" w:rsidRPr="00FC1976" w14:paraId="07E287CA" w14:textId="77777777" w:rsidTr="00D10783">
        <w:trPr>
          <w:cnfStyle w:val="100000000000" w:firstRow="1" w:lastRow="0" w:firstColumn="0" w:lastColumn="0" w:oddVBand="0" w:evenVBand="0" w:oddHBand="0" w:evenHBand="0" w:firstRowFirstColumn="0" w:firstRowLastColumn="0" w:lastRowFirstColumn="0" w:lastRowLastColumn="0"/>
          <w:tblHeader/>
        </w:trPr>
        <w:tc>
          <w:tcPr>
            <w:tcW w:w="2128" w:type="dxa"/>
            <w:shd w:val="clear" w:color="auto" w:fill="F2F2F2" w:themeFill="background1" w:themeFillShade="F2"/>
            <w:vAlign w:val="bottom"/>
          </w:tcPr>
          <w:p w14:paraId="78243F9F" w14:textId="77777777" w:rsidR="00D10783" w:rsidRPr="00FC1976" w:rsidRDefault="00D10783" w:rsidP="00D10783">
            <w:pPr>
              <w:pStyle w:val="01Tableheaderrow"/>
              <w:rPr>
                <w:b/>
                <w:lang w:val="en-AU"/>
              </w:rPr>
            </w:pPr>
            <w:r w:rsidRPr="00FC1976">
              <w:rPr>
                <w:b/>
                <w:lang w:val="en-AU"/>
              </w:rPr>
              <w:t>Term</w:t>
            </w:r>
          </w:p>
        </w:tc>
        <w:tc>
          <w:tcPr>
            <w:tcW w:w="6888" w:type="dxa"/>
            <w:shd w:val="clear" w:color="auto" w:fill="F2F2F2" w:themeFill="background1" w:themeFillShade="F2"/>
            <w:vAlign w:val="bottom"/>
          </w:tcPr>
          <w:p w14:paraId="21A9BDC9" w14:textId="77777777" w:rsidR="00D10783" w:rsidRPr="00FC1976" w:rsidRDefault="00D10783" w:rsidP="00D10783">
            <w:pPr>
              <w:pStyle w:val="01Tableheaderrow"/>
              <w:rPr>
                <w:b/>
                <w:lang w:val="en-AU"/>
              </w:rPr>
            </w:pPr>
            <w:r w:rsidRPr="00FC1976">
              <w:rPr>
                <w:b/>
                <w:lang w:val="en-AU"/>
              </w:rPr>
              <w:t>Description</w:t>
            </w:r>
          </w:p>
        </w:tc>
      </w:tr>
      <w:tr w:rsidR="00D10783" w:rsidRPr="00FC1976" w14:paraId="48A53E56" w14:textId="77777777" w:rsidTr="00D10783">
        <w:tc>
          <w:tcPr>
            <w:tcW w:w="2128" w:type="dxa"/>
          </w:tcPr>
          <w:p w14:paraId="187FF39A" w14:textId="77777777" w:rsidR="00D10783" w:rsidRPr="00FC1976" w:rsidRDefault="00D10783" w:rsidP="00D10783">
            <w:pPr>
              <w:pStyle w:val="02Tabletext"/>
              <w:rPr>
                <w:lang w:val="en-AU"/>
              </w:rPr>
            </w:pPr>
            <w:r w:rsidRPr="00FC1976">
              <w:rPr>
                <w:lang w:val="en-AU"/>
              </w:rPr>
              <w:t>ABS</w:t>
            </w:r>
          </w:p>
        </w:tc>
        <w:tc>
          <w:tcPr>
            <w:tcW w:w="6888" w:type="dxa"/>
          </w:tcPr>
          <w:p w14:paraId="7FB11CA7" w14:textId="77777777" w:rsidR="00D10783" w:rsidRPr="00FC1976" w:rsidRDefault="00D10783" w:rsidP="00D10783">
            <w:pPr>
              <w:pStyle w:val="02Tabletext"/>
              <w:rPr>
                <w:lang w:val="en-AU"/>
              </w:rPr>
            </w:pPr>
            <w:r w:rsidRPr="00FC1976">
              <w:rPr>
                <w:lang w:val="en-AU"/>
              </w:rPr>
              <w:t xml:space="preserve">Australian Bureau of Statistics </w:t>
            </w:r>
          </w:p>
        </w:tc>
      </w:tr>
      <w:tr w:rsidR="00D10783" w:rsidRPr="00FC1976" w14:paraId="2B8E60FB" w14:textId="77777777" w:rsidTr="00D10783">
        <w:tc>
          <w:tcPr>
            <w:tcW w:w="2128" w:type="dxa"/>
          </w:tcPr>
          <w:p w14:paraId="065532E7" w14:textId="77777777" w:rsidR="00D10783" w:rsidRPr="00FC1976" w:rsidRDefault="00D10783" w:rsidP="00D10783">
            <w:pPr>
              <w:pStyle w:val="02Tabletext"/>
              <w:rPr>
                <w:lang w:val="en-AU"/>
              </w:rPr>
            </w:pPr>
            <w:r w:rsidRPr="00FC1976">
              <w:rPr>
                <w:lang w:val="en-AU"/>
              </w:rPr>
              <w:t>AMS</w:t>
            </w:r>
          </w:p>
        </w:tc>
        <w:tc>
          <w:tcPr>
            <w:tcW w:w="6888" w:type="dxa"/>
          </w:tcPr>
          <w:p w14:paraId="0D8E6A3D" w14:textId="77777777" w:rsidR="00D10783" w:rsidRPr="00FC1976" w:rsidRDefault="00D10783" w:rsidP="00D10783">
            <w:pPr>
              <w:pStyle w:val="02Tabletext"/>
              <w:rPr>
                <w:lang w:val="en-AU"/>
              </w:rPr>
            </w:pPr>
            <w:r w:rsidRPr="00FC1976">
              <w:rPr>
                <w:lang w:val="en-AU"/>
              </w:rPr>
              <w:t xml:space="preserve">Aboriginal </w:t>
            </w:r>
            <w:r>
              <w:rPr>
                <w:lang w:val="en-AU"/>
              </w:rPr>
              <w:t>M</w:t>
            </w:r>
            <w:r w:rsidRPr="00FC1976">
              <w:rPr>
                <w:lang w:val="en-AU"/>
              </w:rPr>
              <w:t xml:space="preserve">edical </w:t>
            </w:r>
            <w:r>
              <w:rPr>
                <w:lang w:val="en-AU"/>
              </w:rPr>
              <w:t>S</w:t>
            </w:r>
            <w:r w:rsidRPr="00FC1976">
              <w:rPr>
                <w:lang w:val="en-AU"/>
              </w:rPr>
              <w:t>ervices</w:t>
            </w:r>
          </w:p>
        </w:tc>
      </w:tr>
      <w:tr w:rsidR="00D10783" w:rsidRPr="00FC1976" w14:paraId="2E8C07A8" w14:textId="77777777" w:rsidTr="00D10783">
        <w:tc>
          <w:tcPr>
            <w:tcW w:w="2128" w:type="dxa"/>
          </w:tcPr>
          <w:p w14:paraId="102B4737" w14:textId="77777777" w:rsidR="00D10783" w:rsidRPr="00FC1976" w:rsidRDefault="00D10783" w:rsidP="00D10783">
            <w:pPr>
              <w:pStyle w:val="02Tabletext"/>
              <w:rPr>
                <w:lang w:val="en-AU"/>
              </w:rPr>
            </w:pPr>
            <w:r>
              <w:rPr>
                <w:lang w:val="en-AU"/>
              </w:rPr>
              <w:t>ANZDATA</w:t>
            </w:r>
          </w:p>
        </w:tc>
        <w:tc>
          <w:tcPr>
            <w:tcW w:w="6888" w:type="dxa"/>
          </w:tcPr>
          <w:p w14:paraId="6757CE23" w14:textId="77777777" w:rsidR="00D10783" w:rsidRPr="00FC1976" w:rsidRDefault="00D10783" w:rsidP="00D10783">
            <w:pPr>
              <w:pStyle w:val="02Tabletext"/>
              <w:rPr>
                <w:lang w:val="en-AU"/>
              </w:rPr>
            </w:pPr>
            <w:r w:rsidRPr="008F0B94">
              <w:rPr>
                <w:lang w:val="en-AU"/>
              </w:rPr>
              <w:t>Australia and New Zealand Dialysis and Transplant</w:t>
            </w:r>
            <w:r w:rsidRPr="00802112">
              <w:rPr>
                <w:lang w:val="en-AU"/>
              </w:rPr>
              <w:t xml:space="preserve"> Registry</w:t>
            </w:r>
          </w:p>
        </w:tc>
      </w:tr>
      <w:tr w:rsidR="00D10783" w:rsidRPr="00FC1976" w14:paraId="292EC84D" w14:textId="77777777" w:rsidTr="00D10783">
        <w:tc>
          <w:tcPr>
            <w:tcW w:w="2128" w:type="dxa"/>
          </w:tcPr>
          <w:p w14:paraId="4D0E83EF" w14:textId="77777777" w:rsidR="00D10783" w:rsidRPr="00FC1976" w:rsidRDefault="00D10783" w:rsidP="00D10783">
            <w:pPr>
              <w:pStyle w:val="02Tabletext"/>
              <w:rPr>
                <w:lang w:val="en-AU"/>
              </w:rPr>
            </w:pPr>
            <w:r w:rsidRPr="00FC1976">
              <w:rPr>
                <w:lang w:val="en-AU"/>
              </w:rPr>
              <w:t>ATSICC</w:t>
            </w:r>
          </w:p>
        </w:tc>
        <w:tc>
          <w:tcPr>
            <w:tcW w:w="6888" w:type="dxa"/>
          </w:tcPr>
          <w:p w14:paraId="40E841BD" w14:textId="77777777" w:rsidR="00D10783" w:rsidRPr="00FC1976" w:rsidRDefault="00D10783" w:rsidP="00D10783">
            <w:pPr>
              <w:pStyle w:val="02Tabletext"/>
              <w:rPr>
                <w:lang w:val="en-AU"/>
              </w:rPr>
            </w:pPr>
            <w:r w:rsidRPr="00FC1976">
              <w:rPr>
                <w:lang w:val="en-AU"/>
              </w:rPr>
              <w:t>Aboriginal and Torres Strait Islander Clinical Committee</w:t>
            </w:r>
          </w:p>
        </w:tc>
      </w:tr>
      <w:tr w:rsidR="00D10783" w:rsidRPr="00FC1976" w14:paraId="113E27DD" w14:textId="77777777" w:rsidTr="00D10783">
        <w:tc>
          <w:tcPr>
            <w:tcW w:w="2128" w:type="dxa"/>
          </w:tcPr>
          <w:p w14:paraId="02C7073F" w14:textId="77777777" w:rsidR="00D10783" w:rsidRPr="00FC1976" w:rsidRDefault="00D10783" w:rsidP="00D10783">
            <w:pPr>
              <w:pStyle w:val="02Tabletext"/>
              <w:rPr>
                <w:lang w:val="en-AU"/>
              </w:rPr>
            </w:pPr>
            <w:r>
              <w:rPr>
                <w:lang w:val="en-AU"/>
              </w:rPr>
              <w:t>AV</w:t>
            </w:r>
          </w:p>
        </w:tc>
        <w:tc>
          <w:tcPr>
            <w:tcW w:w="6888" w:type="dxa"/>
          </w:tcPr>
          <w:p w14:paraId="286DA420" w14:textId="77777777" w:rsidR="00D10783" w:rsidRPr="00FC1976" w:rsidRDefault="00D10783" w:rsidP="00D10783">
            <w:pPr>
              <w:pStyle w:val="02Tabletext"/>
              <w:rPr>
                <w:lang w:val="en-AU"/>
              </w:rPr>
            </w:pPr>
            <w:r>
              <w:rPr>
                <w:lang w:val="en-AU"/>
              </w:rPr>
              <w:t>Arteriovenous</w:t>
            </w:r>
          </w:p>
        </w:tc>
      </w:tr>
      <w:tr w:rsidR="00D10783" w:rsidRPr="00FC1976" w14:paraId="71C1AFB5" w14:textId="77777777" w:rsidTr="00D10783">
        <w:tc>
          <w:tcPr>
            <w:tcW w:w="2128" w:type="dxa"/>
          </w:tcPr>
          <w:p w14:paraId="188BF14D" w14:textId="77777777" w:rsidR="00D10783" w:rsidRPr="00FC1976" w:rsidRDefault="00D10783" w:rsidP="00D10783">
            <w:pPr>
              <w:pStyle w:val="02Tabletext"/>
              <w:rPr>
                <w:lang w:val="en-AU"/>
              </w:rPr>
            </w:pPr>
            <w:r w:rsidRPr="00FC1976">
              <w:rPr>
                <w:lang w:val="en-AU"/>
              </w:rPr>
              <w:t>CAGR</w:t>
            </w:r>
          </w:p>
        </w:tc>
        <w:tc>
          <w:tcPr>
            <w:tcW w:w="6888" w:type="dxa"/>
          </w:tcPr>
          <w:p w14:paraId="4BB4CA4C" w14:textId="77777777" w:rsidR="00D10783" w:rsidRPr="00FC1976" w:rsidRDefault="00D10783" w:rsidP="00D10783">
            <w:pPr>
              <w:pStyle w:val="02Tabletext"/>
              <w:rPr>
                <w:lang w:val="en-AU"/>
              </w:rPr>
            </w:pPr>
            <w:r w:rsidRPr="00FC1976">
              <w:rPr>
                <w:lang w:val="en-AU"/>
              </w:rPr>
              <w:t xml:space="preserve">Compound </w:t>
            </w:r>
            <w:r>
              <w:rPr>
                <w:lang w:val="en-AU"/>
              </w:rPr>
              <w:t>a</w:t>
            </w:r>
            <w:r w:rsidRPr="00FC1976">
              <w:rPr>
                <w:lang w:val="en-AU"/>
              </w:rPr>
              <w:t xml:space="preserve">nnual </w:t>
            </w:r>
            <w:r>
              <w:rPr>
                <w:lang w:val="en-AU"/>
              </w:rPr>
              <w:t>g</w:t>
            </w:r>
            <w:r w:rsidRPr="00FC1976">
              <w:rPr>
                <w:lang w:val="en-AU"/>
              </w:rPr>
              <w:t xml:space="preserve">rowth </w:t>
            </w:r>
            <w:r>
              <w:rPr>
                <w:lang w:val="en-AU"/>
              </w:rPr>
              <w:t>r</w:t>
            </w:r>
            <w:r w:rsidRPr="00FC1976">
              <w:rPr>
                <w:lang w:val="en-AU"/>
              </w:rPr>
              <w:t xml:space="preserve">ate, or the average annual growth rate over a specified time period. </w:t>
            </w:r>
          </w:p>
        </w:tc>
      </w:tr>
      <w:tr w:rsidR="00A54553" w:rsidRPr="00FC1976" w14:paraId="6F030CB7" w14:textId="77777777" w:rsidTr="00D10783">
        <w:tc>
          <w:tcPr>
            <w:tcW w:w="2128" w:type="dxa"/>
          </w:tcPr>
          <w:p w14:paraId="2E7E9463" w14:textId="77777777" w:rsidR="00A54553" w:rsidRPr="00A54553" w:rsidRDefault="00A54553" w:rsidP="00A54553">
            <w:pPr>
              <w:pStyle w:val="02Tabletext"/>
              <w:rPr>
                <w:lang w:val="en-AU"/>
              </w:rPr>
            </w:pPr>
            <w:r w:rsidRPr="00A54553">
              <w:rPr>
                <w:lang w:val="en-AU"/>
              </w:rPr>
              <w:t>Change</w:t>
            </w:r>
          </w:p>
        </w:tc>
        <w:tc>
          <w:tcPr>
            <w:tcW w:w="6888" w:type="dxa"/>
          </w:tcPr>
          <w:p w14:paraId="490F6784" w14:textId="77777777" w:rsidR="00A54553" w:rsidRPr="00A54553" w:rsidRDefault="00A54553" w:rsidP="00A54553">
            <w:pPr>
              <w:pStyle w:val="02Tabletext"/>
              <w:rPr>
                <w:lang w:val="en-AU"/>
              </w:rPr>
            </w:pPr>
            <w:r w:rsidRPr="00A54553">
              <w:rPr>
                <w:lang w:val="en-AU"/>
              </w:rPr>
              <w:t xml:space="preserve">When referring to an item, describes when the item and/or its services will be affected by the recommendations. This could result from a range of recommendations, such as: (i) specific recommendations that affect the services provided by changing item descriptors or explanatory notes, (ii) the consolidation of item numbers, and (iii) splitting item numbers (e.g., splitting the current services provided across two or more items). </w:t>
            </w:r>
          </w:p>
        </w:tc>
      </w:tr>
      <w:tr w:rsidR="00D10783" w:rsidRPr="00FC1976" w14:paraId="6F42A33B" w14:textId="77777777" w:rsidTr="00D10783">
        <w:tc>
          <w:tcPr>
            <w:tcW w:w="2128" w:type="dxa"/>
          </w:tcPr>
          <w:p w14:paraId="630BB98C" w14:textId="77777777" w:rsidR="00D10783" w:rsidRPr="00FC1976" w:rsidRDefault="00D10783" w:rsidP="00D10783">
            <w:pPr>
              <w:pStyle w:val="02Tabletext"/>
              <w:rPr>
                <w:lang w:val="en-AU"/>
              </w:rPr>
            </w:pPr>
            <w:r w:rsidRPr="00FC1976">
              <w:rPr>
                <w:lang w:val="en-AU"/>
              </w:rPr>
              <w:t>CKD</w:t>
            </w:r>
          </w:p>
        </w:tc>
        <w:tc>
          <w:tcPr>
            <w:tcW w:w="6888" w:type="dxa"/>
          </w:tcPr>
          <w:p w14:paraId="53DA0D72" w14:textId="77777777" w:rsidR="00D10783" w:rsidRPr="00FC1976" w:rsidRDefault="00D10783" w:rsidP="00D10783">
            <w:pPr>
              <w:pStyle w:val="02Tabletext"/>
              <w:rPr>
                <w:lang w:val="en-AU"/>
              </w:rPr>
            </w:pPr>
            <w:r w:rsidRPr="00FC1976">
              <w:rPr>
                <w:lang w:val="en-AU"/>
              </w:rPr>
              <w:t>Chronic kidney disease</w:t>
            </w:r>
          </w:p>
        </w:tc>
      </w:tr>
      <w:tr w:rsidR="00D10783" w:rsidRPr="00FC1976" w14:paraId="728A2F27" w14:textId="77777777" w:rsidTr="00D10783">
        <w:tc>
          <w:tcPr>
            <w:tcW w:w="2128" w:type="dxa"/>
          </w:tcPr>
          <w:p w14:paraId="6A7CFFF3" w14:textId="77777777" w:rsidR="00D10783" w:rsidRPr="00FC1976" w:rsidRDefault="00D10783" w:rsidP="00D10783">
            <w:pPr>
              <w:pStyle w:val="02Tabletext"/>
              <w:rPr>
                <w:lang w:val="en-AU"/>
              </w:rPr>
            </w:pPr>
            <w:r>
              <w:rPr>
                <w:lang w:val="en-AU"/>
              </w:rPr>
              <w:t>CVC</w:t>
            </w:r>
          </w:p>
        </w:tc>
        <w:tc>
          <w:tcPr>
            <w:tcW w:w="6888" w:type="dxa"/>
          </w:tcPr>
          <w:p w14:paraId="5873EE4F" w14:textId="77777777" w:rsidR="00D10783" w:rsidRPr="00FC1976" w:rsidRDefault="00D10783" w:rsidP="00D10783">
            <w:pPr>
              <w:pStyle w:val="02Tabletext"/>
              <w:rPr>
                <w:lang w:val="en-AU"/>
              </w:rPr>
            </w:pPr>
            <w:r>
              <w:rPr>
                <w:lang w:val="en-AU"/>
              </w:rPr>
              <w:t>C</w:t>
            </w:r>
            <w:r w:rsidRPr="00802112">
              <w:rPr>
                <w:lang w:val="en-AU"/>
              </w:rPr>
              <w:t>entral venous catheter</w:t>
            </w:r>
          </w:p>
        </w:tc>
      </w:tr>
      <w:tr w:rsidR="00D10783" w:rsidRPr="00FC1976" w14:paraId="3804B37C" w14:textId="77777777" w:rsidTr="00D10783">
        <w:tc>
          <w:tcPr>
            <w:tcW w:w="2128" w:type="dxa"/>
          </w:tcPr>
          <w:p w14:paraId="3A3FDEEF" w14:textId="77777777" w:rsidR="00D10783" w:rsidRPr="00FC1976" w:rsidRDefault="00D10783" w:rsidP="00D10783">
            <w:pPr>
              <w:pStyle w:val="02Tabletext"/>
              <w:rPr>
                <w:lang w:val="en-AU"/>
              </w:rPr>
            </w:pPr>
            <w:r w:rsidRPr="00FC1976">
              <w:rPr>
                <w:lang w:val="en-AU"/>
              </w:rPr>
              <w:t>Department, The</w:t>
            </w:r>
          </w:p>
        </w:tc>
        <w:tc>
          <w:tcPr>
            <w:tcW w:w="6888" w:type="dxa"/>
          </w:tcPr>
          <w:p w14:paraId="3F5842BA" w14:textId="77777777" w:rsidR="00D10783" w:rsidRPr="00FC1976" w:rsidRDefault="00D10783" w:rsidP="00D10783">
            <w:pPr>
              <w:pStyle w:val="02Tabletext"/>
              <w:rPr>
                <w:lang w:val="en-AU"/>
              </w:rPr>
            </w:pPr>
            <w:r w:rsidRPr="00FC1976">
              <w:rPr>
                <w:lang w:val="en-AU"/>
              </w:rPr>
              <w:t>Australian Government Department of Health</w:t>
            </w:r>
          </w:p>
        </w:tc>
      </w:tr>
      <w:tr w:rsidR="00A54553" w:rsidRPr="00FC1976" w14:paraId="694614DA" w14:textId="77777777" w:rsidTr="00D10783">
        <w:tc>
          <w:tcPr>
            <w:tcW w:w="2128" w:type="dxa"/>
          </w:tcPr>
          <w:p w14:paraId="276674B0" w14:textId="77777777" w:rsidR="00A54553" w:rsidRPr="00A54553" w:rsidRDefault="00A54553" w:rsidP="00A54553">
            <w:pPr>
              <w:pStyle w:val="02Tabletext"/>
              <w:rPr>
                <w:lang w:val="en-AU"/>
              </w:rPr>
            </w:pPr>
            <w:r w:rsidRPr="00024291">
              <w:rPr>
                <w:lang w:val="en-AU"/>
              </w:rPr>
              <w:t>Delete</w:t>
            </w:r>
          </w:p>
        </w:tc>
        <w:tc>
          <w:tcPr>
            <w:tcW w:w="6888" w:type="dxa"/>
          </w:tcPr>
          <w:p w14:paraId="20975935" w14:textId="77777777" w:rsidR="00A54553" w:rsidRPr="00A54553" w:rsidRDefault="00A54553" w:rsidP="00A54553">
            <w:pPr>
              <w:pStyle w:val="02Tabletext"/>
              <w:rPr>
                <w:lang w:val="en-AU"/>
              </w:rPr>
            </w:pPr>
            <w:r w:rsidRPr="00024291">
              <w:rPr>
                <w:lang w:val="en-AU"/>
              </w:rPr>
              <w:t>Describes when an item is recommended for removal from the MBS and its services will no longer be provided under the MBS.</w:t>
            </w:r>
          </w:p>
        </w:tc>
      </w:tr>
      <w:tr w:rsidR="00D10783" w:rsidRPr="00FC1976" w14:paraId="52AF9DA7" w14:textId="77777777" w:rsidTr="00D10783">
        <w:tc>
          <w:tcPr>
            <w:tcW w:w="2128" w:type="dxa"/>
          </w:tcPr>
          <w:p w14:paraId="409ADDCA" w14:textId="77777777" w:rsidR="00D10783" w:rsidRPr="00FC1976" w:rsidRDefault="00D10783" w:rsidP="00D10783">
            <w:pPr>
              <w:pStyle w:val="02Tabletext"/>
              <w:rPr>
                <w:lang w:val="en-AU"/>
              </w:rPr>
            </w:pPr>
            <w:r w:rsidRPr="00FC1976">
              <w:rPr>
                <w:lang w:val="en-AU"/>
              </w:rPr>
              <w:t>DHS</w:t>
            </w:r>
          </w:p>
        </w:tc>
        <w:tc>
          <w:tcPr>
            <w:tcW w:w="6888" w:type="dxa"/>
          </w:tcPr>
          <w:p w14:paraId="103B6C1F" w14:textId="77777777" w:rsidR="00D10783" w:rsidRPr="00FC1976" w:rsidRDefault="00D10783" w:rsidP="00D10783">
            <w:pPr>
              <w:pStyle w:val="02Tabletext"/>
              <w:rPr>
                <w:lang w:val="en-AU"/>
              </w:rPr>
            </w:pPr>
            <w:r w:rsidRPr="00FC1976">
              <w:rPr>
                <w:lang w:val="en-AU"/>
              </w:rPr>
              <w:t>Australian Government Department of Human Services</w:t>
            </w:r>
          </w:p>
        </w:tc>
      </w:tr>
      <w:tr w:rsidR="00D10783" w:rsidRPr="00FC1976" w14:paraId="1C0F136C" w14:textId="77777777" w:rsidTr="00D10783">
        <w:tc>
          <w:tcPr>
            <w:tcW w:w="2128" w:type="dxa"/>
          </w:tcPr>
          <w:p w14:paraId="363FF8F1" w14:textId="77777777" w:rsidR="00D10783" w:rsidRPr="00FC1976" w:rsidRDefault="00D10783" w:rsidP="00D10783">
            <w:pPr>
              <w:pStyle w:val="02Tabletext"/>
              <w:rPr>
                <w:lang w:val="en-AU"/>
              </w:rPr>
            </w:pPr>
            <w:r>
              <w:rPr>
                <w:lang w:val="en-AU"/>
              </w:rPr>
              <w:t>FY</w:t>
            </w:r>
          </w:p>
        </w:tc>
        <w:tc>
          <w:tcPr>
            <w:tcW w:w="6888" w:type="dxa"/>
          </w:tcPr>
          <w:p w14:paraId="4F3E1742" w14:textId="77777777" w:rsidR="00D10783" w:rsidRPr="00FC1976" w:rsidRDefault="00D10783" w:rsidP="00D10783">
            <w:pPr>
              <w:pStyle w:val="02Tabletext"/>
              <w:rPr>
                <w:lang w:val="en-AU"/>
              </w:rPr>
            </w:pPr>
            <w:r>
              <w:rPr>
                <w:lang w:val="en-AU"/>
              </w:rPr>
              <w:t>Financial year</w:t>
            </w:r>
          </w:p>
        </w:tc>
      </w:tr>
      <w:tr w:rsidR="00D10783" w:rsidRPr="00FC1976" w14:paraId="00A87116" w14:textId="77777777" w:rsidTr="00D10783">
        <w:tc>
          <w:tcPr>
            <w:tcW w:w="2128" w:type="dxa"/>
          </w:tcPr>
          <w:p w14:paraId="0968E4EA" w14:textId="77777777" w:rsidR="00D10783" w:rsidRPr="00FC1976" w:rsidRDefault="00D10783" w:rsidP="00D10783">
            <w:pPr>
              <w:pStyle w:val="02Tabletext"/>
              <w:rPr>
                <w:lang w:val="en-AU"/>
              </w:rPr>
            </w:pPr>
            <w:r w:rsidRPr="00FC1976">
              <w:rPr>
                <w:lang w:val="en-AU"/>
              </w:rPr>
              <w:t>DIST</w:t>
            </w:r>
          </w:p>
        </w:tc>
        <w:tc>
          <w:tcPr>
            <w:tcW w:w="6888" w:type="dxa"/>
          </w:tcPr>
          <w:p w14:paraId="18228DD9" w14:textId="77777777" w:rsidR="00D10783" w:rsidRPr="00FC1976" w:rsidRDefault="00D10783" w:rsidP="00D10783">
            <w:pPr>
              <w:pStyle w:val="02Tabletext"/>
              <w:rPr>
                <w:lang w:val="en-AU"/>
              </w:rPr>
            </w:pPr>
            <w:r w:rsidRPr="00FC1976">
              <w:rPr>
                <w:lang w:val="en-AU"/>
              </w:rPr>
              <w:t>Diagnostic Imaging Services Table</w:t>
            </w:r>
          </w:p>
        </w:tc>
      </w:tr>
      <w:tr w:rsidR="00D10783" w:rsidRPr="00FC1976" w14:paraId="00354501" w14:textId="77777777" w:rsidTr="00D10783">
        <w:tc>
          <w:tcPr>
            <w:tcW w:w="2128" w:type="dxa"/>
          </w:tcPr>
          <w:p w14:paraId="590715C2" w14:textId="77777777" w:rsidR="00D10783" w:rsidRPr="00FC1976" w:rsidRDefault="00D10783" w:rsidP="00D10783">
            <w:pPr>
              <w:pStyle w:val="02Tabletext"/>
              <w:rPr>
                <w:lang w:val="en-AU"/>
              </w:rPr>
            </w:pPr>
            <w:r w:rsidRPr="00FC1976">
              <w:rPr>
                <w:lang w:val="en-AU"/>
              </w:rPr>
              <w:t>GP</w:t>
            </w:r>
          </w:p>
        </w:tc>
        <w:tc>
          <w:tcPr>
            <w:tcW w:w="6888" w:type="dxa"/>
          </w:tcPr>
          <w:p w14:paraId="7FDA993A" w14:textId="77777777" w:rsidR="00D10783" w:rsidRPr="00FC1976" w:rsidRDefault="00D10783" w:rsidP="00D10783">
            <w:pPr>
              <w:pStyle w:val="02Tabletext"/>
              <w:rPr>
                <w:lang w:val="en-AU"/>
              </w:rPr>
            </w:pPr>
            <w:r w:rsidRPr="00FC1976">
              <w:rPr>
                <w:lang w:val="en-AU"/>
              </w:rPr>
              <w:t>General practitioner</w:t>
            </w:r>
          </w:p>
        </w:tc>
      </w:tr>
      <w:tr w:rsidR="00D10783" w:rsidRPr="00FC1976" w14:paraId="4E4BD9AB" w14:textId="77777777" w:rsidTr="00D10783">
        <w:tc>
          <w:tcPr>
            <w:tcW w:w="2128" w:type="dxa"/>
          </w:tcPr>
          <w:p w14:paraId="16A4DF74" w14:textId="77777777" w:rsidR="00D10783" w:rsidRPr="00FC1976" w:rsidRDefault="00D10783" w:rsidP="00D10783">
            <w:pPr>
              <w:pStyle w:val="02Tabletext"/>
              <w:rPr>
                <w:lang w:val="en-AU"/>
              </w:rPr>
            </w:pPr>
            <w:r w:rsidRPr="00FC1976">
              <w:rPr>
                <w:lang w:val="en-AU"/>
              </w:rPr>
              <w:t>High-value care</w:t>
            </w:r>
          </w:p>
        </w:tc>
        <w:tc>
          <w:tcPr>
            <w:tcW w:w="6888" w:type="dxa"/>
          </w:tcPr>
          <w:p w14:paraId="4E1D1F70" w14:textId="77777777" w:rsidR="00D10783" w:rsidRPr="00FC1976" w:rsidRDefault="00D10783" w:rsidP="00D10783">
            <w:pPr>
              <w:pStyle w:val="02Tabletext"/>
              <w:rPr>
                <w:lang w:val="en-AU"/>
              </w:rPr>
            </w:pPr>
            <w:r w:rsidRPr="00FC1976">
              <w:rPr>
                <w:lang w:val="en-AU"/>
              </w:rPr>
              <w:t>Services of proven efficacy reflecting current best medical practice, or for which the potential benefit to consumers exceeds the risk and costs.</w:t>
            </w:r>
          </w:p>
        </w:tc>
      </w:tr>
      <w:tr w:rsidR="00D10783" w:rsidRPr="00FC1976" w14:paraId="1CE435A0" w14:textId="77777777" w:rsidTr="00D10783">
        <w:tc>
          <w:tcPr>
            <w:tcW w:w="2128" w:type="dxa"/>
          </w:tcPr>
          <w:p w14:paraId="4EEA5A33" w14:textId="77777777" w:rsidR="00D10783" w:rsidRPr="00FC1976" w:rsidRDefault="00D10783" w:rsidP="00D10783">
            <w:pPr>
              <w:pStyle w:val="02Tabletext"/>
              <w:rPr>
                <w:lang w:val="en-AU"/>
              </w:rPr>
            </w:pPr>
            <w:r w:rsidRPr="00FC1976">
              <w:rPr>
                <w:lang w:val="en-AU"/>
              </w:rPr>
              <w:t>Inappropriate use / misuse</w:t>
            </w:r>
          </w:p>
        </w:tc>
        <w:tc>
          <w:tcPr>
            <w:tcW w:w="6888" w:type="dxa"/>
          </w:tcPr>
          <w:p w14:paraId="0F9331A5" w14:textId="77777777" w:rsidR="00D10783" w:rsidRPr="00FC1976" w:rsidRDefault="00D10783" w:rsidP="00D10783">
            <w:pPr>
              <w:pStyle w:val="02Tabletext"/>
              <w:rPr>
                <w:lang w:val="en-AU"/>
              </w:rPr>
            </w:pPr>
            <w:r w:rsidRPr="00FC1976">
              <w:rPr>
                <w:lang w:val="en-AU"/>
              </w:rPr>
              <w:t>The use of MBS services for purposes other than those intended. This includes a range of behaviours</w:t>
            </w:r>
            <w:r>
              <w:rPr>
                <w:lang w:val="en-AU"/>
              </w:rPr>
              <w:t>,</w:t>
            </w:r>
            <w:r w:rsidRPr="00FC1976">
              <w:rPr>
                <w:lang w:val="en-AU"/>
              </w:rPr>
              <w:t xml:space="preserve"> from failing to adhere to particular item descriptors or rules through to deliberate fraud.</w:t>
            </w:r>
          </w:p>
        </w:tc>
      </w:tr>
      <w:tr w:rsidR="00D10783" w:rsidRPr="00FC1976" w14:paraId="0B62EACB" w14:textId="77777777" w:rsidTr="00D10783">
        <w:tc>
          <w:tcPr>
            <w:tcW w:w="2128" w:type="dxa"/>
          </w:tcPr>
          <w:p w14:paraId="79E9F4D1" w14:textId="77777777" w:rsidR="00D10783" w:rsidRPr="00FC1976" w:rsidRDefault="00D10783" w:rsidP="00D10783">
            <w:pPr>
              <w:pStyle w:val="02Tabletext"/>
              <w:rPr>
                <w:lang w:val="en-AU"/>
              </w:rPr>
            </w:pPr>
            <w:r w:rsidRPr="00FC1976">
              <w:rPr>
                <w:lang w:val="en-AU"/>
              </w:rPr>
              <w:t>Low-value care</w:t>
            </w:r>
          </w:p>
        </w:tc>
        <w:tc>
          <w:tcPr>
            <w:tcW w:w="6888" w:type="dxa"/>
          </w:tcPr>
          <w:p w14:paraId="1F61F0E3" w14:textId="77777777" w:rsidR="00D10783" w:rsidRPr="00FC1976" w:rsidRDefault="00D10783" w:rsidP="00D10783">
            <w:pPr>
              <w:pStyle w:val="02Tabletext"/>
              <w:rPr>
                <w:lang w:val="en-AU"/>
              </w:rPr>
            </w:pPr>
            <w:r w:rsidRPr="00FC1976">
              <w:rPr>
                <w:lang w:val="en-AU"/>
              </w:rPr>
              <w:t xml:space="preserve">Services </w:t>
            </w:r>
            <w:r>
              <w:rPr>
                <w:lang w:val="en-AU"/>
              </w:rPr>
              <w:t>that</w:t>
            </w:r>
            <w:r w:rsidRPr="00FC1976">
              <w:rPr>
                <w:lang w:val="en-AU"/>
              </w:rPr>
              <w:t xml:space="preserve"> evidence suggests confer no or very little benefit to consumers</w:t>
            </w:r>
            <w:r>
              <w:rPr>
                <w:lang w:val="en-AU"/>
              </w:rPr>
              <w:t>;</w:t>
            </w:r>
            <w:r w:rsidRPr="00FC1976">
              <w:rPr>
                <w:lang w:val="en-AU"/>
              </w:rPr>
              <w:t xml:space="preserve"> or for which the risk of harm exceeds the likely benefit</w:t>
            </w:r>
            <w:r>
              <w:rPr>
                <w:lang w:val="en-AU"/>
              </w:rPr>
              <w:t>;</w:t>
            </w:r>
            <w:r w:rsidRPr="00FC1976">
              <w:rPr>
                <w:lang w:val="en-AU"/>
              </w:rPr>
              <w:t xml:space="preserve"> or, more broadly, </w:t>
            </w:r>
            <w:r>
              <w:rPr>
                <w:lang w:val="en-AU"/>
              </w:rPr>
              <w:t xml:space="preserve">where </w:t>
            </w:r>
            <w:r w:rsidRPr="00FC1976">
              <w:rPr>
                <w:lang w:val="en-AU"/>
              </w:rPr>
              <w:t>the added costs of services do not provide proportional added benefits.</w:t>
            </w:r>
          </w:p>
        </w:tc>
      </w:tr>
      <w:tr w:rsidR="00D10783" w:rsidRPr="00FC1976" w14:paraId="4946F316" w14:textId="77777777" w:rsidTr="00D10783">
        <w:tc>
          <w:tcPr>
            <w:tcW w:w="2128" w:type="dxa"/>
            <w:vAlign w:val="center"/>
          </w:tcPr>
          <w:p w14:paraId="6CD6154E" w14:textId="77777777" w:rsidR="00D10783" w:rsidRPr="00FC1976" w:rsidRDefault="00D10783" w:rsidP="00D10783">
            <w:pPr>
              <w:pStyle w:val="02Tabletext"/>
              <w:rPr>
                <w:lang w:val="en-AU"/>
              </w:rPr>
            </w:pPr>
            <w:r w:rsidRPr="00FC1976">
              <w:rPr>
                <w:lang w:val="en-AU"/>
              </w:rPr>
              <w:t>MBS</w:t>
            </w:r>
          </w:p>
        </w:tc>
        <w:tc>
          <w:tcPr>
            <w:tcW w:w="6888" w:type="dxa"/>
            <w:vAlign w:val="center"/>
          </w:tcPr>
          <w:p w14:paraId="6BFC4DF0" w14:textId="77777777" w:rsidR="00D10783" w:rsidRPr="00FC1976" w:rsidRDefault="00D10783" w:rsidP="00D10783">
            <w:pPr>
              <w:pStyle w:val="02Tabletext"/>
              <w:rPr>
                <w:lang w:val="en-AU"/>
              </w:rPr>
            </w:pPr>
            <w:r w:rsidRPr="00FC1976">
              <w:rPr>
                <w:lang w:val="en-AU"/>
              </w:rPr>
              <w:t xml:space="preserve">Medicare Benefits Schedule </w:t>
            </w:r>
          </w:p>
        </w:tc>
      </w:tr>
      <w:tr w:rsidR="00D10783" w:rsidRPr="00FC1976" w14:paraId="67CBBEBE" w14:textId="77777777" w:rsidTr="00D10783">
        <w:tc>
          <w:tcPr>
            <w:tcW w:w="2128" w:type="dxa"/>
          </w:tcPr>
          <w:p w14:paraId="41E8796B" w14:textId="77777777" w:rsidR="00D10783" w:rsidRPr="00FC1976" w:rsidRDefault="00D10783" w:rsidP="00D10783">
            <w:pPr>
              <w:pStyle w:val="02Tabletext"/>
              <w:rPr>
                <w:lang w:val="en-AU"/>
              </w:rPr>
            </w:pPr>
            <w:r w:rsidRPr="00FC1976">
              <w:rPr>
                <w:lang w:val="en-AU"/>
              </w:rPr>
              <w:t>MBS item</w:t>
            </w:r>
          </w:p>
        </w:tc>
        <w:tc>
          <w:tcPr>
            <w:tcW w:w="6888" w:type="dxa"/>
          </w:tcPr>
          <w:p w14:paraId="0E86E354" w14:textId="77777777" w:rsidR="00D10783" w:rsidRPr="00FC1976" w:rsidRDefault="00D10783" w:rsidP="00D10783">
            <w:pPr>
              <w:pStyle w:val="02Tabletext"/>
              <w:rPr>
                <w:lang w:val="en-AU"/>
              </w:rPr>
            </w:pPr>
            <w:r w:rsidRPr="00FC1976">
              <w:rPr>
                <w:lang w:val="en-AU"/>
              </w:rPr>
              <w:t xml:space="preserve">An administrative object listed in the MBS and used for the purposes of claiming and paying Medicare benefits, </w:t>
            </w:r>
            <w:r>
              <w:rPr>
                <w:lang w:val="en-AU"/>
              </w:rPr>
              <w:t>consisting of</w:t>
            </w:r>
            <w:r w:rsidRPr="00FC1976">
              <w:rPr>
                <w:lang w:val="en-AU"/>
              </w:rPr>
              <w:t xml:space="preserve"> an item number, service descriptor and supporting information, </w:t>
            </w:r>
            <w:r>
              <w:rPr>
                <w:lang w:val="en-AU"/>
              </w:rPr>
              <w:t>s</w:t>
            </w:r>
            <w:r w:rsidRPr="00FC1976">
              <w:rPr>
                <w:lang w:val="en-AU"/>
              </w:rPr>
              <w:t>chedule fee and Medicare benefits.</w:t>
            </w:r>
          </w:p>
        </w:tc>
      </w:tr>
      <w:tr w:rsidR="00D10783" w:rsidRPr="00FC1976" w14:paraId="22570A7B" w14:textId="77777777" w:rsidTr="00D10783">
        <w:tc>
          <w:tcPr>
            <w:tcW w:w="2128" w:type="dxa"/>
          </w:tcPr>
          <w:p w14:paraId="0E6165D4" w14:textId="77777777" w:rsidR="00D10783" w:rsidRPr="00FC1976" w:rsidRDefault="00D10783" w:rsidP="00D10783">
            <w:pPr>
              <w:pStyle w:val="02Tabletext"/>
              <w:rPr>
                <w:lang w:val="en-AU"/>
              </w:rPr>
            </w:pPr>
            <w:r w:rsidRPr="00FC1976">
              <w:rPr>
                <w:lang w:val="en-AU"/>
              </w:rPr>
              <w:t>MBS service</w:t>
            </w:r>
          </w:p>
        </w:tc>
        <w:tc>
          <w:tcPr>
            <w:tcW w:w="6888" w:type="dxa"/>
          </w:tcPr>
          <w:p w14:paraId="498C3195" w14:textId="77777777" w:rsidR="00D10783" w:rsidRPr="00FC1976" w:rsidRDefault="00D10783" w:rsidP="00D10783">
            <w:pPr>
              <w:pStyle w:val="02Tabletext"/>
              <w:rPr>
                <w:lang w:val="en-AU"/>
              </w:rPr>
            </w:pPr>
            <w:r w:rsidRPr="00FC1976">
              <w:rPr>
                <w:lang w:val="en-AU"/>
              </w:rPr>
              <w:t xml:space="preserve">The actual </w:t>
            </w:r>
            <w:r>
              <w:rPr>
                <w:lang w:val="en-AU"/>
              </w:rPr>
              <w:t xml:space="preserve">medical </w:t>
            </w:r>
            <w:r w:rsidRPr="00FC1976">
              <w:rPr>
                <w:lang w:val="en-AU"/>
              </w:rPr>
              <w:t>consultation, procedure</w:t>
            </w:r>
            <w:r>
              <w:rPr>
                <w:lang w:val="en-AU"/>
              </w:rPr>
              <w:t xml:space="preserve"> or </w:t>
            </w:r>
            <w:r w:rsidRPr="00FC1976">
              <w:rPr>
                <w:lang w:val="en-AU"/>
              </w:rPr>
              <w:t>test to which the relevant MBS item refers.</w:t>
            </w:r>
          </w:p>
        </w:tc>
      </w:tr>
      <w:tr w:rsidR="00D10783" w:rsidRPr="00FC1976" w14:paraId="1B0EBC6C" w14:textId="77777777" w:rsidTr="00D10783">
        <w:tc>
          <w:tcPr>
            <w:tcW w:w="2128" w:type="dxa"/>
            <w:vAlign w:val="center"/>
          </w:tcPr>
          <w:p w14:paraId="0039D300" w14:textId="77777777" w:rsidR="00D10783" w:rsidRPr="00FC1976" w:rsidRDefault="00D10783" w:rsidP="00D10783">
            <w:pPr>
              <w:pStyle w:val="02Tabletext"/>
              <w:rPr>
                <w:lang w:val="en-AU"/>
              </w:rPr>
            </w:pPr>
            <w:r w:rsidRPr="00FC1976">
              <w:rPr>
                <w:lang w:val="en-AU"/>
              </w:rPr>
              <w:t>MDT</w:t>
            </w:r>
          </w:p>
        </w:tc>
        <w:tc>
          <w:tcPr>
            <w:tcW w:w="6888" w:type="dxa"/>
            <w:vAlign w:val="center"/>
          </w:tcPr>
          <w:p w14:paraId="456050F6" w14:textId="77777777" w:rsidR="00D10783" w:rsidRPr="00FC1976" w:rsidRDefault="00D10783" w:rsidP="00D10783">
            <w:pPr>
              <w:pStyle w:val="02Tabletext"/>
              <w:rPr>
                <w:lang w:val="en-AU"/>
              </w:rPr>
            </w:pPr>
            <w:r w:rsidRPr="00FC1976">
              <w:rPr>
                <w:lang w:val="en-AU"/>
              </w:rPr>
              <w:t>Multi-disciplinary team</w:t>
            </w:r>
          </w:p>
        </w:tc>
      </w:tr>
      <w:tr w:rsidR="00A54553" w:rsidRPr="00FC1976" w14:paraId="6FA9D571" w14:textId="77777777" w:rsidTr="00D10783">
        <w:tc>
          <w:tcPr>
            <w:tcW w:w="2128" w:type="dxa"/>
          </w:tcPr>
          <w:p w14:paraId="1F5F2EF0" w14:textId="77777777" w:rsidR="00A54553" w:rsidRPr="00A54553" w:rsidRDefault="00A54553" w:rsidP="00A54553">
            <w:pPr>
              <w:pStyle w:val="02Tabletext"/>
              <w:rPr>
                <w:lang w:val="en-AU"/>
              </w:rPr>
            </w:pPr>
            <w:r w:rsidRPr="00CE268D">
              <w:rPr>
                <w:lang w:val="en-AU"/>
              </w:rPr>
              <w:t>Misuse (of MBS item)</w:t>
            </w:r>
          </w:p>
        </w:tc>
        <w:tc>
          <w:tcPr>
            <w:tcW w:w="6888" w:type="dxa"/>
          </w:tcPr>
          <w:p w14:paraId="21986D67" w14:textId="77777777" w:rsidR="00A54553" w:rsidRPr="00A54553" w:rsidRDefault="00A54553" w:rsidP="00A54553">
            <w:pPr>
              <w:pStyle w:val="02Tabletext"/>
              <w:rPr>
                <w:lang w:val="en-AU"/>
              </w:rPr>
            </w:pPr>
            <w:r w:rsidRPr="00CE268D">
              <w:rPr>
                <w:lang w:val="en-AU"/>
              </w:rPr>
              <w:t>The use of MBS services for purposes other than those intended. This includes a range of behaviours, from failing to adhere to particular item descriptors or rules through to deliberate fraud.</w:t>
            </w:r>
          </w:p>
        </w:tc>
      </w:tr>
      <w:tr w:rsidR="00A54553" w:rsidRPr="00FC1976" w14:paraId="0F4E3DA7" w14:textId="77777777" w:rsidTr="00D10783">
        <w:tc>
          <w:tcPr>
            <w:tcW w:w="2128" w:type="dxa"/>
          </w:tcPr>
          <w:p w14:paraId="616E45C3" w14:textId="77777777" w:rsidR="00A54553" w:rsidRPr="00A54553" w:rsidRDefault="00A54553" w:rsidP="00A54553">
            <w:pPr>
              <w:pStyle w:val="02Tabletext"/>
              <w:rPr>
                <w:lang w:val="en-AU"/>
              </w:rPr>
            </w:pPr>
            <w:r w:rsidRPr="00A54553">
              <w:rPr>
                <w:lang w:val="en-AU"/>
              </w:rPr>
              <w:t>Multiple operation rule</w:t>
            </w:r>
          </w:p>
        </w:tc>
        <w:tc>
          <w:tcPr>
            <w:tcW w:w="6888" w:type="dxa"/>
          </w:tcPr>
          <w:p w14:paraId="5E773177" w14:textId="77777777" w:rsidR="00A54553" w:rsidRPr="00A54553" w:rsidRDefault="00A54553" w:rsidP="00A54553">
            <w:pPr>
              <w:pStyle w:val="02Tabletext"/>
              <w:rPr>
                <w:lang w:val="en-AU"/>
              </w:rPr>
            </w:pPr>
            <w:r w:rsidRPr="00A54553">
              <w:rPr>
                <w:lang w:val="en-AU"/>
              </w:rPr>
              <w:t>A rule governing the amount of Medicare benefit payable for multiple operations performed on a patient on the one occasion. In general, the fees for two or more operations are calculated by the following rule:</w:t>
            </w:r>
          </w:p>
          <w:p w14:paraId="1DB18417" w14:textId="77777777" w:rsidR="00A54553" w:rsidRPr="00A54553" w:rsidRDefault="00A54553" w:rsidP="00A54553">
            <w:pPr>
              <w:pStyle w:val="02Tabletext"/>
              <w:rPr>
                <w:lang w:val="en-AU"/>
              </w:rPr>
            </w:pPr>
            <w:r w:rsidRPr="00A54553">
              <w:rPr>
                <w:lang w:val="en-AU"/>
              </w:rPr>
              <w:t>– 100 per cent for the item with the greatest schedule fee.</w:t>
            </w:r>
          </w:p>
          <w:p w14:paraId="3E252260" w14:textId="77777777" w:rsidR="00A54553" w:rsidRPr="00A54553" w:rsidRDefault="00A54553" w:rsidP="00A54553">
            <w:pPr>
              <w:pStyle w:val="02Tabletext"/>
              <w:rPr>
                <w:lang w:val="en-AU"/>
              </w:rPr>
            </w:pPr>
            <w:r w:rsidRPr="00A54553">
              <w:rPr>
                <w:lang w:val="en-AU"/>
              </w:rPr>
              <w:t>– Plus 50 per cent for the item with the next greatest schedule fee.</w:t>
            </w:r>
          </w:p>
          <w:p w14:paraId="31A4834F" w14:textId="77777777" w:rsidR="00A54553" w:rsidRDefault="00A54553" w:rsidP="00A54553">
            <w:pPr>
              <w:pStyle w:val="02Tabletext"/>
              <w:rPr>
                <w:lang w:val="en-AU"/>
              </w:rPr>
            </w:pPr>
            <w:r w:rsidRPr="00A54553">
              <w:rPr>
                <w:lang w:val="en-AU"/>
              </w:rPr>
              <w:t>– Plus 25 per cent for each other item.</w:t>
            </w:r>
          </w:p>
        </w:tc>
      </w:tr>
      <w:tr w:rsidR="00D10783" w:rsidRPr="00FC1976" w14:paraId="05FD1689" w14:textId="77777777" w:rsidTr="00D10783">
        <w:tc>
          <w:tcPr>
            <w:tcW w:w="2128" w:type="dxa"/>
          </w:tcPr>
          <w:p w14:paraId="479FDBE0" w14:textId="77777777" w:rsidR="00D10783" w:rsidRPr="00FC1976" w:rsidRDefault="00D10783" w:rsidP="00D10783">
            <w:pPr>
              <w:pStyle w:val="02Tabletext"/>
              <w:rPr>
                <w:lang w:val="en-AU"/>
              </w:rPr>
            </w:pPr>
            <w:r w:rsidRPr="00FC1976">
              <w:rPr>
                <w:lang w:val="en-AU"/>
              </w:rPr>
              <w:t>Modified Monash Model</w:t>
            </w:r>
            <w:r>
              <w:rPr>
                <w:lang w:val="en-AU"/>
              </w:rPr>
              <w:t xml:space="preserve"> (MMM) </w:t>
            </w:r>
          </w:p>
        </w:tc>
        <w:tc>
          <w:tcPr>
            <w:tcW w:w="6888" w:type="dxa"/>
          </w:tcPr>
          <w:p w14:paraId="5AC300A8" w14:textId="77777777" w:rsidR="00D10783" w:rsidRPr="00FC1976" w:rsidRDefault="00D10783" w:rsidP="00D10783">
            <w:pPr>
              <w:pStyle w:val="02Tabletext"/>
              <w:rPr>
                <w:lang w:val="en-AU"/>
              </w:rPr>
            </w:pPr>
            <w:r w:rsidRPr="00FC1976">
              <w:rPr>
                <w:lang w:val="en-AU"/>
              </w:rPr>
              <w:t>A geographical classification system using up-to-date population data.</w:t>
            </w:r>
          </w:p>
        </w:tc>
      </w:tr>
      <w:tr w:rsidR="00D10783" w:rsidRPr="00FC1976" w14:paraId="70971055" w14:textId="77777777" w:rsidTr="00D10783">
        <w:tc>
          <w:tcPr>
            <w:tcW w:w="2128" w:type="dxa"/>
          </w:tcPr>
          <w:p w14:paraId="59562FA7" w14:textId="77777777" w:rsidR="00D10783" w:rsidRPr="00FC1976" w:rsidRDefault="00D10783" w:rsidP="00D10783">
            <w:pPr>
              <w:pStyle w:val="02Tabletext"/>
              <w:rPr>
                <w:lang w:val="en-AU"/>
              </w:rPr>
            </w:pPr>
            <w:r w:rsidRPr="00FC1976">
              <w:rPr>
                <w:lang w:val="en-AU"/>
              </w:rPr>
              <w:t>MSAC</w:t>
            </w:r>
          </w:p>
        </w:tc>
        <w:tc>
          <w:tcPr>
            <w:tcW w:w="6888" w:type="dxa"/>
          </w:tcPr>
          <w:p w14:paraId="5A6F081C" w14:textId="77777777" w:rsidR="00D10783" w:rsidRPr="00FC1976" w:rsidRDefault="00D10783" w:rsidP="00D10783">
            <w:pPr>
              <w:pStyle w:val="02Tabletext"/>
              <w:rPr>
                <w:lang w:val="en-AU"/>
              </w:rPr>
            </w:pPr>
            <w:r w:rsidRPr="00FC1976">
              <w:rPr>
                <w:lang w:val="en-AU"/>
              </w:rPr>
              <w:t>Medical Services Advisory Committee</w:t>
            </w:r>
          </w:p>
        </w:tc>
      </w:tr>
      <w:tr w:rsidR="00A54553" w:rsidRPr="00FC1976" w14:paraId="18E9C462" w14:textId="77777777" w:rsidTr="008F5BCA">
        <w:tc>
          <w:tcPr>
            <w:tcW w:w="2128" w:type="dxa"/>
          </w:tcPr>
          <w:p w14:paraId="6E5A77E0" w14:textId="77777777" w:rsidR="00A54553" w:rsidRPr="00A54553" w:rsidRDefault="00A54553" w:rsidP="00A54553">
            <w:pPr>
              <w:pStyle w:val="02Tabletext"/>
              <w:rPr>
                <w:lang w:val="en-AU"/>
              </w:rPr>
            </w:pPr>
            <w:r w:rsidRPr="00D718B1">
              <w:rPr>
                <w:lang w:val="en-AU"/>
              </w:rPr>
              <w:t xml:space="preserve">No change or unchanged </w:t>
            </w:r>
          </w:p>
        </w:tc>
        <w:tc>
          <w:tcPr>
            <w:tcW w:w="6888" w:type="dxa"/>
          </w:tcPr>
          <w:p w14:paraId="1FB5B4E7" w14:textId="77777777" w:rsidR="00A54553" w:rsidRPr="00A54553" w:rsidRDefault="00A54553" w:rsidP="00A54553">
            <w:pPr>
              <w:pStyle w:val="02Tabletext"/>
              <w:rPr>
                <w:lang w:val="en-AU"/>
              </w:rPr>
            </w:pPr>
            <w:r w:rsidRPr="00D718B1">
              <w:rPr>
                <w:lang w:val="en-AU"/>
              </w:rPr>
              <w:t>Describes when the services provided under these items will not be changed or affected by the recommendations. This does not rule out small changes in item descriptors (e.g., references to other items, which may have changed as a result of the MBS Review or prior reviews).</w:t>
            </w:r>
          </w:p>
        </w:tc>
      </w:tr>
      <w:tr w:rsidR="00D10783" w:rsidRPr="00FC1976" w14:paraId="3A525720" w14:textId="77777777" w:rsidTr="00D10783">
        <w:tc>
          <w:tcPr>
            <w:tcW w:w="2128" w:type="dxa"/>
            <w:vAlign w:val="center"/>
          </w:tcPr>
          <w:p w14:paraId="5B1F9B7F" w14:textId="687FAD81" w:rsidR="00D10783" w:rsidRPr="00FC1976" w:rsidRDefault="00D10783" w:rsidP="00D10783">
            <w:pPr>
              <w:pStyle w:val="02Tabletext"/>
              <w:rPr>
                <w:lang w:val="en-AU"/>
              </w:rPr>
            </w:pPr>
            <w:r w:rsidRPr="00FC1976">
              <w:rPr>
                <w:lang w:val="en-AU"/>
              </w:rPr>
              <w:t>NP&amp;</w:t>
            </w:r>
            <w:r w:rsidR="00621980">
              <w:rPr>
                <w:lang w:val="en-AU"/>
              </w:rPr>
              <w:t>P</w:t>
            </w:r>
            <w:r w:rsidRPr="00FC1976">
              <w:rPr>
                <w:lang w:val="en-AU"/>
              </w:rPr>
              <w:t>MCC</w:t>
            </w:r>
          </w:p>
        </w:tc>
        <w:tc>
          <w:tcPr>
            <w:tcW w:w="6888" w:type="dxa"/>
            <w:vAlign w:val="center"/>
          </w:tcPr>
          <w:p w14:paraId="669D444E" w14:textId="05302D18" w:rsidR="00D10783" w:rsidRPr="00FC1976" w:rsidRDefault="00D10783" w:rsidP="00D10783">
            <w:pPr>
              <w:pStyle w:val="02Tabletext"/>
              <w:rPr>
                <w:lang w:val="en-AU"/>
              </w:rPr>
            </w:pPr>
            <w:r w:rsidRPr="00FC1976">
              <w:rPr>
                <w:lang w:val="en-AU"/>
              </w:rPr>
              <w:t xml:space="preserve">Nurse Practitioner and </w:t>
            </w:r>
            <w:r w:rsidR="00621980">
              <w:rPr>
                <w:lang w:val="en-AU"/>
              </w:rPr>
              <w:t xml:space="preserve">Participating </w:t>
            </w:r>
            <w:r w:rsidRPr="00FC1976">
              <w:rPr>
                <w:lang w:val="en-AU"/>
              </w:rPr>
              <w:t xml:space="preserve">Midwife Clinical Committee </w:t>
            </w:r>
          </w:p>
        </w:tc>
      </w:tr>
      <w:tr w:rsidR="00D10783" w:rsidRPr="00FC1976" w14:paraId="5FB6EE00" w14:textId="77777777" w:rsidTr="00D10783">
        <w:tc>
          <w:tcPr>
            <w:tcW w:w="2128" w:type="dxa"/>
          </w:tcPr>
          <w:p w14:paraId="03E54AF5" w14:textId="77777777" w:rsidR="00D10783" w:rsidRPr="00FC1976" w:rsidRDefault="00D10783" w:rsidP="00D10783">
            <w:pPr>
              <w:pStyle w:val="02Tabletext"/>
              <w:rPr>
                <w:lang w:val="en-AU"/>
              </w:rPr>
            </w:pPr>
            <w:r w:rsidRPr="00FC1976">
              <w:rPr>
                <w:lang w:val="en-AU"/>
              </w:rPr>
              <w:t>Obsolete services</w:t>
            </w:r>
          </w:p>
        </w:tc>
        <w:tc>
          <w:tcPr>
            <w:tcW w:w="6888" w:type="dxa"/>
          </w:tcPr>
          <w:p w14:paraId="0E7954CD" w14:textId="77777777" w:rsidR="00D10783" w:rsidRPr="00FC1976" w:rsidRDefault="00D10783" w:rsidP="00D10783">
            <w:pPr>
              <w:pStyle w:val="02Tabletext"/>
              <w:rPr>
                <w:lang w:val="en-AU"/>
              </w:rPr>
            </w:pPr>
            <w:r w:rsidRPr="00FC1976">
              <w:rPr>
                <w:lang w:val="en-AU"/>
              </w:rPr>
              <w:t xml:space="preserve">Services that should no longer be </w:t>
            </w:r>
            <w:r>
              <w:rPr>
                <w:lang w:val="en-AU"/>
              </w:rPr>
              <w:t>provided</w:t>
            </w:r>
            <w:r w:rsidRPr="00FC1976">
              <w:rPr>
                <w:lang w:val="en-AU"/>
              </w:rPr>
              <w:t xml:space="preserve"> as they do not represent current clinical best practice and have been superseded by superior tests or procedures.</w:t>
            </w:r>
          </w:p>
        </w:tc>
      </w:tr>
      <w:tr w:rsidR="00D10783" w:rsidRPr="00FC1976" w14:paraId="73BE9E12" w14:textId="77777777" w:rsidTr="00D10783">
        <w:tc>
          <w:tcPr>
            <w:tcW w:w="2128" w:type="dxa"/>
          </w:tcPr>
          <w:p w14:paraId="07D55251" w14:textId="77777777" w:rsidR="00D10783" w:rsidRPr="00FC1976" w:rsidRDefault="00D10783" w:rsidP="00D10783">
            <w:pPr>
              <w:pStyle w:val="02Tabletext"/>
              <w:rPr>
                <w:lang w:val="en-AU"/>
              </w:rPr>
            </w:pPr>
            <w:r w:rsidRPr="00FC1976">
              <w:rPr>
                <w:lang w:val="en-AU"/>
              </w:rPr>
              <w:t>PBS</w:t>
            </w:r>
          </w:p>
        </w:tc>
        <w:tc>
          <w:tcPr>
            <w:tcW w:w="6888" w:type="dxa"/>
          </w:tcPr>
          <w:p w14:paraId="1DC39883" w14:textId="77777777" w:rsidR="00D10783" w:rsidRPr="00FC1976" w:rsidRDefault="00D10783" w:rsidP="00D10783">
            <w:pPr>
              <w:pStyle w:val="02Tabletext"/>
              <w:rPr>
                <w:lang w:val="en-AU"/>
              </w:rPr>
            </w:pPr>
            <w:r w:rsidRPr="00FC1976">
              <w:rPr>
                <w:lang w:val="en-AU"/>
              </w:rPr>
              <w:t>Pharmaceutical Benefits Scheme</w:t>
            </w:r>
          </w:p>
        </w:tc>
      </w:tr>
      <w:tr w:rsidR="00D10783" w:rsidRPr="00FC1976" w14:paraId="74CC42E7" w14:textId="77777777" w:rsidTr="00D10783">
        <w:tc>
          <w:tcPr>
            <w:tcW w:w="2128" w:type="dxa"/>
            <w:vAlign w:val="center"/>
          </w:tcPr>
          <w:p w14:paraId="72C3197D" w14:textId="243EB588" w:rsidR="00D10783" w:rsidRPr="00FC1976" w:rsidRDefault="00621980" w:rsidP="00D10783">
            <w:pPr>
              <w:pStyle w:val="02Tabletext"/>
              <w:rPr>
                <w:lang w:val="en-AU"/>
              </w:rPr>
            </w:pPr>
            <w:r>
              <w:rPr>
                <w:lang w:val="en-AU"/>
              </w:rPr>
              <w:t>GP</w:t>
            </w:r>
            <w:r w:rsidR="00D10783" w:rsidRPr="00FC1976">
              <w:rPr>
                <w:lang w:val="en-AU"/>
              </w:rPr>
              <w:t>PCCC</w:t>
            </w:r>
          </w:p>
        </w:tc>
        <w:tc>
          <w:tcPr>
            <w:tcW w:w="6888" w:type="dxa"/>
            <w:vAlign w:val="center"/>
          </w:tcPr>
          <w:p w14:paraId="41B5C17A" w14:textId="14C6E4A5" w:rsidR="00D10783" w:rsidRPr="00FC1976" w:rsidRDefault="00621980" w:rsidP="00D10783">
            <w:pPr>
              <w:pStyle w:val="02Tabletext"/>
              <w:rPr>
                <w:lang w:val="en-AU"/>
              </w:rPr>
            </w:pPr>
            <w:r>
              <w:rPr>
                <w:lang w:val="en-AU"/>
              </w:rPr>
              <w:t xml:space="preserve">General Practice and </w:t>
            </w:r>
            <w:r w:rsidR="00D10783" w:rsidRPr="00FC1976">
              <w:rPr>
                <w:lang w:val="en-AU"/>
              </w:rPr>
              <w:t>Primary Care Clinical Committee</w:t>
            </w:r>
          </w:p>
        </w:tc>
      </w:tr>
      <w:tr w:rsidR="00D10783" w:rsidRPr="00FC1976" w14:paraId="4F35298A" w14:textId="77777777" w:rsidTr="00D10783">
        <w:tc>
          <w:tcPr>
            <w:tcW w:w="2128" w:type="dxa"/>
            <w:vAlign w:val="center"/>
          </w:tcPr>
          <w:p w14:paraId="5B2F9319" w14:textId="77777777" w:rsidR="00D10783" w:rsidRPr="00FC1976" w:rsidRDefault="00D10783" w:rsidP="00D10783">
            <w:pPr>
              <w:pStyle w:val="02Tabletext"/>
              <w:rPr>
                <w:lang w:val="en-AU"/>
              </w:rPr>
            </w:pPr>
            <w:r>
              <w:rPr>
                <w:lang w:val="en-AU"/>
              </w:rPr>
              <w:t>RACGP</w:t>
            </w:r>
          </w:p>
        </w:tc>
        <w:tc>
          <w:tcPr>
            <w:tcW w:w="6888" w:type="dxa"/>
            <w:vAlign w:val="center"/>
          </w:tcPr>
          <w:p w14:paraId="4B2B1799" w14:textId="77777777" w:rsidR="00D10783" w:rsidRPr="00FC1976" w:rsidRDefault="00D10783" w:rsidP="00D10783">
            <w:pPr>
              <w:pStyle w:val="02Tabletext"/>
              <w:rPr>
                <w:lang w:val="en-AU"/>
              </w:rPr>
            </w:pPr>
            <w:r>
              <w:rPr>
                <w:lang w:val="en-AU"/>
              </w:rPr>
              <w:t>Royal Australian College of General Practitioners</w:t>
            </w:r>
          </w:p>
        </w:tc>
      </w:tr>
      <w:tr w:rsidR="00D10783" w:rsidRPr="00FC1976" w14:paraId="0D710AFA" w14:textId="77777777" w:rsidTr="00D10783">
        <w:tc>
          <w:tcPr>
            <w:tcW w:w="2128" w:type="dxa"/>
            <w:vAlign w:val="center"/>
          </w:tcPr>
          <w:p w14:paraId="45876E9F" w14:textId="0027B0F7" w:rsidR="00D10783" w:rsidRPr="00FC1976" w:rsidRDefault="00621980" w:rsidP="00D10783">
            <w:pPr>
              <w:pStyle w:val="02Tabletext"/>
              <w:rPr>
                <w:lang w:val="en-AU"/>
              </w:rPr>
            </w:pPr>
            <w:r>
              <w:rPr>
                <w:lang w:val="en-AU"/>
              </w:rPr>
              <w:t>CS</w:t>
            </w:r>
            <w:r w:rsidR="00D10783" w:rsidRPr="00FC1976">
              <w:rPr>
                <w:lang w:val="en-AU"/>
              </w:rPr>
              <w:t>CC</w:t>
            </w:r>
          </w:p>
        </w:tc>
        <w:tc>
          <w:tcPr>
            <w:tcW w:w="6888" w:type="dxa"/>
            <w:vAlign w:val="center"/>
          </w:tcPr>
          <w:p w14:paraId="77AB9B48" w14:textId="48E73A72" w:rsidR="00D10783" w:rsidRPr="00FC1976" w:rsidRDefault="00621980" w:rsidP="00621980">
            <w:pPr>
              <w:pStyle w:val="02Tabletext"/>
              <w:rPr>
                <w:lang w:val="en-AU"/>
              </w:rPr>
            </w:pPr>
            <w:r>
              <w:rPr>
                <w:lang w:val="en-AU"/>
              </w:rPr>
              <w:t>Consultation Services</w:t>
            </w:r>
            <w:r w:rsidR="00D10783" w:rsidRPr="00FC1976">
              <w:rPr>
                <w:lang w:val="en-AU"/>
              </w:rPr>
              <w:t xml:space="preserve"> Clinical Committee</w:t>
            </w:r>
          </w:p>
        </w:tc>
      </w:tr>
      <w:tr w:rsidR="00D10783" w:rsidRPr="00FC1976" w14:paraId="2110DD5C" w14:textId="77777777" w:rsidTr="00D10783">
        <w:tc>
          <w:tcPr>
            <w:tcW w:w="2128" w:type="dxa"/>
          </w:tcPr>
          <w:p w14:paraId="44BEC900" w14:textId="77777777" w:rsidR="00D10783" w:rsidRPr="00FC1976" w:rsidRDefault="00D10783" w:rsidP="00D10783">
            <w:pPr>
              <w:pStyle w:val="02Tabletext"/>
              <w:rPr>
                <w:lang w:val="en-AU"/>
              </w:rPr>
            </w:pPr>
            <w:r w:rsidRPr="00FC1976">
              <w:rPr>
                <w:lang w:val="en-AU"/>
              </w:rPr>
              <w:t>Services average annual growth</w:t>
            </w:r>
          </w:p>
        </w:tc>
        <w:tc>
          <w:tcPr>
            <w:tcW w:w="6888" w:type="dxa"/>
          </w:tcPr>
          <w:p w14:paraId="6631D6F8" w14:textId="77777777" w:rsidR="00D10783" w:rsidRPr="00FC1976" w:rsidRDefault="00D10783" w:rsidP="00D10783">
            <w:pPr>
              <w:pStyle w:val="02Tabletext"/>
              <w:rPr>
                <w:lang w:val="en-AU"/>
              </w:rPr>
            </w:pPr>
            <w:r w:rsidRPr="00FC1976">
              <w:rPr>
                <w:lang w:val="en-AU"/>
              </w:rPr>
              <w:t xml:space="preserve">The average growth per year, over </w:t>
            </w:r>
            <w:r>
              <w:rPr>
                <w:lang w:val="en-AU"/>
              </w:rPr>
              <w:t>five</w:t>
            </w:r>
            <w:r w:rsidRPr="00FC1976">
              <w:rPr>
                <w:lang w:val="en-AU"/>
              </w:rPr>
              <w:t xml:space="preserve"> years to 2014/15, in utilisation of services. Also known as </w:t>
            </w:r>
            <w:r>
              <w:rPr>
                <w:lang w:val="en-AU"/>
              </w:rPr>
              <w:t xml:space="preserve">the </w:t>
            </w:r>
            <w:r w:rsidRPr="00FC1976">
              <w:rPr>
                <w:lang w:val="en-AU"/>
              </w:rPr>
              <w:t>compound annual growth rate (CAGR).</w:t>
            </w:r>
          </w:p>
        </w:tc>
      </w:tr>
      <w:tr w:rsidR="00D10783" w:rsidRPr="00FC1976" w14:paraId="561B677B" w14:textId="77777777" w:rsidTr="00D10783">
        <w:tc>
          <w:tcPr>
            <w:tcW w:w="2128" w:type="dxa"/>
            <w:vAlign w:val="center"/>
          </w:tcPr>
          <w:p w14:paraId="1F08D02A" w14:textId="77777777" w:rsidR="00D10783" w:rsidRPr="00FC1976" w:rsidRDefault="00D10783" w:rsidP="00D10783">
            <w:pPr>
              <w:pStyle w:val="02Tabletext"/>
              <w:rPr>
                <w:lang w:val="en-AU"/>
              </w:rPr>
            </w:pPr>
            <w:r w:rsidRPr="00FC1976">
              <w:rPr>
                <w:lang w:val="en-AU"/>
              </w:rPr>
              <w:t xml:space="preserve">The Committee </w:t>
            </w:r>
          </w:p>
        </w:tc>
        <w:tc>
          <w:tcPr>
            <w:tcW w:w="6888" w:type="dxa"/>
            <w:vAlign w:val="center"/>
          </w:tcPr>
          <w:p w14:paraId="3026A883" w14:textId="77777777" w:rsidR="00D10783" w:rsidRPr="00FC1976" w:rsidRDefault="00D10783" w:rsidP="00D10783">
            <w:pPr>
              <w:pStyle w:val="02Tabletext"/>
              <w:rPr>
                <w:lang w:val="en-AU"/>
              </w:rPr>
            </w:pPr>
            <w:r w:rsidRPr="00FC1976">
              <w:rPr>
                <w:lang w:val="en-AU"/>
              </w:rPr>
              <w:t xml:space="preserve">The Renal Clinical Committee </w:t>
            </w:r>
          </w:p>
        </w:tc>
      </w:tr>
      <w:tr w:rsidR="00D10783" w:rsidRPr="00FC1976" w14:paraId="30DDE11E" w14:textId="77777777" w:rsidTr="00D10783">
        <w:tc>
          <w:tcPr>
            <w:tcW w:w="2128" w:type="dxa"/>
            <w:vAlign w:val="center"/>
          </w:tcPr>
          <w:p w14:paraId="745DB4DE" w14:textId="77777777" w:rsidR="00D10783" w:rsidRPr="00FC1976" w:rsidRDefault="00D10783" w:rsidP="00D10783">
            <w:pPr>
              <w:pStyle w:val="02Tabletext"/>
              <w:rPr>
                <w:lang w:val="en-AU"/>
              </w:rPr>
            </w:pPr>
            <w:r w:rsidRPr="00FC1976">
              <w:rPr>
                <w:lang w:val="en-AU"/>
              </w:rPr>
              <w:t xml:space="preserve">The Taskforce </w:t>
            </w:r>
          </w:p>
        </w:tc>
        <w:tc>
          <w:tcPr>
            <w:tcW w:w="6888" w:type="dxa"/>
            <w:vAlign w:val="center"/>
          </w:tcPr>
          <w:p w14:paraId="49F0AB06" w14:textId="77777777" w:rsidR="00D10783" w:rsidRPr="00FC1976" w:rsidRDefault="00D10783" w:rsidP="00D10783">
            <w:pPr>
              <w:pStyle w:val="02Tabletext"/>
              <w:rPr>
                <w:lang w:val="en-AU"/>
              </w:rPr>
            </w:pPr>
            <w:r w:rsidRPr="00FC1976">
              <w:rPr>
                <w:lang w:val="en-AU"/>
              </w:rPr>
              <w:t xml:space="preserve">The MBS Review Taskforce </w:t>
            </w:r>
          </w:p>
        </w:tc>
      </w:tr>
      <w:tr w:rsidR="00D10783" w:rsidRPr="00FC1976" w14:paraId="0A364461" w14:textId="77777777" w:rsidTr="00D10783">
        <w:tc>
          <w:tcPr>
            <w:tcW w:w="2128" w:type="dxa"/>
          </w:tcPr>
          <w:p w14:paraId="4B1210DE" w14:textId="77777777" w:rsidR="00D10783" w:rsidRPr="00FC1976" w:rsidRDefault="00D10783" w:rsidP="00D10783">
            <w:pPr>
              <w:pStyle w:val="02Tabletext"/>
              <w:rPr>
                <w:lang w:val="en-AU"/>
              </w:rPr>
            </w:pPr>
            <w:r w:rsidRPr="00FC1976">
              <w:rPr>
                <w:lang w:val="en-AU"/>
              </w:rPr>
              <w:t>Total benefits</w:t>
            </w:r>
          </w:p>
        </w:tc>
        <w:tc>
          <w:tcPr>
            <w:tcW w:w="6888" w:type="dxa"/>
          </w:tcPr>
          <w:p w14:paraId="0F1DEDBE" w14:textId="77777777" w:rsidR="00D10783" w:rsidRPr="00FC1976" w:rsidRDefault="00D10783" w:rsidP="00D10783">
            <w:pPr>
              <w:pStyle w:val="02Tabletext"/>
              <w:rPr>
                <w:lang w:val="en-AU"/>
              </w:rPr>
            </w:pPr>
            <w:r w:rsidRPr="00FC1976">
              <w:rPr>
                <w:lang w:val="en-AU"/>
              </w:rPr>
              <w:t>Total benefits paid in 2014/15 unless otherwise specified.</w:t>
            </w:r>
          </w:p>
        </w:tc>
      </w:tr>
      <w:tr w:rsidR="00D10783" w:rsidRPr="00FC1976" w14:paraId="068FE410" w14:textId="77777777" w:rsidTr="00D10783">
        <w:tc>
          <w:tcPr>
            <w:tcW w:w="2128" w:type="dxa"/>
            <w:vAlign w:val="center"/>
          </w:tcPr>
          <w:p w14:paraId="5EE9F31C" w14:textId="77777777" w:rsidR="00D10783" w:rsidRPr="00FC1976" w:rsidRDefault="00D10783" w:rsidP="00D10783">
            <w:pPr>
              <w:pStyle w:val="02Tabletext"/>
              <w:rPr>
                <w:lang w:val="en-AU"/>
              </w:rPr>
            </w:pPr>
            <w:r w:rsidRPr="00FC1976">
              <w:rPr>
                <w:lang w:val="en-AU"/>
              </w:rPr>
              <w:t>UCC</w:t>
            </w:r>
          </w:p>
        </w:tc>
        <w:tc>
          <w:tcPr>
            <w:tcW w:w="6888" w:type="dxa"/>
            <w:vAlign w:val="center"/>
          </w:tcPr>
          <w:p w14:paraId="50206A03" w14:textId="77777777" w:rsidR="00D10783" w:rsidRPr="00FC1976" w:rsidRDefault="00D10783" w:rsidP="00D10783">
            <w:pPr>
              <w:pStyle w:val="02Tabletext"/>
              <w:rPr>
                <w:lang w:val="en-AU"/>
              </w:rPr>
            </w:pPr>
            <w:r w:rsidRPr="00FC1976">
              <w:rPr>
                <w:lang w:val="en-AU"/>
              </w:rPr>
              <w:t xml:space="preserve">Urology Clinical Committee </w:t>
            </w:r>
          </w:p>
        </w:tc>
      </w:tr>
    </w:tbl>
    <w:p w14:paraId="592CEDA9" w14:textId="77777777" w:rsidR="007547A9" w:rsidRDefault="007547A9" w:rsidP="00B325D6">
      <w:pPr>
        <w:tabs>
          <w:tab w:val="left" w:pos="3334"/>
        </w:tabs>
        <w:rPr>
          <w:lang w:val="en-AU" w:eastAsia="en-US"/>
        </w:rPr>
      </w:pPr>
    </w:p>
    <w:sectPr w:rsidR="007547A9" w:rsidSect="00151F01">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BAA50" w14:textId="77777777" w:rsidR="00BE00D3" w:rsidRDefault="00BE00D3" w:rsidP="00082595">
      <w:r>
        <w:separator/>
      </w:r>
    </w:p>
    <w:p w14:paraId="101184AD" w14:textId="77777777" w:rsidR="00BE00D3" w:rsidRDefault="00BE00D3" w:rsidP="00082595"/>
    <w:p w14:paraId="0B1B8A83" w14:textId="77777777" w:rsidR="00BE00D3" w:rsidRDefault="00BE00D3"/>
  </w:endnote>
  <w:endnote w:type="continuationSeparator" w:id="0">
    <w:p w14:paraId="45E2195D" w14:textId="77777777" w:rsidR="00BE00D3" w:rsidRDefault="00BE00D3" w:rsidP="00082595">
      <w:r>
        <w:continuationSeparator/>
      </w:r>
    </w:p>
    <w:p w14:paraId="0DF3EEAA" w14:textId="77777777" w:rsidR="00BE00D3" w:rsidRDefault="00BE00D3" w:rsidP="00082595"/>
    <w:p w14:paraId="6217961F" w14:textId="77777777" w:rsidR="00BE00D3" w:rsidRDefault="00BE00D3"/>
  </w:endnote>
  <w:endnote w:type="continuationNotice" w:id="1">
    <w:p w14:paraId="6188A01E" w14:textId="77777777" w:rsidR="00BE00D3" w:rsidRDefault="00BE00D3" w:rsidP="00082595"/>
    <w:p w14:paraId="5173784A" w14:textId="77777777" w:rsidR="00BE00D3" w:rsidRDefault="00BE0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B7BC" w14:textId="3709C5DF" w:rsidR="00740D54" w:rsidRPr="008460E3" w:rsidRDefault="00740D54" w:rsidP="008460E3">
    <w:pPr>
      <w:pStyle w:val="Footer"/>
      <w:pBdr>
        <w:top w:val="single" w:sz="4" w:space="1" w:color="B66113"/>
      </w:pBdr>
      <w:tabs>
        <w:tab w:val="clear" w:pos="4513"/>
      </w:tabs>
      <w:rPr>
        <w:color w:val="01653F"/>
      </w:rPr>
    </w:pPr>
    <w:r w:rsidRPr="008460E3">
      <w:rPr>
        <w:color w:val="01653F"/>
      </w:rPr>
      <w:t xml:space="preserve">Report from the Renal Clinical Committee – </w:t>
    </w:r>
    <w:r>
      <w:rPr>
        <w:color w:val="01653F"/>
      </w:rPr>
      <w:t>December</w:t>
    </w:r>
    <w:r w:rsidRPr="008460E3">
      <w:rPr>
        <w:color w:val="01653F"/>
      </w:rPr>
      <w:t xml:space="preserve"> 2016</w:t>
    </w:r>
    <w:r w:rsidRPr="003B1222">
      <w:tab/>
    </w:r>
    <w:r w:rsidRPr="008460E3">
      <w:rPr>
        <w:color w:val="01653F"/>
      </w:rPr>
      <w:t xml:space="preserve">Page </w:t>
    </w:r>
    <w:r w:rsidRPr="008460E3">
      <w:rPr>
        <w:color w:val="01653F"/>
      </w:rPr>
      <w:fldChar w:fldCharType="begin"/>
    </w:r>
    <w:r w:rsidRPr="002D6286">
      <w:rPr>
        <w:color w:val="01653F"/>
      </w:rPr>
      <w:instrText xml:space="preserve"> PAGE   \* MERGEFORMAT </w:instrText>
    </w:r>
    <w:r w:rsidRPr="008460E3">
      <w:rPr>
        <w:color w:val="01653F"/>
      </w:rPr>
      <w:fldChar w:fldCharType="separate"/>
    </w:r>
    <w:r w:rsidR="00EF37D0" w:rsidRPr="00EF37D0">
      <w:rPr>
        <w:rFonts w:eastAsiaTheme="majorEastAsia"/>
        <w:noProof/>
        <w:color w:val="01653F"/>
      </w:rPr>
      <w:t>2</w:t>
    </w:r>
    <w:r w:rsidRPr="008460E3">
      <w:rPr>
        <w:color w:val="01653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30CD" w14:textId="46FF3409" w:rsidR="00740D54" w:rsidRPr="008460E3" w:rsidRDefault="00740D54" w:rsidP="00245933">
    <w:pPr>
      <w:pStyle w:val="Footer"/>
      <w:pBdr>
        <w:top w:val="single" w:sz="4" w:space="1" w:color="B66113"/>
      </w:pBdr>
      <w:tabs>
        <w:tab w:val="clear" w:pos="4513"/>
        <w:tab w:val="clear" w:pos="9026"/>
        <w:tab w:val="right" w:pos="13892"/>
      </w:tabs>
      <w:rPr>
        <w:color w:val="01653F"/>
      </w:rPr>
    </w:pPr>
    <w:r w:rsidRPr="008460E3">
      <w:rPr>
        <w:color w:val="01653F"/>
      </w:rPr>
      <w:t xml:space="preserve">Report from the </w:t>
    </w:r>
    <w:r w:rsidRPr="005D41CC">
      <w:rPr>
        <w:color w:val="01653F"/>
      </w:rPr>
      <w:t xml:space="preserve">Renal Clinical Committee - </w:t>
    </w:r>
    <w:r>
      <w:rPr>
        <w:color w:val="01653F"/>
      </w:rPr>
      <w:t>December</w:t>
    </w:r>
    <w:r w:rsidRPr="008460E3">
      <w:rPr>
        <w:color w:val="01653F"/>
      </w:rPr>
      <w:t xml:space="preserve"> 2016</w:t>
    </w:r>
    <w:r w:rsidRPr="003B1222">
      <w:tab/>
    </w:r>
    <w:r w:rsidRPr="008460E3">
      <w:rPr>
        <w:color w:val="01653F"/>
      </w:rPr>
      <w:t xml:space="preserve">Page </w:t>
    </w:r>
    <w:r w:rsidRPr="008460E3">
      <w:rPr>
        <w:color w:val="01653F"/>
      </w:rPr>
      <w:fldChar w:fldCharType="begin"/>
    </w:r>
    <w:r w:rsidRPr="002D6286">
      <w:rPr>
        <w:color w:val="01653F"/>
      </w:rPr>
      <w:instrText xml:space="preserve"> PAGE   \* MERGEFORMAT </w:instrText>
    </w:r>
    <w:r w:rsidRPr="008460E3">
      <w:rPr>
        <w:color w:val="01653F"/>
      </w:rPr>
      <w:fldChar w:fldCharType="separate"/>
    </w:r>
    <w:r w:rsidR="00EF37D0" w:rsidRPr="00EF37D0">
      <w:rPr>
        <w:rFonts w:eastAsiaTheme="majorEastAsia"/>
        <w:noProof/>
        <w:color w:val="01653F"/>
      </w:rPr>
      <w:t>49</w:t>
    </w:r>
    <w:r w:rsidRPr="008460E3">
      <w:rPr>
        <w:color w:val="01653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08905" w14:textId="77777777" w:rsidR="00740D54" w:rsidRDefault="00740D54" w:rsidP="00082595">
    <w:pPr>
      <w:pStyle w:val="Footer"/>
    </w:pPr>
  </w:p>
  <w:p w14:paraId="7BC009ED" w14:textId="77777777" w:rsidR="00740D54" w:rsidRDefault="00740D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1004" w14:textId="3B93524A" w:rsidR="00740D54" w:rsidRPr="006B6DBF" w:rsidRDefault="00740D54" w:rsidP="00082595">
    <w:pPr>
      <w:pStyle w:val="Footer"/>
    </w:pPr>
    <w:r w:rsidRPr="008460E3">
      <w:rPr>
        <w:color w:val="01653F"/>
      </w:rPr>
      <w:t xml:space="preserve">Report from the </w:t>
    </w:r>
    <w:r w:rsidRPr="005D41CC">
      <w:rPr>
        <w:color w:val="01653F"/>
      </w:rPr>
      <w:t xml:space="preserve">Renal Clinical Committee - </w:t>
    </w:r>
    <w:r>
      <w:rPr>
        <w:color w:val="01653F"/>
      </w:rPr>
      <w:t>December</w:t>
    </w:r>
    <w:r w:rsidRPr="008460E3">
      <w:rPr>
        <w:color w:val="01653F"/>
      </w:rPr>
      <w:t xml:space="preserve"> 2016</w:t>
    </w:r>
    <w:r w:rsidRPr="003B1222">
      <w:tab/>
    </w:r>
    <w:r w:rsidRPr="008460E3">
      <w:rPr>
        <w:color w:val="01653F"/>
      </w:rPr>
      <w:t xml:space="preserve">Page </w:t>
    </w:r>
    <w:r w:rsidRPr="008460E3">
      <w:rPr>
        <w:color w:val="01653F"/>
      </w:rPr>
      <w:fldChar w:fldCharType="begin"/>
    </w:r>
    <w:r w:rsidRPr="008460E3">
      <w:rPr>
        <w:color w:val="01653F"/>
      </w:rPr>
      <w:instrText xml:space="preserve"> PAGE   \* MERGEFORMAT </w:instrText>
    </w:r>
    <w:r w:rsidRPr="008460E3">
      <w:rPr>
        <w:color w:val="01653F"/>
      </w:rPr>
      <w:fldChar w:fldCharType="separate"/>
    </w:r>
    <w:r w:rsidR="00EF37D0" w:rsidRPr="00EF37D0">
      <w:rPr>
        <w:rFonts w:eastAsiaTheme="majorEastAsia"/>
        <w:noProof/>
        <w:color w:val="01653F"/>
      </w:rPr>
      <w:t>51</w:t>
    </w:r>
    <w:r w:rsidRPr="008460E3">
      <w:rPr>
        <w:color w:val="01653F"/>
      </w:rPr>
      <w:fldChar w:fldCharType="end"/>
    </w:r>
  </w:p>
  <w:p w14:paraId="7778A52E" w14:textId="77777777" w:rsidR="00740D54" w:rsidRDefault="00740D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C792" w14:textId="77777777" w:rsidR="00740D54" w:rsidRDefault="00740D54" w:rsidP="0008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69699" w14:textId="77777777" w:rsidR="00BE00D3" w:rsidRDefault="00BE00D3" w:rsidP="00082595">
      <w:r>
        <w:separator/>
      </w:r>
    </w:p>
    <w:p w14:paraId="0F9C3338" w14:textId="77777777" w:rsidR="00BE00D3" w:rsidRDefault="00BE00D3"/>
  </w:footnote>
  <w:footnote w:type="continuationSeparator" w:id="0">
    <w:p w14:paraId="333D1374" w14:textId="77777777" w:rsidR="00BE00D3" w:rsidRDefault="00BE00D3" w:rsidP="00082595">
      <w:r>
        <w:continuationSeparator/>
      </w:r>
    </w:p>
    <w:p w14:paraId="49201EC9" w14:textId="77777777" w:rsidR="00BE00D3" w:rsidRDefault="00BE00D3" w:rsidP="00082595"/>
    <w:p w14:paraId="7049D018" w14:textId="77777777" w:rsidR="00BE00D3" w:rsidRDefault="00BE00D3"/>
  </w:footnote>
  <w:footnote w:type="continuationNotice" w:id="1">
    <w:p w14:paraId="3F517739" w14:textId="77777777" w:rsidR="00BE00D3" w:rsidRDefault="00BE00D3" w:rsidP="00082595"/>
    <w:p w14:paraId="33579DD3" w14:textId="77777777" w:rsidR="00BE00D3" w:rsidRDefault="00BE0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5640" w14:textId="77777777" w:rsidR="00740D54" w:rsidRDefault="00740D54" w:rsidP="00082595">
    <w:pPr>
      <w:pStyle w:val="Header"/>
    </w:pPr>
  </w:p>
  <w:p w14:paraId="42CD05CE" w14:textId="77777777" w:rsidR="00740D54" w:rsidRDefault="00740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4E86" w14:textId="77777777" w:rsidR="00740D54" w:rsidRPr="00635906" w:rsidRDefault="00740D54" w:rsidP="00635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7554" w14:textId="77777777" w:rsidR="00740D54" w:rsidRDefault="00740D54" w:rsidP="0008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5CF2"/>
    <w:multiLevelType w:val="hybridMultilevel"/>
    <w:tmpl w:val="94645E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B92C8B"/>
    <w:multiLevelType w:val="hybridMultilevel"/>
    <w:tmpl w:val="C5A606F0"/>
    <w:lvl w:ilvl="0" w:tplc="82708660">
      <w:start w:val="1"/>
      <w:numFmt w:val="lowerLetter"/>
      <w:pStyle w:val="06letter2"/>
      <w:lvlText w:val="%1."/>
      <w:lvlJc w:val="left"/>
      <w:pPr>
        <w:ind w:left="1077" w:hanging="360"/>
      </w:pPr>
      <w:rPr>
        <w:rFonts w:ascii="Arial" w:hAnsi="Arial" w:hint="default"/>
        <w:color w:val="auto"/>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23834"/>
    <w:multiLevelType w:val="hybridMultilevel"/>
    <w:tmpl w:val="0E82CDC2"/>
    <w:lvl w:ilvl="0" w:tplc="2A5EDBD6">
      <w:start w:val="1"/>
      <w:numFmt w:val="upperLetter"/>
      <w:pStyle w:val="AppendixStyle1"/>
      <w:lvlText w:val="Appendix %1 -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0B27BFD"/>
    <w:multiLevelType w:val="multilevel"/>
    <w:tmpl w:val="8DB4AC64"/>
    <w:lvl w:ilvl="0">
      <w:start w:val="1"/>
      <w:numFmt w:val="bullet"/>
      <w:lvlText w:val="■"/>
      <w:lvlJc w:val="left"/>
      <w:pPr>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93547"/>
    <w:multiLevelType w:val="multilevel"/>
    <w:tmpl w:val="8DB4AC64"/>
    <w:styleLink w:val="Style2"/>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7"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F11481"/>
    <w:multiLevelType w:val="multilevel"/>
    <w:tmpl w:val="37567186"/>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25728B"/>
    <w:multiLevelType w:val="hybridMultilevel"/>
    <w:tmpl w:val="6E4CDA9A"/>
    <w:lvl w:ilvl="0" w:tplc="E92E145C">
      <w:start w:val="1"/>
      <w:numFmt w:val="lowerLetter"/>
      <w:lvlText w:val="(%1)"/>
      <w:lvlJc w:val="left"/>
      <w:pPr>
        <w:tabs>
          <w:tab w:val="num" w:pos="720"/>
        </w:tabs>
        <w:ind w:left="720" w:hanging="360"/>
      </w:pPr>
    </w:lvl>
    <w:lvl w:ilvl="1" w:tplc="0C09001B">
      <w:start w:val="1"/>
      <w:numFmt w:val="lowerRoman"/>
      <w:lvlText w:val="%2."/>
      <w:lvlJc w:val="right"/>
      <w:pPr>
        <w:tabs>
          <w:tab w:val="num" w:pos="1440"/>
        </w:tabs>
        <w:ind w:left="1440" w:hanging="360"/>
      </w:pPr>
    </w:lvl>
    <w:lvl w:ilvl="2" w:tplc="F5903DB4" w:tentative="1">
      <w:start w:val="1"/>
      <w:numFmt w:val="lowerLetter"/>
      <w:lvlText w:val="(%3)"/>
      <w:lvlJc w:val="left"/>
      <w:pPr>
        <w:tabs>
          <w:tab w:val="num" w:pos="2160"/>
        </w:tabs>
        <w:ind w:left="2160" w:hanging="360"/>
      </w:pPr>
    </w:lvl>
    <w:lvl w:ilvl="3" w:tplc="A0042C6C" w:tentative="1">
      <w:start w:val="1"/>
      <w:numFmt w:val="lowerLetter"/>
      <w:lvlText w:val="(%4)"/>
      <w:lvlJc w:val="left"/>
      <w:pPr>
        <w:tabs>
          <w:tab w:val="num" w:pos="2880"/>
        </w:tabs>
        <w:ind w:left="2880" w:hanging="360"/>
      </w:pPr>
    </w:lvl>
    <w:lvl w:ilvl="4" w:tplc="75025596" w:tentative="1">
      <w:start w:val="1"/>
      <w:numFmt w:val="lowerLetter"/>
      <w:lvlText w:val="(%5)"/>
      <w:lvlJc w:val="left"/>
      <w:pPr>
        <w:tabs>
          <w:tab w:val="num" w:pos="3600"/>
        </w:tabs>
        <w:ind w:left="3600" w:hanging="360"/>
      </w:pPr>
    </w:lvl>
    <w:lvl w:ilvl="5" w:tplc="DBCE05F0" w:tentative="1">
      <w:start w:val="1"/>
      <w:numFmt w:val="lowerLetter"/>
      <w:lvlText w:val="(%6)"/>
      <w:lvlJc w:val="left"/>
      <w:pPr>
        <w:tabs>
          <w:tab w:val="num" w:pos="4320"/>
        </w:tabs>
        <w:ind w:left="4320" w:hanging="360"/>
      </w:pPr>
    </w:lvl>
    <w:lvl w:ilvl="6" w:tplc="0C00E23E" w:tentative="1">
      <w:start w:val="1"/>
      <w:numFmt w:val="lowerLetter"/>
      <w:lvlText w:val="(%7)"/>
      <w:lvlJc w:val="left"/>
      <w:pPr>
        <w:tabs>
          <w:tab w:val="num" w:pos="5040"/>
        </w:tabs>
        <w:ind w:left="5040" w:hanging="360"/>
      </w:pPr>
    </w:lvl>
    <w:lvl w:ilvl="7" w:tplc="F5C6576C" w:tentative="1">
      <w:start w:val="1"/>
      <w:numFmt w:val="lowerLetter"/>
      <w:lvlText w:val="(%8)"/>
      <w:lvlJc w:val="left"/>
      <w:pPr>
        <w:tabs>
          <w:tab w:val="num" w:pos="5760"/>
        </w:tabs>
        <w:ind w:left="5760" w:hanging="360"/>
      </w:pPr>
    </w:lvl>
    <w:lvl w:ilvl="8" w:tplc="65DAC816" w:tentative="1">
      <w:start w:val="1"/>
      <w:numFmt w:val="lowerLetter"/>
      <w:lvlText w:val="(%9)"/>
      <w:lvlJc w:val="left"/>
      <w:pPr>
        <w:tabs>
          <w:tab w:val="num" w:pos="6480"/>
        </w:tabs>
        <w:ind w:left="6480" w:hanging="360"/>
      </w:pPr>
    </w:lvl>
  </w:abstractNum>
  <w:abstractNum w:abstractNumId="10" w15:restartNumberingAfterBreak="0">
    <w:nsid w:val="3B434427"/>
    <w:multiLevelType w:val="multilevel"/>
    <w:tmpl w:val="778A5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12"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8F32F2"/>
    <w:multiLevelType w:val="hybridMultilevel"/>
    <w:tmpl w:val="BAD65864"/>
    <w:lvl w:ilvl="0" w:tplc="EC3C395E">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15:restartNumberingAfterBreak="0">
    <w:nsid w:val="5C574A11"/>
    <w:multiLevelType w:val="multilevel"/>
    <w:tmpl w:val="8DB4AC64"/>
    <w:numStyleLink w:val="Style2"/>
  </w:abstractNum>
  <w:abstractNum w:abstractNumId="18"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9"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1"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2" w15:restartNumberingAfterBreak="0">
    <w:nsid w:val="7B8E557E"/>
    <w:multiLevelType w:val="multilevel"/>
    <w:tmpl w:val="B04AABB8"/>
    <w:lvl w:ilvl="0">
      <w:start w:val="1"/>
      <w:numFmt w:val="decimal"/>
      <w:pStyle w:val="05number1"/>
      <w:lvlText w:val="%1."/>
      <w:lvlJc w:val="left"/>
      <w:pPr>
        <w:ind w:left="360" w:hanging="360"/>
      </w:pPr>
      <w:rPr>
        <w:rFonts w:asciiTheme="minorHAnsi" w:hAnsiTheme="minorHAnsi" w:hint="default"/>
        <w:color w:val="auto"/>
        <w:sz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EDB59BA"/>
    <w:multiLevelType w:val="multilevel"/>
    <w:tmpl w:val="8DB4AC64"/>
    <w:numStyleLink w:val="Style2"/>
  </w:abstractNum>
  <w:num w:numId="1">
    <w:abstractNumId w:val="15"/>
  </w:num>
  <w:num w:numId="2">
    <w:abstractNumId w:val="8"/>
  </w:num>
  <w:num w:numId="3">
    <w:abstractNumId w:val="13"/>
  </w:num>
  <w:num w:numId="4">
    <w:abstractNumId w:val="7"/>
  </w:num>
  <w:num w:numId="5">
    <w:abstractNumId w:val="3"/>
  </w:num>
  <w:num w:numId="6">
    <w:abstractNumId w:val="17"/>
  </w:num>
  <w:num w:numId="7">
    <w:abstractNumId w:val="23"/>
  </w:num>
  <w:num w:numId="8">
    <w:abstractNumId w:val="16"/>
  </w:num>
  <w:num w:numId="9">
    <w:abstractNumId w:val="22"/>
  </w:num>
  <w:num w:numId="10">
    <w:abstractNumId w:val="1"/>
  </w:num>
  <w:num w:numId="11">
    <w:abstractNumId w:val="11"/>
  </w:num>
  <w:num w:numId="12">
    <w:abstractNumId w:val="21"/>
  </w:num>
  <w:num w:numId="13">
    <w:abstractNumId w:val="18"/>
  </w:num>
  <w:num w:numId="14">
    <w:abstractNumId w:val="14"/>
  </w:num>
  <w:num w:numId="15">
    <w:abstractNumId w:val="19"/>
  </w:num>
  <w:num w:numId="16">
    <w:abstractNumId w:val="6"/>
  </w:num>
  <w:num w:numId="17">
    <w:abstractNumId w:val="24"/>
  </w:num>
  <w:num w:numId="18">
    <w:abstractNumId w:val="8"/>
  </w:num>
  <w:num w:numId="19">
    <w:abstractNumId w:val="5"/>
  </w:num>
  <w:num w:numId="20">
    <w:abstractNumId w:val="4"/>
  </w:num>
  <w:num w:numId="21">
    <w:abstractNumId w:val="9"/>
  </w:num>
  <w:num w:numId="22">
    <w:abstractNumId w:val="0"/>
  </w:num>
  <w:num w:numId="23">
    <w:abstractNumId w:val="24"/>
  </w:num>
  <w:num w:numId="24">
    <w:abstractNumId w:val="24"/>
  </w:num>
  <w:num w:numId="25">
    <w:abstractNumId w:val="2"/>
  </w:num>
  <w:num w:numId="26">
    <w:abstractNumId w:val="10"/>
  </w:num>
  <w:num w:numId="27">
    <w:abstractNumId w:val="20"/>
  </w:num>
  <w:num w:numId="2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5DB"/>
    <w:rsid w:val="000006E3"/>
    <w:rsid w:val="000007FA"/>
    <w:rsid w:val="00000940"/>
    <w:rsid w:val="00000A1D"/>
    <w:rsid w:val="00000C05"/>
    <w:rsid w:val="00000EF0"/>
    <w:rsid w:val="000012D6"/>
    <w:rsid w:val="000017F9"/>
    <w:rsid w:val="0000185E"/>
    <w:rsid w:val="00001B0E"/>
    <w:rsid w:val="00001F7B"/>
    <w:rsid w:val="000021A9"/>
    <w:rsid w:val="00002477"/>
    <w:rsid w:val="00002678"/>
    <w:rsid w:val="00002FBF"/>
    <w:rsid w:val="000037FE"/>
    <w:rsid w:val="000041AB"/>
    <w:rsid w:val="000044E9"/>
    <w:rsid w:val="00004920"/>
    <w:rsid w:val="00004CCA"/>
    <w:rsid w:val="0000566B"/>
    <w:rsid w:val="00005D04"/>
    <w:rsid w:val="00006020"/>
    <w:rsid w:val="000060B8"/>
    <w:rsid w:val="00006876"/>
    <w:rsid w:val="00006915"/>
    <w:rsid w:val="00006AE9"/>
    <w:rsid w:val="00007682"/>
    <w:rsid w:val="00007CFB"/>
    <w:rsid w:val="00007E33"/>
    <w:rsid w:val="0001005C"/>
    <w:rsid w:val="000107B3"/>
    <w:rsid w:val="0001084A"/>
    <w:rsid w:val="000126EA"/>
    <w:rsid w:val="0001353E"/>
    <w:rsid w:val="00013630"/>
    <w:rsid w:val="00013662"/>
    <w:rsid w:val="00013881"/>
    <w:rsid w:val="0001393A"/>
    <w:rsid w:val="000140C8"/>
    <w:rsid w:val="00014305"/>
    <w:rsid w:val="00014712"/>
    <w:rsid w:val="000149D2"/>
    <w:rsid w:val="000150D7"/>
    <w:rsid w:val="0001513D"/>
    <w:rsid w:val="000152FC"/>
    <w:rsid w:val="0001545C"/>
    <w:rsid w:val="00015973"/>
    <w:rsid w:val="00015DF8"/>
    <w:rsid w:val="00015E01"/>
    <w:rsid w:val="00017509"/>
    <w:rsid w:val="00017D59"/>
    <w:rsid w:val="00020196"/>
    <w:rsid w:val="000202A1"/>
    <w:rsid w:val="000202DB"/>
    <w:rsid w:val="00020431"/>
    <w:rsid w:val="000205C1"/>
    <w:rsid w:val="000206BB"/>
    <w:rsid w:val="000208B5"/>
    <w:rsid w:val="00020D13"/>
    <w:rsid w:val="00021A9A"/>
    <w:rsid w:val="00021BEE"/>
    <w:rsid w:val="00022183"/>
    <w:rsid w:val="0002237C"/>
    <w:rsid w:val="00022E87"/>
    <w:rsid w:val="00022FC4"/>
    <w:rsid w:val="0002353D"/>
    <w:rsid w:val="00023693"/>
    <w:rsid w:val="00023948"/>
    <w:rsid w:val="00023C89"/>
    <w:rsid w:val="00023E5B"/>
    <w:rsid w:val="00024197"/>
    <w:rsid w:val="00024FB5"/>
    <w:rsid w:val="00024FE0"/>
    <w:rsid w:val="0002528B"/>
    <w:rsid w:val="000253EC"/>
    <w:rsid w:val="00025668"/>
    <w:rsid w:val="00026021"/>
    <w:rsid w:val="00026792"/>
    <w:rsid w:val="0002680C"/>
    <w:rsid w:val="00026891"/>
    <w:rsid w:val="00026C4F"/>
    <w:rsid w:val="00026C6C"/>
    <w:rsid w:val="000278CF"/>
    <w:rsid w:val="00027D1B"/>
    <w:rsid w:val="0003004C"/>
    <w:rsid w:val="000307DA"/>
    <w:rsid w:val="00030912"/>
    <w:rsid w:val="000309CE"/>
    <w:rsid w:val="00030DEA"/>
    <w:rsid w:val="00031095"/>
    <w:rsid w:val="000310C6"/>
    <w:rsid w:val="00031871"/>
    <w:rsid w:val="00031ADE"/>
    <w:rsid w:val="00031E84"/>
    <w:rsid w:val="00032108"/>
    <w:rsid w:val="000334A2"/>
    <w:rsid w:val="000337EF"/>
    <w:rsid w:val="00033DA4"/>
    <w:rsid w:val="00033EBC"/>
    <w:rsid w:val="00035797"/>
    <w:rsid w:val="00036133"/>
    <w:rsid w:val="000364A0"/>
    <w:rsid w:val="00036C0E"/>
    <w:rsid w:val="0003762C"/>
    <w:rsid w:val="00040418"/>
    <w:rsid w:val="00040EAC"/>
    <w:rsid w:val="0004124F"/>
    <w:rsid w:val="00041A9D"/>
    <w:rsid w:val="00041F35"/>
    <w:rsid w:val="0004246F"/>
    <w:rsid w:val="00042A17"/>
    <w:rsid w:val="00042C25"/>
    <w:rsid w:val="00043742"/>
    <w:rsid w:val="0004432C"/>
    <w:rsid w:val="0004434C"/>
    <w:rsid w:val="0004465B"/>
    <w:rsid w:val="00044AA2"/>
    <w:rsid w:val="00044C42"/>
    <w:rsid w:val="00045066"/>
    <w:rsid w:val="000452BA"/>
    <w:rsid w:val="00045495"/>
    <w:rsid w:val="000459AD"/>
    <w:rsid w:val="00045C6A"/>
    <w:rsid w:val="00045F6B"/>
    <w:rsid w:val="00045FE6"/>
    <w:rsid w:val="00046491"/>
    <w:rsid w:val="00046AB1"/>
    <w:rsid w:val="00046AF0"/>
    <w:rsid w:val="00046C9C"/>
    <w:rsid w:val="00047145"/>
    <w:rsid w:val="00047FB5"/>
    <w:rsid w:val="000501C9"/>
    <w:rsid w:val="00050514"/>
    <w:rsid w:val="000507BA"/>
    <w:rsid w:val="000508E2"/>
    <w:rsid w:val="00050ED2"/>
    <w:rsid w:val="00050EF0"/>
    <w:rsid w:val="00051583"/>
    <w:rsid w:val="0005181B"/>
    <w:rsid w:val="00051874"/>
    <w:rsid w:val="00051A50"/>
    <w:rsid w:val="00051D6D"/>
    <w:rsid w:val="00052A7E"/>
    <w:rsid w:val="000532A7"/>
    <w:rsid w:val="000537C0"/>
    <w:rsid w:val="00053800"/>
    <w:rsid w:val="00054036"/>
    <w:rsid w:val="00054178"/>
    <w:rsid w:val="00054D23"/>
    <w:rsid w:val="0005501C"/>
    <w:rsid w:val="0005522D"/>
    <w:rsid w:val="0005557F"/>
    <w:rsid w:val="000558E5"/>
    <w:rsid w:val="00055F39"/>
    <w:rsid w:val="00056426"/>
    <w:rsid w:val="00056545"/>
    <w:rsid w:val="00056CF7"/>
    <w:rsid w:val="00056D16"/>
    <w:rsid w:val="0005707D"/>
    <w:rsid w:val="000576DC"/>
    <w:rsid w:val="00057AB0"/>
    <w:rsid w:val="00057F0D"/>
    <w:rsid w:val="000607B6"/>
    <w:rsid w:val="000607EE"/>
    <w:rsid w:val="000608B1"/>
    <w:rsid w:val="00060C76"/>
    <w:rsid w:val="000612B9"/>
    <w:rsid w:val="0006140B"/>
    <w:rsid w:val="00061567"/>
    <w:rsid w:val="00061600"/>
    <w:rsid w:val="00061B23"/>
    <w:rsid w:val="00062ADD"/>
    <w:rsid w:val="0006309D"/>
    <w:rsid w:val="00063587"/>
    <w:rsid w:val="00063B43"/>
    <w:rsid w:val="00064465"/>
    <w:rsid w:val="00064685"/>
    <w:rsid w:val="00064B26"/>
    <w:rsid w:val="00064B9C"/>
    <w:rsid w:val="000653C1"/>
    <w:rsid w:val="000655C1"/>
    <w:rsid w:val="00065ADB"/>
    <w:rsid w:val="00065CD7"/>
    <w:rsid w:val="00066AF2"/>
    <w:rsid w:val="000671CD"/>
    <w:rsid w:val="00067BEC"/>
    <w:rsid w:val="00070210"/>
    <w:rsid w:val="00070239"/>
    <w:rsid w:val="000703EC"/>
    <w:rsid w:val="00070689"/>
    <w:rsid w:val="000707D3"/>
    <w:rsid w:val="00070CD8"/>
    <w:rsid w:val="0007194A"/>
    <w:rsid w:val="00071EB7"/>
    <w:rsid w:val="0007261D"/>
    <w:rsid w:val="00072697"/>
    <w:rsid w:val="000728DD"/>
    <w:rsid w:val="00072B98"/>
    <w:rsid w:val="00072D68"/>
    <w:rsid w:val="00072F16"/>
    <w:rsid w:val="000733AA"/>
    <w:rsid w:val="00073660"/>
    <w:rsid w:val="00073A98"/>
    <w:rsid w:val="00073B40"/>
    <w:rsid w:val="00074357"/>
    <w:rsid w:val="000744E0"/>
    <w:rsid w:val="00074C33"/>
    <w:rsid w:val="0007506F"/>
    <w:rsid w:val="00075123"/>
    <w:rsid w:val="00075436"/>
    <w:rsid w:val="000761F0"/>
    <w:rsid w:val="0007623D"/>
    <w:rsid w:val="000765ED"/>
    <w:rsid w:val="00076717"/>
    <w:rsid w:val="000767D9"/>
    <w:rsid w:val="00076AB6"/>
    <w:rsid w:val="00076CD4"/>
    <w:rsid w:val="00076D08"/>
    <w:rsid w:val="00077225"/>
    <w:rsid w:val="00077D61"/>
    <w:rsid w:val="00080238"/>
    <w:rsid w:val="000812CF"/>
    <w:rsid w:val="00081320"/>
    <w:rsid w:val="00081875"/>
    <w:rsid w:val="00081F8E"/>
    <w:rsid w:val="00082595"/>
    <w:rsid w:val="0008304E"/>
    <w:rsid w:val="000831B4"/>
    <w:rsid w:val="000831DB"/>
    <w:rsid w:val="000831FF"/>
    <w:rsid w:val="000838B7"/>
    <w:rsid w:val="00083E2A"/>
    <w:rsid w:val="00083F66"/>
    <w:rsid w:val="0008446C"/>
    <w:rsid w:val="0008448B"/>
    <w:rsid w:val="000848EC"/>
    <w:rsid w:val="00084B53"/>
    <w:rsid w:val="00084F7A"/>
    <w:rsid w:val="00085AD3"/>
    <w:rsid w:val="00085E97"/>
    <w:rsid w:val="00086AFF"/>
    <w:rsid w:val="00086C40"/>
    <w:rsid w:val="00086E14"/>
    <w:rsid w:val="00086FD0"/>
    <w:rsid w:val="00087366"/>
    <w:rsid w:val="0008778F"/>
    <w:rsid w:val="00087975"/>
    <w:rsid w:val="00087FDA"/>
    <w:rsid w:val="00090196"/>
    <w:rsid w:val="000904C0"/>
    <w:rsid w:val="00090C6A"/>
    <w:rsid w:val="00090D74"/>
    <w:rsid w:val="0009183B"/>
    <w:rsid w:val="000919D8"/>
    <w:rsid w:val="000923EA"/>
    <w:rsid w:val="00092463"/>
    <w:rsid w:val="000926F0"/>
    <w:rsid w:val="00092723"/>
    <w:rsid w:val="0009284F"/>
    <w:rsid w:val="00092967"/>
    <w:rsid w:val="00092AB5"/>
    <w:rsid w:val="00093404"/>
    <w:rsid w:val="00093558"/>
    <w:rsid w:val="000938D4"/>
    <w:rsid w:val="00093FBE"/>
    <w:rsid w:val="00094411"/>
    <w:rsid w:val="00094B40"/>
    <w:rsid w:val="00094CC7"/>
    <w:rsid w:val="00094F63"/>
    <w:rsid w:val="000967E6"/>
    <w:rsid w:val="000968E7"/>
    <w:rsid w:val="00097A82"/>
    <w:rsid w:val="000A014A"/>
    <w:rsid w:val="000A0939"/>
    <w:rsid w:val="000A0C01"/>
    <w:rsid w:val="000A10E3"/>
    <w:rsid w:val="000A126D"/>
    <w:rsid w:val="000A17D0"/>
    <w:rsid w:val="000A1C0D"/>
    <w:rsid w:val="000A1F85"/>
    <w:rsid w:val="000A226B"/>
    <w:rsid w:val="000A2C3B"/>
    <w:rsid w:val="000A33A1"/>
    <w:rsid w:val="000A3729"/>
    <w:rsid w:val="000A38E3"/>
    <w:rsid w:val="000A3C55"/>
    <w:rsid w:val="000A3CE0"/>
    <w:rsid w:val="000A3E5E"/>
    <w:rsid w:val="000A3FBE"/>
    <w:rsid w:val="000A43FB"/>
    <w:rsid w:val="000A473B"/>
    <w:rsid w:val="000A4A72"/>
    <w:rsid w:val="000A4EF9"/>
    <w:rsid w:val="000A5376"/>
    <w:rsid w:val="000A5E11"/>
    <w:rsid w:val="000A69A9"/>
    <w:rsid w:val="000A69D4"/>
    <w:rsid w:val="000A6DFE"/>
    <w:rsid w:val="000A705B"/>
    <w:rsid w:val="000A7921"/>
    <w:rsid w:val="000B07AA"/>
    <w:rsid w:val="000B0F22"/>
    <w:rsid w:val="000B0FB3"/>
    <w:rsid w:val="000B167F"/>
    <w:rsid w:val="000B18B2"/>
    <w:rsid w:val="000B1908"/>
    <w:rsid w:val="000B197F"/>
    <w:rsid w:val="000B214E"/>
    <w:rsid w:val="000B2534"/>
    <w:rsid w:val="000B30AF"/>
    <w:rsid w:val="000B30DE"/>
    <w:rsid w:val="000B328A"/>
    <w:rsid w:val="000B34A7"/>
    <w:rsid w:val="000B3A6B"/>
    <w:rsid w:val="000B3C1A"/>
    <w:rsid w:val="000B3D44"/>
    <w:rsid w:val="000B44A0"/>
    <w:rsid w:val="000B4557"/>
    <w:rsid w:val="000B4726"/>
    <w:rsid w:val="000B48DB"/>
    <w:rsid w:val="000B4B1F"/>
    <w:rsid w:val="000B4BA7"/>
    <w:rsid w:val="000B4CE8"/>
    <w:rsid w:val="000B4D14"/>
    <w:rsid w:val="000B4EB8"/>
    <w:rsid w:val="000B4FE7"/>
    <w:rsid w:val="000B5054"/>
    <w:rsid w:val="000B52C9"/>
    <w:rsid w:val="000B560B"/>
    <w:rsid w:val="000B5AEE"/>
    <w:rsid w:val="000B710A"/>
    <w:rsid w:val="000B7216"/>
    <w:rsid w:val="000B76F2"/>
    <w:rsid w:val="000B7A70"/>
    <w:rsid w:val="000C01B2"/>
    <w:rsid w:val="000C10BE"/>
    <w:rsid w:val="000C1841"/>
    <w:rsid w:val="000C1D2C"/>
    <w:rsid w:val="000C207C"/>
    <w:rsid w:val="000C2086"/>
    <w:rsid w:val="000C2699"/>
    <w:rsid w:val="000C2768"/>
    <w:rsid w:val="000C2E10"/>
    <w:rsid w:val="000C3060"/>
    <w:rsid w:val="000C32E6"/>
    <w:rsid w:val="000C366C"/>
    <w:rsid w:val="000C4035"/>
    <w:rsid w:val="000C41CB"/>
    <w:rsid w:val="000C421B"/>
    <w:rsid w:val="000C498A"/>
    <w:rsid w:val="000C4AA4"/>
    <w:rsid w:val="000C5088"/>
    <w:rsid w:val="000C548F"/>
    <w:rsid w:val="000C54E8"/>
    <w:rsid w:val="000C55A3"/>
    <w:rsid w:val="000C565E"/>
    <w:rsid w:val="000C5EC0"/>
    <w:rsid w:val="000C5F18"/>
    <w:rsid w:val="000C674E"/>
    <w:rsid w:val="000C694D"/>
    <w:rsid w:val="000C6A0D"/>
    <w:rsid w:val="000C6C05"/>
    <w:rsid w:val="000C70F5"/>
    <w:rsid w:val="000C7588"/>
    <w:rsid w:val="000C7A37"/>
    <w:rsid w:val="000C7AE4"/>
    <w:rsid w:val="000D03DB"/>
    <w:rsid w:val="000D0765"/>
    <w:rsid w:val="000D0C10"/>
    <w:rsid w:val="000D0FA4"/>
    <w:rsid w:val="000D1176"/>
    <w:rsid w:val="000D14E3"/>
    <w:rsid w:val="000D15BA"/>
    <w:rsid w:val="000D171F"/>
    <w:rsid w:val="000D1905"/>
    <w:rsid w:val="000D1C08"/>
    <w:rsid w:val="000D1CF6"/>
    <w:rsid w:val="000D22C2"/>
    <w:rsid w:val="000D2368"/>
    <w:rsid w:val="000D2AED"/>
    <w:rsid w:val="000D2B65"/>
    <w:rsid w:val="000D2E58"/>
    <w:rsid w:val="000D2E96"/>
    <w:rsid w:val="000D2EBE"/>
    <w:rsid w:val="000D37B1"/>
    <w:rsid w:val="000D3DE1"/>
    <w:rsid w:val="000D41C0"/>
    <w:rsid w:val="000D429F"/>
    <w:rsid w:val="000D4345"/>
    <w:rsid w:val="000D4490"/>
    <w:rsid w:val="000D4B9F"/>
    <w:rsid w:val="000D5093"/>
    <w:rsid w:val="000D5132"/>
    <w:rsid w:val="000D532B"/>
    <w:rsid w:val="000D5AEE"/>
    <w:rsid w:val="000D5E90"/>
    <w:rsid w:val="000D677B"/>
    <w:rsid w:val="000D67CB"/>
    <w:rsid w:val="000D68B2"/>
    <w:rsid w:val="000D69A0"/>
    <w:rsid w:val="000D6C33"/>
    <w:rsid w:val="000D73DF"/>
    <w:rsid w:val="000D76D7"/>
    <w:rsid w:val="000D7716"/>
    <w:rsid w:val="000D7F4F"/>
    <w:rsid w:val="000E015A"/>
    <w:rsid w:val="000E03E7"/>
    <w:rsid w:val="000E0690"/>
    <w:rsid w:val="000E0950"/>
    <w:rsid w:val="000E0A8A"/>
    <w:rsid w:val="000E13E8"/>
    <w:rsid w:val="000E169C"/>
    <w:rsid w:val="000E1934"/>
    <w:rsid w:val="000E1B03"/>
    <w:rsid w:val="000E2BA4"/>
    <w:rsid w:val="000E2F64"/>
    <w:rsid w:val="000E2FF7"/>
    <w:rsid w:val="000E3A72"/>
    <w:rsid w:val="000E3BF6"/>
    <w:rsid w:val="000E3E29"/>
    <w:rsid w:val="000E4A79"/>
    <w:rsid w:val="000E5204"/>
    <w:rsid w:val="000E5530"/>
    <w:rsid w:val="000E55F2"/>
    <w:rsid w:val="000E6B0A"/>
    <w:rsid w:val="000E6B3D"/>
    <w:rsid w:val="000E6C56"/>
    <w:rsid w:val="000E70E3"/>
    <w:rsid w:val="000E74E5"/>
    <w:rsid w:val="000E7650"/>
    <w:rsid w:val="000E76BF"/>
    <w:rsid w:val="000E7727"/>
    <w:rsid w:val="000E7CEA"/>
    <w:rsid w:val="000F0295"/>
    <w:rsid w:val="000F08C5"/>
    <w:rsid w:val="000F08D3"/>
    <w:rsid w:val="000F0B7D"/>
    <w:rsid w:val="000F0F68"/>
    <w:rsid w:val="000F0F7F"/>
    <w:rsid w:val="000F2CDA"/>
    <w:rsid w:val="000F2E2B"/>
    <w:rsid w:val="000F2E9B"/>
    <w:rsid w:val="000F3F4F"/>
    <w:rsid w:val="000F402D"/>
    <w:rsid w:val="000F47BC"/>
    <w:rsid w:val="000F4B86"/>
    <w:rsid w:val="000F4DB6"/>
    <w:rsid w:val="000F5115"/>
    <w:rsid w:val="000F6083"/>
    <w:rsid w:val="000F67AE"/>
    <w:rsid w:val="000F6B59"/>
    <w:rsid w:val="000F705F"/>
    <w:rsid w:val="000F70C4"/>
    <w:rsid w:val="000F72BF"/>
    <w:rsid w:val="000F7566"/>
    <w:rsid w:val="000F7930"/>
    <w:rsid w:val="000F7D1F"/>
    <w:rsid w:val="000F7D4A"/>
    <w:rsid w:val="0010003C"/>
    <w:rsid w:val="00100084"/>
    <w:rsid w:val="0010008F"/>
    <w:rsid w:val="00100640"/>
    <w:rsid w:val="00101268"/>
    <w:rsid w:val="0010143D"/>
    <w:rsid w:val="00101452"/>
    <w:rsid w:val="00101948"/>
    <w:rsid w:val="00101C56"/>
    <w:rsid w:val="00101DE4"/>
    <w:rsid w:val="00101E86"/>
    <w:rsid w:val="001022E9"/>
    <w:rsid w:val="001024BA"/>
    <w:rsid w:val="001025AD"/>
    <w:rsid w:val="001025D1"/>
    <w:rsid w:val="00102ED0"/>
    <w:rsid w:val="00103669"/>
    <w:rsid w:val="00103857"/>
    <w:rsid w:val="00103C7A"/>
    <w:rsid w:val="00103DA5"/>
    <w:rsid w:val="00104311"/>
    <w:rsid w:val="00104788"/>
    <w:rsid w:val="00104E61"/>
    <w:rsid w:val="0010529D"/>
    <w:rsid w:val="0010546E"/>
    <w:rsid w:val="00105901"/>
    <w:rsid w:val="00105EB2"/>
    <w:rsid w:val="00106078"/>
    <w:rsid w:val="0010664E"/>
    <w:rsid w:val="00106795"/>
    <w:rsid w:val="00107911"/>
    <w:rsid w:val="00107B15"/>
    <w:rsid w:val="0011017F"/>
    <w:rsid w:val="00110431"/>
    <w:rsid w:val="001104FA"/>
    <w:rsid w:val="00110604"/>
    <w:rsid w:val="00110FAC"/>
    <w:rsid w:val="0011158E"/>
    <w:rsid w:val="00111A0E"/>
    <w:rsid w:val="00111A50"/>
    <w:rsid w:val="001121E7"/>
    <w:rsid w:val="001122B9"/>
    <w:rsid w:val="00112A74"/>
    <w:rsid w:val="00112C49"/>
    <w:rsid w:val="001136B9"/>
    <w:rsid w:val="00113725"/>
    <w:rsid w:val="00113907"/>
    <w:rsid w:val="001141BB"/>
    <w:rsid w:val="001143E8"/>
    <w:rsid w:val="00114BDF"/>
    <w:rsid w:val="00114E0F"/>
    <w:rsid w:val="00115189"/>
    <w:rsid w:val="001151D1"/>
    <w:rsid w:val="001156AF"/>
    <w:rsid w:val="001156CB"/>
    <w:rsid w:val="00115759"/>
    <w:rsid w:val="001159F8"/>
    <w:rsid w:val="00115A3B"/>
    <w:rsid w:val="00115F6A"/>
    <w:rsid w:val="00116136"/>
    <w:rsid w:val="001161C6"/>
    <w:rsid w:val="00116B83"/>
    <w:rsid w:val="00116BB6"/>
    <w:rsid w:val="001172B8"/>
    <w:rsid w:val="001173BE"/>
    <w:rsid w:val="0011770F"/>
    <w:rsid w:val="001177E6"/>
    <w:rsid w:val="001201D4"/>
    <w:rsid w:val="00120318"/>
    <w:rsid w:val="00120389"/>
    <w:rsid w:val="001206D7"/>
    <w:rsid w:val="00120C04"/>
    <w:rsid w:val="00120E25"/>
    <w:rsid w:val="00121562"/>
    <w:rsid w:val="00121D6C"/>
    <w:rsid w:val="00122506"/>
    <w:rsid w:val="00122816"/>
    <w:rsid w:val="00122BFE"/>
    <w:rsid w:val="00122F79"/>
    <w:rsid w:val="00123147"/>
    <w:rsid w:val="001233B2"/>
    <w:rsid w:val="00123A42"/>
    <w:rsid w:val="00123D3B"/>
    <w:rsid w:val="00124A29"/>
    <w:rsid w:val="00124D7A"/>
    <w:rsid w:val="00124F32"/>
    <w:rsid w:val="00124FA4"/>
    <w:rsid w:val="0012562D"/>
    <w:rsid w:val="00126243"/>
    <w:rsid w:val="0012677A"/>
    <w:rsid w:val="00126E67"/>
    <w:rsid w:val="00127A2B"/>
    <w:rsid w:val="00127BD9"/>
    <w:rsid w:val="0013057B"/>
    <w:rsid w:val="00130B82"/>
    <w:rsid w:val="00130E34"/>
    <w:rsid w:val="00130F9E"/>
    <w:rsid w:val="001313C0"/>
    <w:rsid w:val="00131466"/>
    <w:rsid w:val="00131578"/>
    <w:rsid w:val="0013182E"/>
    <w:rsid w:val="00131F22"/>
    <w:rsid w:val="0013258D"/>
    <w:rsid w:val="001329BB"/>
    <w:rsid w:val="00132EE7"/>
    <w:rsid w:val="00132F58"/>
    <w:rsid w:val="00133F28"/>
    <w:rsid w:val="00134245"/>
    <w:rsid w:val="0013441A"/>
    <w:rsid w:val="00134CA2"/>
    <w:rsid w:val="00135512"/>
    <w:rsid w:val="00135745"/>
    <w:rsid w:val="00135D05"/>
    <w:rsid w:val="00135D45"/>
    <w:rsid w:val="0013619D"/>
    <w:rsid w:val="0013638A"/>
    <w:rsid w:val="001368D1"/>
    <w:rsid w:val="00136A96"/>
    <w:rsid w:val="00136B5C"/>
    <w:rsid w:val="00136C3E"/>
    <w:rsid w:val="00137EE5"/>
    <w:rsid w:val="0014092E"/>
    <w:rsid w:val="00141FCB"/>
    <w:rsid w:val="00142C57"/>
    <w:rsid w:val="00142CBD"/>
    <w:rsid w:val="0014315F"/>
    <w:rsid w:val="00143804"/>
    <w:rsid w:val="00143948"/>
    <w:rsid w:val="001445F7"/>
    <w:rsid w:val="00144740"/>
    <w:rsid w:val="00144B85"/>
    <w:rsid w:val="00144CC3"/>
    <w:rsid w:val="00144EF7"/>
    <w:rsid w:val="00144F76"/>
    <w:rsid w:val="00145358"/>
    <w:rsid w:val="001453BB"/>
    <w:rsid w:val="00145A1D"/>
    <w:rsid w:val="00146161"/>
    <w:rsid w:val="001461F3"/>
    <w:rsid w:val="00146280"/>
    <w:rsid w:val="0014694A"/>
    <w:rsid w:val="001472FA"/>
    <w:rsid w:val="00147383"/>
    <w:rsid w:val="001504C7"/>
    <w:rsid w:val="0015052B"/>
    <w:rsid w:val="00150C38"/>
    <w:rsid w:val="00150E67"/>
    <w:rsid w:val="00151193"/>
    <w:rsid w:val="0015141E"/>
    <w:rsid w:val="001514D7"/>
    <w:rsid w:val="00151894"/>
    <w:rsid w:val="001518DA"/>
    <w:rsid w:val="00151AAE"/>
    <w:rsid w:val="00151F01"/>
    <w:rsid w:val="00152AC0"/>
    <w:rsid w:val="00152C99"/>
    <w:rsid w:val="00153217"/>
    <w:rsid w:val="00153816"/>
    <w:rsid w:val="00153FB2"/>
    <w:rsid w:val="001545AB"/>
    <w:rsid w:val="001548FB"/>
    <w:rsid w:val="00154E3B"/>
    <w:rsid w:val="0015505E"/>
    <w:rsid w:val="00155994"/>
    <w:rsid w:val="00155B26"/>
    <w:rsid w:val="00155BCB"/>
    <w:rsid w:val="00155E28"/>
    <w:rsid w:val="00155FA6"/>
    <w:rsid w:val="001560F9"/>
    <w:rsid w:val="00156408"/>
    <w:rsid w:val="00156461"/>
    <w:rsid w:val="001565EA"/>
    <w:rsid w:val="00156CF3"/>
    <w:rsid w:val="00157102"/>
    <w:rsid w:val="00157337"/>
    <w:rsid w:val="0015789A"/>
    <w:rsid w:val="0015796C"/>
    <w:rsid w:val="00157E0E"/>
    <w:rsid w:val="00157F85"/>
    <w:rsid w:val="00157FDB"/>
    <w:rsid w:val="00160601"/>
    <w:rsid w:val="00160629"/>
    <w:rsid w:val="00160A9F"/>
    <w:rsid w:val="001614A0"/>
    <w:rsid w:val="001615B7"/>
    <w:rsid w:val="00161871"/>
    <w:rsid w:val="00161998"/>
    <w:rsid w:val="0016207A"/>
    <w:rsid w:val="0016215E"/>
    <w:rsid w:val="001631CB"/>
    <w:rsid w:val="00163874"/>
    <w:rsid w:val="001639C0"/>
    <w:rsid w:val="00163AA0"/>
    <w:rsid w:val="001643F5"/>
    <w:rsid w:val="00164423"/>
    <w:rsid w:val="00164487"/>
    <w:rsid w:val="00165B7D"/>
    <w:rsid w:val="00166430"/>
    <w:rsid w:val="0016694A"/>
    <w:rsid w:val="00166CAF"/>
    <w:rsid w:val="00166D14"/>
    <w:rsid w:val="00166E01"/>
    <w:rsid w:val="00167047"/>
    <w:rsid w:val="00167150"/>
    <w:rsid w:val="001672F2"/>
    <w:rsid w:val="00167C2E"/>
    <w:rsid w:val="00167DB5"/>
    <w:rsid w:val="001704D2"/>
    <w:rsid w:val="00170685"/>
    <w:rsid w:val="0017098E"/>
    <w:rsid w:val="00170A19"/>
    <w:rsid w:val="00170C97"/>
    <w:rsid w:val="00170CD5"/>
    <w:rsid w:val="00171193"/>
    <w:rsid w:val="00171521"/>
    <w:rsid w:val="001717C6"/>
    <w:rsid w:val="00171B90"/>
    <w:rsid w:val="00171BA8"/>
    <w:rsid w:val="001720B7"/>
    <w:rsid w:val="001722C6"/>
    <w:rsid w:val="0017270D"/>
    <w:rsid w:val="001727E3"/>
    <w:rsid w:val="001728D7"/>
    <w:rsid w:val="00172A0E"/>
    <w:rsid w:val="001732EB"/>
    <w:rsid w:val="00174822"/>
    <w:rsid w:val="00174940"/>
    <w:rsid w:val="00174BD7"/>
    <w:rsid w:val="00175189"/>
    <w:rsid w:val="001752AC"/>
    <w:rsid w:val="0017587C"/>
    <w:rsid w:val="00176080"/>
    <w:rsid w:val="00176E59"/>
    <w:rsid w:val="00176F32"/>
    <w:rsid w:val="0017769E"/>
    <w:rsid w:val="00177E5A"/>
    <w:rsid w:val="00177E9F"/>
    <w:rsid w:val="00177F8C"/>
    <w:rsid w:val="0018075E"/>
    <w:rsid w:val="0018076C"/>
    <w:rsid w:val="001807AC"/>
    <w:rsid w:val="001807ED"/>
    <w:rsid w:val="0018094C"/>
    <w:rsid w:val="00180959"/>
    <w:rsid w:val="00180F07"/>
    <w:rsid w:val="00181145"/>
    <w:rsid w:val="00181195"/>
    <w:rsid w:val="0018172B"/>
    <w:rsid w:val="001819E2"/>
    <w:rsid w:val="00181C5E"/>
    <w:rsid w:val="00181F0F"/>
    <w:rsid w:val="00182A9B"/>
    <w:rsid w:val="001830DA"/>
    <w:rsid w:val="00183251"/>
    <w:rsid w:val="001833A6"/>
    <w:rsid w:val="0018384D"/>
    <w:rsid w:val="0018389D"/>
    <w:rsid w:val="00183FEE"/>
    <w:rsid w:val="001842C4"/>
    <w:rsid w:val="0018460D"/>
    <w:rsid w:val="00184957"/>
    <w:rsid w:val="001849D5"/>
    <w:rsid w:val="00184ECD"/>
    <w:rsid w:val="001855FC"/>
    <w:rsid w:val="00186065"/>
    <w:rsid w:val="00186CD0"/>
    <w:rsid w:val="00187050"/>
    <w:rsid w:val="001871A8"/>
    <w:rsid w:val="00187333"/>
    <w:rsid w:val="00187A24"/>
    <w:rsid w:val="00187A9D"/>
    <w:rsid w:val="00187F36"/>
    <w:rsid w:val="00190347"/>
    <w:rsid w:val="001906B0"/>
    <w:rsid w:val="00190AA2"/>
    <w:rsid w:val="00191078"/>
    <w:rsid w:val="0019117E"/>
    <w:rsid w:val="00191B06"/>
    <w:rsid w:val="00191FF2"/>
    <w:rsid w:val="00192413"/>
    <w:rsid w:val="00192436"/>
    <w:rsid w:val="001925E8"/>
    <w:rsid w:val="00192C6B"/>
    <w:rsid w:val="00192F97"/>
    <w:rsid w:val="0019315B"/>
    <w:rsid w:val="001937BB"/>
    <w:rsid w:val="001938B2"/>
    <w:rsid w:val="001938F8"/>
    <w:rsid w:val="00193946"/>
    <w:rsid w:val="00193B3D"/>
    <w:rsid w:val="00193D49"/>
    <w:rsid w:val="001951F7"/>
    <w:rsid w:val="00195552"/>
    <w:rsid w:val="00195D92"/>
    <w:rsid w:val="00195E80"/>
    <w:rsid w:val="00196256"/>
    <w:rsid w:val="00196AA8"/>
    <w:rsid w:val="00196EF6"/>
    <w:rsid w:val="00196F67"/>
    <w:rsid w:val="00197190"/>
    <w:rsid w:val="00197283"/>
    <w:rsid w:val="0019747D"/>
    <w:rsid w:val="00197696"/>
    <w:rsid w:val="00197F7F"/>
    <w:rsid w:val="00197FA2"/>
    <w:rsid w:val="001A025B"/>
    <w:rsid w:val="001A05DF"/>
    <w:rsid w:val="001A0A2F"/>
    <w:rsid w:val="001A0BE6"/>
    <w:rsid w:val="001A10D5"/>
    <w:rsid w:val="001A1B51"/>
    <w:rsid w:val="001A1D53"/>
    <w:rsid w:val="001A2772"/>
    <w:rsid w:val="001A2F4C"/>
    <w:rsid w:val="001A3164"/>
    <w:rsid w:val="001A3D86"/>
    <w:rsid w:val="001A442C"/>
    <w:rsid w:val="001A5017"/>
    <w:rsid w:val="001A5297"/>
    <w:rsid w:val="001A5639"/>
    <w:rsid w:val="001A5E3A"/>
    <w:rsid w:val="001A7234"/>
    <w:rsid w:val="001A758D"/>
    <w:rsid w:val="001A7644"/>
    <w:rsid w:val="001B0195"/>
    <w:rsid w:val="001B01E4"/>
    <w:rsid w:val="001B05C2"/>
    <w:rsid w:val="001B0EFC"/>
    <w:rsid w:val="001B21CA"/>
    <w:rsid w:val="001B3443"/>
    <w:rsid w:val="001B3B27"/>
    <w:rsid w:val="001B3B53"/>
    <w:rsid w:val="001B44C3"/>
    <w:rsid w:val="001B4762"/>
    <w:rsid w:val="001B5198"/>
    <w:rsid w:val="001B53EB"/>
    <w:rsid w:val="001B5AF1"/>
    <w:rsid w:val="001B5B16"/>
    <w:rsid w:val="001B5EBB"/>
    <w:rsid w:val="001B5EEF"/>
    <w:rsid w:val="001B7A86"/>
    <w:rsid w:val="001B7D4C"/>
    <w:rsid w:val="001B7DCA"/>
    <w:rsid w:val="001C013C"/>
    <w:rsid w:val="001C032F"/>
    <w:rsid w:val="001C067D"/>
    <w:rsid w:val="001C0B83"/>
    <w:rsid w:val="001C0C8C"/>
    <w:rsid w:val="001C0FDE"/>
    <w:rsid w:val="001C14A7"/>
    <w:rsid w:val="001C152C"/>
    <w:rsid w:val="001C1650"/>
    <w:rsid w:val="001C172A"/>
    <w:rsid w:val="001C1BDF"/>
    <w:rsid w:val="001C2003"/>
    <w:rsid w:val="001C263F"/>
    <w:rsid w:val="001C26CD"/>
    <w:rsid w:val="001C2780"/>
    <w:rsid w:val="001C2AA1"/>
    <w:rsid w:val="001C2CAA"/>
    <w:rsid w:val="001C2D99"/>
    <w:rsid w:val="001C2EB2"/>
    <w:rsid w:val="001C2FE0"/>
    <w:rsid w:val="001C3753"/>
    <w:rsid w:val="001C37C5"/>
    <w:rsid w:val="001C3ECE"/>
    <w:rsid w:val="001C3F3D"/>
    <w:rsid w:val="001C4151"/>
    <w:rsid w:val="001C41B9"/>
    <w:rsid w:val="001C5558"/>
    <w:rsid w:val="001C5746"/>
    <w:rsid w:val="001C588B"/>
    <w:rsid w:val="001C5E2F"/>
    <w:rsid w:val="001C610D"/>
    <w:rsid w:val="001C7142"/>
    <w:rsid w:val="001C751F"/>
    <w:rsid w:val="001C79A8"/>
    <w:rsid w:val="001C7A4A"/>
    <w:rsid w:val="001D01C2"/>
    <w:rsid w:val="001D0AE4"/>
    <w:rsid w:val="001D0AEF"/>
    <w:rsid w:val="001D0B68"/>
    <w:rsid w:val="001D0D1A"/>
    <w:rsid w:val="001D0EE7"/>
    <w:rsid w:val="001D17CD"/>
    <w:rsid w:val="001D1B84"/>
    <w:rsid w:val="001D209A"/>
    <w:rsid w:val="001D226A"/>
    <w:rsid w:val="001D2AF1"/>
    <w:rsid w:val="001D3587"/>
    <w:rsid w:val="001D3AA1"/>
    <w:rsid w:val="001D4B72"/>
    <w:rsid w:val="001D4FE5"/>
    <w:rsid w:val="001D507E"/>
    <w:rsid w:val="001D593B"/>
    <w:rsid w:val="001D5A0B"/>
    <w:rsid w:val="001D658B"/>
    <w:rsid w:val="001D674F"/>
    <w:rsid w:val="001D6B33"/>
    <w:rsid w:val="001D6C8F"/>
    <w:rsid w:val="001D73E5"/>
    <w:rsid w:val="001D7846"/>
    <w:rsid w:val="001D7927"/>
    <w:rsid w:val="001D7C3C"/>
    <w:rsid w:val="001D7C4E"/>
    <w:rsid w:val="001D7EB6"/>
    <w:rsid w:val="001D7F51"/>
    <w:rsid w:val="001E05FB"/>
    <w:rsid w:val="001E113F"/>
    <w:rsid w:val="001E1192"/>
    <w:rsid w:val="001E146E"/>
    <w:rsid w:val="001E1953"/>
    <w:rsid w:val="001E234B"/>
    <w:rsid w:val="001E2467"/>
    <w:rsid w:val="001E2602"/>
    <w:rsid w:val="001E26B2"/>
    <w:rsid w:val="001E2778"/>
    <w:rsid w:val="001E2A66"/>
    <w:rsid w:val="001E2D81"/>
    <w:rsid w:val="001E2E7D"/>
    <w:rsid w:val="001E2FA6"/>
    <w:rsid w:val="001E35DC"/>
    <w:rsid w:val="001E36E2"/>
    <w:rsid w:val="001E37EA"/>
    <w:rsid w:val="001E3B00"/>
    <w:rsid w:val="001E3E01"/>
    <w:rsid w:val="001E3E66"/>
    <w:rsid w:val="001E3E7E"/>
    <w:rsid w:val="001E4BE7"/>
    <w:rsid w:val="001E59A7"/>
    <w:rsid w:val="001E604D"/>
    <w:rsid w:val="001E68C9"/>
    <w:rsid w:val="001E6EB8"/>
    <w:rsid w:val="001E72BC"/>
    <w:rsid w:val="001E7BD7"/>
    <w:rsid w:val="001E7E30"/>
    <w:rsid w:val="001F051E"/>
    <w:rsid w:val="001F0F85"/>
    <w:rsid w:val="001F1810"/>
    <w:rsid w:val="001F1C87"/>
    <w:rsid w:val="001F1CF6"/>
    <w:rsid w:val="001F28B7"/>
    <w:rsid w:val="001F300E"/>
    <w:rsid w:val="001F38C2"/>
    <w:rsid w:val="001F45A9"/>
    <w:rsid w:val="001F4706"/>
    <w:rsid w:val="001F4B20"/>
    <w:rsid w:val="001F4DF5"/>
    <w:rsid w:val="001F502B"/>
    <w:rsid w:val="001F50C1"/>
    <w:rsid w:val="001F50F6"/>
    <w:rsid w:val="001F6269"/>
    <w:rsid w:val="001F63BB"/>
    <w:rsid w:val="001F6667"/>
    <w:rsid w:val="001F7873"/>
    <w:rsid w:val="001F7B85"/>
    <w:rsid w:val="001F7D9B"/>
    <w:rsid w:val="0020083B"/>
    <w:rsid w:val="002009CD"/>
    <w:rsid w:val="00200B49"/>
    <w:rsid w:val="00200F16"/>
    <w:rsid w:val="00201125"/>
    <w:rsid w:val="0020199E"/>
    <w:rsid w:val="0020200D"/>
    <w:rsid w:val="00202031"/>
    <w:rsid w:val="002020DE"/>
    <w:rsid w:val="0020226D"/>
    <w:rsid w:val="00202A4F"/>
    <w:rsid w:val="00202AD5"/>
    <w:rsid w:val="00202BC7"/>
    <w:rsid w:val="00202DB4"/>
    <w:rsid w:val="00202E80"/>
    <w:rsid w:val="002036D3"/>
    <w:rsid w:val="00203768"/>
    <w:rsid w:val="00203CF8"/>
    <w:rsid w:val="0020403F"/>
    <w:rsid w:val="002041BF"/>
    <w:rsid w:val="00204229"/>
    <w:rsid w:val="00204534"/>
    <w:rsid w:val="002045E0"/>
    <w:rsid w:val="00204BEE"/>
    <w:rsid w:val="0020555B"/>
    <w:rsid w:val="00205BC3"/>
    <w:rsid w:val="00205C46"/>
    <w:rsid w:val="00205F91"/>
    <w:rsid w:val="002061EB"/>
    <w:rsid w:val="002067A8"/>
    <w:rsid w:val="00206B71"/>
    <w:rsid w:val="00206D05"/>
    <w:rsid w:val="00206F6E"/>
    <w:rsid w:val="00206FF1"/>
    <w:rsid w:val="00207450"/>
    <w:rsid w:val="002074CE"/>
    <w:rsid w:val="0020761E"/>
    <w:rsid w:val="0020796B"/>
    <w:rsid w:val="00207EFB"/>
    <w:rsid w:val="002105C1"/>
    <w:rsid w:val="002105F7"/>
    <w:rsid w:val="0021097C"/>
    <w:rsid w:val="00210A7C"/>
    <w:rsid w:val="0021171A"/>
    <w:rsid w:val="00211A73"/>
    <w:rsid w:val="002121AB"/>
    <w:rsid w:val="00212250"/>
    <w:rsid w:val="002129AE"/>
    <w:rsid w:val="00212AF8"/>
    <w:rsid w:val="00212BB5"/>
    <w:rsid w:val="00212CF5"/>
    <w:rsid w:val="002132C5"/>
    <w:rsid w:val="00213442"/>
    <w:rsid w:val="00213592"/>
    <w:rsid w:val="00213F0B"/>
    <w:rsid w:val="00214107"/>
    <w:rsid w:val="002144C0"/>
    <w:rsid w:val="002147B7"/>
    <w:rsid w:val="002155D3"/>
    <w:rsid w:val="00215607"/>
    <w:rsid w:val="00215C29"/>
    <w:rsid w:val="00215CDD"/>
    <w:rsid w:val="0021617B"/>
    <w:rsid w:val="002161AE"/>
    <w:rsid w:val="002162A1"/>
    <w:rsid w:val="00216340"/>
    <w:rsid w:val="0021682D"/>
    <w:rsid w:val="00216B4E"/>
    <w:rsid w:val="00216DD6"/>
    <w:rsid w:val="002173D9"/>
    <w:rsid w:val="002175F5"/>
    <w:rsid w:val="0021772A"/>
    <w:rsid w:val="00217B1F"/>
    <w:rsid w:val="0022044A"/>
    <w:rsid w:val="00220D21"/>
    <w:rsid w:val="00221296"/>
    <w:rsid w:val="00221664"/>
    <w:rsid w:val="00221EE3"/>
    <w:rsid w:val="0022219C"/>
    <w:rsid w:val="00222609"/>
    <w:rsid w:val="002227B6"/>
    <w:rsid w:val="002229DB"/>
    <w:rsid w:val="00222AC8"/>
    <w:rsid w:val="00222E15"/>
    <w:rsid w:val="00222E2F"/>
    <w:rsid w:val="0022331C"/>
    <w:rsid w:val="00223899"/>
    <w:rsid w:val="00223C8B"/>
    <w:rsid w:val="00224135"/>
    <w:rsid w:val="002247F1"/>
    <w:rsid w:val="00224A1D"/>
    <w:rsid w:val="00224AC8"/>
    <w:rsid w:val="00225235"/>
    <w:rsid w:val="00225887"/>
    <w:rsid w:val="00225896"/>
    <w:rsid w:val="00226178"/>
    <w:rsid w:val="002262DB"/>
    <w:rsid w:val="002265AF"/>
    <w:rsid w:val="002267F4"/>
    <w:rsid w:val="00226CA6"/>
    <w:rsid w:val="0022729C"/>
    <w:rsid w:val="00230048"/>
    <w:rsid w:val="002301EA"/>
    <w:rsid w:val="00230619"/>
    <w:rsid w:val="002310DB"/>
    <w:rsid w:val="0023138C"/>
    <w:rsid w:val="00231E16"/>
    <w:rsid w:val="00232F8E"/>
    <w:rsid w:val="002336C9"/>
    <w:rsid w:val="00233A55"/>
    <w:rsid w:val="00233F05"/>
    <w:rsid w:val="002348B7"/>
    <w:rsid w:val="00234A2C"/>
    <w:rsid w:val="00234A93"/>
    <w:rsid w:val="002354DE"/>
    <w:rsid w:val="002355B4"/>
    <w:rsid w:val="00235840"/>
    <w:rsid w:val="00235975"/>
    <w:rsid w:val="00235DD0"/>
    <w:rsid w:val="00236BB7"/>
    <w:rsid w:val="00236FB1"/>
    <w:rsid w:val="00237403"/>
    <w:rsid w:val="00237606"/>
    <w:rsid w:val="002376D4"/>
    <w:rsid w:val="002378DB"/>
    <w:rsid w:val="00237BA5"/>
    <w:rsid w:val="00237ECB"/>
    <w:rsid w:val="00237EDF"/>
    <w:rsid w:val="00240099"/>
    <w:rsid w:val="002400C9"/>
    <w:rsid w:val="002406FB"/>
    <w:rsid w:val="002407CB"/>
    <w:rsid w:val="00240A81"/>
    <w:rsid w:val="00241429"/>
    <w:rsid w:val="00241D60"/>
    <w:rsid w:val="00241D98"/>
    <w:rsid w:val="00241E3C"/>
    <w:rsid w:val="00242398"/>
    <w:rsid w:val="002429D9"/>
    <w:rsid w:val="00242BA2"/>
    <w:rsid w:val="00242BA3"/>
    <w:rsid w:val="0024325A"/>
    <w:rsid w:val="00243438"/>
    <w:rsid w:val="00243A06"/>
    <w:rsid w:val="00243BE2"/>
    <w:rsid w:val="002441E7"/>
    <w:rsid w:val="0024432B"/>
    <w:rsid w:val="00244CFB"/>
    <w:rsid w:val="002451E7"/>
    <w:rsid w:val="002454FD"/>
    <w:rsid w:val="002455A2"/>
    <w:rsid w:val="00245933"/>
    <w:rsid w:val="00245C0E"/>
    <w:rsid w:val="0024629F"/>
    <w:rsid w:val="002467CB"/>
    <w:rsid w:val="0024713F"/>
    <w:rsid w:val="00247585"/>
    <w:rsid w:val="002475C5"/>
    <w:rsid w:val="002477A3"/>
    <w:rsid w:val="00247FBB"/>
    <w:rsid w:val="00250279"/>
    <w:rsid w:val="00250524"/>
    <w:rsid w:val="002505A8"/>
    <w:rsid w:val="00250749"/>
    <w:rsid w:val="00250804"/>
    <w:rsid w:val="00250831"/>
    <w:rsid w:val="0025096F"/>
    <w:rsid w:val="00250E64"/>
    <w:rsid w:val="00250E9C"/>
    <w:rsid w:val="002513F9"/>
    <w:rsid w:val="00251931"/>
    <w:rsid w:val="00251B9C"/>
    <w:rsid w:val="00251EEE"/>
    <w:rsid w:val="00251FF0"/>
    <w:rsid w:val="00252ACF"/>
    <w:rsid w:val="00252BBC"/>
    <w:rsid w:val="00252DFB"/>
    <w:rsid w:val="0025322B"/>
    <w:rsid w:val="00253414"/>
    <w:rsid w:val="00253577"/>
    <w:rsid w:val="00253728"/>
    <w:rsid w:val="00253780"/>
    <w:rsid w:val="00253C23"/>
    <w:rsid w:val="00253EE4"/>
    <w:rsid w:val="00254557"/>
    <w:rsid w:val="00254BE8"/>
    <w:rsid w:val="00254FB2"/>
    <w:rsid w:val="002552B6"/>
    <w:rsid w:val="002552E4"/>
    <w:rsid w:val="00255AD3"/>
    <w:rsid w:val="00255CBF"/>
    <w:rsid w:val="00255E89"/>
    <w:rsid w:val="00255F57"/>
    <w:rsid w:val="002569BB"/>
    <w:rsid w:val="002569F4"/>
    <w:rsid w:val="00256AEF"/>
    <w:rsid w:val="00256DE4"/>
    <w:rsid w:val="00256FEA"/>
    <w:rsid w:val="00257032"/>
    <w:rsid w:val="0025730A"/>
    <w:rsid w:val="0025740C"/>
    <w:rsid w:val="002575B0"/>
    <w:rsid w:val="002575CA"/>
    <w:rsid w:val="0025772B"/>
    <w:rsid w:val="00257C02"/>
    <w:rsid w:val="00257CB6"/>
    <w:rsid w:val="00257D79"/>
    <w:rsid w:val="0026010C"/>
    <w:rsid w:val="00260182"/>
    <w:rsid w:val="00261E61"/>
    <w:rsid w:val="00262127"/>
    <w:rsid w:val="002640C0"/>
    <w:rsid w:val="00264359"/>
    <w:rsid w:val="00264364"/>
    <w:rsid w:val="002647E1"/>
    <w:rsid w:val="00264D67"/>
    <w:rsid w:val="00265446"/>
    <w:rsid w:val="0026545F"/>
    <w:rsid w:val="00265DC7"/>
    <w:rsid w:val="00266262"/>
    <w:rsid w:val="00266516"/>
    <w:rsid w:val="0026678E"/>
    <w:rsid w:val="00266968"/>
    <w:rsid w:val="00267E18"/>
    <w:rsid w:val="002701BD"/>
    <w:rsid w:val="00270349"/>
    <w:rsid w:val="0027084B"/>
    <w:rsid w:val="00270866"/>
    <w:rsid w:val="00270DA4"/>
    <w:rsid w:val="00270E97"/>
    <w:rsid w:val="00270F66"/>
    <w:rsid w:val="00271B85"/>
    <w:rsid w:val="00272500"/>
    <w:rsid w:val="00272695"/>
    <w:rsid w:val="00272707"/>
    <w:rsid w:val="00272C71"/>
    <w:rsid w:val="00273AAE"/>
    <w:rsid w:val="00273B42"/>
    <w:rsid w:val="002741EF"/>
    <w:rsid w:val="0027474C"/>
    <w:rsid w:val="002747DE"/>
    <w:rsid w:val="002755AF"/>
    <w:rsid w:val="002764A6"/>
    <w:rsid w:val="002768F1"/>
    <w:rsid w:val="00276A36"/>
    <w:rsid w:val="00277043"/>
    <w:rsid w:val="00277D46"/>
    <w:rsid w:val="00281508"/>
    <w:rsid w:val="0028172C"/>
    <w:rsid w:val="00281A36"/>
    <w:rsid w:val="00282D58"/>
    <w:rsid w:val="0028345C"/>
    <w:rsid w:val="0028432A"/>
    <w:rsid w:val="002843C6"/>
    <w:rsid w:val="00284E84"/>
    <w:rsid w:val="00285E03"/>
    <w:rsid w:val="002863FB"/>
    <w:rsid w:val="002866D5"/>
    <w:rsid w:val="00286DBC"/>
    <w:rsid w:val="00286E9F"/>
    <w:rsid w:val="00286F03"/>
    <w:rsid w:val="00287649"/>
    <w:rsid w:val="00287F0D"/>
    <w:rsid w:val="002907A8"/>
    <w:rsid w:val="00290BF2"/>
    <w:rsid w:val="002911ED"/>
    <w:rsid w:val="00291680"/>
    <w:rsid w:val="00291A31"/>
    <w:rsid w:val="00291BA0"/>
    <w:rsid w:val="00291BD8"/>
    <w:rsid w:val="00291BF6"/>
    <w:rsid w:val="002923B0"/>
    <w:rsid w:val="002926F0"/>
    <w:rsid w:val="00292C7A"/>
    <w:rsid w:val="0029368F"/>
    <w:rsid w:val="002937DA"/>
    <w:rsid w:val="00293C64"/>
    <w:rsid w:val="00294241"/>
    <w:rsid w:val="002945B4"/>
    <w:rsid w:val="00294895"/>
    <w:rsid w:val="00295167"/>
    <w:rsid w:val="00295954"/>
    <w:rsid w:val="00295AD2"/>
    <w:rsid w:val="00295AF0"/>
    <w:rsid w:val="00295B40"/>
    <w:rsid w:val="00295C3E"/>
    <w:rsid w:val="00296034"/>
    <w:rsid w:val="00296289"/>
    <w:rsid w:val="00296439"/>
    <w:rsid w:val="00296534"/>
    <w:rsid w:val="00296C96"/>
    <w:rsid w:val="00297A90"/>
    <w:rsid w:val="00297CD3"/>
    <w:rsid w:val="002A086B"/>
    <w:rsid w:val="002A0BF1"/>
    <w:rsid w:val="002A1292"/>
    <w:rsid w:val="002A1546"/>
    <w:rsid w:val="002A1756"/>
    <w:rsid w:val="002A191C"/>
    <w:rsid w:val="002A20A7"/>
    <w:rsid w:val="002A293E"/>
    <w:rsid w:val="002A30E1"/>
    <w:rsid w:val="002A3863"/>
    <w:rsid w:val="002A389E"/>
    <w:rsid w:val="002A3C45"/>
    <w:rsid w:val="002A438C"/>
    <w:rsid w:val="002A53CD"/>
    <w:rsid w:val="002A5BCB"/>
    <w:rsid w:val="002A5C75"/>
    <w:rsid w:val="002A5E16"/>
    <w:rsid w:val="002A614A"/>
    <w:rsid w:val="002A62B0"/>
    <w:rsid w:val="002A7D0E"/>
    <w:rsid w:val="002B003D"/>
    <w:rsid w:val="002B03B0"/>
    <w:rsid w:val="002B0616"/>
    <w:rsid w:val="002B06DD"/>
    <w:rsid w:val="002B11A3"/>
    <w:rsid w:val="002B137D"/>
    <w:rsid w:val="002B158C"/>
    <w:rsid w:val="002B1911"/>
    <w:rsid w:val="002B1AE5"/>
    <w:rsid w:val="002B1D8A"/>
    <w:rsid w:val="002B276D"/>
    <w:rsid w:val="002B2866"/>
    <w:rsid w:val="002B288A"/>
    <w:rsid w:val="002B2A6C"/>
    <w:rsid w:val="002B2C08"/>
    <w:rsid w:val="002B2D5B"/>
    <w:rsid w:val="002B2E9C"/>
    <w:rsid w:val="002B357B"/>
    <w:rsid w:val="002B35E8"/>
    <w:rsid w:val="002B3C3D"/>
    <w:rsid w:val="002B3D62"/>
    <w:rsid w:val="002B3FAB"/>
    <w:rsid w:val="002B462B"/>
    <w:rsid w:val="002B46ED"/>
    <w:rsid w:val="002B51FB"/>
    <w:rsid w:val="002B5522"/>
    <w:rsid w:val="002B5C09"/>
    <w:rsid w:val="002B5E78"/>
    <w:rsid w:val="002B5EDE"/>
    <w:rsid w:val="002B67AA"/>
    <w:rsid w:val="002B67DA"/>
    <w:rsid w:val="002B6AC6"/>
    <w:rsid w:val="002B7C6B"/>
    <w:rsid w:val="002C0E5E"/>
    <w:rsid w:val="002C18C1"/>
    <w:rsid w:val="002C1E6B"/>
    <w:rsid w:val="002C25DF"/>
    <w:rsid w:val="002C2638"/>
    <w:rsid w:val="002C2805"/>
    <w:rsid w:val="002C2879"/>
    <w:rsid w:val="002C2A74"/>
    <w:rsid w:val="002C30D5"/>
    <w:rsid w:val="002C323E"/>
    <w:rsid w:val="002C3AA9"/>
    <w:rsid w:val="002C450D"/>
    <w:rsid w:val="002C4624"/>
    <w:rsid w:val="002C4900"/>
    <w:rsid w:val="002C4BDA"/>
    <w:rsid w:val="002C4DCE"/>
    <w:rsid w:val="002C5616"/>
    <w:rsid w:val="002C5905"/>
    <w:rsid w:val="002C5916"/>
    <w:rsid w:val="002C5B4C"/>
    <w:rsid w:val="002C5CD9"/>
    <w:rsid w:val="002C604B"/>
    <w:rsid w:val="002C635C"/>
    <w:rsid w:val="002C63B6"/>
    <w:rsid w:val="002C6F9F"/>
    <w:rsid w:val="002C7C8F"/>
    <w:rsid w:val="002D0BF2"/>
    <w:rsid w:val="002D1275"/>
    <w:rsid w:val="002D12B1"/>
    <w:rsid w:val="002D12ED"/>
    <w:rsid w:val="002D16D3"/>
    <w:rsid w:val="002D172E"/>
    <w:rsid w:val="002D19FB"/>
    <w:rsid w:val="002D1FF3"/>
    <w:rsid w:val="002D2021"/>
    <w:rsid w:val="002D2075"/>
    <w:rsid w:val="002D2F76"/>
    <w:rsid w:val="002D2FD2"/>
    <w:rsid w:val="002D3019"/>
    <w:rsid w:val="002D3243"/>
    <w:rsid w:val="002D35C0"/>
    <w:rsid w:val="002D3642"/>
    <w:rsid w:val="002D3A2B"/>
    <w:rsid w:val="002D4220"/>
    <w:rsid w:val="002D4395"/>
    <w:rsid w:val="002D458B"/>
    <w:rsid w:val="002D4906"/>
    <w:rsid w:val="002D5258"/>
    <w:rsid w:val="002D554E"/>
    <w:rsid w:val="002D5AA5"/>
    <w:rsid w:val="002D5F62"/>
    <w:rsid w:val="002D60CE"/>
    <w:rsid w:val="002D6286"/>
    <w:rsid w:val="002D63AE"/>
    <w:rsid w:val="002D6B03"/>
    <w:rsid w:val="002D6FCA"/>
    <w:rsid w:val="002D72FF"/>
    <w:rsid w:val="002E0927"/>
    <w:rsid w:val="002E1273"/>
    <w:rsid w:val="002E1306"/>
    <w:rsid w:val="002E1B06"/>
    <w:rsid w:val="002E2198"/>
    <w:rsid w:val="002E2233"/>
    <w:rsid w:val="002E28FD"/>
    <w:rsid w:val="002E2E01"/>
    <w:rsid w:val="002E2F45"/>
    <w:rsid w:val="002E3388"/>
    <w:rsid w:val="002E3398"/>
    <w:rsid w:val="002E372E"/>
    <w:rsid w:val="002E3F72"/>
    <w:rsid w:val="002E4168"/>
    <w:rsid w:val="002E4513"/>
    <w:rsid w:val="002E454D"/>
    <w:rsid w:val="002E531B"/>
    <w:rsid w:val="002E53BA"/>
    <w:rsid w:val="002E5508"/>
    <w:rsid w:val="002E5561"/>
    <w:rsid w:val="002E5CDA"/>
    <w:rsid w:val="002E5EDD"/>
    <w:rsid w:val="002E64D2"/>
    <w:rsid w:val="002E6C2C"/>
    <w:rsid w:val="002E6F57"/>
    <w:rsid w:val="002E73EE"/>
    <w:rsid w:val="002E74A9"/>
    <w:rsid w:val="002E79A1"/>
    <w:rsid w:val="002E7F34"/>
    <w:rsid w:val="002F0021"/>
    <w:rsid w:val="002F0CCD"/>
    <w:rsid w:val="002F158F"/>
    <w:rsid w:val="002F1747"/>
    <w:rsid w:val="002F1CA5"/>
    <w:rsid w:val="002F1D29"/>
    <w:rsid w:val="002F1E12"/>
    <w:rsid w:val="002F246F"/>
    <w:rsid w:val="002F24B5"/>
    <w:rsid w:val="002F25CF"/>
    <w:rsid w:val="002F264B"/>
    <w:rsid w:val="002F300D"/>
    <w:rsid w:val="002F3A20"/>
    <w:rsid w:val="002F4265"/>
    <w:rsid w:val="002F43B8"/>
    <w:rsid w:val="002F54D3"/>
    <w:rsid w:val="002F5A7A"/>
    <w:rsid w:val="002F5BB4"/>
    <w:rsid w:val="002F5F27"/>
    <w:rsid w:val="002F67A0"/>
    <w:rsid w:val="002F6827"/>
    <w:rsid w:val="002F6B7C"/>
    <w:rsid w:val="002F6DD0"/>
    <w:rsid w:val="002F702A"/>
    <w:rsid w:val="002F734A"/>
    <w:rsid w:val="002F7B1C"/>
    <w:rsid w:val="003006F5"/>
    <w:rsid w:val="003008EB"/>
    <w:rsid w:val="0030116A"/>
    <w:rsid w:val="00301524"/>
    <w:rsid w:val="00301C06"/>
    <w:rsid w:val="00301CAE"/>
    <w:rsid w:val="00301CCF"/>
    <w:rsid w:val="00302B95"/>
    <w:rsid w:val="00302F55"/>
    <w:rsid w:val="0030361B"/>
    <w:rsid w:val="00304158"/>
    <w:rsid w:val="00304769"/>
    <w:rsid w:val="00304A10"/>
    <w:rsid w:val="00305457"/>
    <w:rsid w:val="0030562B"/>
    <w:rsid w:val="00305651"/>
    <w:rsid w:val="00305745"/>
    <w:rsid w:val="0030579C"/>
    <w:rsid w:val="00305F6B"/>
    <w:rsid w:val="00306697"/>
    <w:rsid w:val="003067E4"/>
    <w:rsid w:val="0030696F"/>
    <w:rsid w:val="00306AC2"/>
    <w:rsid w:val="00306CC9"/>
    <w:rsid w:val="00306D5B"/>
    <w:rsid w:val="00306EF2"/>
    <w:rsid w:val="00306FEE"/>
    <w:rsid w:val="003072CD"/>
    <w:rsid w:val="0030740B"/>
    <w:rsid w:val="0030786C"/>
    <w:rsid w:val="0030796F"/>
    <w:rsid w:val="00307B0B"/>
    <w:rsid w:val="0031002A"/>
    <w:rsid w:val="0031021E"/>
    <w:rsid w:val="0031036B"/>
    <w:rsid w:val="00310945"/>
    <w:rsid w:val="00310BCE"/>
    <w:rsid w:val="00310DC6"/>
    <w:rsid w:val="00311AC9"/>
    <w:rsid w:val="003126DB"/>
    <w:rsid w:val="00312873"/>
    <w:rsid w:val="00312CA7"/>
    <w:rsid w:val="0031308D"/>
    <w:rsid w:val="003130BB"/>
    <w:rsid w:val="0031317F"/>
    <w:rsid w:val="003131D1"/>
    <w:rsid w:val="003136F2"/>
    <w:rsid w:val="00314F69"/>
    <w:rsid w:val="00315865"/>
    <w:rsid w:val="003159C9"/>
    <w:rsid w:val="00315B01"/>
    <w:rsid w:val="00316081"/>
    <w:rsid w:val="003166B4"/>
    <w:rsid w:val="00316C74"/>
    <w:rsid w:val="00316FFE"/>
    <w:rsid w:val="003174CF"/>
    <w:rsid w:val="0031799A"/>
    <w:rsid w:val="00317AC9"/>
    <w:rsid w:val="0032056A"/>
    <w:rsid w:val="0032056B"/>
    <w:rsid w:val="0032076A"/>
    <w:rsid w:val="003216B7"/>
    <w:rsid w:val="00321E01"/>
    <w:rsid w:val="0032221D"/>
    <w:rsid w:val="00322403"/>
    <w:rsid w:val="00322482"/>
    <w:rsid w:val="00322F7D"/>
    <w:rsid w:val="0032320C"/>
    <w:rsid w:val="00323267"/>
    <w:rsid w:val="00323AE8"/>
    <w:rsid w:val="00323B09"/>
    <w:rsid w:val="00324415"/>
    <w:rsid w:val="003246CB"/>
    <w:rsid w:val="0032471A"/>
    <w:rsid w:val="00324818"/>
    <w:rsid w:val="00324AA4"/>
    <w:rsid w:val="00324AC4"/>
    <w:rsid w:val="00324D37"/>
    <w:rsid w:val="003253A9"/>
    <w:rsid w:val="003254A5"/>
    <w:rsid w:val="0032559C"/>
    <w:rsid w:val="00325A53"/>
    <w:rsid w:val="00325C88"/>
    <w:rsid w:val="00326210"/>
    <w:rsid w:val="0032666B"/>
    <w:rsid w:val="003267A7"/>
    <w:rsid w:val="0032717F"/>
    <w:rsid w:val="0032742C"/>
    <w:rsid w:val="003275A5"/>
    <w:rsid w:val="003277A8"/>
    <w:rsid w:val="003302A7"/>
    <w:rsid w:val="0033218F"/>
    <w:rsid w:val="0033224B"/>
    <w:rsid w:val="00332A99"/>
    <w:rsid w:val="00332E9E"/>
    <w:rsid w:val="00333A56"/>
    <w:rsid w:val="00334000"/>
    <w:rsid w:val="00334550"/>
    <w:rsid w:val="0033471B"/>
    <w:rsid w:val="00334FFC"/>
    <w:rsid w:val="00335277"/>
    <w:rsid w:val="003362BA"/>
    <w:rsid w:val="00336386"/>
    <w:rsid w:val="00336996"/>
    <w:rsid w:val="00336BD9"/>
    <w:rsid w:val="00337817"/>
    <w:rsid w:val="0034005E"/>
    <w:rsid w:val="0034083E"/>
    <w:rsid w:val="00340BB4"/>
    <w:rsid w:val="00341948"/>
    <w:rsid w:val="003420BD"/>
    <w:rsid w:val="0034240E"/>
    <w:rsid w:val="00342BDD"/>
    <w:rsid w:val="00342D62"/>
    <w:rsid w:val="00342F35"/>
    <w:rsid w:val="00342F4B"/>
    <w:rsid w:val="00343F37"/>
    <w:rsid w:val="0034437F"/>
    <w:rsid w:val="003444D2"/>
    <w:rsid w:val="003446BE"/>
    <w:rsid w:val="00344975"/>
    <w:rsid w:val="00344A70"/>
    <w:rsid w:val="003457C0"/>
    <w:rsid w:val="00346060"/>
    <w:rsid w:val="003465F1"/>
    <w:rsid w:val="0034674B"/>
    <w:rsid w:val="00346F24"/>
    <w:rsid w:val="00346FA4"/>
    <w:rsid w:val="00347BA6"/>
    <w:rsid w:val="00347C4F"/>
    <w:rsid w:val="00347D50"/>
    <w:rsid w:val="00347F89"/>
    <w:rsid w:val="00347FA2"/>
    <w:rsid w:val="00350453"/>
    <w:rsid w:val="00350813"/>
    <w:rsid w:val="00350891"/>
    <w:rsid w:val="00350D59"/>
    <w:rsid w:val="00351109"/>
    <w:rsid w:val="00351217"/>
    <w:rsid w:val="0035187A"/>
    <w:rsid w:val="00351916"/>
    <w:rsid w:val="0035212D"/>
    <w:rsid w:val="00352872"/>
    <w:rsid w:val="00352999"/>
    <w:rsid w:val="003529B8"/>
    <w:rsid w:val="00352A55"/>
    <w:rsid w:val="0035317F"/>
    <w:rsid w:val="00353206"/>
    <w:rsid w:val="0035331E"/>
    <w:rsid w:val="00353DCB"/>
    <w:rsid w:val="00354755"/>
    <w:rsid w:val="003549AB"/>
    <w:rsid w:val="003549E1"/>
    <w:rsid w:val="00354AC7"/>
    <w:rsid w:val="00355663"/>
    <w:rsid w:val="00355977"/>
    <w:rsid w:val="00355A13"/>
    <w:rsid w:val="00355AF5"/>
    <w:rsid w:val="00355BAB"/>
    <w:rsid w:val="00355D10"/>
    <w:rsid w:val="00355E4D"/>
    <w:rsid w:val="00355EB2"/>
    <w:rsid w:val="003562BD"/>
    <w:rsid w:val="00356EC8"/>
    <w:rsid w:val="00356FAF"/>
    <w:rsid w:val="00357085"/>
    <w:rsid w:val="003579CE"/>
    <w:rsid w:val="00357FE4"/>
    <w:rsid w:val="0036052D"/>
    <w:rsid w:val="003607B2"/>
    <w:rsid w:val="00360B7A"/>
    <w:rsid w:val="00360BDB"/>
    <w:rsid w:val="003610BB"/>
    <w:rsid w:val="00361E39"/>
    <w:rsid w:val="0036237D"/>
    <w:rsid w:val="00362687"/>
    <w:rsid w:val="003627A4"/>
    <w:rsid w:val="00362D8A"/>
    <w:rsid w:val="00364411"/>
    <w:rsid w:val="00364BB7"/>
    <w:rsid w:val="00365A92"/>
    <w:rsid w:val="00365F7F"/>
    <w:rsid w:val="00366606"/>
    <w:rsid w:val="00366697"/>
    <w:rsid w:val="00366D0C"/>
    <w:rsid w:val="003678AE"/>
    <w:rsid w:val="00367D50"/>
    <w:rsid w:val="003703C9"/>
    <w:rsid w:val="0037062C"/>
    <w:rsid w:val="003706DF"/>
    <w:rsid w:val="00370DEF"/>
    <w:rsid w:val="003711BA"/>
    <w:rsid w:val="003711BF"/>
    <w:rsid w:val="00371573"/>
    <w:rsid w:val="0037183B"/>
    <w:rsid w:val="00371DD4"/>
    <w:rsid w:val="00371E38"/>
    <w:rsid w:val="003720F0"/>
    <w:rsid w:val="003723B2"/>
    <w:rsid w:val="00372460"/>
    <w:rsid w:val="003727F4"/>
    <w:rsid w:val="003728D0"/>
    <w:rsid w:val="00372A48"/>
    <w:rsid w:val="00372AFE"/>
    <w:rsid w:val="00372BF0"/>
    <w:rsid w:val="00372E34"/>
    <w:rsid w:val="0037305C"/>
    <w:rsid w:val="00373476"/>
    <w:rsid w:val="00373E4B"/>
    <w:rsid w:val="003744D6"/>
    <w:rsid w:val="0037459C"/>
    <w:rsid w:val="00374D9F"/>
    <w:rsid w:val="0037592D"/>
    <w:rsid w:val="00375BAB"/>
    <w:rsid w:val="00377186"/>
    <w:rsid w:val="00377277"/>
    <w:rsid w:val="003802F0"/>
    <w:rsid w:val="00380443"/>
    <w:rsid w:val="00380966"/>
    <w:rsid w:val="00380E39"/>
    <w:rsid w:val="003812CD"/>
    <w:rsid w:val="0038151C"/>
    <w:rsid w:val="003815AE"/>
    <w:rsid w:val="00382C96"/>
    <w:rsid w:val="00382CC5"/>
    <w:rsid w:val="00382FC2"/>
    <w:rsid w:val="00383202"/>
    <w:rsid w:val="00383590"/>
    <w:rsid w:val="003837AF"/>
    <w:rsid w:val="003847D3"/>
    <w:rsid w:val="0038491B"/>
    <w:rsid w:val="00384A6E"/>
    <w:rsid w:val="00384C23"/>
    <w:rsid w:val="003854A9"/>
    <w:rsid w:val="003856EA"/>
    <w:rsid w:val="00385953"/>
    <w:rsid w:val="00386155"/>
    <w:rsid w:val="00386480"/>
    <w:rsid w:val="00386942"/>
    <w:rsid w:val="00386D66"/>
    <w:rsid w:val="003871F4"/>
    <w:rsid w:val="00387321"/>
    <w:rsid w:val="003877AB"/>
    <w:rsid w:val="0039008B"/>
    <w:rsid w:val="0039010D"/>
    <w:rsid w:val="00390242"/>
    <w:rsid w:val="00390750"/>
    <w:rsid w:val="00390BD4"/>
    <w:rsid w:val="00390C3D"/>
    <w:rsid w:val="00390F34"/>
    <w:rsid w:val="00391B78"/>
    <w:rsid w:val="00391B9B"/>
    <w:rsid w:val="00391EAA"/>
    <w:rsid w:val="003922A8"/>
    <w:rsid w:val="00392464"/>
    <w:rsid w:val="00392A02"/>
    <w:rsid w:val="00393123"/>
    <w:rsid w:val="003933DB"/>
    <w:rsid w:val="00393A1C"/>
    <w:rsid w:val="00393D14"/>
    <w:rsid w:val="00394AE3"/>
    <w:rsid w:val="00394D35"/>
    <w:rsid w:val="00394EAE"/>
    <w:rsid w:val="00394F20"/>
    <w:rsid w:val="003954DF"/>
    <w:rsid w:val="003955A7"/>
    <w:rsid w:val="003955D7"/>
    <w:rsid w:val="0039568A"/>
    <w:rsid w:val="00395A26"/>
    <w:rsid w:val="00395CB6"/>
    <w:rsid w:val="00395F78"/>
    <w:rsid w:val="00396B69"/>
    <w:rsid w:val="003970A7"/>
    <w:rsid w:val="00397141"/>
    <w:rsid w:val="00397D9D"/>
    <w:rsid w:val="003A0046"/>
    <w:rsid w:val="003A024C"/>
    <w:rsid w:val="003A031F"/>
    <w:rsid w:val="003A0C79"/>
    <w:rsid w:val="003A0D43"/>
    <w:rsid w:val="003A0F85"/>
    <w:rsid w:val="003A1AED"/>
    <w:rsid w:val="003A2586"/>
    <w:rsid w:val="003A418B"/>
    <w:rsid w:val="003A438C"/>
    <w:rsid w:val="003A48EB"/>
    <w:rsid w:val="003A4C61"/>
    <w:rsid w:val="003A500A"/>
    <w:rsid w:val="003A54C4"/>
    <w:rsid w:val="003A5665"/>
    <w:rsid w:val="003A5728"/>
    <w:rsid w:val="003A5A46"/>
    <w:rsid w:val="003A5D54"/>
    <w:rsid w:val="003A6E1E"/>
    <w:rsid w:val="003A6E84"/>
    <w:rsid w:val="003A7C5B"/>
    <w:rsid w:val="003A7D3F"/>
    <w:rsid w:val="003B00FD"/>
    <w:rsid w:val="003B029A"/>
    <w:rsid w:val="003B04C3"/>
    <w:rsid w:val="003B0AAD"/>
    <w:rsid w:val="003B0B47"/>
    <w:rsid w:val="003B1590"/>
    <w:rsid w:val="003B23E5"/>
    <w:rsid w:val="003B23FD"/>
    <w:rsid w:val="003B25AE"/>
    <w:rsid w:val="003B2657"/>
    <w:rsid w:val="003B2972"/>
    <w:rsid w:val="003B2A3B"/>
    <w:rsid w:val="003B2C42"/>
    <w:rsid w:val="003B2E5C"/>
    <w:rsid w:val="003B30E4"/>
    <w:rsid w:val="003B367B"/>
    <w:rsid w:val="003B3C7F"/>
    <w:rsid w:val="003B3CE9"/>
    <w:rsid w:val="003B3FB5"/>
    <w:rsid w:val="003B43BC"/>
    <w:rsid w:val="003B44E3"/>
    <w:rsid w:val="003B47EC"/>
    <w:rsid w:val="003B4838"/>
    <w:rsid w:val="003B497A"/>
    <w:rsid w:val="003B512C"/>
    <w:rsid w:val="003B54BC"/>
    <w:rsid w:val="003B5627"/>
    <w:rsid w:val="003B576A"/>
    <w:rsid w:val="003B59C4"/>
    <w:rsid w:val="003B5AC1"/>
    <w:rsid w:val="003B6012"/>
    <w:rsid w:val="003B60A7"/>
    <w:rsid w:val="003B797C"/>
    <w:rsid w:val="003C0856"/>
    <w:rsid w:val="003C0974"/>
    <w:rsid w:val="003C0A83"/>
    <w:rsid w:val="003C1644"/>
    <w:rsid w:val="003C1B32"/>
    <w:rsid w:val="003C1DD5"/>
    <w:rsid w:val="003C1E3D"/>
    <w:rsid w:val="003C24D9"/>
    <w:rsid w:val="003C257E"/>
    <w:rsid w:val="003C25D5"/>
    <w:rsid w:val="003C28DB"/>
    <w:rsid w:val="003C2A1B"/>
    <w:rsid w:val="003C2F8E"/>
    <w:rsid w:val="003C36FF"/>
    <w:rsid w:val="003C378C"/>
    <w:rsid w:val="003C3E2A"/>
    <w:rsid w:val="003C502B"/>
    <w:rsid w:val="003C51B9"/>
    <w:rsid w:val="003C6180"/>
    <w:rsid w:val="003C69AE"/>
    <w:rsid w:val="003C6EEF"/>
    <w:rsid w:val="003C729B"/>
    <w:rsid w:val="003C736D"/>
    <w:rsid w:val="003C7513"/>
    <w:rsid w:val="003C7C0B"/>
    <w:rsid w:val="003D0276"/>
    <w:rsid w:val="003D0AA3"/>
    <w:rsid w:val="003D0BA7"/>
    <w:rsid w:val="003D0D16"/>
    <w:rsid w:val="003D0D1C"/>
    <w:rsid w:val="003D1381"/>
    <w:rsid w:val="003D15F8"/>
    <w:rsid w:val="003D1693"/>
    <w:rsid w:val="003D1F57"/>
    <w:rsid w:val="003D2F8F"/>
    <w:rsid w:val="003D3218"/>
    <w:rsid w:val="003D3A98"/>
    <w:rsid w:val="003D3E15"/>
    <w:rsid w:val="003D417A"/>
    <w:rsid w:val="003D4306"/>
    <w:rsid w:val="003D453E"/>
    <w:rsid w:val="003D49F0"/>
    <w:rsid w:val="003D4C82"/>
    <w:rsid w:val="003D53B7"/>
    <w:rsid w:val="003D5E45"/>
    <w:rsid w:val="003D5F62"/>
    <w:rsid w:val="003D616D"/>
    <w:rsid w:val="003D6171"/>
    <w:rsid w:val="003D64D2"/>
    <w:rsid w:val="003D6BEE"/>
    <w:rsid w:val="003D72F9"/>
    <w:rsid w:val="003D73F1"/>
    <w:rsid w:val="003E0F8B"/>
    <w:rsid w:val="003E1403"/>
    <w:rsid w:val="003E1A47"/>
    <w:rsid w:val="003E1B9F"/>
    <w:rsid w:val="003E21DE"/>
    <w:rsid w:val="003E2AFB"/>
    <w:rsid w:val="003E3189"/>
    <w:rsid w:val="003E34C2"/>
    <w:rsid w:val="003E34F9"/>
    <w:rsid w:val="003E36C5"/>
    <w:rsid w:val="003E39C7"/>
    <w:rsid w:val="003E3BEF"/>
    <w:rsid w:val="003E41B7"/>
    <w:rsid w:val="003E4622"/>
    <w:rsid w:val="003E4902"/>
    <w:rsid w:val="003E494C"/>
    <w:rsid w:val="003E4EDB"/>
    <w:rsid w:val="003E5288"/>
    <w:rsid w:val="003E5BCB"/>
    <w:rsid w:val="003E63E6"/>
    <w:rsid w:val="003E6B4C"/>
    <w:rsid w:val="003E76A2"/>
    <w:rsid w:val="003E7AB4"/>
    <w:rsid w:val="003E7ADD"/>
    <w:rsid w:val="003F03D0"/>
    <w:rsid w:val="003F06B0"/>
    <w:rsid w:val="003F09FF"/>
    <w:rsid w:val="003F1038"/>
    <w:rsid w:val="003F19D4"/>
    <w:rsid w:val="003F1D70"/>
    <w:rsid w:val="003F1F10"/>
    <w:rsid w:val="003F1FBB"/>
    <w:rsid w:val="003F21C5"/>
    <w:rsid w:val="003F2676"/>
    <w:rsid w:val="003F2A8D"/>
    <w:rsid w:val="003F2CD7"/>
    <w:rsid w:val="003F308D"/>
    <w:rsid w:val="003F35FA"/>
    <w:rsid w:val="003F3F88"/>
    <w:rsid w:val="003F40FC"/>
    <w:rsid w:val="003F41CA"/>
    <w:rsid w:val="003F485A"/>
    <w:rsid w:val="003F4CF2"/>
    <w:rsid w:val="003F4E26"/>
    <w:rsid w:val="003F4F2C"/>
    <w:rsid w:val="003F54E2"/>
    <w:rsid w:val="003F5919"/>
    <w:rsid w:val="003F6163"/>
    <w:rsid w:val="003F6464"/>
    <w:rsid w:val="003F677B"/>
    <w:rsid w:val="003F67E6"/>
    <w:rsid w:val="003F6E62"/>
    <w:rsid w:val="003F777B"/>
    <w:rsid w:val="003F7882"/>
    <w:rsid w:val="003F7A46"/>
    <w:rsid w:val="003F7A83"/>
    <w:rsid w:val="003F7F62"/>
    <w:rsid w:val="004006F7"/>
    <w:rsid w:val="004007EC"/>
    <w:rsid w:val="0040164D"/>
    <w:rsid w:val="0040174E"/>
    <w:rsid w:val="00401BD7"/>
    <w:rsid w:val="00401D0C"/>
    <w:rsid w:val="00401E59"/>
    <w:rsid w:val="004022CD"/>
    <w:rsid w:val="0040252E"/>
    <w:rsid w:val="00402696"/>
    <w:rsid w:val="00402D30"/>
    <w:rsid w:val="004037F2"/>
    <w:rsid w:val="00403C76"/>
    <w:rsid w:val="00403D8A"/>
    <w:rsid w:val="00403E1A"/>
    <w:rsid w:val="00403ECA"/>
    <w:rsid w:val="00404394"/>
    <w:rsid w:val="00404471"/>
    <w:rsid w:val="00404475"/>
    <w:rsid w:val="00404599"/>
    <w:rsid w:val="00404E18"/>
    <w:rsid w:val="0040643B"/>
    <w:rsid w:val="004069AD"/>
    <w:rsid w:val="00406B7B"/>
    <w:rsid w:val="00406CF2"/>
    <w:rsid w:val="00406DCB"/>
    <w:rsid w:val="00406ED1"/>
    <w:rsid w:val="004072A8"/>
    <w:rsid w:val="004074E1"/>
    <w:rsid w:val="00407505"/>
    <w:rsid w:val="004110A5"/>
    <w:rsid w:val="004115AD"/>
    <w:rsid w:val="00411892"/>
    <w:rsid w:val="00411B3F"/>
    <w:rsid w:val="00412122"/>
    <w:rsid w:val="00412607"/>
    <w:rsid w:val="00412723"/>
    <w:rsid w:val="004129DD"/>
    <w:rsid w:val="00412A94"/>
    <w:rsid w:val="00413087"/>
    <w:rsid w:val="004134F7"/>
    <w:rsid w:val="004142B7"/>
    <w:rsid w:val="00414954"/>
    <w:rsid w:val="00414A40"/>
    <w:rsid w:val="004151A8"/>
    <w:rsid w:val="00415553"/>
    <w:rsid w:val="00416114"/>
    <w:rsid w:val="00416279"/>
    <w:rsid w:val="004165AC"/>
    <w:rsid w:val="00416622"/>
    <w:rsid w:val="0041699A"/>
    <w:rsid w:val="00416C03"/>
    <w:rsid w:val="004174FD"/>
    <w:rsid w:val="004177E1"/>
    <w:rsid w:val="00417C34"/>
    <w:rsid w:val="00417E61"/>
    <w:rsid w:val="0042033B"/>
    <w:rsid w:val="00420391"/>
    <w:rsid w:val="0042057E"/>
    <w:rsid w:val="0042071B"/>
    <w:rsid w:val="00420A01"/>
    <w:rsid w:val="00420E1A"/>
    <w:rsid w:val="00421B81"/>
    <w:rsid w:val="00422436"/>
    <w:rsid w:val="00422829"/>
    <w:rsid w:val="00422DDA"/>
    <w:rsid w:val="00423225"/>
    <w:rsid w:val="00423928"/>
    <w:rsid w:val="00423AB9"/>
    <w:rsid w:val="00423C4D"/>
    <w:rsid w:val="00424DB2"/>
    <w:rsid w:val="004250DB"/>
    <w:rsid w:val="0042540B"/>
    <w:rsid w:val="00425708"/>
    <w:rsid w:val="004257BF"/>
    <w:rsid w:val="0042614A"/>
    <w:rsid w:val="0042692C"/>
    <w:rsid w:val="0042696C"/>
    <w:rsid w:val="0042744A"/>
    <w:rsid w:val="0042752C"/>
    <w:rsid w:val="0042753C"/>
    <w:rsid w:val="00427657"/>
    <w:rsid w:val="00427779"/>
    <w:rsid w:val="0042791B"/>
    <w:rsid w:val="00427E59"/>
    <w:rsid w:val="004307C5"/>
    <w:rsid w:val="00430D5B"/>
    <w:rsid w:val="00430EC1"/>
    <w:rsid w:val="0043134E"/>
    <w:rsid w:val="00431EC4"/>
    <w:rsid w:val="00432023"/>
    <w:rsid w:val="00432A68"/>
    <w:rsid w:val="00432EEE"/>
    <w:rsid w:val="0043303C"/>
    <w:rsid w:val="004333AA"/>
    <w:rsid w:val="0043359F"/>
    <w:rsid w:val="00433DA7"/>
    <w:rsid w:val="0043495D"/>
    <w:rsid w:val="00434AF3"/>
    <w:rsid w:val="00434D9D"/>
    <w:rsid w:val="00434E43"/>
    <w:rsid w:val="0043510F"/>
    <w:rsid w:val="00435432"/>
    <w:rsid w:val="00435810"/>
    <w:rsid w:val="00435A5F"/>
    <w:rsid w:val="00435B4A"/>
    <w:rsid w:val="0043623E"/>
    <w:rsid w:val="0043636D"/>
    <w:rsid w:val="00436A36"/>
    <w:rsid w:val="00436C63"/>
    <w:rsid w:val="0043706C"/>
    <w:rsid w:val="00437620"/>
    <w:rsid w:val="004378E1"/>
    <w:rsid w:val="00437CF3"/>
    <w:rsid w:val="00437DD3"/>
    <w:rsid w:val="00437FF2"/>
    <w:rsid w:val="004406A0"/>
    <w:rsid w:val="00440C07"/>
    <w:rsid w:val="00440C32"/>
    <w:rsid w:val="0044189D"/>
    <w:rsid w:val="00441909"/>
    <w:rsid w:val="00441FC2"/>
    <w:rsid w:val="0044224F"/>
    <w:rsid w:val="0044292D"/>
    <w:rsid w:val="00442A68"/>
    <w:rsid w:val="00442F2E"/>
    <w:rsid w:val="00443623"/>
    <w:rsid w:val="00444173"/>
    <w:rsid w:val="00444B95"/>
    <w:rsid w:val="00444E5A"/>
    <w:rsid w:val="004457B5"/>
    <w:rsid w:val="00445CC7"/>
    <w:rsid w:val="004460A8"/>
    <w:rsid w:val="004465C8"/>
    <w:rsid w:val="0044671D"/>
    <w:rsid w:val="00446AF5"/>
    <w:rsid w:val="00446B3B"/>
    <w:rsid w:val="00446CE4"/>
    <w:rsid w:val="0044768D"/>
    <w:rsid w:val="004477BE"/>
    <w:rsid w:val="004503A6"/>
    <w:rsid w:val="0045067A"/>
    <w:rsid w:val="00450873"/>
    <w:rsid w:val="00450F8C"/>
    <w:rsid w:val="00450FDF"/>
    <w:rsid w:val="00451065"/>
    <w:rsid w:val="004511D1"/>
    <w:rsid w:val="00451311"/>
    <w:rsid w:val="00451372"/>
    <w:rsid w:val="0045155B"/>
    <w:rsid w:val="00451934"/>
    <w:rsid w:val="00451CA2"/>
    <w:rsid w:val="004520E6"/>
    <w:rsid w:val="00452152"/>
    <w:rsid w:val="00453BE4"/>
    <w:rsid w:val="00453E38"/>
    <w:rsid w:val="00454176"/>
    <w:rsid w:val="00454A2E"/>
    <w:rsid w:val="00454CAC"/>
    <w:rsid w:val="00454FE1"/>
    <w:rsid w:val="004555A9"/>
    <w:rsid w:val="00455849"/>
    <w:rsid w:val="0045647A"/>
    <w:rsid w:val="00456EA8"/>
    <w:rsid w:val="00456EEC"/>
    <w:rsid w:val="00457029"/>
    <w:rsid w:val="00457661"/>
    <w:rsid w:val="00457693"/>
    <w:rsid w:val="00457A12"/>
    <w:rsid w:val="00457B2A"/>
    <w:rsid w:val="004608AF"/>
    <w:rsid w:val="00460A32"/>
    <w:rsid w:val="00460C41"/>
    <w:rsid w:val="00460EDB"/>
    <w:rsid w:val="0046120F"/>
    <w:rsid w:val="0046142B"/>
    <w:rsid w:val="0046198B"/>
    <w:rsid w:val="004625B5"/>
    <w:rsid w:val="00462C69"/>
    <w:rsid w:val="00462C86"/>
    <w:rsid w:val="00462CB1"/>
    <w:rsid w:val="00463683"/>
    <w:rsid w:val="00463792"/>
    <w:rsid w:val="00463B1C"/>
    <w:rsid w:val="00463CE2"/>
    <w:rsid w:val="004642D5"/>
    <w:rsid w:val="00464464"/>
    <w:rsid w:val="004644F9"/>
    <w:rsid w:val="004646D2"/>
    <w:rsid w:val="004646D5"/>
    <w:rsid w:val="0046512B"/>
    <w:rsid w:val="00466953"/>
    <w:rsid w:val="00467035"/>
    <w:rsid w:val="0046737D"/>
    <w:rsid w:val="00467409"/>
    <w:rsid w:val="00470033"/>
    <w:rsid w:val="004704C4"/>
    <w:rsid w:val="00470B37"/>
    <w:rsid w:val="00470CDE"/>
    <w:rsid w:val="00470E39"/>
    <w:rsid w:val="00470EFB"/>
    <w:rsid w:val="0047123C"/>
    <w:rsid w:val="00471E34"/>
    <w:rsid w:val="00471FC0"/>
    <w:rsid w:val="004720F0"/>
    <w:rsid w:val="00472534"/>
    <w:rsid w:val="0047256D"/>
    <w:rsid w:val="00472743"/>
    <w:rsid w:val="004728F9"/>
    <w:rsid w:val="00472A4B"/>
    <w:rsid w:val="00472BEA"/>
    <w:rsid w:val="00472C91"/>
    <w:rsid w:val="00473200"/>
    <w:rsid w:val="0047329B"/>
    <w:rsid w:val="004737DB"/>
    <w:rsid w:val="00473E68"/>
    <w:rsid w:val="00474686"/>
    <w:rsid w:val="004749C7"/>
    <w:rsid w:val="004749E9"/>
    <w:rsid w:val="00474BB2"/>
    <w:rsid w:val="00474DAD"/>
    <w:rsid w:val="00474FA1"/>
    <w:rsid w:val="00475785"/>
    <w:rsid w:val="004757D1"/>
    <w:rsid w:val="004757FA"/>
    <w:rsid w:val="004758C4"/>
    <w:rsid w:val="00475940"/>
    <w:rsid w:val="00475FB5"/>
    <w:rsid w:val="00476270"/>
    <w:rsid w:val="0047654A"/>
    <w:rsid w:val="00476C07"/>
    <w:rsid w:val="00477345"/>
    <w:rsid w:val="00477437"/>
    <w:rsid w:val="004778A6"/>
    <w:rsid w:val="004778AB"/>
    <w:rsid w:val="00480367"/>
    <w:rsid w:val="0048093A"/>
    <w:rsid w:val="00480ADC"/>
    <w:rsid w:val="0048117E"/>
    <w:rsid w:val="0048125A"/>
    <w:rsid w:val="0048144C"/>
    <w:rsid w:val="00481C28"/>
    <w:rsid w:val="00481FDB"/>
    <w:rsid w:val="00482932"/>
    <w:rsid w:val="00482A86"/>
    <w:rsid w:val="0048317B"/>
    <w:rsid w:val="0048322F"/>
    <w:rsid w:val="0048386A"/>
    <w:rsid w:val="00483CC7"/>
    <w:rsid w:val="00484218"/>
    <w:rsid w:val="00484D3B"/>
    <w:rsid w:val="0048553C"/>
    <w:rsid w:val="0048563C"/>
    <w:rsid w:val="004856CE"/>
    <w:rsid w:val="004859A5"/>
    <w:rsid w:val="004859DF"/>
    <w:rsid w:val="00485A0F"/>
    <w:rsid w:val="00485D21"/>
    <w:rsid w:val="004862D3"/>
    <w:rsid w:val="004867E2"/>
    <w:rsid w:val="004869D4"/>
    <w:rsid w:val="00486A7D"/>
    <w:rsid w:val="0049158C"/>
    <w:rsid w:val="00491C25"/>
    <w:rsid w:val="00491F70"/>
    <w:rsid w:val="004920E9"/>
    <w:rsid w:val="0049229B"/>
    <w:rsid w:val="0049247B"/>
    <w:rsid w:val="0049272D"/>
    <w:rsid w:val="004931AA"/>
    <w:rsid w:val="0049389A"/>
    <w:rsid w:val="00493A8A"/>
    <w:rsid w:val="00493F43"/>
    <w:rsid w:val="00493FD2"/>
    <w:rsid w:val="00494584"/>
    <w:rsid w:val="00494B98"/>
    <w:rsid w:val="00494F71"/>
    <w:rsid w:val="0049557C"/>
    <w:rsid w:val="00495DE2"/>
    <w:rsid w:val="004963B8"/>
    <w:rsid w:val="00496426"/>
    <w:rsid w:val="00496478"/>
    <w:rsid w:val="00496B56"/>
    <w:rsid w:val="00496CD3"/>
    <w:rsid w:val="00497603"/>
    <w:rsid w:val="00497BD4"/>
    <w:rsid w:val="00497F9F"/>
    <w:rsid w:val="004A0A1C"/>
    <w:rsid w:val="004A0BD2"/>
    <w:rsid w:val="004A1730"/>
    <w:rsid w:val="004A1D0D"/>
    <w:rsid w:val="004A20CD"/>
    <w:rsid w:val="004A251E"/>
    <w:rsid w:val="004A253B"/>
    <w:rsid w:val="004A2682"/>
    <w:rsid w:val="004A29C3"/>
    <w:rsid w:val="004A2A51"/>
    <w:rsid w:val="004A2C4C"/>
    <w:rsid w:val="004A2F14"/>
    <w:rsid w:val="004A3C76"/>
    <w:rsid w:val="004A3E36"/>
    <w:rsid w:val="004A3E71"/>
    <w:rsid w:val="004A40A5"/>
    <w:rsid w:val="004A43BE"/>
    <w:rsid w:val="004A43F3"/>
    <w:rsid w:val="004A44A6"/>
    <w:rsid w:val="004A4B39"/>
    <w:rsid w:val="004A4F8A"/>
    <w:rsid w:val="004A556B"/>
    <w:rsid w:val="004A5B7F"/>
    <w:rsid w:val="004A61BE"/>
    <w:rsid w:val="004A6351"/>
    <w:rsid w:val="004A6E95"/>
    <w:rsid w:val="004A790E"/>
    <w:rsid w:val="004B0455"/>
    <w:rsid w:val="004B0928"/>
    <w:rsid w:val="004B0F53"/>
    <w:rsid w:val="004B12E1"/>
    <w:rsid w:val="004B1DFA"/>
    <w:rsid w:val="004B2987"/>
    <w:rsid w:val="004B2EE8"/>
    <w:rsid w:val="004B2F46"/>
    <w:rsid w:val="004B3450"/>
    <w:rsid w:val="004B395A"/>
    <w:rsid w:val="004B3B13"/>
    <w:rsid w:val="004B418C"/>
    <w:rsid w:val="004B43A4"/>
    <w:rsid w:val="004B4440"/>
    <w:rsid w:val="004B4971"/>
    <w:rsid w:val="004B4C1A"/>
    <w:rsid w:val="004B4D10"/>
    <w:rsid w:val="004B56BE"/>
    <w:rsid w:val="004B6382"/>
    <w:rsid w:val="004B66C8"/>
    <w:rsid w:val="004B6F11"/>
    <w:rsid w:val="004B7242"/>
    <w:rsid w:val="004B78AC"/>
    <w:rsid w:val="004C0614"/>
    <w:rsid w:val="004C13B1"/>
    <w:rsid w:val="004C1C9E"/>
    <w:rsid w:val="004C1EA8"/>
    <w:rsid w:val="004C2425"/>
    <w:rsid w:val="004C26FC"/>
    <w:rsid w:val="004C2904"/>
    <w:rsid w:val="004C2D73"/>
    <w:rsid w:val="004C2E09"/>
    <w:rsid w:val="004C48D5"/>
    <w:rsid w:val="004C4951"/>
    <w:rsid w:val="004C4CAD"/>
    <w:rsid w:val="004C5E9C"/>
    <w:rsid w:val="004C6288"/>
    <w:rsid w:val="004C6596"/>
    <w:rsid w:val="004C66D5"/>
    <w:rsid w:val="004C6985"/>
    <w:rsid w:val="004C724D"/>
    <w:rsid w:val="004D09F0"/>
    <w:rsid w:val="004D0A22"/>
    <w:rsid w:val="004D0C50"/>
    <w:rsid w:val="004D0EC0"/>
    <w:rsid w:val="004D121F"/>
    <w:rsid w:val="004D136B"/>
    <w:rsid w:val="004D1FB6"/>
    <w:rsid w:val="004D22EE"/>
    <w:rsid w:val="004D2602"/>
    <w:rsid w:val="004D2685"/>
    <w:rsid w:val="004D2C42"/>
    <w:rsid w:val="004D2F61"/>
    <w:rsid w:val="004D354D"/>
    <w:rsid w:val="004D4525"/>
    <w:rsid w:val="004D482B"/>
    <w:rsid w:val="004D5156"/>
    <w:rsid w:val="004D536A"/>
    <w:rsid w:val="004D567F"/>
    <w:rsid w:val="004D57AE"/>
    <w:rsid w:val="004D584F"/>
    <w:rsid w:val="004D5E0D"/>
    <w:rsid w:val="004D5EB2"/>
    <w:rsid w:val="004D6088"/>
    <w:rsid w:val="004D6453"/>
    <w:rsid w:val="004D64B8"/>
    <w:rsid w:val="004D6570"/>
    <w:rsid w:val="004D67AF"/>
    <w:rsid w:val="004D6832"/>
    <w:rsid w:val="004D68DE"/>
    <w:rsid w:val="004D69BB"/>
    <w:rsid w:val="004D6B5E"/>
    <w:rsid w:val="004D6FB9"/>
    <w:rsid w:val="004D7280"/>
    <w:rsid w:val="004D781D"/>
    <w:rsid w:val="004D7AF8"/>
    <w:rsid w:val="004E004F"/>
    <w:rsid w:val="004E0638"/>
    <w:rsid w:val="004E0725"/>
    <w:rsid w:val="004E118E"/>
    <w:rsid w:val="004E145C"/>
    <w:rsid w:val="004E14A4"/>
    <w:rsid w:val="004E1F3F"/>
    <w:rsid w:val="004E21F8"/>
    <w:rsid w:val="004E2D78"/>
    <w:rsid w:val="004E2DF7"/>
    <w:rsid w:val="004E3092"/>
    <w:rsid w:val="004E3BB2"/>
    <w:rsid w:val="004E3CF5"/>
    <w:rsid w:val="004E400F"/>
    <w:rsid w:val="004E4471"/>
    <w:rsid w:val="004E49EA"/>
    <w:rsid w:val="004E4DDE"/>
    <w:rsid w:val="004E5393"/>
    <w:rsid w:val="004E5C08"/>
    <w:rsid w:val="004E5D11"/>
    <w:rsid w:val="004E67C3"/>
    <w:rsid w:val="004E6D1A"/>
    <w:rsid w:val="004E6DA5"/>
    <w:rsid w:val="004E705F"/>
    <w:rsid w:val="004E72CB"/>
    <w:rsid w:val="004E72CC"/>
    <w:rsid w:val="004E734A"/>
    <w:rsid w:val="004E744C"/>
    <w:rsid w:val="004E7548"/>
    <w:rsid w:val="004E781E"/>
    <w:rsid w:val="004F0267"/>
    <w:rsid w:val="004F0CAE"/>
    <w:rsid w:val="004F0CC7"/>
    <w:rsid w:val="004F18C0"/>
    <w:rsid w:val="004F208D"/>
    <w:rsid w:val="004F2671"/>
    <w:rsid w:val="004F2EE6"/>
    <w:rsid w:val="004F3775"/>
    <w:rsid w:val="004F39C0"/>
    <w:rsid w:val="004F4E0D"/>
    <w:rsid w:val="004F5307"/>
    <w:rsid w:val="004F56EF"/>
    <w:rsid w:val="004F571C"/>
    <w:rsid w:val="004F5B5C"/>
    <w:rsid w:val="004F63B7"/>
    <w:rsid w:val="004F67C8"/>
    <w:rsid w:val="004F6D63"/>
    <w:rsid w:val="004F7254"/>
    <w:rsid w:val="004F779D"/>
    <w:rsid w:val="005001C8"/>
    <w:rsid w:val="005004EB"/>
    <w:rsid w:val="005014B9"/>
    <w:rsid w:val="00501A51"/>
    <w:rsid w:val="00502006"/>
    <w:rsid w:val="00502741"/>
    <w:rsid w:val="005027FD"/>
    <w:rsid w:val="00502A2A"/>
    <w:rsid w:val="00502A38"/>
    <w:rsid w:val="005033A5"/>
    <w:rsid w:val="0050382D"/>
    <w:rsid w:val="005038B4"/>
    <w:rsid w:val="00503986"/>
    <w:rsid w:val="00503B15"/>
    <w:rsid w:val="005040B7"/>
    <w:rsid w:val="005042C5"/>
    <w:rsid w:val="00504457"/>
    <w:rsid w:val="005049DD"/>
    <w:rsid w:val="00504E32"/>
    <w:rsid w:val="005051FD"/>
    <w:rsid w:val="00505694"/>
    <w:rsid w:val="005057EB"/>
    <w:rsid w:val="0050672A"/>
    <w:rsid w:val="0050676F"/>
    <w:rsid w:val="00506B36"/>
    <w:rsid w:val="00507152"/>
    <w:rsid w:val="00507402"/>
    <w:rsid w:val="005076E4"/>
    <w:rsid w:val="005078A4"/>
    <w:rsid w:val="00507F8F"/>
    <w:rsid w:val="0051010D"/>
    <w:rsid w:val="00510445"/>
    <w:rsid w:val="00510A98"/>
    <w:rsid w:val="005110E5"/>
    <w:rsid w:val="00511214"/>
    <w:rsid w:val="00511282"/>
    <w:rsid w:val="0051250F"/>
    <w:rsid w:val="00512DE7"/>
    <w:rsid w:val="00512F2C"/>
    <w:rsid w:val="005130A6"/>
    <w:rsid w:val="00513CD2"/>
    <w:rsid w:val="005146A9"/>
    <w:rsid w:val="005147FF"/>
    <w:rsid w:val="005149E5"/>
    <w:rsid w:val="00514D8A"/>
    <w:rsid w:val="00515111"/>
    <w:rsid w:val="00515974"/>
    <w:rsid w:val="00515C8C"/>
    <w:rsid w:val="00515CC1"/>
    <w:rsid w:val="00515E46"/>
    <w:rsid w:val="00516298"/>
    <w:rsid w:val="0051650E"/>
    <w:rsid w:val="005168DD"/>
    <w:rsid w:val="00516CCF"/>
    <w:rsid w:val="00516F16"/>
    <w:rsid w:val="00516FC2"/>
    <w:rsid w:val="0051735A"/>
    <w:rsid w:val="00517383"/>
    <w:rsid w:val="005173EC"/>
    <w:rsid w:val="00517749"/>
    <w:rsid w:val="00517CB2"/>
    <w:rsid w:val="00517CB8"/>
    <w:rsid w:val="00517D3C"/>
    <w:rsid w:val="005201BC"/>
    <w:rsid w:val="00520594"/>
    <w:rsid w:val="00520710"/>
    <w:rsid w:val="00520846"/>
    <w:rsid w:val="005208DC"/>
    <w:rsid w:val="005210CB"/>
    <w:rsid w:val="0052142D"/>
    <w:rsid w:val="00521A61"/>
    <w:rsid w:val="00522491"/>
    <w:rsid w:val="00522B51"/>
    <w:rsid w:val="00523BE9"/>
    <w:rsid w:val="0052418D"/>
    <w:rsid w:val="005248C8"/>
    <w:rsid w:val="00524996"/>
    <w:rsid w:val="00524ACF"/>
    <w:rsid w:val="00524C4D"/>
    <w:rsid w:val="00525A00"/>
    <w:rsid w:val="005262C3"/>
    <w:rsid w:val="00526832"/>
    <w:rsid w:val="005269F1"/>
    <w:rsid w:val="0052702B"/>
    <w:rsid w:val="00527034"/>
    <w:rsid w:val="00527A9A"/>
    <w:rsid w:val="0053053F"/>
    <w:rsid w:val="005307BB"/>
    <w:rsid w:val="00530920"/>
    <w:rsid w:val="005309D5"/>
    <w:rsid w:val="00530ED3"/>
    <w:rsid w:val="00531348"/>
    <w:rsid w:val="00531BEE"/>
    <w:rsid w:val="00532D8C"/>
    <w:rsid w:val="00533160"/>
    <w:rsid w:val="005332A5"/>
    <w:rsid w:val="005338CE"/>
    <w:rsid w:val="00533BA1"/>
    <w:rsid w:val="00533CFE"/>
    <w:rsid w:val="0053414F"/>
    <w:rsid w:val="00534577"/>
    <w:rsid w:val="00534A5D"/>
    <w:rsid w:val="00534C4A"/>
    <w:rsid w:val="0053562D"/>
    <w:rsid w:val="005357A7"/>
    <w:rsid w:val="00535AF2"/>
    <w:rsid w:val="00535E22"/>
    <w:rsid w:val="00536379"/>
    <w:rsid w:val="005364D9"/>
    <w:rsid w:val="005366A2"/>
    <w:rsid w:val="0053694B"/>
    <w:rsid w:val="00536E34"/>
    <w:rsid w:val="00536EB8"/>
    <w:rsid w:val="00537011"/>
    <w:rsid w:val="005371E7"/>
    <w:rsid w:val="005375FC"/>
    <w:rsid w:val="0053791D"/>
    <w:rsid w:val="00537E53"/>
    <w:rsid w:val="005404A8"/>
    <w:rsid w:val="00541A71"/>
    <w:rsid w:val="00541D72"/>
    <w:rsid w:val="00541E6E"/>
    <w:rsid w:val="00542564"/>
    <w:rsid w:val="00542990"/>
    <w:rsid w:val="00543B50"/>
    <w:rsid w:val="0054443F"/>
    <w:rsid w:val="00544701"/>
    <w:rsid w:val="00544798"/>
    <w:rsid w:val="00544C04"/>
    <w:rsid w:val="00544CC7"/>
    <w:rsid w:val="0054528F"/>
    <w:rsid w:val="0054559B"/>
    <w:rsid w:val="00545D9B"/>
    <w:rsid w:val="00546C8D"/>
    <w:rsid w:val="00547427"/>
    <w:rsid w:val="00550364"/>
    <w:rsid w:val="00550612"/>
    <w:rsid w:val="00550A9E"/>
    <w:rsid w:val="00550C3A"/>
    <w:rsid w:val="00550E23"/>
    <w:rsid w:val="00551707"/>
    <w:rsid w:val="005517AA"/>
    <w:rsid w:val="00551A6C"/>
    <w:rsid w:val="00551FA9"/>
    <w:rsid w:val="005521F7"/>
    <w:rsid w:val="00552820"/>
    <w:rsid w:val="0055285B"/>
    <w:rsid w:val="00552935"/>
    <w:rsid w:val="00552A56"/>
    <w:rsid w:val="00552AF6"/>
    <w:rsid w:val="00552C69"/>
    <w:rsid w:val="00552F9E"/>
    <w:rsid w:val="0055338F"/>
    <w:rsid w:val="005541B4"/>
    <w:rsid w:val="0055458C"/>
    <w:rsid w:val="00555BA9"/>
    <w:rsid w:val="0055643B"/>
    <w:rsid w:val="005564ED"/>
    <w:rsid w:val="00556519"/>
    <w:rsid w:val="00556BE5"/>
    <w:rsid w:val="00557801"/>
    <w:rsid w:val="00557D61"/>
    <w:rsid w:val="00557E8B"/>
    <w:rsid w:val="0056057C"/>
    <w:rsid w:val="00560BC9"/>
    <w:rsid w:val="00561614"/>
    <w:rsid w:val="0056191C"/>
    <w:rsid w:val="0056237F"/>
    <w:rsid w:val="00562E2F"/>
    <w:rsid w:val="00563284"/>
    <w:rsid w:val="00563783"/>
    <w:rsid w:val="00563C3F"/>
    <w:rsid w:val="00563CCC"/>
    <w:rsid w:val="00563F57"/>
    <w:rsid w:val="00564549"/>
    <w:rsid w:val="00564567"/>
    <w:rsid w:val="00564595"/>
    <w:rsid w:val="00564B30"/>
    <w:rsid w:val="00564B54"/>
    <w:rsid w:val="00564D5A"/>
    <w:rsid w:val="00564DA4"/>
    <w:rsid w:val="00564F2B"/>
    <w:rsid w:val="00564F96"/>
    <w:rsid w:val="00565048"/>
    <w:rsid w:val="00565224"/>
    <w:rsid w:val="0056522B"/>
    <w:rsid w:val="005652A3"/>
    <w:rsid w:val="0056584F"/>
    <w:rsid w:val="00566467"/>
    <w:rsid w:val="00566CE0"/>
    <w:rsid w:val="00567672"/>
    <w:rsid w:val="00567815"/>
    <w:rsid w:val="00567A33"/>
    <w:rsid w:val="00567AC9"/>
    <w:rsid w:val="005703A3"/>
    <w:rsid w:val="005703ED"/>
    <w:rsid w:val="00570845"/>
    <w:rsid w:val="00570A1E"/>
    <w:rsid w:val="00571062"/>
    <w:rsid w:val="005717BB"/>
    <w:rsid w:val="005719DA"/>
    <w:rsid w:val="00572838"/>
    <w:rsid w:val="00572B5D"/>
    <w:rsid w:val="005735AD"/>
    <w:rsid w:val="00573D95"/>
    <w:rsid w:val="00574669"/>
    <w:rsid w:val="00574733"/>
    <w:rsid w:val="005749DC"/>
    <w:rsid w:val="00574BA2"/>
    <w:rsid w:val="00574C8B"/>
    <w:rsid w:val="00574CCF"/>
    <w:rsid w:val="00574E84"/>
    <w:rsid w:val="005755AF"/>
    <w:rsid w:val="00575C2E"/>
    <w:rsid w:val="00575D02"/>
    <w:rsid w:val="0057605A"/>
    <w:rsid w:val="00576232"/>
    <w:rsid w:val="00576A52"/>
    <w:rsid w:val="00576BDE"/>
    <w:rsid w:val="00576DE2"/>
    <w:rsid w:val="00576F75"/>
    <w:rsid w:val="00577390"/>
    <w:rsid w:val="00577783"/>
    <w:rsid w:val="005777B6"/>
    <w:rsid w:val="005801CC"/>
    <w:rsid w:val="00580207"/>
    <w:rsid w:val="00580263"/>
    <w:rsid w:val="005804AB"/>
    <w:rsid w:val="00580605"/>
    <w:rsid w:val="00580CB5"/>
    <w:rsid w:val="00581812"/>
    <w:rsid w:val="0058196D"/>
    <w:rsid w:val="00581ABC"/>
    <w:rsid w:val="00581B71"/>
    <w:rsid w:val="00581CB6"/>
    <w:rsid w:val="005822EB"/>
    <w:rsid w:val="005825D0"/>
    <w:rsid w:val="00582947"/>
    <w:rsid w:val="00582F4D"/>
    <w:rsid w:val="00583C98"/>
    <w:rsid w:val="0058494E"/>
    <w:rsid w:val="00584AFC"/>
    <w:rsid w:val="00584C97"/>
    <w:rsid w:val="00584DA6"/>
    <w:rsid w:val="00584DB9"/>
    <w:rsid w:val="00584F46"/>
    <w:rsid w:val="00585760"/>
    <w:rsid w:val="00585871"/>
    <w:rsid w:val="00585A1A"/>
    <w:rsid w:val="00585C90"/>
    <w:rsid w:val="00585F54"/>
    <w:rsid w:val="00586078"/>
    <w:rsid w:val="00587227"/>
    <w:rsid w:val="00590133"/>
    <w:rsid w:val="005901F2"/>
    <w:rsid w:val="005913C5"/>
    <w:rsid w:val="00591EB8"/>
    <w:rsid w:val="005921B6"/>
    <w:rsid w:val="0059223F"/>
    <w:rsid w:val="0059230C"/>
    <w:rsid w:val="005924AD"/>
    <w:rsid w:val="00593142"/>
    <w:rsid w:val="00593BB7"/>
    <w:rsid w:val="005941E7"/>
    <w:rsid w:val="0059489D"/>
    <w:rsid w:val="0059491E"/>
    <w:rsid w:val="0059498E"/>
    <w:rsid w:val="005953AE"/>
    <w:rsid w:val="005955C5"/>
    <w:rsid w:val="00595811"/>
    <w:rsid w:val="00595AB3"/>
    <w:rsid w:val="00595B9E"/>
    <w:rsid w:val="00595F78"/>
    <w:rsid w:val="0059628F"/>
    <w:rsid w:val="00596777"/>
    <w:rsid w:val="005974D2"/>
    <w:rsid w:val="005A0F99"/>
    <w:rsid w:val="005A1285"/>
    <w:rsid w:val="005A1A12"/>
    <w:rsid w:val="005A2153"/>
    <w:rsid w:val="005A25E8"/>
    <w:rsid w:val="005A33B9"/>
    <w:rsid w:val="005A3FB8"/>
    <w:rsid w:val="005A41AC"/>
    <w:rsid w:val="005A4485"/>
    <w:rsid w:val="005A462A"/>
    <w:rsid w:val="005A46A8"/>
    <w:rsid w:val="005A47E9"/>
    <w:rsid w:val="005A4BEE"/>
    <w:rsid w:val="005A52F2"/>
    <w:rsid w:val="005A5391"/>
    <w:rsid w:val="005A5416"/>
    <w:rsid w:val="005A5640"/>
    <w:rsid w:val="005A58DE"/>
    <w:rsid w:val="005A600D"/>
    <w:rsid w:val="005A623E"/>
    <w:rsid w:val="005A6369"/>
    <w:rsid w:val="005A66E8"/>
    <w:rsid w:val="005A6B6A"/>
    <w:rsid w:val="005A6D6D"/>
    <w:rsid w:val="005A6EAF"/>
    <w:rsid w:val="005A706C"/>
    <w:rsid w:val="005A7AE5"/>
    <w:rsid w:val="005A7F4B"/>
    <w:rsid w:val="005B0053"/>
    <w:rsid w:val="005B006C"/>
    <w:rsid w:val="005B0504"/>
    <w:rsid w:val="005B0F4D"/>
    <w:rsid w:val="005B1355"/>
    <w:rsid w:val="005B13A8"/>
    <w:rsid w:val="005B1D0B"/>
    <w:rsid w:val="005B1DA0"/>
    <w:rsid w:val="005B2C2C"/>
    <w:rsid w:val="005B2C31"/>
    <w:rsid w:val="005B2CB0"/>
    <w:rsid w:val="005B2E79"/>
    <w:rsid w:val="005B2F78"/>
    <w:rsid w:val="005B30E9"/>
    <w:rsid w:val="005B3495"/>
    <w:rsid w:val="005B3597"/>
    <w:rsid w:val="005B3874"/>
    <w:rsid w:val="005B3D3B"/>
    <w:rsid w:val="005B3DE3"/>
    <w:rsid w:val="005B3F4F"/>
    <w:rsid w:val="005B4393"/>
    <w:rsid w:val="005B497A"/>
    <w:rsid w:val="005B4A13"/>
    <w:rsid w:val="005B4B7D"/>
    <w:rsid w:val="005B6939"/>
    <w:rsid w:val="005B6C9B"/>
    <w:rsid w:val="005B7467"/>
    <w:rsid w:val="005B7582"/>
    <w:rsid w:val="005B7D85"/>
    <w:rsid w:val="005B7F9B"/>
    <w:rsid w:val="005C0054"/>
    <w:rsid w:val="005C00B4"/>
    <w:rsid w:val="005C02A3"/>
    <w:rsid w:val="005C0B14"/>
    <w:rsid w:val="005C0D1C"/>
    <w:rsid w:val="005C1053"/>
    <w:rsid w:val="005C11B4"/>
    <w:rsid w:val="005C14C4"/>
    <w:rsid w:val="005C1A64"/>
    <w:rsid w:val="005C1B8E"/>
    <w:rsid w:val="005C1FFB"/>
    <w:rsid w:val="005C2F8D"/>
    <w:rsid w:val="005C350A"/>
    <w:rsid w:val="005C3B2D"/>
    <w:rsid w:val="005C43A3"/>
    <w:rsid w:val="005C43D8"/>
    <w:rsid w:val="005C4DFD"/>
    <w:rsid w:val="005C4ED0"/>
    <w:rsid w:val="005C517D"/>
    <w:rsid w:val="005C5291"/>
    <w:rsid w:val="005C5596"/>
    <w:rsid w:val="005C5C4A"/>
    <w:rsid w:val="005C5C96"/>
    <w:rsid w:val="005C6E27"/>
    <w:rsid w:val="005C6FFC"/>
    <w:rsid w:val="005C7AE2"/>
    <w:rsid w:val="005D0181"/>
    <w:rsid w:val="005D0441"/>
    <w:rsid w:val="005D04ED"/>
    <w:rsid w:val="005D1190"/>
    <w:rsid w:val="005D1AED"/>
    <w:rsid w:val="005D1B05"/>
    <w:rsid w:val="005D24EC"/>
    <w:rsid w:val="005D2543"/>
    <w:rsid w:val="005D2AE6"/>
    <w:rsid w:val="005D2C6E"/>
    <w:rsid w:val="005D2E12"/>
    <w:rsid w:val="005D2FF1"/>
    <w:rsid w:val="005D32A3"/>
    <w:rsid w:val="005D3B21"/>
    <w:rsid w:val="005D3D11"/>
    <w:rsid w:val="005D3D6B"/>
    <w:rsid w:val="005D41CC"/>
    <w:rsid w:val="005D46A7"/>
    <w:rsid w:val="005D490C"/>
    <w:rsid w:val="005D4A4C"/>
    <w:rsid w:val="005D4BE1"/>
    <w:rsid w:val="005D4CF7"/>
    <w:rsid w:val="005D4F97"/>
    <w:rsid w:val="005D53F3"/>
    <w:rsid w:val="005D551C"/>
    <w:rsid w:val="005D7270"/>
    <w:rsid w:val="005E008F"/>
    <w:rsid w:val="005E06D0"/>
    <w:rsid w:val="005E1111"/>
    <w:rsid w:val="005E1695"/>
    <w:rsid w:val="005E1809"/>
    <w:rsid w:val="005E18FB"/>
    <w:rsid w:val="005E2160"/>
    <w:rsid w:val="005E2CF2"/>
    <w:rsid w:val="005E2D5A"/>
    <w:rsid w:val="005E363E"/>
    <w:rsid w:val="005E3726"/>
    <w:rsid w:val="005E373B"/>
    <w:rsid w:val="005E379F"/>
    <w:rsid w:val="005E37D3"/>
    <w:rsid w:val="005E37D4"/>
    <w:rsid w:val="005E3EA4"/>
    <w:rsid w:val="005E4471"/>
    <w:rsid w:val="005E44CE"/>
    <w:rsid w:val="005E47DB"/>
    <w:rsid w:val="005E4DDD"/>
    <w:rsid w:val="005E4E94"/>
    <w:rsid w:val="005E5468"/>
    <w:rsid w:val="005E55C2"/>
    <w:rsid w:val="005E5898"/>
    <w:rsid w:val="005E60DE"/>
    <w:rsid w:val="005E6F21"/>
    <w:rsid w:val="005E78AE"/>
    <w:rsid w:val="005E7CE3"/>
    <w:rsid w:val="005E7DB7"/>
    <w:rsid w:val="005E7DCC"/>
    <w:rsid w:val="005E7DDE"/>
    <w:rsid w:val="005E7F27"/>
    <w:rsid w:val="005F0181"/>
    <w:rsid w:val="005F02E3"/>
    <w:rsid w:val="005F079D"/>
    <w:rsid w:val="005F12E1"/>
    <w:rsid w:val="005F15C5"/>
    <w:rsid w:val="005F16AA"/>
    <w:rsid w:val="005F1760"/>
    <w:rsid w:val="005F1818"/>
    <w:rsid w:val="005F1B52"/>
    <w:rsid w:val="005F1C7C"/>
    <w:rsid w:val="005F1FE6"/>
    <w:rsid w:val="005F29B7"/>
    <w:rsid w:val="005F2D6B"/>
    <w:rsid w:val="005F2DD9"/>
    <w:rsid w:val="005F30E0"/>
    <w:rsid w:val="005F3C2A"/>
    <w:rsid w:val="005F3C7E"/>
    <w:rsid w:val="005F4B34"/>
    <w:rsid w:val="005F5081"/>
    <w:rsid w:val="005F5744"/>
    <w:rsid w:val="005F57D1"/>
    <w:rsid w:val="005F5A7E"/>
    <w:rsid w:val="005F5BBC"/>
    <w:rsid w:val="005F6683"/>
    <w:rsid w:val="005F671B"/>
    <w:rsid w:val="005F6C25"/>
    <w:rsid w:val="005F70FA"/>
    <w:rsid w:val="005F7C4B"/>
    <w:rsid w:val="006000A7"/>
    <w:rsid w:val="006000B5"/>
    <w:rsid w:val="0060075E"/>
    <w:rsid w:val="006008FE"/>
    <w:rsid w:val="006010BC"/>
    <w:rsid w:val="00601253"/>
    <w:rsid w:val="006013F1"/>
    <w:rsid w:val="00601415"/>
    <w:rsid w:val="00601C45"/>
    <w:rsid w:val="00601DA4"/>
    <w:rsid w:val="00601FA1"/>
    <w:rsid w:val="006020F4"/>
    <w:rsid w:val="00602344"/>
    <w:rsid w:val="0060245F"/>
    <w:rsid w:val="00602566"/>
    <w:rsid w:val="00602596"/>
    <w:rsid w:val="00603395"/>
    <w:rsid w:val="00603A66"/>
    <w:rsid w:val="00603B6F"/>
    <w:rsid w:val="00603E84"/>
    <w:rsid w:val="00604176"/>
    <w:rsid w:val="00604E97"/>
    <w:rsid w:val="00605090"/>
    <w:rsid w:val="0060537E"/>
    <w:rsid w:val="00605796"/>
    <w:rsid w:val="00605812"/>
    <w:rsid w:val="00605B07"/>
    <w:rsid w:val="00605D6D"/>
    <w:rsid w:val="00605DF3"/>
    <w:rsid w:val="0061043D"/>
    <w:rsid w:val="00610B0D"/>
    <w:rsid w:val="00610C77"/>
    <w:rsid w:val="006111F0"/>
    <w:rsid w:val="00611EC0"/>
    <w:rsid w:val="0061248A"/>
    <w:rsid w:val="00612ECD"/>
    <w:rsid w:val="00612F87"/>
    <w:rsid w:val="00613143"/>
    <w:rsid w:val="00613533"/>
    <w:rsid w:val="00613901"/>
    <w:rsid w:val="006139BC"/>
    <w:rsid w:val="00614121"/>
    <w:rsid w:val="00614A82"/>
    <w:rsid w:val="00615102"/>
    <w:rsid w:val="006153C7"/>
    <w:rsid w:val="006161C7"/>
    <w:rsid w:val="006163D8"/>
    <w:rsid w:val="00616D3D"/>
    <w:rsid w:val="00616F3A"/>
    <w:rsid w:val="00616FF3"/>
    <w:rsid w:val="00617EC8"/>
    <w:rsid w:val="00617F9E"/>
    <w:rsid w:val="00620503"/>
    <w:rsid w:val="00620C76"/>
    <w:rsid w:val="00620F24"/>
    <w:rsid w:val="006214EF"/>
    <w:rsid w:val="00621980"/>
    <w:rsid w:val="00622642"/>
    <w:rsid w:val="0062331D"/>
    <w:rsid w:val="006237E2"/>
    <w:rsid w:val="00624552"/>
    <w:rsid w:val="00624ABA"/>
    <w:rsid w:val="00624CB1"/>
    <w:rsid w:val="00625156"/>
    <w:rsid w:val="00625801"/>
    <w:rsid w:val="00625E32"/>
    <w:rsid w:val="00625F27"/>
    <w:rsid w:val="00627DC8"/>
    <w:rsid w:val="00630131"/>
    <w:rsid w:val="00630391"/>
    <w:rsid w:val="00630D65"/>
    <w:rsid w:val="00630E7C"/>
    <w:rsid w:val="0063103E"/>
    <w:rsid w:val="00631C18"/>
    <w:rsid w:val="00632263"/>
    <w:rsid w:val="006324EE"/>
    <w:rsid w:val="00632C47"/>
    <w:rsid w:val="00633420"/>
    <w:rsid w:val="00633424"/>
    <w:rsid w:val="006334E9"/>
    <w:rsid w:val="006335A7"/>
    <w:rsid w:val="006338B4"/>
    <w:rsid w:val="00633D04"/>
    <w:rsid w:val="0063478C"/>
    <w:rsid w:val="0063494C"/>
    <w:rsid w:val="00634A4F"/>
    <w:rsid w:val="00634E32"/>
    <w:rsid w:val="00634FA3"/>
    <w:rsid w:val="006351E8"/>
    <w:rsid w:val="00635906"/>
    <w:rsid w:val="00635AA9"/>
    <w:rsid w:val="00635D9A"/>
    <w:rsid w:val="006361A4"/>
    <w:rsid w:val="00636221"/>
    <w:rsid w:val="00636BE4"/>
    <w:rsid w:val="00636C75"/>
    <w:rsid w:val="00636C93"/>
    <w:rsid w:val="00636DBA"/>
    <w:rsid w:val="00636EE9"/>
    <w:rsid w:val="00636F7B"/>
    <w:rsid w:val="00636F95"/>
    <w:rsid w:val="006373AA"/>
    <w:rsid w:val="00637FFB"/>
    <w:rsid w:val="00640207"/>
    <w:rsid w:val="006408F4"/>
    <w:rsid w:val="00640BCE"/>
    <w:rsid w:val="00640EF8"/>
    <w:rsid w:val="00640F74"/>
    <w:rsid w:val="006413B4"/>
    <w:rsid w:val="006417DC"/>
    <w:rsid w:val="006420CA"/>
    <w:rsid w:val="00643356"/>
    <w:rsid w:val="00643535"/>
    <w:rsid w:val="0064373A"/>
    <w:rsid w:val="00644D64"/>
    <w:rsid w:val="0064562F"/>
    <w:rsid w:val="006456C0"/>
    <w:rsid w:val="006458E6"/>
    <w:rsid w:val="00645949"/>
    <w:rsid w:val="00645ED4"/>
    <w:rsid w:val="006466E2"/>
    <w:rsid w:val="00646F6F"/>
    <w:rsid w:val="006470B7"/>
    <w:rsid w:val="00647973"/>
    <w:rsid w:val="00647E58"/>
    <w:rsid w:val="0065067D"/>
    <w:rsid w:val="00650725"/>
    <w:rsid w:val="00650915"/>
    <w:rsid w:val="00650961"/>
    <w:rsid w:val="0065099B"/>
    <w:rsid w:val="0065107B"/>
    <w:rsid w:val="00651111"/>
    <w:rsid w:val="006514AB"/>
    <w:rsid w:val="006518AA"/>
    <w:rsid w:val="006519CA"/>
    <w:rsid w:val="006524A9"/>
    <w:rsid w:val="00652C56"/>
    <w:rsid w:val="0065312B"/>
    <w:rsid w:val="0065351B"/>
    <w:rsid w:val="0065355D"/>
    <w:rsid w:val="00653785"/>
    <w:rsid w:val="00655054"/>
    <w:rsid w:val="006551B4"/>
    <w:rsid w:val="00655586"/>
    <w:rsid w:val="00655870"/>
    <w:rsid w:val="00655A8A"/>
    <w:rsid w:val="0065703C"/>
    <w:rsid w:val="0065727B"/>
    <w:rsid w:val="0065729E"/>
    <w:rsid w:val="0065759F"/>
    <w:rsid w:val="00657BB2"/>
    <w:rsid w:val="00657C74"/>
    <w:rsid w:val="00660142"/>
    <w:rsid w:val="00660C59"/>
    <w:rsid w:val="00662AF3"/>
    <w:rsid w:val="00662B08"/>
    <w:rsid w:val="00662D4A"/>
    <w:rsid w:val="00662E28"/>
    <w:rsid w:val="0066317B"/>
    <w:rsid w:val="00663229"/>
    <w:rsid w:val="006637C7"/>
    <w:rsid w:val="0066386A"/>
    <w:rsid w:val="00663C72"/>
    <w:rsid w:val="00663CA3"/>
    <w:rsid w:val="00663D65"/>
    <w:rsid w:val="006646CB"/>
    <w:rsid w:val="006648E7"/>
    <w:rsid w:val="00664ED7"/>
    <w:rsid w:val="00665290"/>
    <w:rsid w:val="006655DE"/>
    <w:rsid w:val="006657C4"/>
    <w:rsid w:val="006658D2"/>
    <w:rsid w:val="00665CF8"/>
    <w:rsid w:val="00665D48"/>
    <w:rsid w:val="00666241"/>
    <w:rsid w:val="006673E0"/>
    <w:rsid w:val="0066752F"/>
    <w:rsid w:val="006678A0"/>
    <w:rsid w:val="00667A5F"/>
    <w:rsid w:val="00670376"/>
    <w:rsid w:val="00670465"/>
    <w:rsid w:val="00670579"/>
    <w:rsid w:val="00670B42"/>
    <w:rsid w:val="00670C77"/>
    <w:rsid w:val="0067173F"/>
    <w:rsid w:val="0067213C"/>
    <w:rsid w:val="00672333"/>
    <w:rsid w:val="0067299F"/>
    <w:rsid w:val="006729E5"/>
    <w:rsid w:val="00672B2A"/>
    <w:rsid w:val="006734A7"/>
    <w:rsid w:val="0067380B"/>
    <w:rsid w:val="006738E5"/>
    <w:rsid w:val="00673AC5"/>
    <w:rsid w:val="006745E6"/>
    <w:rsid w:val="006748B5"/>
    <w:rsid w:val="00674DA3"/>
    <w:rsid w:val="00675138"/>
    <w:rsid w:val="00675304"/>
    <w:rsid w:val="006754FF"/>
    <w:rsid w:val="00675F01"/>
    <w:rsid w:val="0067600D"/>
    <w:rsid w:val="006765EE"/>
    <w:rsid w:val="00676DA9"/>
    <w:rsid w:val="00676EDC"/>
    <w:rsid w:val="006771AD"/>
    <w:rsid w:val="00677251"/>
    <w:rsid w:val="006776FE"/>
    <w:rsid w:val="00677818"/>
    <w:rsid w:val="00677E12"/>
    <w:rsid w:val="00677E98"/>
    <w:rsid w:val="00677EBB"/>
    <w:rsid w:val="00680028"/>
    <w:rsid w:val="00680035"/>
    <w:rsid w:val="0068069D"/>
    <w:rsid w:val="00680960"/>
    <w:rsid w:val="0068137D"/>
    <w:rsid w:val="00682838"/>
    <w:rsid w:val="00682A9D"/>
    <w:rsid w:val="00682C10"/>
    <w:rsid w:val="00682D40"/>
    <w:rsid w:val="0068387C"/>
    <w:rsid w:val="00683966"/>
    <w:rsid w:val="00683B78"/>
    <w:rsid w:val="00684FE9"/>
    <w:rsid w:val="006856FC"/>
    <w:rsid w:val="00685CE3"/>
    <w:rsid w:val="00685E41"/>
    <w:rsid w:val="00686517"/>
    <w:rsid w:val="0068672B"/>
    <w:rsid w:val="00686778"/>
    <w:rsid w:val="006868AC"/>
    <w:rsid w:val="00686FA0"/>
    <w:rsid w:val="006877D3"/>
    <w:rsid w:val="0069187F"/>
    <w:rsid w:val="00691B59"/>
    <w:rsid w:val="00691C5B"/>
    <w:rsid w:val="00691E61"/>
    <w:rsid w:val="00692057"/>
    <w:rsid w:val="0069240F"/>
    <w:rsid w:val="0069342F"/>
    <w:rsid w:val="00693A3C"/>
    <w:rsid w:val="006946AB"/>
    <w:rsid w:val="00694AB7"/>
    <w:rsid w:val="00696295"/>
    <w:rsid w:val="006962B5"/>
    <w:rsid w:val="00696AEF"/>
    <w:rsid w:val="0069737A"/>
    <w:rsid w:val="006976AE"/>
    <w:rsid w:val="00697B14"/>
    <w:rsid w:val="00697EAF"/>
    <w:rsid w:val="00697F76"/>
    <w:rsid w:val="006A036A"/>
    <w:rsid w:val="006A117E"/>
    <w:rsid w:val="006A1A24"/>
    <w:rsid w:val="006A24C9"/>
    <w:rsid w:val="006A26B8"/>
    <w:rsid w:val="006A272F"/>
    <w:rsid w:val="006A2BC3"/>
    <w:rsid w:val="006A373A"/>
    <w:rsid w:val="006A3A98"/>
    <w:rsid w:val="006A3BF1"/>
    <w:rsid w:val="006A48FC"/>
    <w:rsid w:val="006A4BB7"/>
    <w:rsid w:val="006A4F92"/>
    <w:rsid w:val="006A52C0"/>
    <w:rsid w:val="006A581C"/>
    <w:rsid w:val="006A668A"/>
    <w:rsid w:val="006A679B"/>
    <w:rsid w:val="006A7406"/>
    <w:rsid w:val="006A740A"/>
    <w:rsid w:val="006A768C"/>
    <w:rsid w:val="006A77C7"/>
    <w:rsid w:val="006A7956"/>
    <w:rsid w:val="006A7AB2"/>
    <w:rsid w:val="006B034B"/>
    <w:rsid w:val="006B0B1D"/>
    <w:rsid w:val="006B0BFA"/>
    <w:rsid w:val="006B0C5A"/>
    <w:rsid w:val="006B0D15"/>
    <w:rsid w:val="006B153F"/>
    <w:rsid w:val="006B15BC"/>
    <w:rsid w:val="006B16BF"/>
    <w:rsid w:val="006B1CA0"/>
    <w:rsid w:val="006B2917"/>
    <w:rsid w:val="006B2E4A"/>
    <w:rsid w:val="006B2E99"/>
    <w:rsid w:val="006B2F8D"/>
    <w:rsid w:val="006B31A8"/>
    <w:rsid w:val="006B34AE"/>
    <w:rsid w:val="006B383C"/>
    <w:rsid w:val="006B3A80"/>
    <w:rsid w:val="006B3C13"/>
    <w:rsid w:val="006B3D63"/>
    <w:rsid w:val="006B4430"/>
    <w:rsid w:val="006B4591"/>
    <w:rsid w:val="006B4DDC"/>
    <w:rsid w:val="006B4DF1"/>
    <w:rsid w:val="006B4EA4"/>
    <w:rsid w:val="006B523D"/>
    <w:rsid w:val="006B5552"/>
    <w:rsid w:val="006B61DA"/>
    <w:rsid w:val="006B629B"/>
    <w:rsid w:val="006B6787"/>
    <w:rsid w:val="006B6D45"/>
    <w:rsid w:val="006B6DBF"/>
    <w:rsid w:val="006B6EE1"/>
    <w:rsid w:val="006B781C"/>
    <w:rsid w:val="006C0049"/>
    <w:rsid w:val="006C026D"/>
    <w:rsid w:val="006C02B8"/>
    <w:rsid w:val="006C1FA2"/>
    <w:rsid w:val="006C1FAC"/>
    <w:rsid w:val="006C2409"/>
    <w:rsid w:val="006C2C37"/>
    <w:rsid w:val="006C2F4F"/>
    <w:rsid w:val="006C310B"/>
    <w:rsid w:val="006C3338"/>
    <w:rsid w:val="006C34AD"/>
    <w:rsid w:val="006C3698"/>
    <w:rsid w:val="006C38C5"/>
    <w:rsid w:val="006C3F52"/>
    <w:rsid w:val="006C509C"/>
    <w:rsid w:val="006C5359"/>
    <w:rsid w:val="006C53CD"/>
    <w:rsid w:val="006C56B2"/>
    <w:rsid w:val="006C5B5E"/>
    <w:rsid w:val="006C688E"/>
    <w:rsid w:val="006C6963"/>
    <w:rsid w:val="006C751B"/>
    <w:rsid w:val="006C7D68"/>
    <w:rsid w:val="006C7EAF"/>
    <w:rsid w:val="006C7EEB"/>
    <w:rsid w:val="006C7FE8"/>
    <w:rsid w:val="006D0012"/>
    <w:rsid w:val="006D040A"/>
    <w:rsid w:val="006D0BEA"/>
    <w:rsid w:val="006D0D61"/>
    <w:rsid w:val="006D0DAE"/>
    <w:rsid w:val="006D18B2"/>
    <w:rsid w:val="006D1D8A"/>
    <w:rsid w:val="006D1E01"/>
    <w:rsid w:val="006D1EEA"/>
    <w:rsid w:val="006D218D"/>
    <w:rsid w:val="006D244B"/>
    <w:rsid w:val="006D2A92"/>
    <w:rsid w:val="006D3040"/>
    <w:rsid w:val="006D306A"/>
    <w:rsid w:val="006D4321"/>
    <w:rsid w:val="006D4747"/>
    <w:rsid w:val="006D4902"/>
    <w:rsid w:val="006D4BBC"/>
    <w:rsid w:val="006D4EEF"/>
    <w:rsid w:val="006D4FA4"/>
    <w:rsid w:val="006D57E8"/>
    <w:rsid w:val="006D57F0"/>
    <w:rsid w:val="006D5995"/>
    <w:rsid w:val="006D5B9D"/>
    <w:rsid w:val="006D6061"/>
    <w:rsid w:val="006D60D2"/>
    <w:rsid w:val="006D624B"/>
    <w:rsid w:val="006D640A"/>
    <w:rsid w:val="006D65A1"/>
    <w:rsid w:val="006D6A5D"/>
    <w:rsid w:val="006D6C98"/>
    <w:rsid w:val="006D7BEE"/>
    <w:rsid w:val="006D7C4B"/>
    <w:rsid w:val="006D7C75"/>
    <w:rsid w:val="006E01CA"/>
    <w:rsid w:val="006E0588"/>
    <w:rsid w:val="006E08C4"/>
    <w:rsid w:val="006E0B39"/>
    <w:rsid w:val="006E0D20"/>
    <w:rsid w:val="006E0DC3"/>
    <w:rsid w:val="006E0F99"/>
    <w:rsid w:val="006E168D"/>
    <w:rsid w:val="006E186B"/>
    <w:rsid w:val="006E1919"/>
    <w:rsid w:val="006E1CA6"/>
    <w:rsid w:val="006E1CEE"/>
    <w:rsid w:val="006E2011"/>
    <w:rsid w:val="006E275A"/>
    <w:rsid w:val="006E2919"/>
    <w:rsid w:val="006E2B84"/>
    <w:rsid w:val="006E2C4B"/>
    <w:rsid w:val="006E2F52"/>
    <w:rsid w:val="006E312A"/>
    <w:rsid w:val="006E3504"/>
    <w:rsid w:val="006E474E"/>
    <w:rsid w:val="006E4AD8"/>
    <w:rsid w:val="006E4BDB"/>
    <w:rsid w:val="006E55D7"/>
    <w:rsid w:val="006E55E3"/>
    <w:rsid w:val="006E627D"/>
    <w:rsid w:val="006E6547"/>
    <w:rsid w:val="006E6869"/>
    <w:rsid w:val="006E69DB"/>
    <w:rsid w:val="006E6C19"/>
    <w:rsid w:val="006E741B"/>
    <w:rsid w:val="006E7685"/>
    <w:rsid w:val="006E799D"/>
    <w:rsid w:val="006E7B86"/>
    <w:rsid w:val="006F0082"/>
    <w:rsid w:val="006F02A9"/>
    <w:rsid w:val="006F05BD"/>
    <w:rsid w:val="006F07CC"/>
    <w:rsid w:val="006F14C6"/>
    <w:rsid w:val="006F15BF"/>
    <w:rsid w:val="006F1702"/>
    <w:rsid w:val="006F1BD6"/>
    <w:rsid w:val="006F26D4"/>
    <w:rsid w:val="006F2792"/>
    <w:rsid w:val="006F2A16"/>
    <w:rsid w:val="006F2D44"/>
    <w:rsid w:val="006F3354"/>
    <w:rsid w:val="006F476C"/>
    <w:rsid w:val="006F5015"/>
    <w:rsid w:val="006F57E6"/>
    <w:rsid w:val="006F6007"/>
    <w:rsid w:val="006F61CF"/>
    <w:rsid w:val="006F6592"/>
    <w:rsid w:val="006F6B91"/>
    <w:rsid w:val="006F6BA7"/>
    <w:rsid w:val="006F6F5B"/>
    <w:rsid w:val="006F7C28"/>
    <w:rsid w:val="006F7E2D"/>
    <w:rsid w:val="007007C5"/>
    <w:rsid w:val="00700B9A"/>
    <w:rsid w:val="00700F5D"/>
    <w:rsid w:val="007010F8"/>
    <w:rsid w:val="007015ED"/>
    <w:rsid w:val="00701F36"/>
    <w:rsid w:val="00702843"/>
    <w:rsid w:val="00702E8E"/>
    <w:rsid w:val="00703ED7"/>
    <w:rsid w:val="00704C63"/>
    <w:rsid w:val="00704E29"/>
    <w:rsid w:val="00704E32"/>
    <w:rsid w:val="00705256"/>
    <w:rsid w:val="007058EE"/>
    <w:rsid w:val="00705FDF"/>
    <w:rsid w:val="007060DA"/>
    <w:rsid w:val="007061D2"/>
    <w:rsid w:val="007064A1"/>
    <w:rsid w:val="0070687A"/>
    <w:rsid w:val="007068FE"/>
    <w:rsid w:val="00707616"/>
    <w:rsid w:val="00710078"/>
    <w:rsid w:val="00710394"/>
    <w:rsid w:val="00710E4D"/>
    <w:rsid w:val="00710E65"/>
    <w:rsid w:val="0071160A"/>
    <w:rsid w:val="00711E47"/>
    <w:rsid w:val="007128EB"/>
    <w:rsid w:val="00712CB1"/>
    <w:rsid w:val="007131DD"/>
    <w:rsid w:val="00713594"/>
    <w:rsid w:val="00713662"/>
    <w:rsid w:val="00713942"/>
    <w:rsid w:val="00713B0C"/>
    <w:rsid w:val="00714558"/>
    <w:rsid w:val="0071481F"/>
    <w:rsid w:val="00714989"/>
    <w:rsid w:val="00714C81"/>
    <w:rsid w:val="00714D9B"/>
    <w:rsid w:val="00714DBD"/>
    <w:rsid w:val="0071509B"/>
    <w:rsid w:val="00715996"/>
    <w:rsid w:val="00715CA7"/>
    <w:rsid w:val="00715FC6"/>
    <w:rsid w:val="00716A19"/>
    <w:rsid w:val="00716DC7"/>
    <w:rsid w:val="007170E2"/>
    <w:rsid w:val="00717139"/>
    <w:rsid w:val="007171C5"/>
    <w:rsid w:val="007171C6"/>
    <w:rsid w:val="00717BE9"/>
    <w:rsid w:val="0072016D"/>
    <w:rsid w:val="007203D1"/>
    <w:rsid w:val="00720442"/>
    <w:rsid w:val="007205DF"/>
    <w:rsid w:val="007211C8"/>
    <w:rsid w:val="007220D9"/>
    <w:rsid w:val="00722FDA"/>
    <w:rsid w:val="007237A9"/>
    <w:rsid w:val="00723932"/>
    <w:rsid w:val="00723F8E"/>
    <w:rsid w:val="0072400C"/>
    <w:rsid w:val="00724174"/>
    <w:rsid w:val="007245FE"/>
    <w:rsid w:val="007249B2"/>
    <w:rsid w:val="00724B90"/>
    <w:rsid w:val="00724E90"/>
    <w:rsid w:val="00725D11"/>
    <w:rsid w:val="00725E74"/>
    <w:rsid w:val="007260AE"/>
    <w:rsid w:val="00726344"/>
    <w:rsid w:val="007266CB"/>
    <w:rsid w:val="00727064"/>
    <w:rsid w:val="0072706B"/>
    <w:rsid w:val="007274A9"/>
    <w:rsid w:val="00730545"/>
    <w:rsid w:val="00730A4B"/>
    <w:rsid w:val="00730C7B"/>
    <w:rsid w:val="0073121D"/>
    <w:rsid w:val="00731268"/>
    <w:rsid w:val="00732EDC"/>
    <w:rsid w:val="00733070"/>
    <w:rsid w:val="00733562"/>
    <w:rsid w:val="0073374D"/>
    <w:rsid w:val="007337A5"/>
    <w:rsid w:val="007342BE"/>
    <w:rsid w:val="00734908"/>
    <w:rsid w:val="007350C0"/>
    <w:rsid w:val="00735230"/>
    <w:rsid w:val="00735366"/>
    <w:rsid w:val="0073614C"/>
    <w:rsid w:val="00736654"/>
    <w:rsid w:val="007367B4"/>
    <w:rsid w:val="00736964"/>
    <w:rsid w:val="007369A0"/>
    <w:rsid w:val="00737147"/>
    <w:rsid w:val="00737491"/>
    <w:rsid w:val="00737AEE"/>
    <w:rsid w:val="00737B23"/>
    <w:rsid w:val="00737F66"/>
    <w:rsid w:val="007405AB"/>
    <w:rsid w:val="00740758"/>
    <w:rsid w:val="00740D54"/>
    <w:rsid w:val="00740D87"/>
    <w:rsid w:val="0074117E"/>
    <w:rsid w:val="007411EF"/>
    <w:rsid w:val="007412FE"/>
    <w:rsid w:val="0074171E"/>
    <w:rsid w:val="00741959"/>
    <w:rsid w:val="00741C5B"/>
    <w:rsid w:val="00741F06"/>
    <w:rsid w:val="007427F3"/>
    <w:rsid w:val="00742A19"/>
    <w:rsid w:val="00742A44"/>
    <w:rsid w:val="00742EAD"/>
    <w:rsid w:val="00743091"/>
    <w:rsid w:val="007432FE"/>
    <w:rsid w:val="00743D9C"/>
    <w:rsid w:val="00743F09"/>
    <w:rsid w:val="00743F50"/>
    <w:rsid w:val="007440BC"/>
    <w:rsid w:val="00744949"/>
    <w:rsid w:val="00744FBE"/>
    <w:rsid w:val="00745138"/>
    <w:rsid w:val="0074538E"/>
    <w:rsid w:val="0074549B"/>
    <w:rsid w:val="007457F2"/>
    <w:rsid w:val="00745ABC"/>
    <w:rsid w:val="00746466"/>
    <w:rsid w:val="00746AF2"/>
    <w:rsid w:val="00746E5F"/>
    <w:rsid w:val="00746E7D"/>
    <w:rsid w:val="0074754E"/>
    <w:rsid w:val="007502D6"/>
    <w:rsid w:val="0075036E"/>
    <w:rsid w:val="007507D5"/>
    <w:rsid w:val="0075098E"/>
    <w:rsid w:val="007511AD"/>
    <w:rsid w:val="007512B4"/>
    <w:rsid w:val="00751D72"/>
    <w:rsid w:val="00752230"/>
    <w:rsid w:val="00752334"/>
    <w:rsid w:val="007524C0"/>
    <w:rsid w:val="00752830"/>
    <w:rsid w:val="00752B5E"/>
    <w:rsid w:val="007530C3"/>
    <w:rsid w:val="0075372F"/>
    <w:rsid w:val="00753B3C"/>
    <w:rsid w:val="00753D7C"/>
    <w:rsid w:val="00754383"/>
    <w:rsid w:val="007547A9"/>
    <w:rsid w:val="00755971"/>
    <w:rsid w:val="00755FE9"/>
    <w:rsid w:val="00756090"/>
    <w:rsid w:val="0075652C"/>
    <w:rsid w:val="007566EB"/>
    <w:rsid w:val="0075794E"/>
    <w:rsid w:val="00757A45"/>
    <w:rsid w:val="00757C05"/>
    <w:rsid w:val="00757DA0"/>
    <w:rsid w:val="00760502"/>
    <w:rsid w:val="007606F4"/>
    <w:rsid w:val="007609EB"/>
    <w:rsid w:val="00760BB9"/>
    <w:rsid w:val="00760CE1"/>
    <w:rsid w:val="00761373"/>
    <w:rsid w:val="00761FB3"/>
    <w:rsid w:val="0076223E"/>
    <w:rsid w:val="007623ED"/>
    <w:rsid w:val="007627E0"/>
    <w:rsid w:val="00762848"/>
    <w:rsid w:val="00762D5B"/>
    <w:rsid w:val="0076302F"/>
    <w:rsid w:val="007630B3"/>
    <w:rsid w:val="0076349B"/>
    <w:rsid w:val="007639BB"/>
    <w:rsid w:val="00763CD7"/>
    <w:rsid w:val="00764295"/>
    <w:rsid w:val="007648E5"/>
    <w:rsid w:val="00764AC0"/>
    <w:rsid w:val="00764D6C"/>
    <w:rsid w:val="0076511E"/>
    <w:rsid w:val="007651D0"/>
    <w:rsid w:val="00765421"/>
    <w:rsid w:val="00765536"/>
    <w:rsid w:val="007655EC"/>
    <w:rsid w:val="00765B09"/>
    <w:rsid w:val="00765E19"/>
    <w:rsid w:val="007660C1"/>
    <w:rsid w:val="0076619C"/>
    <w:rsid w:val="007668FB"/>
    <w:rsid w:val="00767868"/>
    <w:rsid w:val="00767C3E"/>
    <w:rsid w:val="00771531"/>
    <w:rsid w:val="007716D6"/>
    <w:rsid w:val="007717A5"/>
    <w:rsid w:val="00771969"/>
    <w:rsid w:val="00771FCC"/>
    <w:rsid w:val="0077228B"/>
    <w:rsid w:val="0077269E"/>
    <w:rsid w:val="007728EB"/>
    <w:rsid w:val="0077348D"/>
    <w:rsid w:val="00773721"/>
    <w:rsid w:val="00773A42"/>
    <w:rsid w:val="00773C6F"/>
    <w:rsid w:val="00774A64"/>
    <w:rsid w:val="00774B0C"/>
    <w:rsid w:val="00774B99"/>
    <w:rsid w:val="00774D10"/>
    <w:rsid w:val="00775525"/>
    <w:rsid w:val="00775B54"/>
    <w:rsid w:val="00775BF0"/>
    <w:rsid w:val="00775F16"/>
    <w:rsid w:val="00776ADA"/>
    <w:rsid w:val="00776E7F"/>
    <w:rsid w:val="00776F82"/>
    <w:rsid w:val="007770D9"/>
    <w:rsid w:val="0077741D"/>
    <w:rsid w:val="00777701"/>
    <w:rsid w:val="007777EE"/>
    <w:rsid w:val="00777D29"/>
    <w:rsid w:val="00777D66"/>
    <w:rsid w:val="00777DB4"/>
    <w:rsid w:val="00777FB4"/>
    <w:rsid w:val="00780CBF"/>
    <w:rsid w:val="00780D02"/>
    <w:rsid w:val="007820BE"/>
    <w:rsid w:val="00782D36"/>
    <w:rsid w:val="00782DF5"/>
    <w:rsid w:val="00783285"/>
    <w:rsid w:val="00783F83"/>
    <w:rsid w:val="00784534"/>
    <w:rsid w:val="00784B22"/>
    <w:rsid w:val="00784E75"/>
    <w:rsid w:val="00784EAE"/>
    <w:rsid w:val="00785098"/>
    <w:rsid w:val="007851E8"/>
    <w:rsid w:val="00785236"/>
    <w:rsid w:val="007852DC"/>
    <w:rsid w:val="007858B3"/>
    <w:rsid w:val="00785C6E"/>
    <w:rsid w:val="00785FF2"/>
    <w:rsid w:val="007869A5"/>
    <w:rsid w:val="007876E9"/>
    <w:rsid w:val="0078775B"/>
    <w:rsid w:val="00787E16"/>
    <w:rsid w:val="007900CE"/>
    <w:rsid w:val="00790499"/>
    <w:rsid w:val="00790C75"/>
    <w:rsid w:val="00790C76"/>
    <w:rsid w:val="00791154"/>
    <w:rsid w:val="0079179E"/>
    <w:rsid w:val="00791B88"/>
    <w:rsid w:val="00791CA7"/>
    <w:rsid w:val="00791ECC"/>
    <w:rsid w:val="0079203B"/>
    <w:rsid w:val="00792521"/>
    <w:rsid w:val="00792914"/>
    <w:rsid w:val="007929E6"/>
    <w:rsid w:val="00792A2F"/>
    <w:rsid w:val="00792F98"/>
    <w:rsid w:val="0079346C"/>
    <w:rsid w:val="007934E1"/>
    <w:rsid w:val="00793B71"/>
    <w:rsid w:val="007943C2"/>
    <w:rsid w:val="00794741"/>
    <w:rsid w:val="00794CCB"/>
    <w:rsid w:val="00794FE8"/>
    <w:rsid w:val="00795132"/>
    <w:rsid w:val="007952F2"/>
    <w:rsid w:val="00795937"/>
    <w:rsid w:val="00795BE6"/>
    <w:rsid w:val="007961BE"/>
    <w:rsid w:val="0079631F"/>
    <w:rsid w:val="00797801"/>
    <w:rsid w:val="00797A02"/>
    <w:rsid w:val="007A002F"/>
    <w:rsid w:val="007A025D"/>
    <w:rsid w:val="007A0938"/>
    <w:rsid w:val="007A13C0"/>
    <w:rsid w:val="007A1647"/>
    <w:rsid w:val="007A1654"/>
    <w:rsid w:val="007A1A79"/>
    <w:rsid w:val="007A1B8D"/>
    <w:rsid w:val="007A2143"/>
    <w:rsid w:val="007A2209"/>
    <w:rsid w:val="007A24BE"/>
    <w:rsid w:val="007A287F"/>
    <w:rsid w:val="007A2927"/>
    <w:rsid w:val="007A2B72"/>
    <w:rsid w:val="007A2F27"/>
    <w:rsid w:val="007A3124"/>
    <w:rsid w:val="007A31D0"/>
    <w:rsid w:val="007A3207"/>
    <w:rsid w:val="007A382D"/>
    <w:rsid w:val="007A3831"/>
    <w:rsid w:val="007A41A7"/>
    <w:rsid w:val="007A4896"/>
    <w:rsid w:val="007A48C9"/>
    <w:rsid w:val="007A52F9"/>
    <w:rsid w:val="007A5BC1"/>
    <w:rsid w:val="007A6270"/>
    <w:rsid w:val="007A64FB"/>
    <w:rsid w:val="007A673E"/>
    <w:rsid w:val="007A674E"/>
    <w:rsid w:val="007A6B19"/>
    <w:rsid w:val="007A6EAD"/>
    <w:rsid w:val="007A73EE"/>
    <w:rsid w:val="007B04A9"/>
    <w:rsid w:val="007B068D"/>
    <w:rsid w:val="007B09A4"/>
    <w:rsid w:val="007B0B8F"/>
    <w:rsid w:val="007B0CE2"/>
    <w:rsid w:val="007B0D15"/>
    <w:rsid w:val="007B1E5A"/>
    <w:rsid w:val="007B1E97"/>
    <w:rsid w:val="007B31A4"/>
    <w:rsid w:val="007B3382"/>
    <w:rsid w:val="007B37D2"/>
    <w:rsid w:val="007B38C4"/>
    <w:rsid w:val="007B3FE5"/>
    <w:rsid w:val="007B4508"/>
    <w:rsid w:val="007B4918"/>
    <w:rsid w:val="007B4BD1"/>
    <w:rsid w:val="007B4C06"/>
    <w:rsid w:val="007B4FA2"/>
    <w:rsid w:val="007B5034"/>
    <w:rsid w:val="007B57A1"/>
    <w:rsid w:val="007B5EF6"/>
    <w:rsid w:val="007B6241"/>
    <w:rsid w:val="007B71E4"/>
    <w:rsid w:val="007B7421"/>
    <w:rsid w:val="007C0A8D"/>
    <w:rsid w:val="007C0B33"/>
    <w:rsid w:val="007C1360"/>
    <w:rsid w:val="007C2345"/>
    <w:rsid w:val="007C2E00"/>
    <w:rsid w:val="007C2E8E"/>
    <w:rsid w:val="007C2F92"/>
    <w:rsid w:val="007C476B"/>
    <w:rsid w:val="007C507E"/>
    <w:rsid w:val="007C52F4"/>
    <w:rsid w:val="007C5D43"/>
    <w:rsid w:val="007C5DFA"/>
    <w:rsid w:val="007C6DD5"/>
    <w:rsid w:val="007C7016"/>
    <w:rsid w:val="007C72DC"/>
    <w:rsid w:val="007C7517"/>
    <w:rsid w:val="007C787B"/>
    <w:rsid w:val="007D03B6"/>
    <w:rsid w:val="007D03FD"/>
    <w:rsid w:val="007D0654"/>
    <w:rsid w:val="007D0881"/>
    <w:rsid w:val="007D0FC2"/>
    <w:rsid w:val="007D1668"/>
    <w:rsid w:val="007D1762"/>
    <w:rsid w:val="007D1D01"/>
    <w:rsid w:val="007D206D"/>
    <w:rsid w:val="007D245F"/>
    <w:rsid w:val="007D2992"/>
    <w:rsid w:val="007D2F6A"/>
    <w:rsid w:val="007D2FC9"/>
    <w:rsid w:val="007D3156"/>
    <w:rsid w:val="007D36B9"/>
    <w:rsid w:val="007D37CC"/>
    <w:rsid w:val="007D383E"/>
    <w:rsid w:val="007D3935"/>
    <w:rsid w:val="007D3EFB"/>
    <w:rsid w:val="007D4032"/>
    <w:rsid w:val="007D4373"/>
    <w:rsid w:val="007D479F"/>
    <w:rsid w:val="007D49F1"/>
    <w:rsid w:val="007D54C4"/>
    <w:rsid w:val="007D597B"/>
    <w:rsid w:val="007D606F"/>
    <w:rsid w:val="007D642B"/>
    <w:rsid w:val="007D669C"/>
    <w:rsid w:val="007D66EE"/>
    <w:rsid w:val="007D6DEA"/>
    <w:rsid w:val="007D7083"/>
    <w:rsid w:val="007D7322"/>
    <w:rsid w:val="007D7E91"/>
    <w:rsid w:val="007E0177"/>
    <w:rsid w:val="007E082D"/>
    <w:rsid w:val="007E0F3D"/>
    <w:rsid w:val="007E1027"/>
    <w:rsid w:val="007E1388"/>
    <w:rsid w:val="007E18F6"/>
    <w:rsid w:val="007E1E25"/>
    <w:rsid w:val="007E2194"/>
    <w:rsid w:val="007E2615"/>
    <w:rsid w:val="007E26EF"/>
    <w:rsid w:val="007E2B6C"/>
    <w:rsid w:val="007E2BD5"/>
    <w:rsid w:val="007E320A"/>
    <w:rsid w:val="007E356A"/>
    <w:rsid w:val="007E4154"/>
    <w:rsid w:val="007E47EF"/>
    <w:rsid w:val="007E495C"/>
    <w:rsid w:val="007E4981"/>
    <w:rsid w:val="007E4FBC"/>
    <w:rsid w:val="007E525A"/>
    <w:rsid w:val="007E588A"/>
    <w:rsid w:val="007E5CF8"/>
    <w:rsid w:val="007E62F7"/>
    <w:rsid w:val="007E69FC"/>
    <w:rsid w:val="007E6B98"/>
    <w:rsid w:val="007E74DC"/>
    <w:rsid w:val="007E7974"/>
    <w:rsid w:val="007E79CE"/>
    <w:rsid w:val="007E7BB1"/>
    <w:rsid w:val="007E7CCD"/>
    <w:rsid w:val="007E7FC8"/>
    <w:rsid w:val="007F00FB"/>
    <w:rsid w:val="007F052C"/>
    <w:rsid w:val="007F0579"/>
    <w:rsid w:val="007F0B1F"/>
    <w:rsid w:val="007F0DD3"/>
    <w:rsid w:val="007F0DDB"/>
    <w:rsid w:val="007F0FF3"/>
    <w:rsid w:val="007F136B"/>
    <w:rsid w:val="007F1641"/>
    <w:rsid w:val="007F178F"/>
    <w:rsid w:val="007F17CC"/>
    <w:rsid w:val="007F181F"/>
    <w:rsid w:val="007F1A56"/>
    <w:rsid w:val="007F3401"/>
    <w:rsid w:val="007F35DA"/>
    <w:rsid w:val="007F4195"/>
    <w:rsid w:val="007F4FBC"/>
    <w:rsid w:val="007F5198"/>
    <w:rsid w:val="007F5528"/>
    <w:rsid w:val="007F59A2"/>
    <w:rsid w:val="007F5F81"/>
    <w:rsid w:val="007F5F99"/>
    <w:rsid w:val="007F60DE"/>
    <w:rsid w:val="007F6331"/>
    <w:rsid w:val="007F637C"/>
    <w:rsid w:val="007F65AE"/>
    <w:rsid w:val="007F6814"/>
    <w:rsid w:val="007F69F3"/>
    <w:rsid w:val="007F70DE"/>
    <w:rsid w:val="007F722B"/>
    <w:rsid w:val="0080000B"/>
    <w:rsid w:val="0080160D"/>
    <w:rsid w:val="0080191D"/>
    <w:rsid w:val="00801B4A"/>
    <w:rsid w:val="00801E38"/>
    <w:rsid w:val="00801E5A"/>
    <w:rsid w:val="00802112"/>
    <w:rsid w:val="00802177"/>
    <w:rsid w:val="0080260C"/>
    <w:rsid w:val="008028FB"/>
    <w:rsid w:val="00802903"/>
    <w:rsid w:val="008034AA"/>
    <w:rsid w:val="008037C5"/>
    <w:rsid w:val="008037F6"/>
    <w:rsid w:val="00803CBB"/>
    <w:rsid w:val="00803DA5"/>
    <w:rsid w:val="00804BC5"/>
    <w:rsid w:val="0080543C"/>
    <w:rsid w:val="00805802"/>
    <w:rsid w:val="008059EE"/>
    <w:rsid w:val="008059FC"/>
    <w:rsid w:val="00805EBD"/>
    <w:rsid w:val="00806043"/>
    <w:rsid w:val="008060A5"/>
    <w:rsid w:val="008060D3"/>
    <w:rsid w:val="008066EC"/>
    <w:rsid w:val="008066FB"/>
    <w:rsid w:val="00806915"/>
    <w:rsid w:val="0080700E"/>
    <w:rsid w:val="00807A12"/>
    <w:rsid w:val="00807E7B"/>
    <w:rsid w:val="008106C4"/>
    <w:rsid w:val="008108AA"/>
    <w:rsid w:val="008108CB"/>
    <w:rsid w:val="008111D6"/>
    <w:rsid w:val="00811745"/>
    <w:rsid w:val="00811E9A"/>
    <w:rsid w:val="008123D8"/>
    <w:rsid w:val="00812CC5"/>
    <w:rsid w:val="00812DD2"/>
    <w:rsid w:val="008133E9"/>
    <w:rsid w:val="00813B35"/>
    <w:rsid w:val="00814BDD"/>
    <w:rsid w:val="00814F3A"/>
    <w:rsid w:val="0081679A"/>
    <w:rsid w:val="008173DB"/>
    <w:rsid w:val="00817A04"/>
    <w:rsid w:val="00817E9E"/>
    <w:rsid w:val="008203FB"/>
    <w:rsid w:val="008204EF"/>
    <w:rsid w:val="00820A20"/>
    <w:rsid w:val="00820C48"/>
    <w:rsid w:val="00820FC4"/>
    <w:rsid w:val="0082158E"/>
    <w:rsid w:val="00821A99"/>
    <w:rsid w:val="00822756"/>
    <w:rsid w:val="00822A21"/>
    <w:rsid w:val="00823299"/>
    <w:rsid w:val="00823873"/>
    <w:rsid w:val="00823A9D"/>
    <w:rsid w:val="00823D80"/>
    <w:rsid w:val="00824809"/>
    <w:rsid w:val="00824C50"/>
    <w:rsid w:val="00824D9D"/>
    <w:rsid w:val="00825088"/>
    <w:rsid w:val="00825525"/>
    <w:rsid w:val="008258F4"/>
    <w:rsid w:val="00825A48"/>
    <w:rsid w:val="00825F02"/>
    <w:rsid w:val="0082638A"/>
    <w:rsid w:val="008264EB"/>
    <w:rsid w:val="0082672C"/>
    <w:rsid w:val="00826972"/>
    <w:rsid w:val="00826C8F"/>
    <w:rsid w:val="0082700D"/>
    <w:rsid w:val="00827069"/>
    <w:rsid w:val="008273D2"/>
    <w:rsid w:val="0082780B"/>
    <w:rsid w:val="0082788A"/>
    <w:rsid w:val="008279BC"/>
    <w:rsid w:val="00827F65"/>
    <w:rsid w:val="00830150"/>
    <w:rsid w:val="008305F8"/>
    <w:rsid w:val="00830811"/>
    <w:rsid w:val="008309AF"/>
    <w:rsid w:val="00830C05"/>
    <w:rsid w:val="008311AA"/>
    <w:rsid w:val="00831390"/>
    <w:rsid w:val="00831F1D"/>
    <w:rsid w:val="00832045"/>
    <w:rsid w:val="008327BF"/>
    <w:rsid w:val="00832C0E"/>
    <w:rsid w:val="00832C53"/>
    <w:rsid w:val="00832E26"/>
    <w:rsid w:val="00833B19"/>
    <w:rsid w:val="00833C60"/>
    <w:rsid w:val="00833CE1"/>
    <w:rsid w:val="008342B2"/>
    <w:rsid w:val="00834300"/>
    <w:rsid w:val="00835456"/>
    <w:rsid w:val="00835593"/>
    <w:rsid w:val="00835D9F"/>
    <w:rsid w:val="00835F78"/>
    <w:rsid w:val="008365B8"/>
    <w:rsid w:val="00836B2A"/>
    <w:rsid w:val="00837815"/>
    <w:rsid w:val="00837D41"/>
    <w:rsid w:val="0084005E"/>
    <w:rsid w:val="0084016C"/>
    <w:rsid w:val="0084061A"/>
    <w:rsid w:val="0084080F"/>
    <w:rsid w:val="00840B1E"/>
    <w:rsid w:val="00840BC2"/>
    <w:rsid w:val="00840C6F"/>
    <w:rsid w:val="00840F8C"/>
    <w:rsid w:val="008410EF"/>
    <w:rsid w:val="00841140"/>
    <w:rsid w:val="0084176A"/>
    <w:rsid w:val="00841D33"/>
    <w:rsid w:val="008422E6"/>
    <w:rsid w:val="008429F5"/>
    <w:rsid w:val="00842F13"/>
    <w:rsid w:val="008435C9"/>
    <w:rsid w:val="008435F7"/>
    <w:rsid w:val="0084368A"/>
    <w:rsid w:val="00843A5D"/>
    <w:rsid w:val="00844D66"/>
    <w:rsid w:val="008452AC"/>
    <w:rsid w:val="00845792"/>
    <w:rsid w:val="008459AA"/>
    <w:rsid w:val="00845ADD"/>
    <w:rsid w:val="008460E3"/>
    <w:rsid w:val="008462C3"/>
    <w:rsid w:val="0084663A"/>
    <w:rsid w:val="008466BE"/>
    <w:rsid w:val="00846D72"/>
    <w:rsid w:val="00846D87"/>
    <w:rsid w:val="00846DBF"/>
    <w:rsid w:val="00847488"/>
    <w:rsid w:val="00847675"/>
    <w:rsid w:val="00847721"/>
    <w:rsid w:val="0084793A"/>
    <w:rsid w:val="00847B72"/>
    <w:rsid w:val="00850040"/>
    <w:rsid w:val="0085030A"/>
    <w:rsid w:val="00850ACD"/>
    <w:rsid w:val="00850E21"/>
    <w:rsid w:val="00851353"/>
    <w:rsid w:val="00851538"/>
    <w:rsid w:val="008516C0"/>
    <w:rsid w:val="008518EC"/>
    <w:rsid w:val="0085231C"/>
    <w:rsid w:val="008523FA"/>
    <w:rsid w:val="00852760"/>
    <w:rsid w:val="00852925"/>
    <w:rsid w:val="0085299F"/>
    <w:rsid w:val="00852EC6"/>
    <w:rsid w:val="008537B4"/>
    <w:rsid w:val="00853D82"/>
    <w:rsid w:val="008547AD"/>
    <w:rsid w:val="00854A50"/>
    <w:rsid w:val="00854C93"/>
    <w:rsid w:val="00854D06"/>
    <w:rsid w:val="00854D24"/>
    <w:rsid w:val="008554CE"/>
    <w:rsid w:val="0085559A"/>
    <w:rsid w:val="00855E30"/>
    <w:rsid w:val="00855E41"/>
    <w:rsid w:val="00855EAE"/>
    <w:rsid w:val="008566CA"/>
    <w:rsid w:val="008568E7"/>
    <w:rsid w:val="00856BF7"/>
    <w:rsid w:val="008572E4"/>
    <w:rsid w:val="008576F1"/>
    <w:rsid w:val="008576F7"/>
    <w:rsid w:val="00857893"/>
    <w:rsid w:val="00857A32"/>
    <w:rsid w:val="00857BDF"/>
    <w:rsid w:val="0086028B"/>
    <w:rsid w:val="008606E8"/>
    <w:rsid w:val="00861063"/>
    <w:rsid w:val="0086173B"/>
    <w:rsid w:val="00861DAE"/>
    <w:rsid w:val="008620F9"/>
    <w:rsid w:val="00863EB5"/>
    <w:rsid w:val="00864C74"/>
    <w:rsid w:val="0086527A"/>
    <w:rsid w:val="008653C3"/>
    <w:rsid w:val="00865620"/>
    <w:rsid w:val="00865C60"/>
    <w:rsid w:val="00866393"/>
    <w:rsid w:val="00866B24"/>
    <w:rsid w:val="00870946"/>
    <w:rsid w:val="00870A5E"/>
    <w:rsid w:val="00870D42"/>
    <w:rsid w:val="00871484"/>
    <w:rsid w:val="00872175"/>
    <w:rsid w:val="0087232E"/>
    <w:rsid w:val="00873021"/>
    <w:rsid w:val="00873AC1"/>
    <w:rsid w:val="00873E30"/>
    <w:rsid w:val="00874222"/>
    <w:rsid w:val="008745D9"/>
    <w:rsid w:val="00874B79"/>
    <w:rsid w:val="00874E01"/>
    <w:rsid w:val="00874E23"/>
    <w:rsid w:val="0087559E"/>
    <w:rsid w:val="0087574C"/>
    <w:rsid w:val="00875BB8"/>
    <w:rsid w:val="0087614A"/>
    <w:rsid w:val="0087617E"/>
    <w:rsid w:val="008766E0"/>
    <w:rsid w:val="00876D06"/>
    <w:rsid w:val="00876D42"/>
    <w:rsid w:val="008770D4"/>
    <w:rsid w:val="0087724D"/>
    <w:rsid w:val="00877567"/>
    <w:rsid w:val="008775F2"/>
    <w:rsid w:val="00880178"/>
    <w:rsid w:val="0088028F"/>
    <w:rsid w:val="008803C3"/>
    <w:rsid w:val="00880466"/>
    <w:rsid w:val="00880541"/>
    <w:rsid w:val="00880CE1"/>
    <w:rsid w:val="008810D4"/>
    <w:rsid w:val="00881249"/>
    <w:rsid w:val="00881532"/>
    <w:rsid w:val="008816C3"/>
    <w:rsid w:val="008818B5"/>
    <w:rsid w:val="00881B7D"/>
    <w:rsid w:val="00882511"/>
    <w:rsid w:val="00882515"/>
    <w:rsid w:val="008826F0"/>
    <w:rsid w:val="00882DC7"/>
    <w:rsid w:val="00882EA7"/>
    <w:rsid w:val="0088373C"/>
    <w:rsid w:val="008841DD"/>
    <w:rsid w:val="0088479A"/>
    <w:rsid w:val="008849DD"/>
    <w:rsid w:val="008849FD"/>
    <w:rsid w:val="00884AA8"/>
    <w:rsid w:val="00884E4F"/>
    <w:rsid w:val="00885022"/>
    <w:rsid w:val="008850E4"/>
    <w:rsid w:val="00885208"/>
    <w:rsid w:val="0088550A"/>
    <w:rsid w:val="00885579"/>
    <w:rsid w:val="008855E4"/>
    <w:rsid w:val="00885AEE"/>
    <w:rsid w:val="00885DB4"/>
    <w:rsid w:val="00885E8E"/>
    <w:rsid w:val="00885FA1"/>
    <w:rsid w:val="00887EFC"/>
    <w:rsid w:val="00890092"/>
    <w:rsid w:val="00890152"/>
    <w:rsid w:val="00890445"/>
    <w:rsid w:val="00890497"/>
    <w:rsid w:val="0089086A"/>
    <w:rsid w:val="00890920"/>
    <w:rsid w:val="00890C8B"/>
    <w:rsid w:val="0089119B"/>
    <w:rsid w:val="008912C3"/>
    <w:rsid w:val="0089135A"/>
    <w:rsid w:val="00891863"/>
    <w:rsid w:val="008918E3"/>
    <w:rsid w:val="00891DF4"/>
    <w:rsid w:val="00892851"/>
    <w:rsid w:val="00892950"/>
    <w:rsid w:val="0089302C"/>
    <w:rsid w:val="0089315C"/>
    <w:rsid w:val="00893242"/>
    <w:rsid w:val="0089331C"/>
    <w:rsid w:val="008935AD"/>
    <w:rsid w:val="00893D9A"/>
    <w:rsid w:val="008940A6"/>
    <w:rsid w:val="0089413B"/>
    <w:rsid w:val="008943F3"/>
    <w:rsid w:val="00894497"/>
    <w:rsid w:val="008949F1"/>
    <w:rsid w:val="00894B77"/>
    <w:rsid w:val="00894C15"/>
    <w:rsid w:val="00894EDF"/>
    <w:rsid w:val="00894EF8"/>
    <w:rsid w:val="0089579D"/>
    <w:rsid w:val="00895867"/>
    <w:rsid w:val="008958D6"/>
    <w:rsid w:val="008962AD"/>
    <w:rsid w:val="008965DA"/>
    <w:rsid w:val="00896BCD"/>
    <w:rsid w:val="00896D58"/>
    <w:rsid w:val="00896E38"/>
    <w:rsid w:val="00897111"/>
    <w:rsid w:val="00897E6A"/>
    <w:rsid w:val="00897EBD"/>
    <w:rsid w:val="00897F0B"/>
    <w:rsid w:val="00897F3D"/>
    <w:rsid w:val="008A00F0"/>
    <w:rsid w:val="008A05B8"/>
    <w:rsid w:val="008A06C4"/>
    <w:rsid w:val="008A06D6"/>
    <w:rsid w:val="008A0BC2"/>
    <w:rsid w:val="008A0C5B"/>
    <w:rsid w:val="008A15D2"/>
    <w:rsid w:val="008A1730"/>
    <w:rsid w:val="008A1BEF"/>
    <w:rsid w:val="008A2C6F"/>
    <w:rsid w:val="008A31B1"/>
    <w:rsid w:val="008A34CC"/>
    <w:rsid w:val="008A34DC"/>
    <w:rsid w:val="008A35AF"/>
    <w:rsid w:val="008A375C"/>
    <w:rsid w:val="008A3D6E"/>
    <w:rsid w:val="008A3E3C"/>
    <w:rsid w:val="008A40C6"/>
    <w:rsid w:val="008A44F4"/>
    <w:rsid w:val="008A44FF"/>
    <w:rsid w:val="008A4EE4"/>
    <w:rsid w:val="008A5318"/>
    <w:rsid w:val="008A5745"/>
    <w:rsid w:val="008A5B18"/>
    <w:rsid w:val="008A6A3A"/>
    <w:rsid w:val="008A6D63"/>
    <w:rsid w:val="008A6F0F"/>
    <w:rsid w:val="008A6FE6"/>
    <w:rsid w:val="008A76DF"/>
    <w:rsid w:val="008A78E9"/>
    <w:rsid w:val="008A792E"/>
    <w:rsid w:val="008A7D3D"/>
    <w:rsid w:val="008A7F46"/>
    <w:rsid w:val="008B02B4"/>
    <w:rsid w:val="008B03AF"/>
    <w:rsid w:val="008B04CF"/>
    <w:rsid w:val="008B0D8A"/>
    <w:rsid w:val="008B1083"/>
    <w:rsid w:val="008B1293"/>
    <w:rsid w:val="008B153E"/>
    <w:rsid w:val="008B1627"/>
    <w:rsid w:val="008B1A29"/>
    <w:rsid w:val="008B1FB3"/>
    <w:rsid w:val="008B227E"/>
    <w:rsid w:val="008B22EC"/>
    <w:rsid w:val="008B2568"/>
    <w:rsid w:val="008B29D9"/>
    <w:rsid w:val="008B2A88"/>
    <w:rsid w:val="008B3423"/>
    <w:rsid w:val="008B3640"/>
    <w:rsid w:val="008B3A66"/>
    <w:rsid w:val="008B3C57"/>
    <w:rsid w:val="008B415D"/>
    <w:rsid w:val="008B425C"/>
    <w:rsid w:val="008B4403"/>
    <w:rsid w:val="008B4479"/>
    <w:rsid w:val="008B465F"/>
    <w:rsid w:val="008B4C7C"/>
    <w:rsid w:val="008B536D"/>
    <w:rsid w:val="008B5A18"/>
    <w:rsid w:val="008B6081"/>
    <w:rsid w:val="008B66E2"/>
    <w:rsid w:val="008B688D"/>
    <w:rsid w:val="008B6C66"/>
    <w:rsid w:val="008B6D05"/>
    <w:rsid w:val="008B6F35"/>
    <w:rsid w:val="008B77B8"/>
    <w:rsid w:val="008B797D"/>
    <w:rsid w:val="008B7D64"/>
    <w:rsid w:val="008B7ECE"/>
    <w:rsid w:val="008B7F44"/>
    <w:rsid w:val="008C0BCB"/>
    <w:rsid w:val="008C0CBB"/>
    <w:rsid w:val="008C0D51"/>
    <w:rsid w:val="008C10FD"/>
    <w:rsid w:val="008C14EA"/>
    <w:rsid w:val="008C19D9"/>
    <w:rsid w:val="008C1C68"/>
    <w:rsid w:val="008C2008"/>
    <w:rsid w:val="008C2257"/>
    <w:rsid w:val="008C2413"/>
    <w:rsid w:val="008C2530"/>
    <w:rsid w:val="008C298B"/>
    <w:rsid w:val="008C2C3A"/>
    <w:rsid w:val="008C2EE3"/>
    <w:rsid w:val="008C2F80"/>
    <w:rsid w:val="008C3049"/>
    <w:rsid w:val="008C33DE"/>
    <w:rsid w:val="008C374A"/>
    <w:rsid w:val="008C3C61"/>
    <w:rsid w:val="008C4277"/>
    <w:rsid w:val="008C4496"/>
    <w:rsid w:val="008C455F"/>
    <w:rsid w:val="008C4AFD"/>
    <w:rsid w:val="008C5A09"/>
    <w:rsid w:val="008C6042"/>
    <w:rsid w:val="008C6210"/>
    <w:rsid w:val="008C62DB"/>
    <w:rsid w:val="008C7145"/>
    <w:rsid w:val="008C7346"/>
    <w:rsid w:val="008C7A6C"/>
    <w:rsid w:val="008D0086"/>
    <w:rsid w:val="008D0236"/>
    <w:rsid w:val="008D08C0"/>
    <w:rsid w:val="008D0B7C"/>
    <w:rsid w:val="008D158C"/>
    <w:rsid w:val="008D19CC"/>
    <w:rsid w:val="008D217D"/>
    <w:rsid w:val="008D223F"/>
    <w:rsid w:val="008D2255"/>
    <w:rsid w:val="008D27AB"/>
    <w:rsid w:val="008D35CA"/>
    <w:rsid w:val="008D4911"/>
    <w:rsid w:val="008D4F64"/>
    <w:rsid w:val="008D5138"/>
    <w:rsid w:val="008D60DA"/>
    <w:rsid w:val="008D62E8"/>
    <w:rsid w:val="008D63D3"/>
    <w:rsid w:val="008D6742"/>
    <w:rsid w:val="008D68E6"/>
    <w:rsid w:val="008D6D51"/>
    <w:rsid w:val="008D6EB1"/>
    <w:rsid w:val="008D7DC2"/>
    <w:rsid w:val="008D7E2F"/>
    <w:rsid w:val="008D7E9A"/>
    <w:rsid w:val="008E03B1"/>
    <w:rsid w:val="008E0542"/>
    <w:rsid w:val="008E0B0C"/>
    <w:rsid w:val="008E0D45"/>
    <w:rsid w:val="008E0DBE"/>
    <w:rsid w:val="008E135B"/>
    <w:rsid w:val="008E182B"/>
    <w:rsid w:val="008E24E6"/>
    <w:rsid w:val="008E26B2"/>
    <w:rsid w:val="008E2AFF"/>
    <w:rsid w:val="008E2BA5"/>
    <w:rsid w:val="008E3373"/>
    <w:rsid w:val="008E3992"/>
    <w:rsid w:val="008E3AF5"/>
    <w:rsid w:val="008E3F43"/>
    <w:rsid w:val="008E4227"/>
    <w:rsid w:val="008E5BB3"/>
    <w:rsid w:val="008E5CD4"/>
    <w:rsid w:val="008E60AF"/>
    <w:rsid w:val="008E61D1"/>
    <w:rsid w:val="008E6251"/>
    <w:rsid w:val="008E6265"/>
    <w:rsid w:val="008E6267"/>
    <w:rsid w:val="008E6CCB"/>
    <w:rsid w:val="008E6CD7"/>
    <w:rsid w:val="008E7030"/>
    <w:rsid w:val="008E71C7"/>
    <w:rsid w:val="008E7229"/>
    <w:rsid w:val="008E72DD"/>
    <w:rsid w:val="008E7355"/>
    <w:rsid w:val="008E74E3"/>
    <w:rsid w:val="008E7B76"/>
    <w:rsid w:val="008E7E2D"/>
    <w:rsid w:val="008E7F61"/>
    <w:rsid w:val="008F0530"/>
    <w:rsid w:val="008F06AF"/>
    <w:rsid w:val="008F0798"/>
    <w:rsid w:val="008F0B94"/>
    <w:rsid w:val="008F0C06"/>
    <w:rsid w:val="008F0F75"/>
    <w:rsid w:val="008F12F0"/>
    <w:rsid w:val="008F1D0B"/>
    <w:rsid w:val="008F2067"/>
    <w:rsid w:val="008F25EA"/>
    <w:rsid w:val="008F28B6"/>
    <w:rsid w:val="008F2B47"/>
    <w:rsid w:val="008F2EA0"/>
    <w:rsid w:val="008F30CB"/>
    <w:rsid w:val="008F3293"/>
    <w:rsid w:val="008F34F6"/>
    <w:rsid w:val="008F3856"/>
    <w:rsid w:val="008F38FF"/>
    <w:rsid w:val="008F3913"/>
    <w:rsid w:val="008F3EBA"/>
    <w:rsid w:val="008F4346"/>
    <w:rsid w:val="008F4ADC"/>
    <w:rsid w:val="008F50C8"/>
    <w:rsid w:val="008F5184"/>
    <w:rsid w:val="008F549A"/>
    <w:rsid w:val="008F54ED"/>
    <w:rsid w:val="008F5BCA"/>
    <w:rsid w:val="008F6371"/>
    <w:rsid w:val="008F6552"/>
    <w:rsid w:val="008F6ACD"/>
    <w:rsid w:val="008F6C85"/>
    <w:rsid w:val="008F6FD0"/>
    <w:rsid w:val="008F7259"/>
    <w:rsid w:val="008F7722"/>
    <w:rsid w:val="008F786A"/>
    <w:rsid w:val="008F79F1"/>
    <w:rsid w:val="008F7B09"/>
    <w:rsid w:val="008F7C32"/>
    <w:rsid w:val="008F7F39"/>
    <w:rsid w:val="009009D6"/>
    <w:rsid w:val="00900B41"/>
    <w:rsid w:val="00900D35"/>
    <w:rsid w:val="00901615"/>
    <w:rsid w:val="00901B22"/>
    <w:rsid w:val="0090299D"/>
    <w:rsid w:val="00903158"/>
    <w:rsid w:val="0090333C"/>
    <w:rsid w:val="009035E7"/>
    <w:rsid w:val="009038F8"/>
    <w:rsid w:val="009051BC"/>
    <w:rsid w:val="009057B1"/>
    <w:rsid w:val="00905988"/>
    <w:rsid w:val="00905ECE"/>
    <w:rsid w:val="00905EE9"/>
    <w:rsid w:val="00907139"/>
    <w:rsid w:val="00907A6B"/>
    <w:rsid w:val="00907F6A"/>
    <w:rsid w:val="009105CD"/>
    <w:rsid w:val="00910B00"/>
    <w:rsid w:val="00910E7D"/>
    <w:rsid w:val="0091123A"/>
    <w:rsid w:val="0091247D"/>
    <w:rsid w:val="009124BC"/>
    <w:rsid w:val="009134EC"/>
    <w:rsid w:val="00913704"/>
    <w:rsid w:val="009138E7"/>
    <w:rsid w:val="00913B3A"/>
    <w:rsid w:val="00913D7D"/>
    <w:rsid w:val="0091448C"/>
    <w:rsid w:val="00914BA3"/>
    <w:rsid w:val="00914F9D"/>
    <w:rsid w:val="00915064"/>
    <w:rsid w:val="009155BF"/>
    <w:rsid w:val="0091595F"/>
    <w:rsid w:val="00915D28"/>
    <w:rsid w:val="00915FC6"/>
    <w:rsid w:val="009161FF"/>
    <w:rsid w:val="009164DA"/>
    <w:rsid w:val="00916863"/>
    <w:rsid w:val="00916A51"/>
    <w:rsid w:val="00916D6A"/>
    <w:rsid w:val="00916FCF"/>
    <w:rsid w:val="009172F7"/>
    <w:rsid w:val="009177E6"/>
    <w:rsid w:val="009179B1"/>
    <w:rsid w:val="00917A4C"/>
    <w:rsid w:val="0092009E"/>
    <w:rsid w:val="009203F6"/>
    <w:rsid w:val="009205CE"/>
    <w:rsid w:val="00920814"/>
    <w:rsid w:val="00920A2C"/>
    <w:rsid w:val="00921189"/>
    <w:rsid w:val="00921343"/>
    <w:rsid w:val="0092243E"/>
    <w:rsid w:val="00922481"/>
    <w:rsid w:val="00922C2C"/>
    <w:rsid w:val="00923829"/>
    <w:rsid w:val="009238AF"/>
    <w:rsid w:val="00924AC5"/>
    <w:rsid w:val="00925097"/>
    <w:rsid w:val="0092542D"/>
    <w:rsid w:val="009255F9"/>
    <w:rsid w:val="00925674"/>
    <w:rsid w:val="009257E1"/>
    <w:rsid w:val="00925928"/>
    <w:rsid w:val="00925C84"/>
    <w:rsid w:val="00926688"/>
    <w:rsid w:val="009269B5"/>
    <w:rsid w:val="00926B3C"/>
    <w:rsid w:val="00927606"/>
    <w:rsid w:val="00927C34"/>
    <w:rsid w:val="009300AE"/>
    <w:rsid w:val="009300FF"/>
    <w:rsid w:val="00931038"/>
    <w:rsid w:val="00931BC4"/>
    <w:rsid w:val="00932687"/>
    <w:rsid w:val="0093296D"/>
    <w:rsid w:val="00933B1A"/>
    <w:rsid w:val="00934174"/>
    <w:rsid w:val="009347C5"/>
    <w:rsid w:val="00934EAD"/>
    <w:rsid w:val="0093567E"/>
    <w:rsid w:val="00935D47"/>
    <w:rsid w:val="00936307"/>
    <w:rsid w:val="00936B5D"/>
    <w:rsid w:val="00936FA4"/>
    <w:rsid w:val="0093778C"/>
    <w:rsid w:val="00937D50"/>
    <w:rsid w:val="00937F99"/>
    <w:rsid w:val="00940555"/>
    <w:rsid w:val="00940952"/>
    <w:rsid w:val="00940ABC"/>
    <w:rsid w:val="00940D42"/>
    <w:rsid w:val="00940E95"/>
    <w:rsid w:val="00940EF6"/>
    <w:rsid w:val="00940FB1"/>
    <w:rsid w:val="009413D0"/>
    <w:rsid w:val="00941426"/>
    <w:rsid w:val="00941590"/>
    <w:rsid w:val="009416BA"/>
    <w:rsid w:val="00942063"/>
    <w:rsid w:val="00942A79"/>
    <w:rsid w:val="00943A26"/>
    <w:rsid w:val="00943C8C"/>
    <w:rsid w:val="00943CB8"/>
    <w:rsid w:val="00943E4A"/>
    <w:rsid w:val="00943E9E"/>
    <w:rsid w:val="00944A93"/>
    <w:rsid w:val="00944A96"/>
    <w:rsid w:val="00946236"/>
    <w:rsid w:val="0094689D"/>
    <w:rsid w:val="00946934"/>
    <w:rsid w:val="009469F4"/>
    <w:rsid w:val="00946CBE"/>
    <w:rsid w:val="00947A5B"/>
    <w:rsid w:val="00947B16"/>
    <w:rsid w:val="00947C53"/>
    <w:rsid w:val="009506CB"/>
    <w:rsid w:val="00950D36"/>
    <w:rsid w:val="0095168C"/>
    <w:rsid w:val="00951AB9"/>
    <w:rsid w:val="00951C8B"/>
    <w:rsid w:val="00951E33"/>
    <w:rsid w:val="00951E5A"/>
    <w:rsid w:val="0095278D"/>
    <w:rsid w:val="00953581"/>
    <w:rsid w:val="00953815"/>
    <w:rsid w:val="00953CD8"/>
    <w:rsid w:val="009540BE"/>
    <w:rsid w:val="00954321"/>
    <w:rsid w:val="0095439D"/>
    <w:rsid w:val="0095472F"/>
    <w:rsid w:val="0095529E"/>
    <w:rsid w:val="0095559B"/>
    <w:rsid w:val="009555D2"/>
    <w:rsid w:val="00955E9C"/>
    <w:rsid w:val="0095608F"/>
    <w:rsid w:val="00956517"/>
    <w:rsid w:val="009574FF"/>
    <w:rsid w:val="00957F67"/>
    <w:rsid w:val="00960863"/>
    <w:rsid w:val="00960B35"/>
    <w:rsid w:val="00960BFE"/>
    <w:rsid w:val="00961902"/>
    <w:rsid w:val="00961C5E"/>
    <w:rsid w:val="00961CB1"/>
    <w:rsid w:val="00961D0F"/>
    <w:rsid w:val="009620AE"/>
    <w:rsid w:val="00962111"/>
    <w:rsid w:val="00962132"/>
    <w:rsid w:val="00962257"/>
    <w:rsid w:val="00962A3E"/>
    <w:rsid w:val="00962D55"/>
    <w:rsid w:val="00963467"/>
    <w:rsid w:val="0096360D"/>
    <w:rsid w:val="009636EF"/>
    <w:rsid w:val="00963F67"/>
    <w:rsid w:val="009641E6"/>
    <w:rsid w:val="0096427B"/>
    <w:rsid w:val="0096449F"/>
    <w:rsid w:val="0096470E"/>
    <w:rsid w:val="0096472F"/>
    <w:rsid w:val="0096488C"/>
    <w:rsid w:val="0096491C"/>
    <w:rsid w:val="0096496A"/>
    <w:rsid w:val="0096579B"/>
    <w:rsid w:val="00965A78"/>
    <w:rsid w:val="00965BD1"/>
    <w:rsid w:val="00965C27"/>
    <w:rsid w:val="009661E7"/>
    <w:rsid w:val="009667DE"/>
    <w:rsid w:val="00966933"/>
    <w:rsid w:val="00966951"/>
    <w:rsid w:val="009674C6"/>
    <w:rsid w:val="00967A01"/>
    <w:rsid w:val="00970213"/>
    <w:rsid w:val="009704B5"/>
    <w:rsid w:val="009707AF"/>
    <w:rsid w:val="009708A2"/>
    <w:rsid w:val="00970A0C"/>
    <w:rsid w:val="0097121F"/>
    <w:rsid w:val="0097158C"/>
    <w:rsid w:val="00971680"/>
    <w:rsid w:val="009719AB"/>
    <w:rsid w:val="00971B61"/>
    <w:rsid w:val="0097210B"/>
    <w:rsid w:val="009721B6"/>
    <w:rsid w:val="0097248F"/>
    <w:rsid w:val="009724E3"/>
    <w:rsid w:val="00973161"/>
    <w:rsid w:val="009737C5"/>
    <w:rsid w:val="009738E5"/>
    <w:rsid w:val="00973F34"/>
    <w:rsid w:val="00974038"/>
    <w:rsid w:val="00974127"/>
    <w:rsid w:val="00974675"/>
    <w:rsid w:val="009747C7"/>
    <w:rsid w:val="00974863"/>
    <w:rsid w:val="00975108"/>
    <w:rsid w:val="00975A7A"/>
    <w:rsid w:val="00975DE0"/>
    <w:rsid w:val="00976066"/>
    <w:rsid w:val="00976529"/>
    <w:rsid w:val="00976DD5"/>
    <w:rsid w:val="00977136"/>
    <w:rsid w:val="009778EA"/>
    <w:rsid w:val="00977906"/>
    <w:rsid w:val="00977BF9"/>
    <w:rsid w:val="00977C6C"/>
    <w:rsid w:val="00977EF3"/>
    <w:rsid w:val="00980FA7"/>
    <w:rsid w:val="00981051"/>
    <w:rsid w:val="0098182F"/>
    <w:rsid w:val="00982290"/>
    <w:rsid w:val="009823D7"/>
    <w:rsid w:val="009824CE"/>
    <w:rsid w:val="009825A1"/>
    <w:rsid w:val="009834B1"/>
    <w:rsid w:val="009837DB"/>
    <w:rsid w:val="00983A87"/>
    <w:rsid w:val="00983BB2"/>
    <w:rsid w:val="00983ED8"/>
    <w:rsid w:val="00984488"/>
    <w:rsid w:val="00984BD0"/>
    <w:rsid w:val="00984F36"/>
    <w:rsid w:val="009851DF"/>
    <w:rsid w:val="009859CF"/>
    <w:rsid w:val="00985B8E"/>
    <w:rsid w:val="00985BE6"/>
    <w:rsid w:val="00986067"/>
    <w:rsid w:val="009864CC"/>
    <w:rsid w:val="009868FE"/>
    <w:rsid w:val="00986C5C"/>
    <w:rsid w:val="00987088"/>
    <w:rsid w:val="00987E5E"/>
    <w:rsid w:val="009904A3"/>
    <w:rsid w:val="0099085F"/>
    <w:rsid w:val="00990C93"/>
    <w:rsid w:val="00991750"/>
    <w:rsid w:val="00992E2B"/>
    <w:rsid w:val="00993063"/>
    <w:rsid w:val="009930D8"/>
    <w:rsid w:val="0099332F"/>
    <w:rsid w:val="009933FD"/>
    <w:rsid w:val="009939E4"/>
    <w:rsid w:val="00993DDE"/>
    <w:rsid w:val="0099407C"/>
    <w:rsid w:val="009942AE"/>
    <w:rsid w:val="00994542"/>
    <w:rsid w:val="0099456B"/>
    <w:rsid w:val="00994589"/>
    <w:rsid w:val="0099510C"/>
    <w:rsid w:val="00995839"/>
    <w:rsid w:val="00995C64"/>
    <w:rsid w:val="00995F81"/>
    <w:rsid w:val="00996176"/>
    <w:rsid w:val="00996257"/>
    <w:rsid w:val="00996980"/>
    <w:rsid w:val="00996A72"/>
    <w:rsid w:val="0099742A"/>
    <w:rsid w:val="009974FC"/>
    <w:rsid w:val="009A07C4"/>
    <w:rsid w:val="009A08AF"/>
    <w:rsid w:val="009A0DC4"/>
    <w:rsid w:val="009A1898"/>
    <w:rsid w:val="009A211B"/>
    <w:rsid w:val="009A2569"/>
    <w:rsid w:val="009A262E"/>
    <w:rsid w:val="009A2EDF"/>
    <w:rsid w:val="009A3684"/>
    <w:rsid w:val="009A3E35"/>
    <w:rsid w:val="009A3FAC"/>
    <w:rsid w:val="009A44BC"/>
    <w:rsid w:val="009A49E6"/>
    <w:rsid w:val="009A4C60"/>
    <w:rsid w:val="009A508E"/>
    <w:rsid w:val="009A569F"/>
    <w:rsid w:val="009A5A94"/>
    <w:rsid w:val="009A5ACE"/>
    <w:rsid w:val="009A5E50"/>
    <w:rsid w:val="009A622D"/>
    <w:rsid w:val="009A6B4B"/>
    <w:rsid w:val="009A6DEA"/>
    <w:rsid w:val="009A7D02"/>
    <w:rsid w:val="009A7EA8"/>
    <w:rsid w:val="009B04B4"/>
    <w:rsid w:val="009B0900"/>
    <w:rsid w:val="009B0EBB"/>
    <w:rsid w:val="009B0FE6"/>
    <w:rsid w:val="009B10B6"/>
    <w:rsid w:val="009B156A"/>
    <w:rsid w:val="009B18FE"/>
    <w:rsid w:val="009B193E"/>
    <w:rsid w:val="009B2C53"/>
    <w:rsid w:val="009B3221"/>
    <w:rsid w:val="009B346F"/>
    <w:rsid w:val="009B34F1"/>
    <w:rsid w:val="009B3678"/>
    <w:rsid w:val="009B39A2"/>
    <w:rsid w:val="009B3C70"/>
    <w:rsid w:val="009B4240"/>
    <w:rsid w:val="009B43A8"/>
    <w:rsid w:val="009B490C"/>
    <w:rsid w:val="009B4B63"/>
    <w:rsid w:val="009B5010"/>
    <w:rsid w:val="009B54FC"/>
    <w:rsid w:val="009B5671"/>
    <w:rsid w:val="009B585D"/>
    <w:rsid w:val="009B5963"/>
    <w:rsid w:val="009B5B61"/>
    <w:rsid w:val="009B5C97"/>
    <w:rsid w:val="009B63F5"/>
    <w:rsid w:val="009B68F2"/>
    <w:rsid w:val="009B69D1"/>
    <w:rsid w:val="009B6CBC"/>
    <w:rsid w:val="009B72B7"/>
    <w:rsid w:val="009B738D"/>
    <w:rsid w:val="009B73FD"/>
    <w:rsid w:val="009B7443"/>
    <w:rsid w:val="009B7570"/>
    <w:rsid w:val="009B75CF"/>
    <w:rsid w:val="009B7C58"/>
    <w:rsid w:val="009B7FA7"/>
    <w:rsid w:val="009C02D2"/>
    <w:rsid w:val="009C07C3"/>
    <w:rsid w:val="009C10DF"/>
    <w:rsid w:val="009C137D"/>
    <w:rsid w:val="009C18C8"/>
    <w:rsid w:val="009C1B72"/>
    <w:rsid w:val="009C1E32"/>
    <w:rsid w:val="009C22B8"/>
    <w:rsid w:val="009C2407"/>
    <w:rsid w:val="009C2679"/>
    <w:rsid w:val="009C2E3A"/>
    <w:rsid w:val="009C2E3C"/>
    <w:rsid w:val="009C3086"/>
    <w:rsid w:val="009C4001"/>
    <w:rsid w:val="009C413C"/>
    <w:rsid w:val="009C4197"/>
    <w:rsid w:val="009C4808"/>
    <w:rsid w:val="009C575B"/>
    <w:rsid w:val="009C5CA2"/>
    <w:rsid w:val="009C5D84"/>
    <w:rsid w:val="009C5E85"/>
    <w:rsid w:val="009C6277"/>
    <w:rsid w:val="009C62F9"/>
    <w:rsid w:val="009C6861"/>
    <w:rsid w:val="009C78B5"/>
    <w:rsid w:val="009C7C91"/>
    <w:rsid w:val="009D0370"/>
    <w:rsid w:val="009D04FC"/>
    <w:rsid w:val="009D11A6"/>
    <w:rsid w:val="009D1253"/>
    <w:rsid w:val="009D12EC"/>
    <w:rsid w:val="009D258F"/>
    <w:rsid w:val="009D2B0E"/>
    <w:rsid w:val="009D419C"/>
    <w:rsid w:val="009D4807"/>
    <w:rsid w:val="009D4966"/>
    <w:rsid w:val="009D496C"/>
    <w:rsid w:val="009D4B37"/>
    <w:rsid w:val="009D5309"/>
    <w:rsid w:val="009D58C6"/>
    <w:rsid w:val="009D594E"/>
    <w:rsid w:val="009D59AA"/>
    <w:rsid w:val="009D5CB7"/>
    <w:rsid w:val="009D6BE5"/>
    <w:rsid w:val="009D6E3E"/>
    <w:rsid w:val="009D743C"/>
    <w:rsid w:val="009D74AB"/>
    <w:rsid w:val="009D7D2C"/>
    <w:rsid w:val="009E0D0B"/>
    <w:rsid w:val="009E104E"/>
    <w:rsid w:val="009E14B4"/>
    <w:rsid w:val="009E1543"/>
    <w:rsid w:val="009E196E"/>
    <w:rsid w:val="009E2091"/>
    <w:rsid w:val="009E25E4"/>
    <w:rsid w:val="009E2845"/>
    <w:rsid w:val="009E2874"/>
    <w:rsid w:val="009E2932"/>
    <w:rsid w:val="009E294F"/>
    <w:rsid w:val="009E359F"/>
    <w:rsid w:val="009E408C"/>
    <w:rsid w:val="009E40E3"/>
    <w:rsid w:val="009E4291"/>
    <w:rsid w:val="009E4454"/>
    <w:rsid w:val="009E44AC"/>
    <w:rsid w:val="009E498A"/>
    <w:rsid w:val="009E4DA9"/>
    <w:rsid w:val="009E4DCA"/>
    <w:rsid w:val="009E50DD"/>
    <w:rsid w:val="009E55D9"/>
    <w:rsid w:val="009E55F6"/>
    <w:rsid w:val="009E56BB"/>
    <w:rsid w:val="009E5CB4"/>
    <w:rsid w:val="009E66BA"/>
    <w:rsid w:val="009E67F5"/>
    <w:rsid w:val="009E6AD9"/>
    <w:rsid w:val="009E6AF3"/>
    <w:rsid w:val="009E6BC2"/>
    <w:rsid w:val="009E7164"/>
    <w:rsid w:val="009E76F2"/>
    <w:rsid w:val="009F0534"/>
    <w:rsid w:val="009F08F0"/>
    <w:rsid w:val="009F095A"/>
    <w:rsid w:val="009F0E90"/>
    <w:rsid w:val="009F0F02"/>
    <w:rsid w:val="009F1619"/>
    <w:rsid w:val="009F1665"/>
    <w:rsid w:val="009F1779"/>
    <w:rsid w:val="009F2552"/>
    <w:rsid w:val="009F29CF"/>
    <w:rsid w:val="009F2B86"/>
    <w:rsid w:val="009F2BBC"/>
    <w:rsid w:val="009F3C66"/>
    <w:rsid w:val="009F3E64"/>
    <w:rsid w:val="009F47A9"/>
    <w:rsid w:val="009F48B7"/>
    <w:rsid w:val="009F50FB"/>
    <w:rsid w:val="009F5285"/>
    <w:rsid w:val="009F5C9B"/>
    <w:rsid w:val="009F69DD"/>
    <w:rsid w:val="009F6AD3"/>
    <w:rsid w:val="009F6FE8"/>
    <w:rsid w:val="009F7519"/>
    <w:rsid w:val="009F7F00"/>
    <w:rsid w:val="00A00387"/>
    <w:rsid w:val="00A0079F"/>
    <w:rsid w:val="00A00EED"/>
    <w:rsid w:val="00A014A7"/>
    <w:rsid w:val="00A01B61"/>
    <w:rsid w:val="00A01D0E"/>
    <w:rsid w:val="00A020AC"/>
    <w:rsid w:val="00A02134"/>
    <w:rsid w:val="00A023CA"/>
    <w:rsid w:val="00A036E6"/>
    <w:rsid w:val="00A04465"/>
    <w:rsid w:val="00A054C8"/>
    <w:rsid w:val="00A059A8"/>
    <w:rsid w:val="00A05C35"/>
    <w:rsid w:val="00A05C88"/>
    <w:rsid w:val="00A05E97"/>
    <w:rsid w:val="00A05F5A"/>
    <w:rsid w:val="00A0609A"/>
    <w:rsid w:val="00A060E2"/>
    <w:rsid w:val="00A0631E"/>
    <w:rsid w:val="00A06596"/>
    <w:rsid w:val="00A0682B"/>
    <w:rsid w:val="00A06900"/>
    <w:rsid w:val="00A06A3C"/>
    <w:rsid w:val="00A06ABB"/>
    <w:rsid w:val="00A0716B"/>
    <w:rsid w:val="00A07547"/>
    <w:rsid w:val="00A07684"/>
    <w:rsid w:val="00A07BDB"/>
    <w:rsid w:val="00A10A0E"/>
    <w:rsid w:val="00A10A35"/>
    <w:rsid w:val="00A11418"/>
    <w:rsid w:val="00A116D1"/>
    <w:rsid w:val="00A11782"/>
    <w:rsid w:val="00A119F6"/>
    <w:rsid w:val="00A11A6D"/>
    <w:rsid w:val="00A120A2"/>
    <w:rsid w:val="00A12166"/>
    <w:rsid w:val="00A123B4"/>
    <w:rsid w:val="00A124A8"/>
    <w:rsid w:val="00A12952"/>
    <w:rsid w:val="00A12B82"/>
    <w:rsid w:val="00A131B1"/>
    <w:rsid w:val="00A134F3"/>
    <w:rsid w:val="00A13577"/>
    <w:rsid w:val="00A13674"/>
    <w:rsid w:val="00A1381F"/>
    <w:rsid w:val="00A139D1"/>
    <w:rsid w:val="00A13A3C"/>
    <w:rsid w:val="00A13A3D"/>
    <w:rsid w:val="00A13E71"/>
    <w:rsid w:val="00A142BC"/>
    <w:rsid w:val="00A143E4"/>
    <w:rsid w:val="00A1504E"/>
    <w:rsid w:val="00A1515C"/>
    <w:rsid w:val="00A15F0A"/>
    <w:rsid w:val="00A163A6"/>
    <w:rsid w:val="00A16562"/>
    <w:rsid w:val="00A16EE7"/>
    <w:rsid w:val="00A16FFA"/>
    <w:rsid w:val="00A1707A"/>
    <w:rsid w:val="00A201A3"/>
    <w:rsid w:val="00A216BC"/>
    <w:rsid w:val="00A220E4"/>
    <w:rsid w:val="00A22251"/>
    <w:rsid w:val="00A2248B"/>
    <w:rsid w:val="00A22CD3"/>
    <w:rsid w:val="00A22D3D"/>
    <w:rsid w:val="00A22D9E"/>
    <w:rsid w:val="00A238C4"/>
    <w:rsid w:val="00A23BE1"/>
    <w:rsid w:val="00A23EA3"/>
    <w:rsid w:val="00A241BC"/>
    <w:rsid w:val="00A24BDF"/>
    <w:rsid w:val="00A251FD"/>
    <w:rsid w:val="00A25439"/>
    <w:rsid w:val="00A258E2"/>
    <w:rsid w:val="00A25C05"/>
    <w:rsid w:val="00A26026"/>
    <w:rsid w:val="00A2602A"/>
    <w:rsid w:val="00A264A4"/>
    <w:rsid w:val="00A26557"/>
    <w:rsid w:val="00A26829"/>
    <w:rsid w:val="00A27A45"/>
    <w:rsid w:val="00A27A8B"/>
    <w:rsid w:val="00A27C75"/>
    <w:rsid w:val="00A3061A"/>
    <w:rsid w:val="00A30AF7"/>
    <w:rsid w:val="00A30E9A"/>
    <w:rsid w:val="00A31136"/>
    <w:rsid w:val="00A3123E"/>
    <w:rsid w:val="00A31259"/>
    <w:rsid w:val="00A31AF1"/>
    <w:rsid w:val="00A31D9D"/>
    <w:rsid w:val="00A3257B"/>
    <w:rsid w:val="00A33083"/>
    <w:rsid w:val="00A33574"/>
    <w:rsid w:val="00A33C45"/>
    <w:rsid w:val="00A3408F"/>
    <w:rsid w:val="00A340C6"/>
    <w:rsid w:val="00A341D0"/>
    <w:rsid w:val="00A34792"/>
    <w:rsid w:val="00A349D1"/>
    <w:rsid w:val="00A35132"/>
    <w:rsid w:val="00A3532E"/>
    <w:rsid w:val="00A3613D"/>
    <w:rsid w:val="00A361D6"/>
    <w:rsid w:val="00A3644A"/>
    <w:rsid w:val="00A36DBD"/>
    <w:rsid w:val="00A36E34"/>
    <w:rsid w:val="00A370CB"/>
    <w:rsid w:val="00A377CC"/>
    <w:rsid w:val="00A378D0"/>
    <w:rsid w:val="00A37EA4"/>
    <w:rsid w:val="00A40057"/>
    <w:rsid w:val="00A40548"/>
    <w:rsid w:val="00A40942"/>
    <w:rsid w:val="00A40D36"/>
    <w:rsid w:val="00A40DBB"/>
    <w:rsid w:val="00A41618"/>
    <w:rsid w:val="00A41A93"/>
    <w:rsid w:val="00A4218F"/>
    <w:rsid w:val="00A421A7"/>
    <w:rsid w:val="00A421AC"/>
    <w:rsid w:val="00A423A6"/>
    <w:rsid w:val="00A42637"/>
    <w:rsid w:val="00A4288A"/>
    <w:rsid w:val="00A4292D"/>
    <w:rsid w:val="00A42FED"/>
    <w:rsid w:val="00A431A9"/>
    <w:rsid w:val="00A436A7"/>
    <w:rsid w:val="00A43C16"/>
    <w:rsid w:val="00A43D5D"/>
    <w:rsid w:val="00A43DC4"/>
    <w:rsid w:val="00A4488B"/>
    <w:rsid w:val="00A44957"/>
    <w:rsid w:val="00A44DD3"/>
    <w:rsid w:val="00A4524D"/>
    <w:rsid w:val="00A452B1"/>
    <w:rsid w:val="00A4587B"/>
    <w:rsid w:val="00A458A5"/>
    <w:rsid w:val="00A458F0"/>
    <w:rsid w:val="00A46223"/>
    <w:rsid w:val="00A470B9"/>
    <w:rsid w:val="00A474A3"/>
    <w:rsid w:val="00A477B2"/>
    <w:rsid w:val="00A47923"/>
    <w:rsid w:val="00A5097F"/>
    <w:rsid w:val="00A50D60"/>
    <w:rsid w:val="00A50E42"/>
    <w:rsid w:val="00A511F9"/>
    <w:rsid w:val="00A5186F"/>
    <w:rsid w:val="00A51976"/>
    <w:rsid w:val="00A51E4D"/>
    <w:rsid w:val="00A51E62"/>
    <w:rsid w:val="00A51EC4"/>
    <w:rsid w:val="00A535EF"/>
    <w:rsid w:val="00A5396C"/>
    <w:rsid w:val="00A54073"/>
    <w:rsid w:val="00A54260"/>
    <w:rsid w:val="00A54423"/>
    <w:rsid w:val="00A54553"/>
    <w:rsid w:val="00A549ED"/>
    <w:rsid w:val="00A54B21"/>
    <w:rsid w:val="00A54D9E"/>
    <w:rsid w:val="00A54DCA"/>
    <w:rsid w:val="00A55330"/>
    <w:rsid w:val="00A55586"/>
    <w:rsid w:val="00A55818"/>
    <w:rsid w:val="00A55B60"/>
    <w:rsid w:val="00A55DA3"/>
    <w:rsid w:val="00A56ADA"/>
    <w:rsid w:val="00A57655"/>
    <w:rsid w:val="00A57B65"/>
    <w:rsid w:val="00A57D32"/>
    <w:rsid w:val="00A600E9"/>
    <w:rsid w:val="00A60307"/>
    <w:rsid w:val="00A60476"/>
    <w:rsid w:val="00A60598"/>
    <w:rsid w:val="00A6080D"/>
    <w:rsid w:val="00A60908"/>
    <w:rsid w:val="00A60AF4"/>
    <w:rsid w:val="00A61061"/>
    <w:rsid w:val="00A610EB"/>
    <w:rsid w:val="00A61389"/>
    <w:rsid w:val="00A61C17"/>
    <w:rsid w:val="00A61FEE"/>
    <w:rsid w:val="00A62C01"/>
    <w:rsid w:val="00A62F55"/>
    <w:rsid w:val="00A6308C"/>
    <w:rsid w:val="00A63533"/>
    <w:rsid w:val="00A636D5"/>
    <w:rsid w:val="00A639F3"/>
    <w:rsid w:val="00A63C7F"/>
    <w:rsid w:val="00A63D88"/>
    <w:rsid w:val="00A64101"/>
    <w:rsid w:val="00A64861"/>
    <w:rsid w:val="00A64DFC"/>
    <w:rsid w:val="00A6597A"/>
    <w:rsid w:val="00A659DC"/>
    <w:rsid w:val="00A65A53"/>
    <w:rsid w:val="00A65BE2"/>
    <w:rsid w:val="00A65E61"/>
    <w:rsid w:val="00A6640D"/>
    <w:rsid w:val="00A6649C"/>
    <w:rsid w:val="00A66836"/>
    <w:rsid w:val="00A6692E"/>
    <w:rsid w:val="00A66A86"/>
    <w:rsid w:val="00A66B0A"/>
    <w:rsid w:val="00A66B73"/>
    <w:rsid w:val="00A66D7B"/>
    <w:rsid w:val="00A66F52"/>
    <w:rsid w:val="00A66F54"/>
    <w:rsid w:val="00A67DDB"/>
    <w:rsid w:val="00A70305"/>
    <w:rsid w:val="00A705CE"/>
    <w:rsid w:val="00A70B42"/>
    <w:rsid w:val="00A71797"/>
    <w:rsid w:val="00A721D5"/>
    <w:rsid w:val="00A72464"/>
    <w:rsid w:val="00A7266E"/>
    <w:rsid w:val="00A73800"/>
    <w:rsid w:val="00A73F8C"/>
    <w:rsid w:val="00A7421E"/>
    <w:rsid w:val="00A74284"/>
    <w:rsid w:val="00A74766"/>
    <w:rsid w:val="00A75B33"/>
    <w:rsid w:val="00A7615D"/>
    <w:rsid w:val="00A76457"/>
    <w:rsid w:val="00A764EE"/>
    <w:rsid w:val="00A765A8"/>
    <w:rsid w:val="00A7663E"/>
    <w:rsid w:val="00A7665D"/>
    <w:rsid w:val="00A769A2"/>
    <w:rsid w:val="00A76A8C"/>
    <w:rsid w:val="00A773F4"/>
    <w:rsid w:val="00A776BC"/>
    <w:rsid w:val="00A77B0E"/>
    <w:rsid w:val="00A77F79"/>
    <w:rsid w:val="00A80493"/>
    <w:rsid w:val="00A806BA"/>
    <w:rsid w:val="00A8086C"/>
    <w:rsid w:val="00A80B6C"/>
    <w:rsid w:val="00A8140A"/>
    <w:rsid w:val="00A81878"/>
    <w:rsid w:val="00A81BCB"/>
    <w:rsid w:val="00A81F14"/>
    <w:rsid w:val="00A8240C"/>
    <w:rsid w:val="00A8283F"/>
    <w:rsid w:val="00A82CB5"/>
    <w:rsid w:val="00A82D0D"/>
    <w:rsid w:val="00A8370E"/>
    <w:rsid w:val="00A83C08"/>
    <w:rsid w:val="00A83D7B"/>
    <w:rsid w:val="00A84213"/>
    <w:rsid w:val="00A8492E"/>
    <w:rsid w:val="00A849F5"/>
    <w:rsid w:val="00A84C6D"/>
    <w:rsid w:val="00A84E01"/>
    <w:rsid w:val="00A85145"/>
    <w:rsid w:val="00A8574C"/>
    <w:rsid w:val="00A86B37"/>
    <w:rsid w:val="00A874C4"/>
    <w:rsid w:val="00A879A7"/>
    <w:rsid w:val="00A87A21"/>
    <w:rsid w:val="00A87CAA"/>
    <w:rsid w:val="00A908EE"/>
    <w:rsid w:val="00A91167"/>
    <w:rsid w:val="00A91510"/>
    <w:rsid w:val="00A91531"/>
    <w:rsid w:val="00A919FB"/>
    <w:rsid w:val="00A91CA5"/>
    <w:rsid w:val="00A9291A"/>
    <w:rsid w:val="00A932C0"/>
    <w:rsid w:val="00A93998"/>
    <w:rsid w:val="00A93CD6"/>
    <w:rsid w:val="00A93E1B"/>
    <w:rsid w:val="00A93E8C"/>
    <w:rsid w:val="00A9456C"/>
    <w:rsid w:val="00A94B54"/>
    <w:rsid w:val="00A94BF6"/>
    <w:rsid w:val="00A94C9F"/>
    <w:rsid w:val="00A94CA2"/>
    <w:rsid w:val="00A94D08"/>
    <w:rsid w:val="00A94F97"/>
    <w:rsid w:val="00A950A1"/>
    <w:rsid w:val="00A9543E"/>
    <w:rsid w:val="00A95BB9"/>
    <w:rsid w:val="00A95D9A"/>
    <w:rsid w:val="00A95F3A"/>
    <w:rsid w:val="00A95F46"/>
    <w:rsid w:val="00A962F7"/>
    <w:rsid w:val="00A963CA"/>
    <w:rsid w:val="00A96686"/>
    <w:rsid w:val="00A968C7"/>
    <w:rsid w:val="00A96BC1"/>
    <w:rsid w:val="00A9711F"/>
    <w:rsid w:val="00A97632"/>
    <w:rsid w:val="00AA0C3A"/>
    <w:rsid w:val="00AA1141"/>
    <w:rsid w:val="00AA116E"/>
    <w:rsid w:val="00AA1B88"/>
    <w:rsid w:val="00AA2136"/>
    <w:rsid w:val="00AA22FA"/>
    <w:rsid w:val="00AA2CA4"/>
    <w:rsid w:val="00AA30EC"/>
    <w:rsid w:val="00AA33B9"/>
    <w:rsid w:val="00AA3762"/>
    <w:rsid w:val="00AA37FF"/>
    <w:rsid w:val="00AA3968"/>
    <w:rsid w:val="00AA3A35"/>
    <w:rsid w:val="00AA3AD1"/>
    <w:rsid w:val="00AA448A"/>
    <w:rsid w:val="00AA47FF"/>
    <w:rsid w:val="00AA4C33"/>
    <w:rsid w:val="00AA4E89"/>
    <w:rsid w:val="00AA5390"/>
    <w:rsid w:val="00AA57AC"/>
    <w:rsid w:val="00AA6901"/>
    <w:rsid w:val="00AA7A63"/>
    <w:rsid w:val="00AB0D64"/>
    <w:rsid w:val="00AB10FF"/>
    <w:rsid w:val="00AB140C"/>
    <w:rsid w:val="00AB2761"/>
    <w:rsid w:val="00AB2B66"/>
    <w:rsid w:val="00AB2B9A"/>
    <w:rsid w:val="00AB2DAC"/>
    <w:rsid w:val="00AB2E6B"/>
    <w:rsid w:val="00AB3003"/>
    <w:rsid w:val="00AB3191"/>
    <w:rsid w:val="00AB3DA7"/>
    <w:rsid w:val="00AB3E90"/>
    <w:rsid w:val="00AB425A"/>
    <w:rsid w:val="00AB43AA"/>
    <w:rsid w:val="00AB4A94"/>
    <w:rsid w:val="00AB4F71"/>
    <w:rsid w:val="00AB5169"/>
    <w:rsid w:val="00AB52B6"/>
    <w:rsid w:val="00AB5599"/>
    <w:rsid w:val="00AB569D"/>
    <w:rsid w:val="00AB5F5F"/>
    <w:rsid w:val="00AB626B"/>
    <w:rsid w:val="00AB68C9"/>
    <w:rsid w:val="00AB6963"/>
    <w:rsid w:val="00AB6969"/>
    <w:rsid w:val="00AB6CC0"/>
    <w:rsid w:val="00AB7294"/>
    <w:rsid w:val="00AB752F"/>
    <w:rsid w:val="00AB755D"/>
    <w:rsid w:val="00AC01F0"/>
    <w:rsid w:val="00AC02A4"/>
    <w:rsid w:val="00AC08BD"/>
    <w:rsid w:val="00AC1732"/>
    <w:rsid w:val="00AC1913"/>
    <w:rsid w:val="00AC2DAE"/>
    <w:rsid w:val="00AC3979"/>
    <w:rsid w:val="00AC3C6F"/>
    <w:rsid w:val="00AC3D53"/>
    <w:rsid w:val="00AC49DB"/>
    <w:rsid w:val="00AC5F93"/>
    <w:rsid w:val="00AC63A0"/>
    <w:rsid w:val="00AC6779"/>
    <w:rsid w:val="00AC68AA"/>
    <w:rsid w:val="00AC69A6"/>
    <w:rsid w:val="00AC6C75"/>
    <w:rsid w:val="00AC70AF"/>
    <w:rsid w:val="00AC71E4"/>
    <w:rsid w:val="00AC7674"/>
    <w:rsid w:val="00AC78FF"/>
    <w:rsid w:val="00AC7B3F"/>
    <w:rsid w:val="00AC7B5E"/>
    <w:rsid w:val="00AC7CE1"/>
    <w:rsid w:val="00AC7DE4"/>
    <w:rsid w:val="00AC7E2F"/>
    <w:rsid w:val="00AD025D"/>
    <w:rsid w:val="00AD03CA"/>
    <w:rsid w:val="00AD08E4"/>
    <w:rsid w:val="00AD135B"/>
    <w:rsid w:val="00AD2139"/>
    <w:rsid w:val="00AD231E"/>
    <w:rsid w:val="00AD2FE0"/>
    <w:rsid w:val="00AD4066"/>
    <w:rsid w:val="00AD4206"/>
    <w:rsid w:val="00AD540B"/>
    <w:rsid w:val="00AD5464"/>
    <w:rsid w:val="00AD59C0"/>
    <w:rsid w:val="00AD5AD7"/>
    <w:rsid w:val="00AD5B59"/>
    <w:rsid w:val="00AD5E61"/>
    <w:rsid w:val="00AD64D3"/>
    <w:rsid w:val="00AD6D4B"/>
    <w:rsid w:val="00AE0204"/>
    <w:rsid w:val="00AE030A"/>
    <w:rsid w:val="00AE066B"/>
    <w:rsid w:val="00AE07D5"/>
    <w:rsid w:val="00AE0B4C"/>
    <w:rsid w:val="00AE0D45"/>
    <w:rsid w:val="00AE112B"/>
    <w:rsid w:val="00AE12E7"/>
    <w:rsid w:val="00AE170E"/>
    <w:rsid w:val="00AE17E9"/>
    <w:rsid w:val="00AE1A40"/>
    <w:rsid w:val="00AE1E87"/>
    <w:rsid w:val="00AE217E"/>
    <w:rsid w:val="00AE2319"/>
    <w:rsid w:val="00AE2340"/>
    <w:rsid w:val="00AE2637"/>
    <w:rsid w:val="00AE2918"/>
    <w:rsid w:val="00AE29AB"/>
    <w:rsid w:val="00AE2DDA"/>
    <w:rsid w:val="00AE2F8A"/>
    <w:rsid w:val="00AE3203"/>
    <w:rsid w:val="00AE385C"/>
    <w:rsid w:val="00AE3E09"/>
    <w:rsid w:val="00AE3E7C"/>
    <w:rsid w:val="00AE3FB4"/>
    <w:rsid w:val="00AE494E"/>
    <w:rsid w:val="00AE5197"/>
    <w:rsid w:val="00AE5354"/>
    <w:rsid w:val="00AE5725"/>
    <w:rsid w:val="00AE5BA9"/>
    <w:rsid w:val="00AE69AC"/>
    <w:rsid w:val="00AE70E3"/>
    <w:rsid w:val="00AE7424"/>
    <w:rsid w:val="00AE745D"/>
    <w:rsid w:val="00AE7983"/>
    <w:rsid w:val="00AE7D5B"/>
    <w:rsid w:val="00AF04A8"/>
    <w:rsid w:val="00AF1240"/>
    <w:rsid w:val="00AF127F"/>
    <w:rsid w:val="00AF1799"/>
    <w:rsid w:val="00AF1AD0"/>
    <w:rsid w:val="00AF1CB0"/>
    <w:rsid w:val="00AF1F95"/>
    <w:rsid w:val="00AF2025"/>
    <w:rsid w:val="00AF254D"/>
    <w:rsid w:val="00AF2CBF"/>
    <w:rsid w:val="00AF2EAE"/>
    <w:rsid w:val="00AF306D"/>
    <w:rsid w:val="00AF3213"/>
    <w:rsid w:val="00AF345C"/>
    <w:rsid w:val="00AF377A"/>
    <w:rsid w:val="00AF38C6"/>
    <w:rsid w:val="00AF3B5D"/>
    <w:rsid w:val="00AF4007"/>
    <w:rsid w:val="00AF4012"/>
    <w:rsid w:val="00AF4746"/>
    <w:rsid w:val="00AF4A98"/>
    <w:rsid w:val="00AF4B7A"/>
    <w:rsid w:val="00AF4E35"/>
    <w:rsid w:val="00AF62FC"/>
    <w:rsid w:val="00AF699A"/>
    <w:rsid w:val="00AF6E90"/>
    <w:rsid w:val="00AF78EC"/>
    <w:rsid w:val="00B001E1"/>
    <w:rsid w:val="00B00331"/>
    <w:rsid w:val="00B0096F"/>
    <w:rsid w:val="00B00B0E"/>
    <w:rsid w:val="00B010CF"/>
    <w:rsid w:val="00B01949"/>
    <w:rsid w:val="00B0275C"/>
    <w:rsid w:val="00B02A23"/>
    <w:rsid w:val="00B02A29"/>
    <w:rsid w:val="00B03886"/>
    <w:rsid w:val="00B043BF"/>
    <w:rsid w:val="00B04628"/>
    <w:rsid w:val="00B04A5D"/>
    <w:rsid w:val="00B04DBB"/>
    <w:rsid w:val="00B05459"/>
    <w:rsid w:val="00B056C0"/>
    <w:rsid w:val="00B05BC5"/>
    <w:rsid w:val="00B05CDF"/>
    <w:rsid w:val="00B05DE1"/>
    <w:rsid w:val="00B05FC9"/>
    <w:rsid w:val="00B060B6"/>
    <w:rsid w:val="00B06136"/>
    <w:rsid w:val="00B06138"/>
    <w:rsid w:val="00B063DE"/>
    <w:rsid w:val="00B06965"/>
    <w:rsid w:val="00B06970"/>
    <w:rsid w:val="00B06D70"/>
    <w:rsid w:val="00B06F3E"/>
    <w:rsid w:val="00B06F73"/>
    <w:rsid w:val="00B078C6"/>
    <w:rsid w:val="00B079FF"/>
    <w:rsid w:val="00B07BCD"/>
    <w:rsid w:val="00B107AC"/>
    <w:rsid w:val="00B10B07"/>
    <w:rsid w:val="00B11570"/>
    <w:rsid w:val="00B12310"/>
    <w:rsid w:val="00B12687"/>
    <w:rsid w:val="00B1292B"/>
    <w:rsid w:val="00B12DC3"/>
    <w:rsid w:val="00B12EC5"/>
    <w:rsid w:val="00B12F9A"/>
    <w:rsid w:val="00B13174"/>
    <w:rsid w:val="00B133E5"/>
    <w:rsid w:val="00B13453"/>
    <w:rsid w:val="00B1365C"/>
    <w:rsid w:val="00B13BC7"/>
    <w:rsid w:val="00B13C7F"/>
    <w:rsid w:val="00B141C8"/>
    <w:rsid w:val="00B14528"/>
    <w:rsid w:val="00B1476E"/>
    <w:rsid w:val="00B158C8"/>
    <w:rsid w:val="00B15962"/>
    <w:rsid w:val="00B15F35"/>
    <w:rsid w:val="00B16069"/>
    <w:rsid w:val="00B16939"/>
    <w:rsid w:val="00B169F6"/>
    <w:rsid w:val="00B16CF2"/>
    <w:rsid w:val="00B16FA4"/>
    <w:rsid w:val="00B16FF9"/>
    <w:rsid w:val="00B1710B"/>
    <w:rsid w:val="00B1711D"/>
    <w:rsid w:val="00B1759E"/>
    <w:rsid w:val="00B1768E"/>
    <w:rsid w:val="00B20A72"/>
    <w:rsid w:val="00B21046"/>
    <w:rsid w:val="00B211CC"/>
    <w:rsid w:val="00B214E2"/>
    <w:rsid w:val="00B2187A"/>
    <w:rsid w:val="00B21A03"/>
    <w:rsid w:val="00B22A26"/>
    <w:rsid w:val="00B22CEC"/>
    <w:rsid w:val="00B23133"/>
    <w:rsid w:val="00B2385D"/>
    <w:rsid w:val="00B23F69"/>
    <w:rsid w:val="00B24907"/>
    <w:rsid w:val="00B25128"/>
    <w:rsid w:val="00B2517B"/>
    <w:rsid w:val="00B254CD"/>
    <w:rsid w:val="00B26029"/>
    <w:rsid w:val="00B264DB"/>
    <w:rsid w:val="00B26719"/>
    <w:rsid w:val="00B26A38"/>
    <w:rsid w:val="00B270E2"/>
    <w:rsid w:val="00B2737F"/>
    <w:rsid w:val="00B2748D"/>
    <w:rsid w:val="00B2752A"/>
    <w:rsid w:val="00B27DDB"/>
    <w:rsid w:val="00B31AF5"/>
    <w:rsid w:val="00B31FD6"/>
    <w:rsid w:val="00B3219C"/>
    <w:rsid w:val="00B32323"/>
    <w:rsid w:val="00B323FD"/>
    <w:rsid w:val="00B325D6"/>
    <w:rsid w:val="00B32924"/>
    <w:rsid w:val="00B32B7D"/>
    <w:rsid w:val="00B32CAB"/>
    <w:rsid w:val="00B33615"/>
    <w:rsid w:val="00B3373A"/>
    <w:rsid w:val="00B337B2"/>
    <w:rsid w:val="00B34008"/>
    <w:rsid w:val="00B343EC"/>
    <w:rsid w:val="00B3475D"/>
    <w:rsid w:val="00B34839"/>
    <w:rsid w:val="00B34C66"/>
    <w:rsid w:val="00B358A6"/>
    <w:rsid w:val="00B35A36"/>
    <w:rsid w:val="00B365F6"/>
    <w:rsid w:val="00B37227"/>
    <w:rsid w:val="00B37C72"/>
    <w:rsid w:val="00B409DB"/>
    <w:rsid w:val="00B40A92"/>
    <w:rsid w:val="00B413C7"/>
    <w:rsid w:val="00B41592"/>
    <w:rsid w:val="00B416DD"/>
    <w:rsid w:val="00B4171E"/>
    <w:rsid w:val="00B41781"/>
    <w:rsid w:val="00B41960"/>
    <w:rsid w:val="00B41D49"/>
    <w:rsid w:val="00B42851"/>
    <w:rsid w:val="00B42C28"/>
    <w:rsid w:val="00B431AB"/>
    <w:rsid w:val="00B4454F"/>
    <w:rsid w:val="00B44726"/>
    <w:rsid w:val="00B44EF2"/>
    <w:rsid w:val="00B45196"/>
    <w:rsid w:val="00B45242"/>
    <w:rsid w:val="00B45329"/>
    <w:rsid w:val="00B45339"/>
    <w:rsid w:val="00B45844"/>
    <w:rsid w:val="00B4585C"/>
    <w:rsid w:val="00B45DFF"/>
    <w:rsid w:val="00B46BCD"/>
    <w:rsid w:val="00B509D7"/>
    <w:rsid w:val="00B50B78"/>
    <w:rsid w:val="00B51604"/>
    <w:rsid w:val="00B5174C"/>
    <w:rsid w:val="00B51979"/>
    <w:rsid w:val="00B51BE0"/>
    <w:rsid w:val="00B51DC9"/>
    <w:rsid w:val="00B52A9D"/>
    <w:rsid w:val="00B52AC5"/>
    <w:rsid w:val="00B531AD"/>
    <w:rsid w:val="00B532A0"/>
    <w:rsid w:val="00B5344C"/>
    <w:rsid w:val="00B53558"/>
    <w:rsid w:val="00B53FDA"/>
    <w:rsid w:val="00B54282"/>
    <w:rsid w:val="00B544E4"/>
    <w:rsid w:val="00B54E3B"/>
    <w:rsid w:val="00B55000"/>
    <w:rsid w:val="00B557C4"/>
    <w:rsid w:val="00B55AA6"/>
    <w:rsid w:val="00B55D69"/>
    <w:rsid w:val="00B55D97"/>
    <w:rsid w:val="00B560F5"/>
    <w:rsid w:val="00B561B2"/>
    <w:rsid w:val="00B56411"/>
    <w:rsid w:val="00B56612"/>
    <w:rsid w:val="00B5667F"/>
    <w:rsid w:val="00B56D1C"/>
    <w:rsid w:val="00B5751B"/>
    <w:rsid w:val="00B576C7"/>
    <w:rsid w:val="00B57ABE"/>
    <w:rsid w:val="00B57E9D"/>
    <w:rsid w:val="00B57FBD"/>
    <w:rsid w:val="00B602FA"/>
    <w:rsid w:val="00B6036B"/>
    <w:rsid w:val="00B60404"/>
    <w:rsid w:val="00B60457"/>
    <w:rsid w:val="00B607A9"/>
    <w:rsid w:val="00B610BB"/>
    <w:rsid w:val="00B61793"/>
    <w:rsid w:val="00B618B6"/>
    <w:rsid w:val="00B61E3D"/>
    <w:rsid w:val="00B62CC7"/>
    <w:rsid w:val="00B62E1F"/>
    <w:rsid w:val="00B62FF8"/>
    <w:rsid w:val="00B632AD"/>
    <w:rsid w:val="00B63371"/>
    <w:rsid w:val="00B637A1"/>
    <w:rsid w:val="00B63ABE"/>
    <w:rsid w:val="00B63B4B"/>
    <w:rsid w:val="00B63B54"/>
    <w:rsid w:val="00B63D9E"/>
    <w:rsid w:val="00B64518"/>
    <w:rsid w:val="00B6486B"/>
    <w:rsid w:val="00B64DA6"/>
    <w:rsid w:val="00B64ED3"/>
    <w:rsid w:val="00B6569C"/>
    <w:rsid w:val="00B65AAE"/>
    <w:rsid w:val="00B65BCE"/>
    <w:rsid w:val="00B660D9"/>
    <w:rsid w:val="00B66245"/>
    <w:rsid w:val="00B6687E"/>
    <w:rsid w:val="00B66BAF"/>
    <w:rsid w:val="00B66C1A"/>
    <w:rsid w:val="00B66EB2"/>
    <w:rsid w:val="00B67267"/>
    <w:rsid w:val="00B67B47"/>
    <w:rsid w:val="00B67C79"/>
    <w:rsid w:val="00B7051C"/>
    <w:rsid w:val="00B71038"/>
    <w:rsid w:val="00B71732"/>
    <w:rsid w:val="00B71A63"/>
    <w:rsid w:val="00B71D14"/>
    <w:rsid w:val="00B72836"/>
    <w:rsid w:val="00B7329E"/>
    <w:rsid w:val="00B74056"/>
    <w:rsid w:val="00B7414E"/>
    <w:rsid w:val="00B744EB"/>
    <w:rsid w:val="00B7475B"/>
    <w:rsid w:val="00B74911"/>
    <w:rsid w:val="00B749C3"/>
    <w:rsid w:val="00B75535"/>
    <w:rsid w:val="00B75853"/>
    <w:rsid w:val="00B759A7"/>
    <w:rsid w:val="00B75E96"/>
    <w:rsid w:val="00B75F1E"/>
    <w:rsid w:val="00B766C6"/>
    <w:rsid w:val="00B76F43"/>
    <w:rsid w:val="00B77015"/>
    <w:rsid w:val="00B772D6"/>
    <w:rsid w:val="00B773FD"/>
    <w:rsid w:val="00B77743"/>
    <w:rsid w:val="00B800D5"/>
    <w:rsid w:val="00B809A0"/>
    <w:rsid w:val="00B80E22"/>
    <w:rsid w:val="00B812A8"/>
    <w:rsid w:val="00B81A4D"/>
    <w:rsid w:val="00B81E93"/>
    <w:rsid w:val="00B8219B"/>
    <w:rsid w:val="00B82278"/>
    <w:rsid w:val="00B83627"/>
    <w:rsid w:val="00B8389D"/>
    <w:rsid w:val="00B838EB"/>
    <w:rsid w:val="00B83E4D"/>
    <w:rsid w:val="00B84517"/>
    <w:rsid w:val="00B84699"/>
    <w:rsid w:val="00B84B08"/>
    <w:rsid w:val="00B84DBA"/>
    <w:rsid w:val="00B84E2A"/>
    <w:rsid w:val="00B8524C"/>
    <w:rsid w:val="00B855D1"/>
    <w:rsid w:val="00B8589A"/>
    <w:rsid w:val="00B85CBC"/>
    <w:rsid w:val="00B8658B"/>
    <w:rsid w:val="00B86765"/>
    <w:rsid w:val="00B86C89"/>
    <w:rsid w:val="00B86D17"/>
    <w:rsid w:val="00B86E92"/>
    <w:rsid w:val="00B86FB9"/>
    <w:rsid w:val="00B871A5"/>
    <w:rsid w:val="00B87716"/>
    <w:rsid w:val="00B87C31"/>
    <w:rsid w:val="00B90041"/>
    <w:rsid w:val="00B90A7E"/>
    <w:rsid w:val="00B913F6"/>
    <w:rsid w:val="00B914CC"/>
    <w:rsid w:val="00B9160A"/>
    <w:rsid w:val="00B9169A"/>
    <w:rsid w:val="00B91DAE"/>
    <w:rsid w:val="00B92132"/>
    <w:rsid w:val="00B924D8"/>
    <w:rsid w:val="00B92EB0"/>
    <w:rsid w:val="00B92EB8"/>
    <w:rsid w:val="00B93419"/>
    <w:rsid w:val="00B936FE"/>
    <w:rsid w:val="00B93919"/>
    <w:rsid w:val="00B93BAF"/>
    <w:rsid w:val="00B94179"/>
    <w:rsid w:val="00B941C3"/>
    <w:rsid w:val="00B9445F"/>
    <w:rsid w:val="00B94650"/>
    <w:rsid w:val="00B94A42"/>
    <w:rsid w:val="00B94B98"/>
    <w:rsid w:val="00B94CCF"/>
    <w:rsid w:val="00B9558A"/>
    <w:rsid w:val="00B9570C"/>
    <w:rsid w:val="00B95B4B"/>
    <w:rsid w:val="00B95C1B"/>
    <w:rsid w:val="00B95F30"/>
    <w:rsid w:val="00B960E3"/>
    <w:rsid w:val="00B962EC"/>
    <w:rsid w:val="00B968D5"/>
    <w:rsid w:val="00B96E37"/>
    <w:rsid w:val="00B9748C"/>
    <w:rsid w:val="00B9770B"/>
    <w:rsid w:val="00B97B76"/>
    <w:rsid w:val="00B97BFC"/>
    <w:rsid w:val="00B97E18"/>
    <w:rsid w:val="00B97E71"/>
    <w:rsid w:val="00B97ECB"/>
    <w:rsid w:val="00BA075B"/>
    <w:rsid w:val="00BA07CE"/>
    <w:rsid w:val="00BA0AE9"/>
    <w:rsid w:val="00BA0B9A"/>
    <w:rsid w:val="00BA14AD"/>
    <w:rsid w:val="00BA1621"/>
    <w:rsid w:val="00BA1855"/>
    <w:rsid w:val="00BA189B"/>
    <w:rsid w:val="00BA2488"/>
    <w:rsid w:val="00BA2755"/>
    <w:rsid w:val="00BA2E83"/>
    <w:rsid w:val="00BA361F"/>
    <w:rsid w:val="00BA3838"/>
    <w:rsid w:val="00BA3AB6"/>
    <w:rsid w:val="00BA3F58"/>
    <w:rsid w:val="00BA3F8B"/>
    <w:rsid w:val="00BA4A55"/>
    <w:rsid w:val="00BA4ACB"/>
    <w:rsid w:val="00BA4D9B"/>
    <w:rsid w:val="00BA4E11"/>
    <w:rsid w:val="00BA4FDD"/>
    <w:rsid w:val="00BA66BD"/>
    <w:rsid w:val="00BA68B9"/>
    <w:rsid w:val="00BA69EA"/>
    <w:rsid w:val="00BA6C33"/>
    <w:rsid w:val="00BA6DE7"/>
    <w:rsid w:val="00BA7415"/>
    <w:rsid w:val="00BA77F1"/>
    <w:rsid w:val="00BA79F6"/>
    <w:rsid w:val="00BA7E18"/>
    <w:rsid w:val="00BB01CC"/>
    <w:rsid w:val="00BB0AC4"/>
    <w:rsid w:val="00BB0CD7"/>
    <w:rsid w:val="00BB0E0C"/>
    <w:rsid w:val="00BB0F16"/>
    <w:rsid w:val="00BB13C7"/>
    <w:rsid w:val="00BB154E"/>
    <w:rsid w:val="00BB1FBB"/>
    <w:rsid w:val="00BB21A3"/>
    <w:rsid w:val="00BB2271"/>
    <w:rsid w:val="00BB22D8"/>
    <w:rsid w:val="00BB28F1"/>
    <w:rsid w:val="00BB2B5A"/>
    <w:rsid w:val="00BB2B7E"/>
    <w:rsid w:val="00BB30CF"/>
    <w:rsid w:val="00BB3422"/>
    <w:rsid w:val="00BB3C7D"/>
    <w:rsid w:val="00BB4EFA"/>
    <w:rsid w:val="00BB514E"/>
    <w:rsid w:val="00BB5393"/>
    <w:rsid w:val="00BB56C3"/>
    <w:rsid w:val="00BB5ECA"/>
    <w:rsid w:val="00BB6575"/>
    <w:rsid w:val="00BB69EC"/>
    <w:rsid w:val="00BB6E50"/>
    <w:rsid w:val="00BB6FDC"/>
    <w:rsid w:val="00BB709E"/>
    <w:rsid w:val="00BB7AAD"/>
    <w:rsid w:val="00BB7C94"/>
    <w:rsid w:val="00BC00FD"/>
    <w:rsid w:val="00BC04A6"/>
    <w:rsid w:val="00BC0530"/>
    <w:rsid w:val="00BC0FE8"/>
    <w:rsid w:val="00BC1241"/>
    <w:rsid w:val="00BC1374"/>
    <w:rsid w:val="00BC14DA"/>
    <w:rsid w:val="00BC1747"/>
    <w:rsid w:val="00BC2604"/>
    <w:rsid w:val="00BC284D"/>
    <w:rsid w:val="00BC2920"/>
    <w:rsid w:val="00BC339C"/>
    <w:rsid w:val="00BC37F7"/>
    <w:rsid w:val="00BC474A"/>
    <w:rsid w:val="00BC49CA"/>
    <w:rsid w:val="00BC4A63"/>
    <w:rsid w:val="00BC4FD0"/>
    <w:rsid w:val="00BC5011"/>
    <w:rsid w:val="00BC5A5B"/>
    <w:rsid w:val="00BC5AE0"/>
    <w:rsid w:val="00BC5F1D"/>
    <w:rsid w:val="00BC622F"/>
    <w:rsid w:val="00BC6531"/>
    <w:rsid w:val="00BC6561"/>
    <w:rsid w:val="00BC669B"/>
    <w:rsid w:val="00BC6EC3"/>
    <w:rsid w:val="00BC715C"/>
    <w:rsid w:val="00BC779A"/>
    <w:rsid w:val="00BC7F4F"/>
    <w:rsid w:val="00BD0F4F"/>
    <w:rsid w:val="00BD172F"/>
    <w:rsid w:val="00BD189C"/>
    <w:rsid w:val="00BD1B17"/>
    <w:rsid w:val="00BD2F57"/>
    <w:rsid w:val="00BD32A6"/>
    <w:rsid w:val="00BD3C3A"/>
    <w:rsid w:val="00BD40B0"/>
    <w:rsid w:val="00BD457C"/>
    <w:rsid w:val="00BD4C5C"/>
    <w:rsid w:val="00BD4FEC"/>
    <w:rsid w:val="00BD50B2"/>
    <w:rsid w:val="00BD53AE"/>
    <w:rsid w:val="00BD5456"/>
    <w:rsid w:val="00BD5B35"/>
    <w:rsid w:val="00BD6061"/>
    <w:rsid w:val="00BD6302"/>
    <w:rsid w:val="00BD63E5"/>
    <w:rsid w:val="00BD6486"/>
    <w:rsid w:val="00BD7AB1"/>
    <w:rsid w:val="00BD7AF2"/>
    <w:rsid w:val="00BD7D57"/>
    <w:rsid w:val="00BD7EE7"/>
    <w:rsid w:val="00BE00D3"/>
    <w:rsid w:val="00BE09D6"/>
    <w:rsid w:val="00BE118A"/>
    <w:rsid w:val="00BE13B6"/>
    <w:rsid w:val="00BE1470"/>
    <w:rsid w:val="00BE151A"/>
    <w:rsid w:val="00BE1658"/>
    <w:rsid w:val="00BE168A"/>
    <w:rsid w:val="00BE1A47"/>
    <w:rsid w:val="00BE2449"/>
    <w:rsid w:val="00BE274D"/>
    <w:rsid w:val="00BE2E6D"/>
    <w:rsid w:val="00BE3771"/>
    <w:rsid w:val="00BE47B3"/>
    <w:rsid w:val="00BE536A"/>
    <w:rsid w:val="00BE5B2A"/>
    <w:rsid w:val="00BE5EBC"/>
    <w:rsid w:val="00BE5FCF"/>
    <w:rsid w:val="00BE62DE"/>
    <w:rsid w:val="00BE639E"/>
    <w:rsid w:val="00BE63C7"/>
    <w:rsid w:val="00BE6D26"/>
    <w:rsid w:val="00BE6DAC"/>
    <w:rsid w:val="00BE6F03"/>
    <w:rsid w:val="00BE7133"/>
    <w:rsid w:val="00BE742A"/>
    <w:rsid w:val="00BE77BF"/>
    <w:rsid w:val="00BE7DEB"/>
    <w:rsid w:val="00BF03A5"/>
    <w:rsid w:val="00BF03B1"/>
    <w:rsid w:val="00BF061A"/>
    <w:rsid w:val="00BF07CB"/>
    <w:rsid w:val="00BF0DDD"/>
    <w:rsid w:val="00BF0E4D"/>
    <w:rsid w:val="00BF0F88"/>
    <w:rsid w:val="00BF11BC"/>
    <w:rsid w:val="00BF1254"/>
    <w:rsid w:val="00BF1493"/>
    <w:rsid w:val="00BF18D3"/>
    <w:rsid w:val="00BF21E1"/>
    <w:rsid w:val="00BF29CB"/>
    <w:rsid w:val="00BF2BDC"/>
    <w:rsid w:val="00BF2E8C"/>
    <w:rsid w:val="00BF38EB"/>
    <w:rsid w:val="00BF3D48"/>
    <w:rsid w:val="00BF5852"/>
    <w:rsid w:val="00BF58D5"/>
    <w:rsid w:val="00BF682D"/>
    <w:rsid w:val="00BF7113"/>
    <w:rsid w:val="00BF746B"/>
    <w:rsid w:val="00BF7885"/>
    <w:rsid w:val="00C009D6"/>
    <w:rsid w:val="00C00F35"/>
    <w:rsid w:val="00C01535"/>
    <w:rsid w:val="00C01AFC"/>
    <w:rsid w:val="00C01B17"/>
    <w:rsid w:val="00C026B8"/>
    <w:rsid w:val="00C02A12"/>
    <w:rsid w:val="00C02D8B"/>
    <w:rsid w:val="00C02DC8"/>
    <w:rsid w:val="00C030B8"/>
    <w:rsid w:val="00C03168"/>
    <w:rsid w:val="00C03516"/>
    <w:rsid w:val="00C0506F"/>
    <w:rsid w:val="00C052A6"/>
    <w:rsid w:val="00C05302"/>
    <w:rsid w:val="00C05459"/>
    <w:rsid w:val="00C0550A"/>
    <w:rsid w:val="00C06153"/>
    <w:rsid w:val="00C069D4"/>
    <w:rsid w:val="00C072AB"/>
    <w:rsid w:val="00C076CA"/>
    <w:rsid w:val="00C07B75"/>
    <w:rsid w:val="00C07EB9"/>
    <w:rsid w:val="00C100FB"/>
    <w:rsid w:val="00C1013F"/>
    <w:rsid w:val="00C102A4"/>
    <w:rsid w:val="00C115BD"/>
    <w:rsid w:val="00C11C11"/>
    <w:rsid w:val="00C11F5A"/>
    <w:rsid w:val="00C127DA"/>
    <w:rsid w:val="00C1284E"/>
    <w:rsid w:val="00C12862"/>
    <w:rsid w:val="00C128D8"/>
    <w:rsid w:val="00C12B7A"/>
    <w:rsid w:val="00C12CE5"/>
    <w:rsid w:val="00C13348"/>
    <w:rsid w:val="00C13485"/>
    <w:rsid w:val="00C143BE"/>
    <w:rsid w:val="00C1440C"/>
    <w:rsid w:val="00C15476"/>
    <w:rsid w:val="00C1610A"/>
    <w:rsid w:val="00C163E2"/>
    <w:rsid w:val="00C1714B"/>
    <w:rsid w:val="00C172DC"/>
    <w:rsid w:val="00C1740E"/>
    <w:rsid w:val="00C174B4"/>
    <w:rsid w:val="00C17978"/>
    <w:rsid w:val="00C20854"/>
    <w:rsid w:val="00C20B71"/>
    <w:rsid w:val="00C20F93"/>
    <w:rsid w:val="00C21485"/>
    <w:rsid w:val="00C2149D"/>
    <w:rsid w:val="00C215E4"/>
    <w:rsid w:val="00C2172D"/>
    <w:rsid w:val="00C2186E"/>
    <w:rsid w:val="00C2204A"/>
    <w:rsid w:val="00C22295"/>
    <w:rsid w:val="00C222A1"/>
    <w:rsid w:val="00C225D2"/>
    <w:rsid w:val="00C22709"/>
    <w:rsid w:val="00C22B47"/>
    <w:rsid w:val="00C233FF"/>
    <w:rsid w:val="00C23439"/>
    <w:rsid w:val="00C23570"/>
    <w:rsid w:val="00C23C1D"/>
    <w:rsid w:val="00C24060"/>
    <w:rsid w:val="00C24363"/>
    <w:rsid w:val="00C246D4"/>
    <w:rsid w:val="00C24897"/>
    <w:rsid w:val="00C249CA"/>
    <w:rsid w:val="00C25432"/>
    <w:rsid w:val="00C25A74"/>
    <w:rsid w:val="00C260E5"/>
    <w:rsid w:val="00C2667E"/>
    <w:rsid w:val="00C2679D"/>
    <w:rsid w:val="00C26A78"/>
    <w:rsid w:val="00C26FBB"/>
    <w:rsid w:val="00C273F2"/>
    <w:rsid w:val="00C2751F"/>
    <w:rsid w:val="00C30340"/>
    <w:rsid w:val="00C30643"/>
    <w:rsid w:val="00C30E41"/>
    <w:rsid w:val="00C3104E"/>
    <w:rsid w:val="00C313DD"/>
    <w:rsid w:val="00C31AF4"/>
    <w:rsid w:val="00C327DD"/>
    <w:rsid w:val="00C32C5F"/>
    <w:rsid w:val="00C32FB9"/>
    <w:rsid w:val="00C333DE"/>
    <w:rsid w:val="00C33A00"/>
    <w:rsid w:val="00C33CED"/>
    <w:rsid w:val="00C33D58"/>
    <w:rsid w:val="00C344C9"/>
    <w:rsid w:val="00C3465D"/>
    <w:rsid w:val="00C3470A"/>
    <w:rsid w:val="00C350CE"/>
    <w:rsid w:val="00C35BB3"/>
    <w:rsid w:val="00C35D19"/>
    <w:rsid w:val="00C35FBC"/>
    <w:rsid w:val="00C365BC"/>
    <w:rsid w:val="00C36771"/>
    <w:rsid w:val="00C36A9E"/>
    <w:rsid w:val="00C37227"/>
    <w:rsid w:val="00C374DB"/>
    <w:rsid w:val="00C37DE8"/>
    <w:rsid w:val="00C37E12"/>
    <w:rsid w:val="00C40520"/>
    <w:rsid w:val="00C40A4A"/>
    <w:rsid w:val="00C40BE7"/>
    <w:rsid w:val="00C411DE"/>
    <w:rsid w:val="00C4134B"/>
    <w:rsid w:val="00C42187"/>
    <w:rsid w:val="00C42811"/>
    <w:rsid w:val="00C4330D"/>
    <w:rsid w:val="00C438DE"/>
    <w:rsid w:val="00C43CD8"/>
    <w:rsid w:val="00C440BC"/>
    <w:rsid w:val="00C440C1"/>
    <w:rsid w:val="00C44417"/>
    <w:rsid w:val="00C44A86"/>
    <w:rsid w:val="00C453B0"/>
    <w:rsid w:val="00C45B67"/>
    <w:rsid w:val="00C46B9E"/>
    <w:rsid w:val="00C46D15"/>
    <w:rsid w:val="00C46D69"/>
    <w:rsid w:val="00C4781A"/>
    <w:rsid w:val="00C47D6C"/>
    <w:rsid w:val="00C47D85"/>
    <w:rsid w:val="00C47F81"/>
    <w:rsid w:val="00C50873"/>
    <w:rsid w:val="00C50AC0"/>
    <w:rsid w:val="00C50B0E"/>
    <w:rsid w:val="00C50CB5"/>
    <w:rsid w:val="00C515B5"/>
    <w:rsid w:val="00C51E67"/>
    <w:rsid w:val="00C522A2"/>
    <w:rsid w:val="00C52368"/>
    <w:rsid w:val="00C52786"/>
    <w:rsid w:val="00C529B4"/>
    <w:rsid w:val="00C53A92"/>
    <w:rsid w:val="00C53E01"/>
    <w:rsid w:val="00C53ECB"/>
    <w:rsid w:val="00C53F26"/>
    <w:rsid w:val="00C548D0"/>
    <w:rsid w:val="00C54D65"/>
    <w:rsid w:val="00C54F6B"/>
    <w:rsid w:val="00C550FD"/>
    <w:rsid w:val="00C55598"/>
    <w:rsid w:val="00C555A4"/>
    <w:rsid w:val="00C559F9"/>
    <w:rsid w:val="00C55A83"/>
    <w:rsid w:val="00C55B70"/>
    <w:rsid w:val="00C55BBF"/>
    <w:rsid w:val="00C55D22"/>
    <w:rsid w:val="00C569E2"/>
    <w:rsid w:val="00C56D96"/>
    <w:rsid w:val="00C56DF9"/>
    <w:rsid w:val="00C56EAB"/>
    <w:rsid w:val="00C5779C"/>
    <w:rsid w:val="00C57EB7"/>
    <w:rsid w:val="00C57EDA"/>
    <w:rsid w:val="00C6032E"/>
    <w:rsid w:val="00C603F7"/>
    <w:rsid w:val="00C60693"/>
    <w:rsid w:val="00C60857"/>
    <w:rsid w:val="00C60D93"/>
    <w:rsid w:val="00C61149"/>
    <w:rsid w:val="00C61AFF"/>
    <w:rsid w:val="00C61F4E"/>
    <w:rsid w:val="00C6229C"/>
    <w:rsid w:val="00C62E46"/>
    <w:rsid w:val="00C62F0C"/>
    <w:rsid w:val="00C63302"/>
    <w:rsid w:val="00C63336"/>
    <w:rsid w:val="00C63C19"/>
    <w:rsid w:val="00C64174"/>
    <w:rsid w:val="00C643C5"/>
    <w:rsid w:val="00C645BE"/>
    <w:rsid w:val="00C65670"/>
    <w:rsid w:val="00C6604C"/>
    <w:rsid w:val="00C6642D"/>
    <w:rsid w:val="00C6692D"/>
    <w:rsid w:val="00C66BF0"/>
    <w:rsid w:val="00C674BA"/>
    <w:rsid w:val="00C67928"/>
    <w:rsid w:val="00C67AC1"/>
    <w:rsid w:val="00C67B07"/>
    <w:rsid w:val="00C7051F"/>
    <w:rsid w:val="00C70845"/>
    <w:rsid w:val="00C70E55"/>
    <w:rsid w:val="00C71194"/>
    <w:rsid w:val="00C71890"/>
    <w:rsid w:val="00C7191E"/>
    <w:rsid w:val="00C71B13"/>
    <w:rsid w:val="00C71C59"/>
    <w:rsid w:val="00C71DCD"/>
    <w:rsid w:val="00C723A9"/>
    <w:rsid w:val="00C725D3"/>
    <w:rsid w:val="00C72869"/>
    <w:rsid w:val="00C733C8"/>
    <w:rsid w:val="00C73E58"/>
    <w:rsid w:val="00C7411D"/>
    <w:rsid w:val="00C742B6"/>
    <w:rsid w:val="00C7457D"/>
    <w:rsid w:val="00C74AD5"/>
    <w:rsid w:val="00C74E1B"/>
    <w:rsid w:val="00C75E68"/>
    <w:rsid w:val="00C7683D"/>
    <w:rsid w:val="00C76A58"/>
    <w:rsid w:val="00C76B6B"/>
    <w:rsid w:val="00C76CDE"/>
    <w:rsid w:val="00C76F89"/>
    <w:rsid w:val="00C76FF7"/>
    <w:rsid w:val="00C770B6"/>
    <w:rsid w:val="00C775AB"/>
    <w:rsid w:val="00C800C4"/>
    <w:rsid w:val="00C80CC5"/>
    <w:rsid w:val="00C812B0"/>
    <w:rsid w:val="00C81C24"/>
    <w:rsid w:val="00C82065"/>
    <w:rsid w:val="00C82112"/>
    <w:rsid w:val="00C82118"/>
    <w:rsid w:val="00C827A6"/>
    <w:rsid w:val="00C827AB"/>
    <w:rsid w:val="00C8293B"/>
    <w:rsid w:val="00C82A37"/>
    <w:rsid w:val="00C82A6E"/>
    <w:rsid w:val="00C82C73"/>
    <w:rsid w:val="00C82E91"/>
    <w:rsid w:val="00C82FCB"/>
    <w:rsid w:val="00C83084"/>
    <w:rsid w:val="00C838BE"/>
    <w:rsid w:val="00C838E0"/>
    <w:rsid w:val="00C83A7C"/>
    <w:rsid w:val="00C83DE7"/>
    <w:rsid w:val="00C845A3"/>
    <w:rsid w:val="00C84ABC"/>
    <w:rsid w:val="00C8560D"/>
    <w:rsid w:val="00C85E82"/>
    <w:rsid w:val="00C860D0"/>
    <w:rsid w:val="00C862CD"/>
    <w:rsid w:val="00C866E4"/>
    <w:rsid w:val="00C86A64"/>
    <w:rsid w:val="00C86C46"/>
    <w:rsid w:val="00C87E83"/>
    <w:rsid w:val="00C87F79"/>
    <w:rsid w:val="00C87FD1"/>
    <w:rsid w:val="00C90389"/>
    <w:rsid w:val="00C90BC5"/>
    <w:rsid w:val="00C9194B"/>
    <w:rsid w:val="00C91AB0"/>
    <w:rsid w:val="00C91E49"/>
    <w:rsid w:val="00C92003"/>
    <w:rsid w:val="00C92234"/>
    <w:rsid w:val="00C925B7"/>
    <w:rsid w:val="00C93248"/>
    <w:rsid w:val="00C932E3"/>
    <w:rsid w:val="00C9389F"/>
    <w:rsid w:val="00C93A12"/>
    <w:rsid w:val="00C93BFB"/>
    <w:rsid w:val="00C95546"/>
    <w:rsid w:val="00C958D4"/>
    <w:rsid w:val="00C95CBF"/>
    <w:rsid w:val="00C95E5C"/>
    <w:rsid w:val="00C96516"/>
    <w:rsid w:val="00C9665C"/>
    <w:rsid w:val="00C96B5F"/>
    <w:rsid w:val="00C96D9A"/>
    <w:rsid w:val="00C976DA"/>
    <w:rsid w:val="00C97A39"/>
    <w:rsid w:val="00C97D3E"/>
    <w:rsid w:val="00CA027C"/>
    <w:rsid w:val="00CA03EE"/>
    <w:rsid w:val="00CA17FD"/>
    <w:rsid w:val="00CA2124"/>
    <w:rsid w:val="00CA287D"/>
    <w:rsid w:val="00CA2A25"/>
    <w:rsid w:val="00CA2ADF"/>
    <w:rsid w:val="00CA2C99"/>
    <w:rsid w:val="00CA2D15"/>
    <w:rsid w:val="00CA2FDC"/>
    <w:rsid w:val="00CA3400"/>
    <w:rsid w:val="00CA3495"/>
    <w:rsid w:val="00CA3500"/>
    <w:rsid w:val="00CA3B44"/>
    <w:rsid w:val="00CA47CB"/>
    <w:rsid w:val="00CA4890"/>
    <w:rsid w:val="00CA4C2B"/>
    <w:rsid w:val="00CA52CF"/>
    <w:rsid w:val="00CA5648"/>
    <w:rsid w:val="00CA5B2A"/>
    <w:rsid w:val="00CA6121"/>
    <w:rsid w:val="00CA6263"/>
    <w:rsid w:val="00CA6426"/>
    <w:rsid w:val="00CA6969"/>
    <w:rsid w:val="00CA6BB7"/>
    <w:rsid w:val="00CA706F"/>
    <w:rsid w:val="00CA74B7"/>
    <w:rsid w:val="00CA780C"/>
    <w:rsid w:val="00CB03CA"/>
    <w:rsid w:val="00CB078E"/>
    <w:rsid w:val="00CB1912"/>
    <w:rsid w:val="00CB2070"/>
    <w:rsid w:val="00CB257F"/>
    <w:rsid w:val="00CB3B18"/>
    <w:rsid w:val="00CB462C"/>
    <w:rsid w:val="00CB4A71"/>
    <w:rsid w:val="00CB4A83"/>
    <w:rsid w:val="00CB5355"/>
    <w:rsid w:val="00CB5B1A"/>
    <w:rsid w:val="00CB5D00"/>
    <w:rsid w:val="00CB5DE0"/>
    <w:rsid w:val="00CB684A"/>
    <w:rsid w:val="00CB6B08"/>
    <w:rsid w:val="00CB6F7B"/>
    <w:rsid w:val="00CB757E"/>
    <w:rsid w:val="00CB7689"/>
    <w:rsid w:val="00CB7A1A"/>
    <w:rsid w:val="00CC01A7"/>
    <w:rsid w:val="00CC06E7"/>
    <w:rsid w:val="00CC0E88"/>
    <w:rsid w:val="00CC12BC"/>
    <w:rsid w:val="00CC1C6A"/>
    <w:rsid w:val="00CC1C86"/>
    <w:rsid w:val="00CC218A"/>
    <w:rsid w:val="00CC260D"/>
    <w:rsid w:val="00CC2696"/>
    <w:rsid w:val="00CC2A09"/>
    <w:rsid w:val="00CC2DCD"/>
    <w:rsid w:val="00CC33E0"/>
    <w:rsid w:val="00CC3504"/>
    <w:rsid w:val="00CC3ADA"/>
    <w:rsid w:val="00CC3C26"/>
    <w:rsid w:val="00CC4E66"/>
    <w:rsid w:val="00CC4FF8"/>
    <w:rsid w:val="00CC5D3E"/>
    <w:rsid w:val="00CC66D5"/>
    <w:rsid w:val="00CC6BC9"/>
    <w:rsid w:val="00CC723C"/>
    <w:rsid w:val="00CC7B0B"/>
    <w:rsid w:val="00CD049D"/>
    <w:rsid w:val="00CD0B32"/>
    <w:rsid w:val="00CD1177"/>
    <w:rsid w:val="00CD1B21"/>
    <w:rsid w:val="00CD1B49"/>
    <w:rsid w:val="00CD2270"/>
    <w:rsid w:val="00CD250C"/>
    <w:rsid w:val="00CD2948"/>
    <w:rsid w:val="00CD2964"/>
    <w:rsid w:val="00CD2B42"/>
    <w:rsid w:val="00CD2BB5"/>
    <w:rsid w:val="00CD2CA4"/>
    <w:rsid w:val="00CD3822"/>
    <w:rsid w:val="00CD3EE1"/>
    <w:rsid w:val="00CD40A2"/>
    <w:rsid w:val="00CD4115"/>
    <w:rsid w:val="00CD412F"/>
    <w:rsid w:val="00CD4146"/>
    <w:rsid w:val="00CD47BF"/>
    <w:rsid w:val="00CD4AC6"/>
    <w:rsid w:val="00CD4EBF"/>
    <w:rsid w:val="00CD4F42"/>
    <w:rsid w:val="00CD5768"/>
    <w:rsid w:val="00CD5F0B"/>
    <w:rsid w:val="00CD5F84"/>
    <w:rsid w:val="00CD650F"/>
    <w:rsid w:val="00CD65BA"/>
    <w:rsid w:val="00CD686D"/>
    <w:rsid w:val="00CD6924"/>
    <w:rsid w:val="00CD6F63"/>
    <w:rsid w:val="00CD75F2"/>
    <w:rsid w:val="00CD75FB"/>
    <w:rsid w:val="00CE0359"/>
    <w:rsid w:val="00CE058D"/>
    <w:rsid w:val="00CE07D1"/>
    <w:rsid w:val="00CE0E68"/>
    <w:rsid w:val="00CE1022"/>
    <w:rsid w:val="00CE12AC"/>
    <w:rsid w:val="00CE1453"/>
    <w:rsid w:val="00CE1825"/>
    <w:rsid w:val="00CE187A"/>
    <w:rsid w:val="00CE1C74"/>
    <w:rsid w:val="00CE2039"/>
    <w:rsid w:val="00CE22F2"/>
    <w:rsid w:val="00CE268D"/>
    <w:rsid w:val="00CE284B"/>
    <w:rsid w:val="00CE2BAE"/>
    <w:rsid w:val="00CE3315"/>
    <w:rsid w:val="00CE335D"/>
    <w:rsid w:val="00CE3FEC"/>
    <w:rsid w:val="00CE4491"/>
    <w:rsid w:val="00CE45CA"/>
    <w:rsid w:val="00CE4B31"/>
    <w:rsid w:val="00CE4D00"/>
    <w:rsid w:val="00CE4E0D"/>
    <w:rsid w:val="00CE4E66"/>
    <w:rsid w:val="00CE515D"/>
    <w:rsid w:val="00CE5605"/>
    <w:rsid w:val="00CE5614"/>
    <w:rsid w:val="00CE59AE"/>
    <w:rsid w:val="00CE5A3C"/>
    <w:rsid w:val="00CE5DAA"/>
    <w:rsid w:val="00CE5DBC"/>
    <w:rsid w:val="00CE62A9"/>
    <w:rsid w:val="00CE6A77"/>
    <w:rsid w:val="00CE6D1A"/>
    <w:rsid w:val="00CE72C4"/>
    <w:rsid w:val="00CE77FC"/>
    <w:rsid w:val="00CE7A79"/>
    <w:rsid w:val="00CE7CC5"/>
    <w:rsid w:val="00CE7EC2"/>
    <w:rsid w:val="00CE7F8E"/>
    <w:rsid w:val="00CF01FA"/>
    <w:rsid w:val="00CF0399"/>
    <w:rsid w:val="00CF06FB"/>
    <w:rsid w:val="00CF1342"/>
    <w:rsid w:val="00CF256F"/>
    <w:rsid w:val="00CF257C"/>
    <w:rsid w:val="00CF3B17"/>
    <w:rsid w:val="00CF4741"/>
    <w:rsid w:val="00CF4E04"/>
    <w:rsid w:val="00CF4E92"/>
    <w:rsid w:val="00CF5195"/>
    <w:rsid w:val="00CF522D"/>
    <w:rsid w:val="00CF5777"/>
    <w:rsid w:val="00CF5897"/>
    <w:rsid w:val="00CF64F2"/>
    <w:rsid w:val="00CF65A1"/>
    <w:rsid w:val="00CF6C45"/>
    <w:rsid w:val="00CF6CDA"/>
    <w:rsid w:val="00CF7668"/>
    <w:rsid w:val="00CF7CBD"/>
    <w:rsid w:val="00D000B0"/>
    <w:rsid w:val="00D000CB"/>
    <w:rsid w:val="00D0034E"/>
    <w:rsid w:val="00D00535"/>
    <w:rsid w:val="00D012DA"/>
    <w:rsid w:val="00D014E4"/>
    <w:rsid w:val="00D017A5"/>
    <w:rsid w:val="00D018EA"/>
    <w:rsid w:val="00D01F99"/>
    <w:rsid w:val="00D02D77"/>
    <w:rsid w:val="00D03164"/>
    <w:rsid w:val="00D03695"/>
    <w:rsid w:val="00D0377A"/>
    <w:rsid w:val="00D03AB4"/>
    <w:rsid w:val="00D03E5F"/>
    <w:rsid w:val="00D03EBD"/>
    <w:rsid w:val="00D0416D"/>
    <w:rsid w:val="00D04230"/>
    <w:rsid w:val="00D045EB"/>
    <w:rsid w:val="00D049FB"/>
    <w:rsid w:val="00D04B01"/>
    <w:rsid w:val="00D04BDA"/>
    <w:rsid w:val="00D05157"/>
    <w:rsid w:val="00D05709"/>
    <w:rsid w:val="00D059C5"/>
    <w:rsid w:val="00D063EB"/>
    <w:rsid w:val="00D0661B"/>
    <w:rsid w:val="00D066DA"/>
    <w:rsid w:val="00D07A3B"/>
    <w:rsid w:val="00D07CF7"/>
    <w:rsid w:val="00D07D5F"/>
    <w:rsid w:val="00D10479"/>
    <w:rsid w:val="00D1056D"/>
    <w:rsid w:val="00D10783"/>
    <w:rsid w:val="00D11166"/>
    <w:rsid w:val="00D11ABF"/>
    <w:rsid w:val="00D11D80"/>
    <w:rsid w:val="00D123D4"/>
    <w:rsid w:val="00D134D3"/>
    <w:rsid w:val="00D138F0"/>
    <w:rsid w:val="00D13B31"/>
    <w:rsid w:val="00D1402D"/>
    <w:rsid w:val="00D14986"/>
    <w:rsid w:val="00D14E08"/>
    <w:rsid w:val="00D14E48"/>
    <w:rsid w:val="00D1529E"/>
    <w:rsid w:val="00D15349"/>
    <w:rsid w:val="00D15FF8"/>
    <w:rsid w:val="00D160BB"/>
    <w:rsid w:val="00D168B6"/>
    <w:rsid w:val="00D16996"/>
    <w:rsid w:val="00D169E5"/>
    <w:rsid w:val="00D1731A"/>
    <w:rsid w:val="00D17E44"/>
    <w:rsid w:val="00D17FB0"/>
    <w:rsid w:val="00D20356"/>
    <w:rsid w:val="00D20D9A"/>
    <w:rsid w:val="00D20EB1"/>
    <w:rsid w:val="00D20F04"/>
    <w:rsid w:val="00D21E79"/>
    <w:rsid w:val="00D220C9"/>
    <w:rsid w:val="00D237B1"/>
    <w:rsid w:val="00D237BE"/>
    <w:rsid w:val="00D23D64"/>
    <w:rsid w:val="00D23DCB"/>
    <w:rsid w:val="00D2496A"/>
    <w:rsid w:val="00D24E5F"/>
    <w:rsid w:val="00D2523A"/>
    <w:rsid w:val="00D25656"/>
    <w:rsid w:val="00D2589C"/>
    <w:rsid w:val="00D2599A"/>
    <w:rsid w:val="00D26009"/>
    <w:rsid w:val="00D266B5"/>
    <w:rsid w:val="00D26C6F"/>
    <w:rsid w:val="00D26F50"/>
    <w:rsid w:val="00D273C8"/>
    <w:rsid w:val="00D274D9"/>
    <w:rsid w:val="00D27978"/>
    <w:rsid w:val="00D27A6D"/>
    <w:rsid w:val="00D27AD1"/>
    <w:rsid w:val="00D27D4E"/>
    <w:rsid w:val="00D27EAA"/>
    <w:rsid w:val="00D30356"/>
    <w:rsid w:val="00D303D4"/>
    <w:rsid w:val="00D30F79"/>
    <w:rsid w:val="00D314C5"/>
    <w:rsid w:val="00D31932"/>
    <w:rsid w:val="00D31B6B"/>
    <w:rsid w:val="00D31EB9"/>
    <w:rsid w:val="00D326EE"/>
    <w:rsid w:val="00D327B2"/>
    <w:rsid w:val="00D328FA"/>
    <w:rsid w:val="00D32B04"/>
    <w:rsid w:val="00D3318B"/>
    <w:rsid w:val="00D3447F"/>
    <w:rsid w:val="00D34CCD"/>
    <w:rsid w:val="00D3528F"/>
    <w:rsid w:val="00D355A5"/>
    <w:rsid w:val="00D356D3"/>
    <w:rsid w:val="00D35A3A"/>
    <w:rsid w:val="00D3653A"/>
    <w:rsid w:val="00D36D79"/>
    <w:rsid w:val="00D36EA6"/>
    <w:rsid w:val="00D3730E"/>
    <w:rsid w:val="00D3733A"/>
    <w:rsid w:val="00D37A3A"/>
    <w:rsid w:val="00D37F2E"/>
    <w:rsid w:val="00D404BF"/>
    <w:rsid w:val="00D4153D"/>
    <w:rsid w:val="00D41D59"/>
    <w:rsid w:val="00D41DE0"/>
    <w:rsid w:val="00D420DC"/>
    <w:rsid w:val="00D433C5"/>
    <w:rsid w:val="00D43403"/>
    <w:rsid w:val="00D434D1"/>
    <w:rsid w:val="00D4365D"/>
    <w:rsid w:val="00D438BA"/>
    <w:rsid w:val="00D4447F"/>
    <w:rsid w:val="00D446ED"/>
    <w:rsid w:val="00D44957"/>
    <w:rsid w:val="00D4536B"/>
    <w:rsid w:val="00D45F84"/>
    <w:rsid w:val="00D46138"/>
    <w:rsid w:val="00D46832"/>
    <w:rsid w:val="00D46F38"/>
    <w:rsid w:val="00D47436"/>
    <w:rsid w:val="00D474F9"/>
    <w:rsid w:val="00D4773F"/>
    <w:rsid w:val="00D47A26"/>
    <w:rsid w:val="00D47D62"/>
    <w:rsid w:val="00D47E23"/>
    <w:rsid w:val="00D50304"/>
    <w:rsid w:val="00D505B9"/>
    <w:rsid w:val="00D50A70"/>
    <w:rsid w:val="00D51682"/>
    <w:rsid w:val="00D516E7"/>
    <w:rsid w:val="00D51990"/>
    <w:rsid w:val="00D51A25"/>
    <w:rsid w:val="00D51A44"/>
    <w:rsid w:val="00D51BF3"/>
    <w:rsid w:val="00D51E7F"/>
    <w:rsid w:val="00D520DD"/>
    <w:rsid w:val="00D52DA5"/>
    <w:rsid w:val="00D530FE"/>
    <w:rsid w:val="00D531D1"/>
    <w:rsid w:val="00D53AF2"/>
    <w:rsid w:val="00D54593"/>
    <w:rsid w:val="00D54B53"/>
    <w:rsid w:val="00D556D5"/>
    <w:rsid w:val="00D5592B"/>
    <w:rsid w:val="00D55FBD"/>
    <w:rsid w:val="00D56A62"/>
    <w:rsid w:val="00D56BBF"/>
    <w:rsid w:val="00D57232"/>
    <w:rsid w:val="00D5751F"/>
    <w:rsid w:val="00D575A9"/>
    <w:rsid w:val="00D57604"/>
    <w:rsid w:val="00D57793"/>
    <w:rsid w:val="00D5799B"/>
    <w:rsid w:val="00D6052F"/>
    <w:rsid w:val="00D60EAB"/>
    <w:rsid w:val="00D610FF"/>
    <w:rsid w:val="00D623ED"/>
    <w:rsid w:val="00D62513"/>
    <w:rsid w:val="00D62E98"/>
    <w:rsid w:val="00D62FDD"/>
    <w:rsid w:val="00D6307D"/>
    <w:rsid w:val="00D63083"/>
    <w:rsid w:val="00D632B3"/>
    <w:rsid w:val="00D63537"/>
    <w:rsid w:val="00D64055"/>
    <w:rsid w:val="00D64073"/>
    <w:rsid w:val="00D641B6"/>
    <w:rsid w:val="00D644B4"/>
    <w:rsid w:val="00D645BE"/>
    <w:rsid w:val="00D6526B"/>
    <w:rsid w:val="00D65CC9"/>
    <w:rsid w:val="00D65EFF"/>
    <w:rsid w:val="00D665FB"/>
    <w:rsid w:val="00D66FEC"/>
    <w:rsid w:val="00D67730"/>
    <w:rsid w:val="00D67825"/>
    <w:rsid w:val="00D67E86"/>
    <w:rsid w:val="00D705EC"/>
    <w:rsid w:val="00D70F17"/>
    <w:rsid w:val="00D71175"/>
    <w:rsid w:val="00D718DD"/>
    <w:rsid w:val="00D71E2C"/>
    <w:rsid w:val="00D71EE3"/>
    <w:rsid w:val="00D7250E"/>
    <w:rsid w:val="00D72CA9"/>
    <w:rsid w:val="00D7333E"/>
    <w:rsid w:val="00D73701"/>
    <w:rsid w:val="00D73D76"/>
    <w:rsid w:val="00D73EF5"/>
    <w:rsid w:val="00D73FC2"/>
    <w:rsid w:val="00D74397"/>
    <w:rsid w:val="00D74415"/>
    <w:rsid w:val="00D74580"/>
    <w:rsid w:val="00D7479A"/>
    <w:rsid w:val="00D74FE5"/>
    <w:rsid w:val="00D752BF"/>
    <w:rsid w:val="00D7543F"/>
    <w:rsid w:val="00D759DE"/>
    <w:rsid w:val="00D765A7"/>
    <w:rsid w:val="00D7711C"/>
    <w:rsid w:val="00D77149"/>
    <w:rsid w:val="00D77882"/>
    <w:rsid w:val="00D77B3F"/>
    <w:rsid w:val="00D800A9"/>
    <w:rsid w:val="00D80452"/>
    <w:rsid w:val="00D80E78"/>
    <w:rsid w:val="00D812D0"/>
    <w:rsid w:val="00D817E4"/>
    <w:rsid w:val="00D81A79"/>
    <w:rsid w:val="00D81B43"/>
    <w:rsid w:val="00D81BE0"/>
    <w:rsid w:val="00D81DC6"/>
    <w:rsid w:val="00D82355"/>
    <w:rsid w:val="00D8261A"/>
    <w:rsid w:val="00D82769"/>
    <w:rsid w:val="00D82D2D"/>
    <w:rsid w:val="00D83327"/>
    <w:rsid w:val="00D8332E"/>
    <w:rsid w:val="00D833F9"/>
    <w:rsid w:val="00D83CD5"/>
    <w:rsid w:val="00D83D36"/>
    <w:rsid w:val="00D84272"/>
    <w:rsid w:val="00D850DF"/>
    <w:rsid w:val="00D85A37"/>
    <w:rsid w:val="00D85BC0"/>
    <w:rsid w:val="00D861C5"/>
    <w:rsid w:val="00D8622A"/>
    <w:rsid w:val="00D86511"/>
    <w:rsid w:val="00D86652"/>
    <w:rsid w:val="00D86941"/>
    <w:rsid w:val="00D8706D"/>
    <w:rsid w:val="00D871F1"/>
    <w:rsid w:val="00D87218"/>
    <w:rsid w:val="00D874EC"/>
    <w:rsid w:val="00D87714"/>
    <w:rsid w:val="00D87A11"/>
    <w:rsid w:val="00D87B34"/>
    <w:rsid w:val="00D87B5B"/>
    <w:rsid w:val="00D87B61"/>
    <w:rsid w:val="00D87ECF"/>
    <w:rsid w:val="00D90823"/>
    <w:rsid w:val="00D912AA"/>
    <w:rsid w:val="00D91468"/>
    <w:rsid w:val="00D91E5B"/>
    <w:rsid w:val="00D92859"/>
    <w:rsid w:val="00D92883"/>
    <w:rsid w:val="00D92F91"/>
    <w:rsid w:val="00D9300B"/>
    <w:rsid w:val="00D9343D"/>
    <w:rsid w:val="00D937FC"/>
    <w:rsid w:val="00D9380C"/>
    <w:rsid w:val="00D93A69"/>
    <w:rsid w:val="00D93B8E"/>
    <w:rsid w:val="00D94070"/>
    <w:rsid w:val="00D9459E"/>
    <w:rsid w:val="00D94EB5"/>
    <w:rsid w:val="00D95278"/>
    <w:rsid w:val="00D959B2"/>
    <w:rsid w:val="00D9615D"/>
    <w:rsid w:val="00D96629"/>
    <w:rsid w:val="00D97389"/>
    <w:rsid w:val="00D9754A"/>
    <w:rsid w:val="00D97D87"/>
    <w:rsid w:val="00DA0337"/>
    <w:rsid w:val="00DA07F9"/>
    <w:rsid w:val="00DA15E8"/>
    <w:rsid w:val="00DA1AC5"/>
    <w:rsid w:val="00DA2130"/>
    <w:rsid w:val="00DA258F"/>
    <w:rsid w:val="00DA3183"/>
    <w:rsid w:val="00DA38E3"/>
    <w:rsid w:val="00DA393D"/>
    <w:rsid w:val="00DA3B0E"/>
    <w:rsid w:val="00DA3DC4"/>
    <w:rsid w:val="00DA3DF8"/>
    <w:rsid w:val="00DA49FC"/>
    <w:rsid w:val="00DA4E59"/>
    <w:rsid w:val="00DA52C1"/>
    <w:rsid w:val="00DA550A"/>
    <w:rsid w:val="00DA55B6"/>
    <w:rsid w:val="00DA57CC"/>
    <w:rsid w:val="00DA5BBC"/>
    <w:rsid w:val="00DA5C11"/>
    <w:rsid w:val="00DA5E04"/>
    <w:rsid w:val="00DA628A"/>
    <w:rsid w:val="00DA667B"/>
    <w:rsid w:val="00DA6737"/>
    <w:rsid w:val="00DA6E27"/>
    <w:rsid w:val="00DA76DC"/>
    <w:rsid w:val="00DA7A82"/>
    <w:rsid w:val="00DB0678"/>
    <w:rsid w:val="00DB0AD7"/>
    <w:rsid w:val="00DB0CA5"/>
    <w:rsid w:val="00DB0EC1"/>
    <w:rsid w:val="00DB15BF"/>
    <w:rsid w:val="00DB1716"/>
    <w:rsid w:val="00DB1D2B"/>
    <w:rsid w:val="00DB1FB7"/>
    <w:rsid w:val="00DB21BB"/>
    <w:rsid w:val="00DB2A75"/>
    <w:rsid w:val="00DB2C9B"/>
    <w:rsid w:val="00DB2DF5"/>
    <w:rsid w:val="00DB2E51"/>
    <w:rsid w:val="00DB3145"/>
    <w:rsid w:val="00DB4238"/>
    <w:rsid w:val="00DB4609"/>
    <w:rsid w:val="00DB5E33"/>
    <w:rsid w:val="00DB5F36"/>
    <w:rsid w:val="00DB63ED"/>
    <w:rsid w:val="00DB64F6"/>
    <w:rsid w:val="00DB6FB6"/>
    <w:rsid w:val="00DC0FA6"/>
    <w:rsid w:val="00DC130C"/>
    <w:rsid w:val="00DC1A87"/>
    <w:rsid w:val="00DC2292"/>
    <w:rsid w:val="00DC2E98"/>
    <w:rsid w:val="00DC311A"/>
    <w:rsid w:val="00DC3725"/>
    <w:rsid w:val="00DC459C"/>
    <w:rsid w:val="00DC4992"/>
    <w:rsid w:val="00DC4BB8"/>
    <w:rsid w:val="00DC508E"/>
    <w:rsid w:val="00DC5487"/>
    <w:rsid w:val="00DC5DC9"/>
    <w:rsid w:val="00DC6760"/>
    <w:rsid w:val="00DC68FA"/>
    <w:rsid w:val="00DC6B2C"/>
    <w:rsid w:val="00DC6E2A"/>
    <w:rsid w:val="00DC70C6"/>
    <w:rsid w:val="00DC714C"/>
    <w:rsid w:val="00DC7F60"/>
    <w:rsid w:val="00DC7F96"/>
    <w:rsid w:val="00DD0342"/>
    <w:rsid w:val="00DD06BF"/>
    <w:rsid w:val="00DD0737"/>
    <w:rsid w:val="00DD1E85"/>
    <w:rsid w:val="00DD2359"/>
    <w:rsid w:val="00DD2E08"/>
    <w:rsid w:val="00DD2F7B"/>
    <w:rsid w:val="00DD3126"/>
    <w:rsid w:val="00DD38E5"/>
    <w:rsid w:val="00DD3B3D"/>
    <w:rsid w:val="00DD42D5"/>
    <w:rsid w:val="00DD4A2C"/>
    <w:rsid w:val="00DD4C42"/>
    <w:rsid w:val="00DD4CEA"/>
    <w:rsid w:val="00DD665E"/>
    <w:rsid w:val="00DD6A4B"/>
    <w:rsid w:val="00DD6A85"/>
    <w:rsid w:val="00DD6E06"/>
    <w:rsid w:val="00DD6E24"/>
    <w:rsid w:val="00DD6FE1"/>
    <w:rsid w:val="00DD70FD"/>
    <w:rsid w:val="00DD78D6"/>
    <w:rsid w:val="00DD7BF7"/>
    <w:rsid w:val="00DD7C2C"/>
    <w:rsid w:val="00DD7D69"/>
    <w:rsid w:val="00DE04FA"/>
    <w:rsid w:val="00DE0C23"/>
    <w:rsid w:val="00DE138F"/>
    <w:rsid w:val="00DE148A"/>
    <w:rsid w:val="00DE14A2"/>
    <w:rsid w:val="00DE23C8"/>
    <w:rsid w:val="00DE25AF"/>
    <w:rsid w:val="00DE28F8"/>
    <w:rsid w:val="00DE29BA"/>
    <w:rsid w:val="00DE2E79"/>
    <w:rsid w:val="00DE31BD"/>
    <w:rsid w:val="00DE34B7"/>
    <w:rsid w:val="00DE37BC"/>
    <w:rsid w:val="00DE3893"/>
    <w:rsid w:val="00DE38F1"/>
    <w:rsid w:val="00DE3939"/>
    <w:rsid w:val="00DE3AD4"/>
    <w:rsid w:val="00DE3B79"/>
    <w:rsid w:val="00DE3E13"/>
    <w:rsid w:val="00DE418C"/>
    <w:rsid w:val="00DE5060"/>
    <w:rsid w:val="00DE52B0"/>
    <w:rsid w:val="00DE54D1"/>
    <w:rsid w:val="00DE5631"/>
    <w:rsid w:val="00DE56D0"/>
    <w:rsid w:val="00DE588D"/>
    <w:rsid w:val="00DE5C7B"/>
    <w:rsid w:val="00DE5E67"/>
    <w:rsid w:val="00DE74B8"/>
    <w:rsid w:val="00DE78B3"/>
    <w:rsid w:val="00DE7BE0"/>
    <w:rsid w:val="00DE7F07"/>
    <w:rsid w:val="00DE7FE1"/>
    <w:rsid w:val="00DF05A4"/>
    <w:rsid w:val="00DF05E6"/>
    <w:rsid w:val="00DF06CA"/>
    <w:rsid w:val="00DF1303"/>
    <w:rsid w:val="00DF1386"/>
    <w:rsid w:val="00DF1623"/>
    <w:rsid w:val="00DF16CC"/>
    <w:rsid w:val="00DF24CC"/>
    <w:rsid w:val="00DF2D3E"/>
    <w:rsid w:val="00DF2D9E"/>
    <w:rsid w:val="00DF3245"/>
    <w:rsid w:val="00DF34A4"/>
    <w:rsid w:val="00DF363F"/>
    <w:rsid w:val="00DF36FD"/>
    <w:rsid w:val="00DF3A8E"/>
    <w:rsid w:val="00DF3B1D"/>
    <w:rsid w:val="00DF3BB9"/>
    <w:rsid w:val="00DF3F89"/>
    <w:rsid w:val="00DF4216"/>
    <w:rsid w:val="00DF44CB"/>
    <w:rsid w:val="00DF46C4"/>
    <w:rsid w:val="00DF4B56"/>
    <w:rsid w:val="00DF4BDE"/>
    <w:rsid w:val="00DF4BED"/>
    <w:rsid w:val="00DF4CB7"/>
    <w:rsid w:val="00DF4E27"/>
    <w:rsid w:val="00DF4E88"/>
    <w:rsid w:val="00DF509C"/>
    <w:rsid w:val="00DF5423"/>
    <w:rsid w:val="00DF5C7D"/>
    <w:rsid w:val="00DF5E3A"/>
    <w:rsid w:val="00DF6D18"/>
    <w:rsid w:val="00DF7236"/>
    <w:rsid w:val="00DF726A"/>
    <w:rsid w:val="00DF77F2"/>
    <w:rsid w:val="00E00365"/>
    <w:rsid w:val="00E00618"/>
    <w:rsid w:val="00E00897"/>
    <w:rsid w:val="00E00CE5"/>
    <w:rsid w:val="00E0250F"/>
    <w:rsid w:val="00E02660"/>
    <w:rsid w:val="00E027FF"/>
    <w:rsid w:val="00E02B83"/>
    <w:rsid w:val="00E02F56"/>
    <w:rsid w:val="00E02F68"/>
    <w:rsid w:val="00E038C5"/>
    <w:rsid w:val="00E03E3B"/>
    <w:rsid w:val="00E03E67"/>
    <w:rsid w:val="00E043E0"/>
    <w:rsid w:val="00E0448C"/>
    <w:rsid w:val="00E04589"/>
    <w:rsid w:val="00E05EFE"/>
    <w:rsid w:val="00E05FDE"/>
    <w:rsid w:val="00E06031"/>
    <w:rsid w:val="00E0639E"/>
    <w:rsid w:val="00E06501"/>
    <w:rsid w:val="00E06AC7"/>
    <w:rsid w:val="00E06B38"/>
    <w:rsid w:val="00E07340"/>
    <w:rsid w:val="00E0747D"/>
    <w:rsid w:val="00E102E4"/>
    <w:rsid w:val="00E1040F"/>
    <w:rsid w:val="00E10694"/>
    <w:rsid w:val="00E107E7"/>
    <w:rsid w:val="00E11A2D"/>
    <w:rsid w:val="00E11D36"/>
    <w:rsid w:val="00E121B7"/>
    <w:rsid w:val="00E12346"/>
    <w:rsid w:val="00E12621"/>
    <w:rsid w:val="00E128D8"/>
    <w:rsid w:val="00E12C42"/>
    <w:rsid w:val="00E132D9"/>
    <w:rsid w:val="00E13E74"/>
    <w:rsid w:val="00E148DE"/>
    <w:rsid w:val="00E14B11"/>
    <w:rsid w:val="00E15315"/>
    <w:rsid w:val="00E153C3"/>
    <w:rsid w:val="00E154A3"/>
    <w:rsid w:val="00E155A9"/>
    <w:rsid w:val="00E15A50"/>
    <w:rsid w:val="00E15D68"/>
    <w:rsid w:val="00E15E54"/>
    <w:rsid w:val="00E165B5"/>
    <w:rsid w:val="00E1688A"/>
    <w:rsid w:val="00E16B02"/>
    <w:rsid w:val="00E170B3"/>
    <w:rsid w:val="00E1728C"/>
    <w:rsid w:val="00E17A0A"/>
    <w:rsid w:val="00E17ED6"/>
    <w:rsid w:val="00E200F0"/>
    <w:rsid w:val="00E20278"/>
    <w:rsid w:val="00E20EEF"/>
    <w:rsid w:val="00E2161B"/>
    <w:rsid w:val="00E21952"/>
    <w:rsid w:val="00E227EA"/>
    <w:rsid w:val="00E232AF"/>
    <w:rsid w:val="00E232BB"/>
    <w:rsid w:val="00E2333B"/>
    <w:rsid w:val="00E2363D"/>
    <w:rsid w:val="00E23756"/>
    <w:rsid w:val="00E23CA4"/>
    <w:rsid w:val="00E24145"/>
    <w:rsid w:val="00E24353"/>
    <w:rsid w:val="00E247A9"/>
    <w:rsid w:val="00E2484E"/>
    <w:rsid w:val="00E24D39"/>
    <w:rsid w:val="00E25107"/>
    <w:rsid w:val="00E251ED"/>
    <w:rsid w:val="00E25724"/>
    <w:rsid w:val="00E25996"/>
    <w:rsid w:val="00E25B33"/>
    <w:rsid w:val="00E25B63"/>
    <w:rsid w:val="00E25BF8"/>
    <w:rsid w:val="00E26053"/>
    <w:rsid w:val="00E26343"/>
    <w:rsid w:val="00E265F0"/>
    <w:rsid w:val="00E26758"/>
    <w:rsid w:val="00E26DC0"/>
    <w:rsid w:val="00E2785E"/>
    <w:rsid w:val="00E27DCF"/>
    <w:rsid w:val="00E300E3"/>
    <w:rsid w:val="00E3012B"/>
    <w:rsid w:val="00E3034E"/>
    <w:rsid w:val="00E307BD"/>
    <w:rsid w:val="00E30D9B"/>
    <w:rsid w:val="00E3128A"/>
    <w:rsid w:val="00E32413"/>
    <w:rsid w:val="00E32693"/>
    <w:rsid w:val="00E326EA"/>
    <w:rsid w:val="00E32AD7"/>
    <w:rsid w:val="00E32B31"/>
    <w:rsid w:val="00E32BC6"/>
    <w:rsid w:val="00E32F09"/>
    <w:rsid w:val="00E330DD"/>
    <w:rsid w:val="00E3315C"/>
    <w:rsid w:val="00E33D93"/>
    <w:rsid w:val="00E33F20"/>
    <w:rsid w:val="00E342A8"/>
    <w:rsid w:val="00E346C4"/>
    <w:rsid w:val="00E3560E"/>
    <w:rsid w:val="00E3577C"/>
    <w:rsid w:val="00E36124"/>
    <w:rsid w:val="00E3706E"/>
    <w:rsid w:val="00E37140"/>
    <w:rsid w:val="00E37150"/>
    <w:rsid w:val="00E37193"/>
    <w:rsid w:val="00E37CBC"/>
    <w:rsid w:val="00E37CC1"/>
    <w:rsid w:val="00E409C1"/>
    <w:rsid w:val="00E40B43"/>
    <w:rsid w:val="00E40F5E"/>
    <w:rsid w:val="00E410C2"/>
    <w:rsid w:val="00E415E8"/>
    <w:rsid w:val="00E416FC"/>
    <w:rsid w:val="00E4174D"/>
    <w:rsid w:val="00E418E4"/>
    <w:rsid w:val="00E42214"/>
    <w:rsid w:val="00E422FF"/>
    <w:rsid w:val="00E42CF8"/>
    <w:rsid w:val="00E42F75"/>
    <w:rsid w:val="00E43275"/>
    <w:rsid w:val="00E432AF"/>
    <w:rsid w:val="00E44494"/>
    <w:rsid w:val="00E44920"/>
    <w:rsid w:val="00E44BD1"/>
    <w:rsid w:val="00E45B37"/>
    <w:rsid w:val="00E45DFA"/>
    <w:rsid w:val="00E45E54"/>
    <w:rsid w:val="00E4669C"/>
    <w:rsid w:val="00E4692F"/>
    <w:rsid w:val="00E46FAF"/>
    <w:rsid w:val="00E46FDA"/>
    <w:rsid w:val="00E47078"/>
    <w:rsid w:val="00E47A1E"/>
    <w:rsid w:val="00E47A71"/>
    <w:rsid w:val="00E47EFE"/>
    <w:rsid w:val="00E50262"/>
    <w:rsid w:val="00E5057A"/>
    <w:rsid w:val="00E50712"/>
    <w:rsid w:val="00E50895"/>
    <w:rsid w:val="00E50A78"/>
    <w:rsid w:val="00E50BE2"/>
    <w:rsid w:val="00E50EA3"/>
    <w:rsid w:val="00E5168B"/>
    <w:rsid w:val="00E517DA"/>
    <w:rsid w:val="00E51AB7"/>
    <w:rsid w:val="00E51C1C"/>
    <w:rsid w:val="00E51F1C"/>
    <w:rsid w:val="00E525AB"/>
    <w:rsid w:val="00E52D3A"/>
    <w:rsid w:val="00E52F52"/>
    <w:rsid w:val="00E52FA6"/>
    <w:rsid w:val="00E5327C"/>
    <w:rsid w:val="00E53379"/>
    <w:rsid w:val="00E53481"/>
    <w:rsid w:val="00E54055"/>
    <w:rsid w:val="00E548A5"/>
    <w:rsid w:val="00E54955"/>
    <w:rsid w:val="00E553A5"/>
    <w:rsid w:val="00E559E3"/>
    <w:rsid w:val="00E5686D"/>
    <w:rsid w:val="00E56B4A"/>
    <w:rsid w:val="00E56E54"/>
    <w:rsid w:val="00E57EEC"/>
    <w:rsid w:val="00E601E9"/>
    <w:rsid w:val="00E60646"/>
    <w:rsid w:val="00E60675"/>
    <w:rsid w:val="00E60AF7"/>
    <w:rsid w:val="00E60F0F"/>
    <w:rsid w:val="00E615DE"/>
    <w:rsid w:val="00E61D87"/>
    <w:rsid w:val="00E628F2"/>
    <w:rsid w:val="00E62D18"/>
    <w:rsid w:val="00E62D84"/>
    <w:rsid w:val="00E6300C"/>
    <w:rsid w:val="00E63107"/>
    <w:rsid w:val="00E63C7B"/>
    <w:rsid w:val="00E64099"/>
    <w:rsid w:val="00E64120"/>
    <w:rsid w:val="00E641AC"/>
    <w:rsid w:val="00E6552A"/>
    <w:rsid w:val="00E658B1"/>
    <w:rsid w:val="00E65C55"/>
    <w:rsid w:val="00E65C68"/>
    <w:rsid w:val="00E65E1E"/>
    <w:rsid w:val="00E668B8"/>
    <w:rsid w:val="00E700D9"/>
    <w:rsid w:val="00E70853"/>
    <w:rsid w:val="00E70C63"/>
    <w:rsid w:val="00E71C85"/>
    <w:rsid w:val="00E71F1D"/>
    <w:rsid w:val="00E72067"/>
    <w:rsid w:val="00E72174"/>
    <w:rsid w:val="00E72680"/>
    <w:rsid w:val="00E72B34"/>
    <w:rsid w:val="00E736CD"/>
    <w:rsid w:val="00E7391A"/>
    <w:rsid w:val="00E73CC4"/>
    <w:rsid w:val="00E73F81"/>
    <w:rsid w:val="00E745B7"/>
    <w:rsid w:val="00E74A90"/>
    <w:rsid w:val="00E750EC"/>
    <w:rsid w:val="00E753DE"/>
    <w:rsid w:val="00E756C1"/>
    <w:rsid w:val="00E75A44"/>
    <w:rsid w:val="00E76018"/>
    <w:rsid w:val="00E76063"/>
    <w:rsid w:val="00E766A7"/>
    <w:rsid w:val="00E768C2"/>
    <w:rsid w:val="00E77BF5"/>
    <w:rsid w:val="00E77E4D"/>
    <w:rsid w:val="00E81542"/>
    <w:rsid w:val="00E81A2C"/>
    <w:rsid w:val="00E822F6"/>
    <w:rsid w:val="00E82938"/>
    <w:rsid w:val="00E834A6"/>
    <w:rsid w:val="00E839AF"/>
    <w:rsid w:val="00E83D6D"/>
    <w:rsid w:val="00E843D7"/>
    <w:rsid w:val="00E844D0"/>
    <w:rsid w:val="00E84CE4"/>
    <w:rsid w:val="00E84DA3"/>
    <w:rsid w:val="00E84FC2"/>
    <w:rsid w:val="00E85092"/>
    <w:rsid w:val="00E85D3B"/>
    <w:rsid w:val="00E85EC9"/>
    <w:rsid w:val="00E85EF5"/>
    <w:rsid w:val="00E85F04"/>
    <w:rsid w:val="00E85F0E"/>
    <w:rsid w:val="00E8696D"/>
    <w:rsid w:val="00E86A3F"/>
    <w:rsid w:val="00E86C0D"/>
    <w:rsid w:val="00E86FC1"/>
    <w:rsid w:val="00E86FE6"/>
    <w:rsid w:val="00E871B1"/>
    <w:rsid w:val="00E876DE"/>
    <w:rsid w:val="00E877F8"/>
    <w:rsid w:val="00E87967"/>
    <w:rsid w:val="00E87FB8"/>
    <w:rsid w:val="00E90059"/>
    <w:rsid w:val="00E90E08"/>
    <w:rsid w:val="00E9147D"/>
    <w:rsid w:val="00E918DD"/>
    <w:rsid w:val="00E91C34"/>
    <w:rsid w:val="00E91D13"/>
    <w:rsid w:val="00E9258F"/>
    <w:rsid w:val="00E92ADD"/>
    <w:rsid w:val="00E92F6A"/>
    <w:rsid w:val="00E93610"/>
    <w:rsid w:val="00E9398C"/>
    <w:rsid w:val="00E9472A"/>
    <w:rsid w:val="00E9479E"/>
    <w:rsid w:val="00E94DB2"/>
    <w:rsid w:val="00E9531F"/>
    <w:rsid w:val="00E95CD4"/>
    <w:rsid w:val="00E95FA5"/>
    <w:rsid w:val="00E96B41"/>
    <w:rsid w:val="00E96B47"/>
    <w:rsid w:val="00E96FC3"/>
    <w:rsid w:val="00E972A2"/>
    <w:rsid w:val="00E978D4"/>
    <w:rsid w:val="00E9791F"/>
    <w:rsid w:val="00E97B6F"/>
    <w:rsid w:val="00E97DDD"/>
    <w:rsid w:val="00EA0918"/>
    <w:rsid w:val="00EA1022"/>
    <w:rsid w:val="00EA104A"/>
    <w:rsid w:val="00EA162A"/>
    <w:rsid w:val="00EA16A3"/>
    <w:rsid w:val="00EA1701"/>
    <w:rsid w:val="00EA19DA"/>
    <w:rsid w:val="00EA1B94"/>
    <w:rsid w:val="00EA22B4"/>
    <w:rsid w:val="00EA25B4"/>
    <w:rsid w:val="00EA2BE7"/>
    <w:rsid w:val="00EA2D07"/>
    <w:rsid w:val="00EA2D6F"/>
    <w:rsid w:val="00EA2F4F"/>
    <w:rsid w:val="00EA2F7B"/>
    <w:rsid w:val="00EA3055"/>
    <w:rsid w:val="00EA3AF2"/>
    <w:rsid w:val="00EA3D4E"/>
    <w:rsid w:val="00EA44C0"/>
    <w:rsid w:val="00EA4A29"/>
    <w:rsid w:val="00EA4A2E"/>
    <w:rsid w:val="00EA4EBE"/>
    <w:rsid w:val="00EA5B8C"/>
    <w:rsid w:val="00EA5F1C"/>
    <w:rsid w:val="00EA5FC2"/>
    <w:rsid w:val="00EA5FEC"/>
    <w:rsid w:val="00EA641A"/>
    <w:rsid w:val="00EA6772"/>
    <w:rsid w:val="00EA758C"/>
    <w:rsid w:val="00EA7863"/>
    <w:rsid w:val="00EA7928"/>
    <w:rsid w:val="00EA7C92"/>
    <w:rsid w:val="00EB01FC"/>
    <w:rsid w:val="00EB0C21"/>
    <w:rsid w:val="00EB183A"/>
    <w:rsid w:val="00EB2648"/>
    <w:rsid w:val="00EB2679"/>
    <w:rsid w:val="00EB282F"/>
    <w:rsid w:val="00EB2C49"/>
    <w:rsid w:val="00EB39B4"/>
    <w:rsid w:val="00EB3AD2"/>
    <w:rsid w:val="00EB408E"/>
    <w:rsid w:val="00EB4325"/>
    <w:rsid w:val="00EB43AE"/>
    <w:rsid w:val="00EB44B6"/>
    <w:rsid w:val="00EB5466"/>
    <w:rsid w:val="00EB5489"/>
    <w:rsid w:val="00EB551A"/>
    <w:rsid w:val="00EB5FB8"/>
    <w:rsid w:val="00EB6111"/>
    <w:rsid w:val="00EB6872"/>
    <w:rsid w:val="00EB6F90"/>
    <w:rsid w:val="00EB71F8"/>
    <w:rsid w:val="00EB76A4"/>
    <w:rsid w:val="00EC028F"/>
    <w:rsid w:val="00EC02F7"/>
    <w:rsid w:val="00EC0AF7"/>
    <w:rsid w:val="00EC0F1C"/>
    <w:rsid w:val="00EC145E"/>
    <w:rsid w:val="00EC190D"/>
    <w:rsid w:val="00EC1AAA"/>
    <w:rsid w:val="00EC1C2F"/>
    <w:rsid w:val="00EC1F88"/>
    <w:rsid w:val="00EC2575"/>
    <w:rsid w:val="00EC276B"/>
    <w:rsid w:val="00EC2805"/>
    <w:rsid w:val="00EC2B54"/>
    <w:rsid w:val="00EC2F3C"/>
    <w:rsid w:val="00EC3332"/>
    <w:rsid w:val="00EC38DD"/>
    <w:rsid w:val="00EC3F4E"/>
    <w:rsid w:val="00EC44FB"/>
    <w:rsid w:val="00EC5457"/>
    <w:rsid w:val="00EC5495"/>
    <w:rsid w:val="00EC5587"/>
    <w:rsid w:val="00EC5882"/>
    <w:rsid w:val="00EC5AAE"/>
    <w:rsid w:val="00EC5D6D"/>
    <w:rsid w:val="00EC67CA"/>
    <w:rsid w:val="00EC684D"/>
    <w:rsid w:val="00EC686D"/>
    <w:rsid w:val="00EC6AF0"/>
    <w:rsid w:val="00EC703D"/>
    <w:rsid w:val="00EC74E0"/>
    <w:rsid w:val="00EC78C3"/>
    <w:rsid w:val="00EC7CB1"/>
    <w:rsid w:val="00EC7EB9"/>
    <w:rsid w:val="00ED04AA"/>
    <w:rsid w:val="00ED0B2F"/>
    <w:rsid w:val="00ED1285"/>
    <w:rsid w:val="00ED1786"/>
    <w:rsid w:val="00ED1A48"/>
    <w:rsid w:val="00ED1AC3"/>
    <w:rsid w:val="00ED1B11"/>
    <w:rsid w:val="00ED277D"/>
    <w:rsid w:val="00ED2E48"/>
    <w:rsid w:val="00ED323D"/>
    <w:rsid w:val="00ED33E8"/>
    <w:rsid w:val="00ED3B9D"/>
    <w:rsid w:val="00ED3FCC"/>
    <w:rsid w:val="00ED4319"/>
    <w:rsid w:val="00ED47E3"/>
    <w:rsid w:val="00ED4A90"/>
    <w:rsid w:val="00ED4E0B"/>
    <w:rsid w:val="00ED4F75"/>
    <w:rsid w:val="00ED54D8"/>
    <w:rsid w:val="00ED58FB"/>
    <w:rsid w:val="00ED61B9"/>
    <w:rsid w:val="00ED6303"/>
    <w:rsid w:val="00ED6637"/>
    <w:rsid w:val="00ED69D0"/>
    <w:rsid w:val="00ED6CCD"/>
    <w:rsid w:val="00ED7135"/>
    <w:rsid w:val="00ED7217"/>
    <w:rsid w:val="00ED796C"/>
    <w:rsid w:val="00ED7BA2"/>
    <w:rsid w:val="00EE1479"/>
    <w:rsid w:val="00EE16AD"/>
    <w:rsid w:val="00EE1739"/>
    <w:rsid w:val="00EE1BF2"/>
    <w:rsid w:val="00EE1D4E"/>
    <w:rsid w:val="00EE23B0"/>
    <w:rsid w:val="00EE24A9"/>
    <w:rsid w:val="00EE2E20"/>
    <w:rsid w:val="00EE2F90"/>
    <w:rsid w:val="00EE3070"/>
    <w:rsid w:val="00EE3563"/>
    <w:rsid w:val="00EE3964"/>
    <w:rsid w:val="00EE3CA8"/>
    <w:rsid w:val="00EE4399"/>
    <w:rsid w:val="00EE5EF1"/>
    <w:rsid w:val="00EE60CE"/>
    <w:rsid w:val="00EE66FC"/>
    <w:rsid w:val="00EE6E84"/>
    <w:rsid w:val="00EE6F77"/>
    <w:rsid w:val="00EE704A"/>
    <w:rsid w:val="00EE7BD8"/>
    <w:rsid w:val="00EF1063"/>
    <w:rsid w:val="00EF148A"/>
    <w:rsid w:val="00EF160F"/>
    <w:rsid w:val="00EF2138"/>
    <w:rsid w:val="00EF2140"/>
    <w:rsid w:val="00EF2424"/>
    <w:rsid w:val="00EF269E"/>
    <w:rsid w:val="00EF30BF"/>
    <w:rsid w:val="00EF37C6"/>
    <w:rsid w:val="00EF37D0"/>
    <w:rsid w:val="00EF386B"/>
    <w:rsid w:val="00EF3C17"/>
    <w:rsid w:val="00EF45C2"/>
    <w:rsid w:val="00EF4A69"/>
    <w:rsid w:val="00EF50DE"/>
    <w:rsid w:val="00EF56F5"/>
    <w:rsid w:val="00EF59A1"/>
    <w:rsid w:val="00EF5A5C"/>
    <w:rsid w:val="00EF616C"/>
    <w:rsid w:val="00EF7573"/>
    <w:rsid w:val="00EF7738"/>
    <w:rsid w:val="00EF78A5"/>
    <w:rsid w:val="00EF79EC"/>
    <w:rsid w:val="00EF7A8A"/>
    <w:rsid w:val="00EF7FE0"/>
    <w:rsid w:val="00F00159"/>
    <w:rsid w:val="00F0075F"/>
    <w:rsid w:val="00F008A1"/>
    <w:rsid w:val="00F00C88"/>
    <w:rsid w:val="00F00DEA"/>
    <w:rsid w:val="00F01000"/>
    <w:rsid w:val="00F0106E"/>
    <w:rsid w:val="00F019CE"/>
    <w:rsid w:val="00F01F38"/>
    <w:rsid w:val="00F020B9"/>
    <w:rsid w:val="00F02C3C"/>
    <w:rsid w:val="00F02CE3"/>
    <w:rsid w:val="00F03092"/>
    <w:rsid w:val="00F03326"/>
    <w:rsid w:val="00F036B3"/>
    <w:rsid w:val="00F04924"/>
    <w:rsid w:val="00F05848"/>
    <w:rsid w:val="00F05EBA"/>
    <w:rsid w:val="00F06009"/>
    <w:rsid w:val="00F060B7"/>
    <w:rsid w:val="00F067EC"/>
    <w:rsid w:val="00F06ADB"/>
    <w:rsid w:val="00F06CE3"/>
    <w:rsid w:val="00F06DDE"/>
    <w:rsid w:val="00F06F2F"/>
    <w:rsid w:val="00F10FE7"/>
    <w:rsid w:val="00F110B3"/>
    <w:rsid w:val="00F11176"/>
    <w:rsid w:val="00F115D3"/>
    <w:rsid w:val="00F11607"/>
    <w:rsid w:val="00F11BEC"/>
    <w:rsid w:val="00F126A0"/>
    <w:rsid w:val="00F126D9"/>
    <w:rsid w:val="00F12760"/>
    <w:rsid w:val="00F12927"/>
    <w:rsid w:val="00F12EA2"/>
    <w:rsid w:val="00F13245"/>
    <w:rsid w:val="00F137DC"/>
    <w:rsid w:val="00F13AA4"/>
    <w:rsid w:val="00F13C76"/>
    <w:rsid w:val="00F13F3D"/>
    <w:rsid w:val="00F145D2"/>
    <w:rsid w:val="00F1477A"/>
    <w:rsid w:val="00F14922"/>
    <w:rsid w:val="00F14AE8"/>
    <w:rsid w:val="00F14D66"/>
    <w:rsid w:val="00F15AB2"/>
    <w:rsid w:val="00F16419"/>
    <w:rsid w:val="00F1653A"/>
    <w:rsid w:val="00F16568"/>
    <w:rsid w:val="00F165D1"/>
    <w:rsid w:val="00F1685C"/>
    <w:rsid w:val="00F16CC3"/>
    <w:rsid w:val="00F16ECB"/>
    <w:rsid w:val="00F173F3"/>
    <w:rsid w:val="00F1747C"/>
    <w:rsid w:val="00F175D8"/>
    <w:rsid w:val="00F175FB"/>
    <w:rsid w:val="00F17955"/>
    <w:rsid w:val="00F17E3B"/>
    <w:rsid w:val="00F17F69"/>
    <w:rsid w:val="00F203CB"/>
    <w:rsid w:val="00F209DE"/>
    <w:rsid w:val="00F212D7"/>
    <w:rsid w:val="00F219DD"/>
    <w:rsid w:val="00F22261"/>
    <w:rsid w:val="00F22529"/>
    <w:rsid w:val="00F225E5"/>
    <w:rsid w:val="00F227B3"/>
    <w:rsid w:val="00F22A84"/>
    <w:rsid w:val="00F22B98"/>
    <w:rsid w:val="00F2366F"/>
    <w:rsid w:val="00F236A6"/>
    <w:rsid w:val="00F23733"/>
    <w:rsid w:val="00F23B90"/>
    <w:rsid w:val="00F23C3D"/>
    <w:rsid w:val="00F23ECB"/>
    <w:rsid w:val="00F242A6"/>
    <w:rsid w:val="00F2441F"/>
    <w:rsid w:val="00F249F7"/>
    <w:rsid w:val="00F24F0D"/>
    <w:rsid w:val="00F2524B"/>
    <w:rsid w:val="00F253BB"/>
    <w:rsid w:val="00F25745"/>
    <w:rsid w:val="00F25B21"/>
    <w:rsid w:val="00F25C64"/>
    <w:rsid w:val="00F26056"/>
    <w:rsid w:val="00F2657C"/>
    <w:rsid w:val="00F266AD"/>
    <w:rsid w:val="00F267E4"/>
    <w:rsid w:val="00F26807"/>
    <w:rsid w:val="00F26954"/>
    <w:rsid w:val="00F26C10"/>
    <w:rsid w:val="00F26E66"/>
    <w:rsid w:val="00F26F67"/>
    <w:rsid w:val="00F271AC"/>
    <w:rsid w:val="00F300E8"/>
    <w:rsid w:val="00F304A5"/>
    <w:rsid w:val="00F30ABD"/>
    <w:rsid w:val="00F30D6A"/>
    <w:rsid w:val="00F31440"/>
    <w:rsid w:val="00F31FF4"/>
    <w:rsid w:val="00F322C3"/>
    <w:rsid w:val="00F32BCF"/>
    <w:rsid w:val="00F32BD9"/>
    <w:rsid w:val="00F3311A"/>
    <w:rsid w:val="00F334B7"/>
    <w:rsid w:val="00F33FCE"/>
    <w:rsid w:val="00F341F6"/>
    <w:rsid w:val="00F343A1"/>
    <w:rsid w:val="00F345FB"/>
    <w:rsid w:val="00F347A4"/>
    <w:rsid w:val="00F3485F"/>
    <w:rsid w:val="00F352AA"/>
    <w:rsid w:val="00F35627"/>
    <w:rsid w:val="00F35878"/>
    <w:rsid w:val="00F359B3"/>
    <w:rsid w:val="00F35A7F"/>
    <w:rsid w:val="00F369A6"/>
    <w:rsid w:val="00F37139"/>
    <w:rsid w:val="00F3758F"/>
    <w:rsid w:val="00F37832"/>
    <w:rsid w:val="00F37BB4"/>
    <w:rsid w:val="00F401D5"/>
    <w:rsid w:val="00F40CB3"/>
    <w:rsid w:val="00F40CD8"/>
    <w:rsid w:val="00F410AA"/>
    <w:rsid w:val="00F4147C"/>
    <w:rsid w:val="00F41AB2"/>
    <w:rsid w:val="00F41ADB"/>
    <w:rsid w:val="00F425B1"/>
    <w:rsid w:val="00F42786"/>
    <w:rsid w:val="00F4291C"/>
    <w:rsid w:val="00F42A00"/>
    <w:rsid w:val="00F42F8D"/>
    <w:rsid w:val="00F42FEE"/>
    <w:rsid w:val="00F43146"/>
    <w:rsid w:val="00F438FE"/>
    <w:rsid w:val="00F43DE6"/>
    <w:rsid w:val="00F43E18"/>
    <w:rsid w:val="00F4414E"/>
    <w:rsid w:val="00F4437D"/>
    <w:rsid w:val="00F446D3"/>
    <w:rsid w:val="00F44806"/>
    <w:rsid w:val="00F44EE2"/>
    <w:rsid w:val="00F45065"/>
    <w:rsid w:val="00F45ED5"/>
    <w:rsid w:val="00F4685D"/>
    <w:rsid w:val="00F46F00"/>
    <w:rsid w:val="00F47702"/>
    <w:rsid w:val="00F479C0"/>
    <w:rsid w:val="00F506BC"/>
    <w:rsid w:val="00F5086A"/>
    <w:rsid w:val="00F509B7"/>
    <w:rsid w:val="00F51121"/>
    <w:rsid w:val="00F51405"/>
    <w:rsid w:val="00F51D44"/>
    <w:rsid w:val="00F52891"/>
    <w:rsid w:val="00F52FB1"/>
    <w:rsid w:val="00F5336C"/>
    <w:rsid w:val="00F5342F"/>
    <w:rsid w:val="00F53599"/>
    <w:rsid w:val="00F53C5C"/>
    <w:rsid w:val="00F53CEE"/>
    <w:rsid w:val="00F5423C"/>
    <w:rsid w:val="00F5447B"/>
    <w:rsid w:val="00F54549"/>
    <w:rsid w:val="00F54B9D"/>
    <w:rsid w:val="00F54DFC"/>
    <w:rsid w:val="00F55871"/>
    <w:rsid w:val="00F5626C"/>
    <w:rsid w:val="00F56270"/>
    <w:rsid w:val="00F56D5F"/>
    <w:rsid w:val="00F57F6B"/>
    <w:rsid w:val="00F57FEF"/>
    <w:rsid w:val="00F6025D"/>
    <w:rsid w:val="00F6044E"/>
    <w:rsid w:val="00F6068B"/>
    <w:rsid w:val="00F60875"/>
    <w:rsid w:val="00F60980"/>
    <w:rsid w:val="00F60A4B"/>
    <w:rsid w:val="00F61300"/>
    <w:rsid w:val="00F614E5"/>
    <w:rsid w:val="00F61591"/>
    <w:rsid w:val="00F61657"/>
    <w:rsid w:val="00F619E2"/>
    <w:rsid w:val="00F61A12"/>
    <w:rsid w:val="00F62051"/>
    <w:rsid w:val="00F6244B"/>
    <w:rsid w:val="00F62CB1"/>
    <w:rsid w:val="00F62FAA"/>
    <w:rsid w:val="00F630C5"/>
    <w:rsid w:val="00F6367F"/>
    <w:rsid w:val="00F63723"/>
    <w:rsid w:val="00F6386A"/>
    <w:rsid w:val="00F638BF"/>
    <w:rsid w:val="00F63AC5"/>
    <w:rsid w:val="00F63DBB"/>
    <w:rsid w:val="00F63E49"/>
    <w:rsid w:val="00F63F53"/>
    <w:rsid w:val="00F64150"/>
    <w:rsid w:val="00F64CBB"/>
    <w:rsid w:val="00F65863"/>
    <w:rsid w:val="00F658D4"/>
    <w:rsid w:val="00F6641F"/>
    <w:rsid w:val="00F668E9"/>
    <w:rsid w:val="00F6710C"/>
    <w:rsid w:val="00F67123"/>
    <w:rsid w:val="00F67702"/>
    <w:rsid w:val="00F678B6"/>
    <w:rsid w:val="00F67F08"/>
    <w:rsid w:val="00F67F82"/>
    <w:rsid w:val="00F7028D"/>
    <w:rsid w:val="00F7055C"/>
    <w:rsid w:val="00F7058B"/>
    <w:rsid w:val="00F709C7"/>
    <w:rsid w:val="00F70E5F"/>
    <w:rsid w:val="00F7150C"/>
    <w:rsid w:val="00F715FB"/>
    <w:rsid w:val="00F71753"/>
    <w:rsid w:val="00F71AEB"/>
    <w:rsid w:val="00F71D74"/>
    <w:rsid w:val="00F72644"/>
    <w:rsid w:val="00F72CBE"/>
    <w:rsid w:val="00F72CD0"/>
    <w:rsid w:val="00F72CE1"/>
    <w:rsid w:val="00F72F4B"/>
    <w:rsid w:val="00F7303D"/>
    <w:rsid w:val="00F73773"/>
    <w:rsid w:val="00F73F7E"/>
    <w:rsid w:val="00F751E0"/>
    <w:rsid w:val="00F753F8"/>
    <w:rsid w:val="00F75546"/>
    <w:rsid w:val="00F75970"/>
    <w:rsid w:val="00F75C30"/>
    <w:rsid w:val="00F762FD"/>
    <w:rsid w:val="00F76364"/>
    <w:rsid w:val="00F7755E"/>
    <w:rsid w:val="00F77718"/>
    <w:rsid w:val="00F77DB4"/>
    <w:rsid w:val="00F80D46"/>
    <w:rsid w:val="00F80EB8"/>
    <w:rsid w:val="00F8139F"/>
    <w:rsid w:val="00F81EC2"/>
    <w:rsid w:val="00F81F73"/>
    <w:rsid w:val="00F82E9A"/>
    <w:rsid w:val="00F83049"/>
    <w:rsid w:val="00F835AA"/>
    <w:rsid w:val="00F83821"/>
    <w:rsid w:val="00F83854"/>
    <w:rsid w:val="00F838F8"/>
    <w:rsid w:val="00F84983"/>
    <w:rsid w:val="00F85057"/>
    <w:rsid w:val="00F85CCB"/>
    <w:rsid w:val="00F871C6"/>
    <w:rsid w:val="00F8775B"/>
    <w:rsid w:val="00F90A98"/>
    <w:rsid w:val="00F90EA1"/>
    <w:rsid w:val="00F915A2"/>
    <w:rsid w:val="00F91893"/>
    <w:rsid w:val="00F91DF3"/>
    <w:rsid w:val="00F91E13"/>
    <w:rsid w:val="00F91E18"/>
    <w:rsid w:val="00F91FA8"/>
    <w:rsid w:val="00F9213E"/>
    <w:rsid w:val="00F927E5"/>
    <w:rsid w:val="00F92E88"/>
    <w:rsid w:val="00F92EB9"/>
    <w:rsid w:val="00F937E6"/>
    <w:rsid w:val="00F93D47"/>
    <w:rsid w:val="00F93FB2"/>
    <w:rsid w:val="00F94293"/>
    <w:rsid w:val="00F94728"/>
    <w:rsid w:val="00F94830"/>
    <w:rsid w:val="00F94A88"/>
    <w:rsid w:val="00F959C5"/>
    <w:rsid w:val="00F95A51"/>
    <w:rsid w:val="00F95BFD"/>
    <w:rsid w:val="00F95F3A"/>
    <w:rsid w:val="00F965DD"/>
    <w:rsid w:val="00F9698D"/>
    <w:rsid w:val="00F96B9D"/>
    <w:rsid w:val="00F96C14"/>
    <w:rsid w:val="00F971B5"/>
    <w:rsid w:val="00F9742A"/>
    <w:rsid w:val="00F9779A"/>
    <w:rsid w:val="00F97C49"/>
    <w:rsid w:val="00FA04C8"/>
    <w:rsid w:val="00FA06A5"/>
    <w:rsid w:val="00FA0B99"/>
    <w:rsid w:val="00FA0E49"/>
    <w:rsid w:val="00FA1975"/>
    <w:rsid w:val="00FA19EB"/>
    <w:rsid w:val="00FA1ADF"/>
    <w:rsid w:val="00FA1CB9"/>
    <w:rsid w:val="00FA250B"/>
    <w:rsid w:val="00FA27A3"/>
    <w:rsid w:val="00FA2A3E"/>
    <w:rsid w:val="00FA2B97"/>
    <w:rsid w:val="00FA2D3A"/>
    <w:rsid w:val="00FA3411"/>
    <w:rsid w:val="00FA3534"/>
    <w:rsid w:val="00FA3786"/>
    <w:rsid w:val="00FA3803"/>
    <w:rsid w:val="00FA39EB"/>
    <w:rsid w:val="00FA3B1B"/>
    <w:rsid w:val="00FA3DB2"/>
    <w:rsid w:val="00FA3E39"/>
    <w:rsid w:val="00FA4145"/>
    <w:rsid w:val="00FA42FC"/>
    <w:rsid w:val="00FA4718"/>
    <w:rsid w:val="00FA48FD"/>
    <w:rsid w:val="00FA4926"/>
    <w:rsid w:val="00FA4AF8"/>
    <w:rsid w:val="00FA51B5"/>
    <w:rsid w:val="00FA5453"/>
    <w:rsid w:val="00FA57C3"/>
    <w:rsid w:val="00FA5D7C"/>
    <w:rsid w:val="00FA6276"/>
    <w:rsid w:val="00FA6357"/>
    <w:rsid w:val="00FA68E4"/>
    <w:rsid w:val="00FA6AB6"/>
    <w:rsid w:val="00FA6B5E"/>
    <w:rsid w:val="00FA6DE3"/>
    <w:rsid w:val="00FA707F"/>
    <w:rsid w:val="00FA7768"/>
    <w:rsid w:val="00FA7EC2"/>
    <w:rsid w:val="00FB11A7"/>
    <w:rsid w:val="00FB150F"/>
    <w:rsid w:val="00FB21EE"/>
    <w:rsid w:val="00FB22D7"/>
    <w:rsid w:val="00FB2330"/>
    <w:rsid w:val="00FB2622"/>
    <w:rsid w:val="00FB2AC2"/>
    <w:rsid w:val="00FB2F1E"/>
    <w:rsid w:val="00FB2F8E"/>
    <w:rsid w:val="00FB34AE"/>
    <w:rsid w:val="00FB3604"/>
    <w:rsid w:val="00FB40AE"/>
    <w:rsid w:val="00FB410A"/>
    <w:rsid w:val="00FB4291"/>
    <w:rsid w:val="00FB4576"/>
    <w:rsid w:val="00FB467E"/>
    <w:rsid w:val="00FB4A82"/>
    <w:rsid w:val="00FB4C83"/>
    <w:rsid w:val="00FB50F6"/>
    <w:rsid w:val="00FB59AE"/>
    <w:rsid w:val="00FB6314"/>
    <w:rsid w:val="00FB634D"/>
    <w:rsid w:val="00FB64A3"/>
    <w:rsid w:val="00FB6983"/>
    <w:rsid w:val="00FB69CA"/>
    <w:rsid w:val="00FB70FC"/>
    <w:rsid w:val="00FB795F"/>
    <w:rsid w:val="00FB7BAA"/>
    <w:rsid w:val="00FB7CCA"/>
    <w:rsid w:val="00FB7E77"/>
    <w:rsid w:val="00FC0265"/>
    <w:rsid w:val="00FC0267"/>
    <w:rsid w:val="00FC04C9"/>
    <w:rsid w:val="00FC074A"/>
    <w:rsid w:val="00FC122F"/>
    <w:rsid w:val="00FC17F7"/>
    <w:rsid w:val="00FC1976"/>
    <w:rsid w:val="00FC1E45"/>
    <w:rsid w:val="00FC2FCB"/>
    <w:rsid w:val="00FC313F"/>
    <w:rsid w:val="00FC32DB"/>
    <w:rsid w:val="00FC3592"/>
    <w:rsid w:val="00FC39DF"/>
    <w:rsid w:val="00FC44A0"/>
    <w:rsid w:val="00FC44E2"/>
    <w:rsid w:val="00FC49BA"/>
    <w:rsid w:val="00FC4B99"/>
    <w:rsid w:val="00FC5097"/>
    <w:rsid w:val="00FC5119"/>
    <w:rsid w:val="00FC53C1"/>
    <w:rsid w:val="00FC5424"/>
    <w:rsid w:val="00FC54D0"/>
    <w:rsid w:val="00FC61C6"/>
    <w:rsid w:val="00FC6392"/>
    <w:rsid w:val="00FC6ADB"/>
    <w:rsid w:val="00FC6F0B"/>
    <w:rsid w:val="00FC7019"/>
    <w:rsid w:val="00FC706E"/>
    <w:rsid w:val="00FC75AC"/>
    <w:rsid w:val="00FC77CF"/>
    <w:rsid w:val="00FC77D1"/>
    <w:rsid w:val="00FC7940"/>
    <w:rsid w:val="00FD03C4"/>
    <w:rsid w:val="00FD06C8"/>
    <w:rsid w:val="00FD1000"/>
    <w:rsid w:val="00FD195E"/>
    <w:rsid w:val="00FD19EC"/>
    <w:rsid w:val="00FD30FB"/>
    <w:rsid w:val="00FD326D"/>
    <w:rsid w:val="00FD3DAA"/>
    <w:rsid w:val="00FD4BE8"/>
    <w:rsid w:val="00FD5357"/>
    <w:rsid w:val="00FD5968"/>
    <w:rsid w:val="00FD5BC3"/>
    <w:rsid w:val="00FD5BF3"/>
    <w:rsid w:val="00FD5DCB"/>
    <w:rsid w:val="00FD5FB2"/>
    <w:rsid w:val="00FD656E"/>
    <w:rsid w:val="00FD657C"/>
    <w:rsid w:val="00FD6586"/>
    <w:rsid w:val="00FD7221"/>
    <w:rsid w:val="00FD7609"/>
    <w:rsid w:val="00FE0180"/>
    <w:rsid w:val="00FE038D"/>
    <w:rsid w:val="00FE088C"/>
    <w:rsid w:val="00FE08C4"/>
    <w:rsid w:val="00FE1340"/>
    <w:rsid w:val="00FE136E"/>
    <w:rsid w:val="00FE2A0B"/>
    <w:rsid w:val="00FE33FD"/>
    <w:rsid w:val="00FE37B5"/>
    <w:rsid w:val="00FE382B"/>
    <w:rsid w:val="00FE3A56"/>
    <w:rsid w:val="00FE3ADD"/>
    <w:rsid w:val="00FE3FA4"/>
    <w:rsid w:val="00FE5321"/>
    <w:rsid w:val="00FE5B08"/>
    <w:rsid w:val="00FE5F5A"/>
    <w:rsid w:val="00FE60E9"/>
    <w:rsid w:val="00FE6404"/>
    <w:rsid w:val="00FE6651"/>
    <w:rsid w:val="00FE674D"/>
    <w:rsid w:val="00FE683D"/>
    <w:rsid w:val="00FE6F32"/>
    <w:rsid w:val="00FE7163"/>
    <w:rsid w:val="00FE71EF"/>
    <w:rsid w:val="00FE77C6"/>
    <w:rsid w:val="00FF03CA"/>
    <w:rsid w:val="00FF0994"/>
    <w:rsid w:val="00FF0CF0"/>
    <w:rsid w:val="00FF0DE2"/>
    <w:rsid w:val="00FF0F8B"/>
    <w:rsid w:val="00FF1600"/>
    <w:rsid w:val="00FF1A3A"/>
    <w:rsid w:val="00FF1BE8"/>
    <w:rsid w:val="00FF1CE2"/>
    <w:rsid w:val="00FF2899"/>
    <w:rsid w:val="00FF2AA9"/>
    <w:rsid w:val="00FF2AB0"/>
    <w:rsid w:val="00FF2C9A"/>
    <w:rsid w:val="00FF2D5C"/>
    <w:rsid w:val="00FF2EF6"/>
    <w:rsid w:val="00FF301E"/>
    <w:rsid w:val="00FF4A69"/>
    <w:rsid w:val="00FF4FEF"/>
    <w:rsid w:val="00FF5283"/>
    <w:rsid w:val="00FF53AC"/>
    <w:rsid w:val="00FF58D2"/>
    <w:rsid w:val="00FF5BC9"/>
    <w:rsid w:val="00FF669C"/>
    <w:rsid w:val="00FF67C8"/>
    <w:rsid w:val="00FF6892"/>
    <w:rsid w:val="00FF69DD"/>
    <w:rsid w:val="00FF6C93"/>
    <w:rsid w:val="00FF742B"/>
    <w:rsid w:val="00FF76D7"/>
    <w:rsid w:val="00FF7E33"/>
    <w:rsid w:val="00FF7F14"/>
    <w:rsid w:val="00FF7FA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42CAED6D"/>
  <w15:docId w15:val="{DDD28041-34F1-4315-9BE5-1DB80988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74"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74" w:unhideWhenUsed="1"/>
    <w:lsdException w:name="line number" w:semiHidden="1" w:unhideWhenUsed="1"/>
    <w:lsdException w:name="page number" w:semiHidden="1" w:unhideWhenUsed="1"/>
    <w:lsdException w:name="endnote reference" w:semiHidden="1" w:uiPriority="74" w:unhideWhenUsed="1"/>
    <w:lsdException w:name="endnote text" w:semiHidden="1" w:uiPriority="7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74" w:unhideWhenUsed="1"/>
    <w:lsdException w:name="Signature" w:semiHidden="1"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74"/>
    <w:lsdException w:name="Body Text First Indent" w:uiPriority="74"/>
    <w:lsdException w:name="Body Text First Indent 2" w:semiHidden="1" w:uiPriority="74" w:unhideWhenUsed="1"/>
    <w:lsdException w:name="Note Heading" w:semiHidden="1"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74" w:unhideWhenUsed="1"/>
    <w:lsdException w:name="Strong" w:uiPriority="22" w:qFormat="1"/>
    <w:lsdException w:name="Emphasis" w:uiPriority="20" w:qFormat="1"/>
    <w:lsdException w:name="Document Map" w:semiHidden="1" w:uiPriority="74"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969"/>
    <w:pPr>
      <w:spacing w:before="200" w:after="60"/>
    </w:pPr>
    <w:rPr>
      <w:rFonts w:asciiTheme="minorHAnsi" w:hAnsiTheme="minorHAnsi"/>
      <w:sz w:val="22"/>
      <w:szCs w:val="24"/>
      <w:lang w:val="en-GB"/>
    </w:rPr>
  </w:style>
  <w:style w:type="paragraph" w:styleId="Heading1">
    <w:name w:val="heading 1"/>
    <w:basedOn w:val="Normal"/>
    <w:next w:val="Normal"/>
    <w:link w:val="Heading1Char"/>
    <w:qFormat/>
    <w:rsid w:val="008855E4"/>
    <w:pPr>
      <w:keepNext/>
      <w:numPr>
        <w:numId w:val="2"/>
      </w:numPr>
      <w:spacing w:before="320" w:after="160"/>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qFormat/>
    <w:rsid w:val="008460E3"/>
    <w:pPr>
      <w:keepNext/>
      <w:numPr>
        <w:ilvl w:val="1"/>
        <w:numId w:val="2"/>
      </w:numPr>
      <w:spacing w:before="320"/>
      <w:outlineLvl w:val="1"/>
    </w:pPr>
    <w:rPr>
      <w:rFonts w:eastAsiaTheme="minorHAnsi" w:cs="Arial"/>
      <w:b/>
      <w:bCs/>
      <w:iCs/>
      <w:color w:val="01653F"/>
      <w:sz w:val="28"/>
      <w:szCs w:val="22"/>
      <w:lang w:val="en-US" w:eastAsia="en-US"/>
    </w:rPr>
  </w:style>
  <w:style w:type="paragraph" w:styleId="Heading3">
    <w:name w:val="heading 3"/>
    <w:basedOn w:val="Normal"/>
    <w:next w:val="Normal"/>
    <w:link w:val="Heading3Char"/>
    <w:qFormat/>
    <w:rsid w:val="008460E3"/>
    <w:pPr>
      <w:keepNext/>
      <w:numPr>
        <w:ilvl w:val="2"/>
        <w:numId w:val="2"/>
      </w:numPr>
      <w:spacing w:before="240"/>
      <w:outlineLvl w:val="2"/>
    </w:pPr>
    <w:rPr>
      <w:rFonts w:eastAsiaTheme="minorHAnsi" w:cs="Arial"/>
      <w:b/>
      <w:bCs/>
      <w:i/>
      <w:color w:val="B66113"/>
      <w:sz w:val="24"/>
      <w:lang w:val="en-US" w:eastAsia="en-US"/>
    </w:rPr>
  </w:style>
  <w:style w:type="paragraph" w:styleId="Heading4">
    <w:name w:val="heading 4"/>
    <w:basedOn w:val="Normal"/>
    <w:next w:val="Normal"/>
    <w:uiPriority w:val="9"/>
    <w:qFormat/>
    <w:rsid w:val="00CB5B1A"/>
    <w:pPr>
      <w:keepNext/>
      <w:numPr>
        <w:ilvl w:val="3"/>
        <w:numId w:val="2"/>
      </w:numPr>
      <w:spacing w:before="240"/>
      <w:outlineLvl w:val="3"/>
    </w:pPr>
    <w:rPr>
      <w:rFonts w:eastAsiaTheme="minorHAnsi" w:cs="Arial"/>
      <w:b/>
      <w:bCs/>
      <w:i/>
      <w:sz w:val="26"/>
      <w:szCs w:val="28"/>
      <w:lang w:val="en-US" w:eastAsia="en-US"/>
    </w:rPr>
  </w:style>
  <w:style w:type="paragraph" w:styleId="Heading5">
    <w:name w:val="heading 5"/>
    <w:basedOn w:val="Normal"/>
    <w:next w:val="Normal"/>
    <w:uiPriority w:val="9"/>
    <w:qFormat/>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uiPriority w:val="22"/>
    <w:qFormat/>
    <w:rsid w:val="00EE7BD8"/>
    <w:rPr>
      <w:b/>
    </w:rPr>
  </w:style>
  <w:style w:type="paragraph" w:styleId="Subtitle">
    <w:name w:val="Subtitle"/>
    <w:basedOn w:val="Title"/>
    <w:next w:val="Normal"/>
    <w:link w:val="SubtitleChar"/>
    <w:qFormat/>
    <w:rsid w:val="00EE7BD8"/>
    <w:pPr>
      <w:numPr>
        <w:ilvl w:val="1"/>
      </w:numPr>
    </w:pPr>
    <w:rPr>
      <w:iCs w:val="0"/>
      <w:color w:val="01653F"/>
      <w:sz w:val="48"/>
    </w:rPr>
  </w:style>
  <w:style w:type="character" w:customStyle="1" w:styleId="SubtitleChar">
    <w:name w:val="Subtitle Char"/>
    <w:basedOn w:val="DefaultParagraphFont"/>
    <w:link w:val="Subtitle"/>
    <w:rsid w:val="00EE7BD8"/>
    <w:rPr>
      <w:rFonts w:asciiTheme="minorHAnsi" w:eastAsiaTheme="majorEastAsia" w:hAnsiTheme="minorHAnsi" w:cstheme="majorBidi"/>
      <w:b/>
      <w:color w:val="01653F"/>
      <w:spacing w:val="15"/>
      <w:sz w:val="48"/>
    </w:rPr>
  </w:style>
  <w:style w:type="paragraph" w:styleId="Title">
    <w:name w:val="Title"/>
    <w:next w:val="Normal"/>
    <w:link w:val="TitleChar"/>
    <w:qFormat/>
    <w:rsid w:val="00EE7BD8"/>
    <w:pPr>
      <w:spacing w:before="600" w:after="600"/>
      <w:ind w:right="-187"/>
      <w:jc w:val="center"/>
    </w:pPr>
    <w:rPr>
      <w:rFonts w:asciiTheme="minorHAnsi" w:eastAsiaTheme="majorEastAsia" w:hAnsiTheme="minorHAnsi" w:cstheme="majorBidi"/>
      <w:b/>
      <w:iCs/>
      <w:color w:val="000000" w:themeColor="text1"/>
      <w:spacing w:val="15"/>
      <w:sz w:val="60"/>
    </w:rPr>
  </w:style>
  <w:style w:type="character" w:customStyle="1" w:styleId="TitleChar">
    <w:name w:val="Title Char"/>
    <w:basedOn w:val="DefaultParagraphFont"/>
    <w:link w:val="Title"/>
    <w:rsid w:val="00EE7BD8"/>
    <w:rPr>
      <w:rFonts w:asciiTheme="minorHAnsi" w:eastAsiaTheme="majorEastAsia" w:hAnsiTheme="minorHAnsi" w:cstheme="majorBidi"/>
      <w:b/>
      <w:iCs/>
      <w:color w:val="000000" w:themeColor="text1"/>
      <w:spacing w:val="15"/>
      <w:sz w:val="60"/>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3"/>
      </w:numPr>
      <w:contextualSpacing/>
    </w:pPr>
    <w:rPr>
      <w:rFonts w:eastAsiaTheme="minorHAnsi" w:cs="Arial"/>
      <w:szCs w:val="22"/>
    </w:rPr>
  </w:style>
  <w:style w:type="table" w:styleId="TableGrid">
    <w:name w:val="Table Grid"/>
    <w:basedOn w:val="TableNormal"/>
    <w:uiPriority w:val="59"/>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A668A"/>
    <w:pPr>
      <w:spacing w:before="40" w:after="40"/>
      <w:ind w:left="249" w:hanging="249"/>
    </w:pPr>
    <w:rPr>
      <w:rFonts w:eastAsiaTheme="minorHAnsi" w:cs="Arial"/>
      <w:sz w:val="16"/>
      <w:szCs w:val="16"/>
    </w:rPr>
  </w:style>
  <w:style w:type="character" w:customStyle="1" w:styleId="FootnoteTextChar">
    <w:name w:val="Footnote Text Char"/>
    <w:basedOn w:val="DefaultParagraphFont"/>
    <w:link w:val="FootnoteText"/>
    <w:rsid w:val="006A668A"/>
    <w:rPr>
      <w:rFonts w:ascii="Arial" w:eastAsiaTheme="minorHAnsi" w:hAnsi="Arial" w:cs="Arial"/>
      <w:sz w:val="16"/>
      <w:szCs w:val="16"/>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A5097F"/>
    <w:pPr>
      <w:ind w:left="284" w:right="284" w:hanging="284"/>
    </w:pPr>
    <w:rPr>
      <w:b/>
      <w:bCs/>
      <w:sz w:val="20"/>
      <w:szCs w:val="20"/>
    </w:rPr>
  </w:style>
  <w:style w:type="paragraph" w:styleId="TOC2">
    <w:name w:val="toc 2"/>
    <w:basedOn w:val="Normal"/>
    <w:next w:val="Normal"/>
    <w:autoRedefine/>
    <w:uiPriority w:val="39"/>
    <w:qFormat/>
    <w:rsid w:val="00380966"/>
    <w:pPr>
      <w:tabs>
        <w:tab w:val="left" w:pos="880"/>
        <w:tab w:val="right" w:leader="dot" w:pos="9016"/>
      </w:tabs>
      <w:spacing w:before="120"/>
      <w:ind w:left="766" w:right="284" w:hanging="482"/>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uiPriority w:val="74"/>
    <w:rsid w:val="00AF127F"/>
    <w:rPr>
      <w:rFonts w:ascii="Tahoma" w:eastAsiaTheme="minorHAnsi" w:hAnsi="Tahoma" w:cs="Tahoma"/>
      <w:sz w:val="16"/>
      <w:szCs w:val="16"/>
    </w:rPr>
  </w:style>
  <w:style w:type="character" w:customStyle="1" w:styleId="BalloonTextChar">
    <w:name w:val="Balloon Text Char"/>
    <w:basedOn w:val="DefaultParagraphFont"/>
    <w:link w:val="BalloonText"/>
    <w:uiPriority w:val="74"/>
    <w:rsid w:val="00B7051C"/>
    <w:rPr>
      <w:rFonts w:ascii="Tahoma" w:eastAsiaTheme="minorHAnsi" w:hAnsi="Tahoma" w:cs="Tahoma"/>
      <w:sz w:val="16"/>
      <w:szCs w:val="16"/>
      <w:lang w:val="en-GB"/>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iPriority w:val="35"/>
    <w:unhideWhenUsed/>
    <w:qFormat/>
    <w:rsid w:val="00EE7BD8"/>
    <w:pPr>
      <w:keepNext/>
      <w:spacing w:before="120"/>
    </w:pPr>
    <w:rPr>
      <w:rFonts w:eastAsiaTheme="minorHAnsi" w:cs="Arial"/>
      <w:b/>
      <w:sz w:val="18"/>
      <w:szCs w:val="22"/>
      <w:lang w:eastAsia="en-US"/>
    </w:rPr>
  </w:style>
  <w:style w:type="paragraph" w:customStyle="1" w:styleId="Default">
    <w:name w:val="Default"/>
    <w:uiPriority w:val="74"/>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Theme="minorHAnsi" w:eastAsiaTheme="minorHAnsi" w:hAnsiTheme="minorHAnsi" w:cs="Arial"/>
      <w:sz w:val="22"/>
      <w:szCs w:val="22"/>
      <w:lang w:val="en-GB"/>
    </w:rPr>
  </w:style>
  <w:style w:type="paragraph" w:styleId="TableofFigures">
    <w:name w:val="table of figures"/>
    <w:basedOn w:val="Normal"/>
    <w:next w:val="Normal"/>
    <w:uiPriority w:val="99"/>
    <w:rsid w:val="00FA0E49"/>
    <w:pPr>
      <w:ind w:left="442" w:hanging="442"/>
    </w:pPr>
    <w:rPr>
      <w:bCs/>
      <w:sz w:val="20"/>
      <w:szCs w:val="20"/>
    </w:rPr>
  </w:style>
  <w:style w:type="paragraph" w:styleId="TOC3">
    <w:name w:val="toc 3"/>
    <w:basedOn w:val="Normal"/>
    <w:next w:val="Normal"/>
    <w:autoRedefine/>
    <w:uiPriority w:val="39"/>
    <w:qFormat/>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uiPriority w:val="74"/>
    <w:rsid w:val="006C0049"/>
    <w:pPr>
      <w:spacing w:after="120"/>
    </w:pPr>
    <w:rPr>
      <w:rFonts w:eastAsiaTheme="minorHAnsi" w:cs="Arial"/>
      <w:szCs w:val="20"/>
    </w:rPr>
  </w:style>
  <w:style w:type="character" w:customStyle="1" w:styleId="BodyTextChar">
    <w:name w:val="Body Text Char"/>
    <w:basedOn w:val="DefaultParagraphFont"/>
    <w:link w:val="BodyText"/>
    <w:uiPriority w:val="74"/>
    <w:rsid w:val="00B7051C"/>
    <w:rPr>
      <w:rFonts w:asciiTheme="minorHAnsi" w:eastAsiaTheme="minorHAnsi" w:hAnsiTheme="minorHAnsi" w:cs="Arial"/>
      <w:sz w:val="22"/>
      <w:lang w:val="en-GB"/>
    </w:rPr>
  </w:style>
  <w:style w:type="paragraph" w:customStyle="1" w:styleId="departmentalnormal">
    <w:name w:val="departmentalnormal"/>
    <w:basedOn w:val="Normal"/>
    <w:uiPriority w:val="74"/>
    <w:rsid w:val="006C0049"/>
    <w:pPr>
      <w:spacing w:before="100" w:beforeAutospacing="1" w:after="100" w:afterAutospacing="1"/>
    </w:pPr>
    <w:rPr>
      <w:rFonts w:eastAsiaTheme="minorHAnsi" w:cs="Arial"/>
      <w:szCs w:val="22"/>
    </w:rPr>
  </w:style>
  <w:style w:type="paragraph" w:styleId="BodyText3">
    <w:name w:val="Body Text 3"/>
    <w:basedOn w:val="Normal"/>
    <w:link w:val="BodyText3Char"/>
    <w:uiPriority w:val="74"/>
    <w:rsid w:val="006C0049"/>
    <w:pPr>
      <w:spacing w:after="120"/>
    </w:pPr>
    <w:rPr>
      <w:rFonts w:eastAsiaTheme="minorHAnsi" w:cs="Arial"/>
      <w:sz w:val="16"/>
      <w:szCs w:val="16"/>
    </w:rPr>
  </w:style>
  <w:style w:type="character" w:customStyle="1" w:styleId="BodyText3Char">
    <w:name w:val="Body Text 3 Char"/>
    <w:basedOn w:val="DefaultParagraphFont"/>
    <w:link w:val="BodyText3"/>
    <w:uiPriority w:val="74"/>
    <w:rsid w:val="00B7051C"/>
    <w:rPr>
      <w:rFonts w:asciiTheme="minorHAnsi" w:eastAsiaTheme="minorHAnsi" w:hAnsiTheme="minorHAnsi" w:cs="Arial"/>
      <w:sz w:val="16"/>
      <w:szCs w:val="16"/>
      <w:lang w:val="en-GB"/>
    </w:rPr>
  </w:style>
  <w:style w:type="paragraph" w:styleId="BodyTextIndent">
    <w:name w:val="Body Text Indent"/>
    <w:basedOn w:val="Normal"/>
    <w:link w:val="BodyTextIndentChar"/>
    <w:uiPriority w:val="74"/>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uiPriority w:val="74"/>
    <w:rsid w:val="00B7051C"/>
    <w:rPr>
      <w:rFonts w:asciiTheme="minorHAnsi" w:eastAsiaTheme="minorHAnsi" w:hAnsiTheme="minorHAnsi" w:cs="Arial"/>
      <w:sz w:val="22"/>
      <w:lang w:val="en-GB"/>
    </w:rPr>
  </w:style>
  <w:style w:type="paragraph" w:customStyle="1" w:styleId="DepartmentalNormal0">
    <w:name w:val="Departmental Normal"/>
    <w:basedOn w:val="Normal"/>
    <w:uiPriority w:val="74"/>
    <w:rsid w:val="006C0049"/>
    <w:rPr>
      <w:rFonts w:eastAsiaTheme="minorHAnsi" w:cs="Arial"/>
      <w:szCs w:val="20"/>
    </w:rPr>
  </w:style>
  <w:style w:type="paragraph" w:customStyle="1" w:styleId="CharCharChar">
    <w:name w:val="Char Char Char"/>
    <w:basedOn w:val="Normal"/>
    <w:uiPriority w:val="74"/>
    <w:rsid w:val="006C0049"/>
    <w:rPr>
      <w:rFonts w:eastAsiaTheme="minorHAnsi" w:cs="Arial"/>
      <w:szCs w:val="22"/>
      <w:lang w:eastAsia="en-US"/>
    </w:rPr>
  </w:style>
  <w:style w:type="character" w:customStyle="1" w:styleId="apple-converted-space">
    <w:name w:val="apple-converted-space"/>
    <w:basedOn w:val="DefaultParagraphFont"/>
    <w:uiPriority w:val="74"/>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2"/>
    <w:qFormat/>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uiPriority w:val="2"/>
    <w:rsid w:val="0015052B"/>
    <w:rPr>
      <w:rFonts w:asciiTheme="minorHAnsi" w:eastAsia="MS Mincho" w:hAnsiTheme="minorHAnsi" w:cs="Arial"/>
      <w:sz w:val="22"/>
      <w:szCs w:val="22"/>
      <w:lang w:val="en-GB"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74"/>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uiPriority w:val="74"/>
    <w:rsid w:val="00B7051C"/>
    <w:rPr>
      <w:rFonts w:asciiTheme="minorHAnsi" w:eastAsiaTheme="minorHAnsi" w:hAnsiTheme="minorHAnsi" w:cs="Arial"/>
      <w:sz w:val="22"/>
      <w:szCs w:val="22"/>
      <w:lang w:val="en-US" w:eastAsia="en-US"/>
    </w:rPr>
  </w:style>
  <w:style w:type="paragraph" w:customStyle="1" w:styleId="02Tabletext">
    <w:name w:val="02. Table text"/>
    <w:next w:val="Normal"/>
    <w:link w:val="02TabletextChar"/>
    <w:uiPriority w:val="11"/>
    <w:qFormat/>
    <w:rsid w:val="005E1809"/>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71969"/>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E1809"/>
    <w:rPr>
      <w:b/>
    </w:rPr>
  </w:style>
  <w:style w:type="character" w:customStyle="1" w:styleId="01TableheaderrowChar">
    <w:name w:val="01. Table header row Char"/>
    <w:basedOn w:val="02TabletextChar"/>
    <w:link w:val="01Tableheaderrow"/>
    <w:uiPriority w:val="9"/>
    <w:rsid w:val="00771969"/>
    <w:rPr>
      <w:rFonts w:ascii="Arial" w:eastAsiaTheme="minorHAnsi" w:hAnsi="Arial" w:cs="Arial"/>
      <w:b/>
      <w:sz w:val="18"/>
      <w:szCs w:val="18"/>
      <w:lang w:val="en-GB" w:eastAsia="en-US"/>
    </w:rPr>
  </w:style>
  <w:style w:type="character" w:styleId="FollowedHyperlink">
    <w:name w:val="FollowedHyperlink"/>
    <w:basedOn w:val="DefaultParagraphFont"/>
    <w:uiPriority w:val="74"/>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8"/>
    <w:qFormat/>
    <w:rsid w:val="00032108"/>
    <w:pPr>
      <w:spacing w:before="120" w:after="60" w:line="240" w:lineRule="auto"/>
      <w:ind w:left="357"/>
    </w:pPr>
  </w:style>
  <w:style w:type="paragraph" w:customStyle="1" w:styleId="Bullet2">
    <w:name w:val="Bullet 2"/>
    <w:basedOn w:val="ListParagraph"/>
    <w:uiPriority w:val="12"/>
    <w:qFormat/>
    <w:rsid w:val="00BD7AF2"/>
    <w:pPr>
      <w:numPr>
        <w:ilvl w:val="1"/>
        <w:numId w:val="4"/>
      </w:numPr>
      <w:spacing w:before="120"/>
      <w:contextualSpacing w:val="0"/>
    </w:pPr>
  </w:style>
  <w:style w:type="paragraph" w:customStyle="1" w:styleId="Bullet3">
    <w:name w:val="Bullet 3"/>
    <w:basedOn w:val="02dash"/>
    <w:uiPriority w:val="74"/>
    <w:qFormat/>
    <w:rsid w:val="008460E3"/>
    <w:pPr>
      <w:numPr>
        <w:ilvl w:val="2"/>
      </w:numPr>
    </w:pPr>
  </w:style>
  <w:style w:type="paragraph" w:styleId="TOC4">
    <w:name w:val="toc 4"/>
    <w:basedOn w:val="Normal"/>
    <w:next w:val="Normal"/>
    <w:autoRedefine/>
    <w:unhideWhenUsed/>
    <w:rsid w:val="008460E3"/>
    <w:pPr>
      <w:spacing w:before="0" w:after="0"/>
      <w:ind w:left="660"/>
    </w:pPr>
    <w:rPr>
      <w:sz w:val="20"/>
      <w:szCs w:val="20"/>
    </w:rPr>
  </w:style>
  <w:style w:type="paragraph" w:styleId="TOC5">
    <w:name w:val="toc 5"/>
    <w:basedOn w:val="Normal"/>
    <w:next w:val="Normal"/>
    <w:autoRedefine/>
    <w:unhideWhenUsed/>
    <w:rsid w:val="008460E3"/>
    <w:pPr>
      <w:spacing w:before="0" w:after="0"/>
      <w:ind w:left="880"/>
    </w:pPr>
    <w:rPr>
      <w:sz w:val="20"/>
      <w:szCs w:val="20"/>
    </w:rPr>
  </w:style>
  <w:style w:type="paragraph" w:styleId="TOC6">
    <w:name w:val="toc 6"/>
    <w:basedOn w:val="Normal"/>
    <w:next w:val="Normal"/>
    <w:autoRedefine/>
    <w:unhideWhenUsed/>
    <w:rsid w:val="008460E3"/>
    <w:pPr>
      <w:spacing w:before="0" w:after="0"/>
      <w:ind w:left="1100"/>
    </w:pPr>
    <w:rPr>
      <w:sz w:val="20"/>
      <w:szCs w:val="20"/>
    </w:rPr>
  </w:style>
  <w:style w:type="paragraph" w:styleId="TOC7">
    <w:name w:val="toc 7"/>
    <w:basedOn w:val="Normal"/>
    <w:next w:val="Normal"/>
    <w:autoRedefine/>
    <w:unhideWhenUsed/>
    <w:rsid w:val="008460E3"/>
    <w:pPr>
      <w:spacing w:before="0" w:after="0"/>
      <w:ind w:left="1320"/>
    </w:pPr>
    <w:rPr>
      <w:sz w:val="20"/>
      <w:szCs w:val="20"/>
    </w:rPr>
  </w:style>
  <w:style w:type="paragraph" w:styleId="TOC8">
    <w:name w:val="toc 8"/>
    <w:basedOn w:val="Normal"/>
    <w:next w:val="Normal"/>
    <w:autoRedefine/>
    <w:unhideWhenUsed/>
    <w:rsid w:val="008460E3"/>
    <w:pPr>
      <w:spacing w:before="0" w:after="0"/>
      <w:ind w:left="1540"/>
    </w:pPr>
    <w:rPr>
      <w:sz w:val="20"/>
      <w:szCs w:val="20"/>
    </w:rPr>
  </w:style>
  <w:style w:type="paragraph" w:styleId="TOC9">
    <w:name w:val="toc 9"/>
    <w:basedOn w:val="Normal"/>
    <w:next w:val="Normal"/>
    <w:autoRedefine/>
    <w:unhideWhenUsed/>
    <w:rsid w:val="008460E3"/>
    <w:pPr>
      <w:spacing w:before="0" w:after="0"/>
      <w:ind w:left="1760"/>
    </w:pPr>
    <w:rPr>
      <w:sz w:val="20"/>
      <w:szCs w:val="20"/>
    </w:rPr>
  </w:style>
  <w:style w:type="character" w:styleId="CommentReference">
    <w:name w:val="annotation reference"/>
    <w:basedOn w:val="DefaultParagraphFont"/>
    <w:uiPriority w:val="74"/>
    <w:semiHidden/>
    <w:unhideWhenUsed/>
    <w:rsid w:val="000337EF"/>
    <w:rPr>
      <w:sz w:val="16"/>
      <w:szCs w:val="16"/>
    </w:rPr>
  </w:style>
  <w:style w:type="paragraph" w:styleId="CommentText">
    <w:name w:val="annotation text"/>
    <w:basedOn w:val="Normal"/>
    <w:link w:val="CommentTextChar"/>
    <w:uiPriority w:val="74"/>
    <w:unhideWhenUsed/>
    <w:rsid w:val="000337EF"/>
    <w:rPr>
      <w:sz w:val="20"/>
      <w:szCs w:val="20"/>
    </w:rPr>
  </w:style>
  <w:style w:type="character" w:customStyle="1" w:styleId="CommentTextChar">
    <w:name w:val="Comment Text Char"/>
    <w:basedOn w:val="DefaultParagraphFont"/>
    <w:link w:val="CommentText"/>
    <w:uiPriority w:val="74"/>
    <w:rsid w:val="00B7051C"/>
    <w:rPr>
      <w:rFonts w:asciiTheme="minorHAnsi" w:hAnsiTheme="minorHAnsi"/>
      <w:lang w:val="en-GB"/>
    </w:rPr>
  </w:style>
  <w:style w:type="paragraph" w:styleId="CommentSubject">
    <w:name w:val="annotation subject"/>
    <w:basedOn w:val="CommentText"/>
    <w:next w:val="CommentText"/>
    <w:link w:val="CommentSubjectChar"/>
    <w:uiPriority w:val="74"/>
    <w:semiHidden/>
    <w:unhideWhenUsed/>
    <w:rsid w:val="000337EF"/>
    <w:rPr>
      <w:b/>
      <w:bCs/>
    </w:rPr>
  </w:style>
  <w:style w:type="character" w:customStyle="1" w:styleId="CommentSubjectChar">
    <w:name w:val="Comment Subject Char"/>
    <w:basedOn w:val="CommentTextChar"/>
    <w:link w:val="CommentSubject"/>
    <w:uiPriority w:val="74"/>
    <w:semiHidden/>
    <w:rsid w:val="00B7051C"/>
    <w:rPr>
      <w:rFonts w:asciiTheme="minorHAnsi" w:hAnsiTheme="minorHAnsi"/>
      <w:b/>
      <w:bCs/>
      <w:lang w:val="en-GB"/>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557D61"/>
    <w:pPr>
      <w:spacing w:before="60"/>
      <w:ind w:left="144" w:right="289"/>
      <w:jc w:val="center"/>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4"/>
    <w:qFormat/>
    <w:rsid w:val="008460E3"/>
    <w:pPr>
      <w:numPr>
        <w:numId w:val="17"/>
      </w:numPr>
      <w:spacing w:before="120"/>
      <w:ind w:right="142"/>
    </w:pPr>
    <w:rPr>
      <w:szCs w:val="20"/>
      <w:lang w:val="en-US" w:eastAsia="en-US"/>
    </w:rPr>
  </w:style>
  <w:style w:type="paragraph" w:customStyle="1" w:styleId="02dash">
    <w:name w:val="02 dash"/>
    <w:basedOn w:val="01squarebullet"/>
    <w:uiPriority w:val="4"/>
    <w:qFormat/>
    <w:rsid w:val="008460E3"/>
    <w:pPr>
      <w:numPr>
        <w:ilvl w:val="1"/>
        <w:numId w:val="6"/>
      </w:numPr>
    </w:pPr>
    <w:rPr>
      <w:rFonts w:eastAsiaTheme="minorHAnsi"/>
    </w:rPr>
  </w:style>
  <w:style w:type="paragraph" w:customStyle="1" w:styleId="03opensquarebullet">
    <w:name w:val="03 open square bullet"/>
    <w:basedOn w:val="02dash"/>
    <w:uiPriority w:val="4"/>
    <w:qFormat/>
    <w:rsid w:val="00C60693"/>
    <w:pPr>
      <w:numPr>
        <w:numId w:val="7"/>
      </w:numPr>
      <w:tabs>
        <w:tab w:val="left" w:pos="924"/>
      </w:tabs>
      <w:ind w:left="925" w:hanging="284"/>
    </w:pPr>
  </w:style>
  <w:style w:type="paragraph" w:customStyle="1" w:styleId="04shortdash">
    <w:name w:val="04 short dash"/>
    <w:basedOn w:val="03opensquarebullet"/>
    <w:uiPriority w:val="6"/>
    <w:qFormat/>
    <w:rsid w:val="00C60693"/>
    <w:pPr>
      <w:numPr>
        <w:numId w:val="8"/>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uiPriority w:val="11"/>
    <w:qFormat/>
    <w:rsid w:val="00D10783"/>
    <w:pPr>
      <w:keepNext/>
      <w:numPr>
        <w:numId w:val="5"/>
      </w:numPr>
      <w:spacing w:before="0" w:after="120"/>
      <w:ind w:left="357" w:hanging="357"/>
      <w:outlineLvl w:val="0"/>
    </w:pPr>
    <w:rPr>
      <w:b/>
      <w:color w:val="01653F"/>
      <w:sz w:val="32"/>
      <w:lang w:val="en-AU" w:eastAsia="en-US"/>
    </w:rPr>
  </w:style>
  <w:style w:type="table" w:customStyle="1" w:styleId="TableGrid3">
    <w:name w:val="Table Grid3"/>
    <w:basedOn w:val="TableNormal"/>
    <w:next w:val="TableGrid"/>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7"/>
    <w:qFormat/>
    <w:rsid w:val="00C60693"/>
    <w:pPr>
      <w:numPr>
        <w:numId w:val="9"/>
      </w:numPr>
      <w:spacing w:before="120" w:line="264" w:lineRule="auto"/>
      <w:ind w:left="357" w:hanging="357"/>
    </w:pPr>
    <w:rPr>
      <w:szCs w:val="20"/>
      <w:lang w:val="en-US" w:eastAsia="en-US"/>
    </w:rPr>
  </w:style>
  <w:style w:type="paragraph" w:customStyle="1" w:styleId="06letter2">
    <w:name w:val="06 letter/2"/>
    <w:basedOn w:val="Normal"/>
    <w:uiPriority w:val="8"/>
    <w:qFormat/>
    <w:rsid w:val="00C60693"/>
    <w:pPr>
      <w:numPr>
        <w:numId w:val="10"/>
      </w:numPr>
      <w:spacing w:before="120" w:line="264" w:lineRule="auto"/>
      <w:ind w:left="641" w:hanging="284"/>
    </w:pPr>
    <w:rPr>
      <w:szCs w:val="20"/>
      <w:lang w:val="en-US" w:eastAsia="en-US"/>
    </w:rPr>
  </w:style>
  <w:style w:type="paragraph" w:customStyle="1" w:styleId="07number3">
    <w:name w:val="07 number/3"/>
    <w:basedOn w:val="Normal"/>
    <w:uiPriority w:val="8"/>
    <w:qFormat/>
    <w:rsid w:val="00C60693"/>
    <w:pPr>
      <w:numPr>
        <w:numId w:val="11"/>
      </w:numPr>
      <w:spacing w:before="120"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2"/>
      </w:numPr>
      <w:spacing w:before="120" w:line="264" w:lineRule="auto"/>
      <w:ind w:left="1208" w:hanging="284"/>
    </w:pPr>
    <w:rPr>
      <w:szCs w:val="20"/>
      <w:lang w:val="en-US" w:eastAsia="en-US"/>
    </w:rPr>
  </w:style>
  <w:style w:type="paragraph" w:customStyle="1" w:styleId="20major">
    <w:name w:val="20 major"/>
    <w:basedOn w:val="Normal"/>
    <w:next w:val="Normal"/>
    <w:uiPriority w:val="1"/>
    <w:qFormat/>
    <w:rsid w:val="00395CB6"/>
    <w:pPr>
      <w:keepNext/>
      <w:spacing w:before="540" w:after="120" w:line="264" w:lineRule="auto"/>
      <w:ind w:right="360"/>
      <w:outlineLvl w:val="1"/>
    </w:pPr>
    <w:rPr>
      <w:b/>
      <w:caps/>
      <w:color w:val="002960"/>
      <w:sz w:val="24"/>
      <w:szCs w:val="20"/>
      <w:lang w:val="en-US" w:eastAsia="en-US"/>
    </w:rPr>
  </w:style>
  <w:style w:type="paragraph" w:customStyle="1" w:styleId="21minor">
    <w:name w:val="21 minor"/>
    <w:basedOn w:val="Normal"/>
    <w:next w:val="Normal"/>
    <w:uiPriority w:val="2"/>
    <w:qFormat/>
    <w:rsid w:val="00395CB6"/>
    <w:pPr>
      <w:keepNext/>
      <w:spacing w:before="420" w:after="1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rsid w:val="008855E4"/>
    <w:rPr>
      <w:rFonts w:asciiTheme="minorHAnsi" w:eastAsiaTheme="minorHAnsi" w:hAnsiTheme="minorHAnsi" w:cs="Arial"/>
      <w:b/>
      <w:bCs/>
      <w:color w:val="01653F"/>
      <w:kern w:val="32"/>
      <w:sz w:val="32"/>
      <w:szCs w:val="28"/>
      <w:lang w:val="en-US" w:eastAsia="en-US"/>
    </w:rPr>
  </w:style>
  <w:style w:type="paragraph" w:customStyle="1" w:styleId="Boldhdg">
    <w:name w:val="Bold hdg"/>
    <w:basedOn w:val="Normal"/>
    <w:link w:val="BoldhdgChar"/>
    <w:uiPriority w:val="99"/>
    <w:qFormat/>
    <w:rsid w:val="006A668A"/>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6A668A"/>
    <w:rPr>
      <w:rFonts w:ascii="Arial" w:eastAsiaTheme="minorHAnsi" w:hAnsi="Arial" w:cs="Arial"/>
      <w:b/>
      <w:sz w:val="22"/>
      <w:szCs w:val="22"/>
      <w:lang w:val="en-US" w:eastAsia="en-US"/>
    </w:rPr>
  </w:style>
  <w:style w:type="paragraph" w:customStyle="1" w:styleId="23threesquarebulletsbreak">
    <w:name w:val="23 three square bullets break"/>
    <w:basedOn w:val="Normal"/>
    <w:next w:val="Normal"/>
    <w:uiPriority w:val="99"/>
    <w:rsid w:val="004257BF"/>
    <w:pPr>
      <w:spacing w:before="600" w:after="480" w:line="264" w:lineRule="auto"/>
      <w:jc w:val="center"/>
    </w:pPr>
    <w:rPr>
      <w:sz w:val="24"/>
      <w:szCs w:val="20"/>
      <w:lang w:val="de-DE" w:eastAsia="en-US"/>
    </w:rPr>
  </w:style>
  <w:style w:type="character" w:customStyle="1" w:styleId="Heading3Char">
    <w:name w:val="Heading 3 Char"/>
    <w:basedOn w:val="DefaultParagraphFont"/>
    <w:link w:val="Heading3"/>
    <w:rsid w:val="00AB752F"/>
    <w:rPr>
      <w:rFonts w:asciiTheme="minorHAnsi" w:eastAsiaTheme="minorHAnsi" w:hAnsiTheme="minorHAnsi" w:cs="Arial"/>
      <w:b/>
      <w:bCs/>
      <w:i/>
      <w:color w:val="B66113"/>
      <w:sz w:val="24"/>
      <w:szCs w:val="24"/>
      <w:lang w:val="en-US" w:eastAsia="en-US"/>
    </w:rPr>
  </w:style>
  <w:style w:type="character" w:customStyle="1" w:styleId="Heading2Char">
    <w:name w:val="Heading 2 Char"/>
    <w:basedOn w:val="DefaultParagraphFont"/>
    <w:link w:val="Heading2"/>
    <w:rsid w:val="005076E4"/>
    <w:rPr>
      <w:rFonts w:asciiTheme="minorHAnsi" w:eastAsiaTheme="minorHAnsi" w:hAnsiTheme="minorHAnsi" w:cs="Arial"/>
      <w:b/>
      <w:bCs/>
      <w:iCs/>
      <w:color w:val="01653F"/>
      <w:sz w:val="28"/>
      <w:szCs w:val="22"/>
      <w:lang w:val="en-US" w:eastAsia="en-US"/>
    </w:rPr>
  </w:style>
  <w:style w:type="character" w:customStyle="1" w:styleId="slug-pub-date">
    <w:name w:val="slug-pub-date"/>
    <w:basedOn w:val="DefaultParagraphFont"/>
    <w:rsid w:val="007B1E97"/>
  </w:style>
  <w:style w:type="character" w:customStyle="1" w:styleId="slug-vol">
    <w:name w:val="slug-vol"/>
    <w:basedOn w:val="DefaultParagraphFont"/>
    <w:rsid w:val="007B1E97"/>
  </w:style>
  <w:style w:type="character" w:customStyle="1" w:styleId="slug-issue">
    <w:name w:val="slug-issue"/>
    <w:basedOn w:val="DefaultParagraphFont"/>
    <w:rsid w:val="007B1E97"/>
  </w:style>
  <w:style w:type="character" w:customStyle="1" w:styleId="slug-pages">
    <w:name w:val="slug-pages"/>
    <w:basedOn w:val="DefaultParagraphFont"/>
    <w:rsid w:val="007B1E97"/>
  </w:style>
  <w:style w:type="paragraph" w:customStyle="1" w:styleId="EndNoteBibliography">
    <w:name w:val="EndNote Bibliography"/>
    <w:basedOn w:val="Normal"/>
    <w:link w:val="EndNoteBibliographyChar"/>
    <w:uiPriority w:val="74"/>
    <w:rsid w:val="00D123D4"/>
    <w:pPr>
      <w:numPr>
        <w:numId w:val="14"/>
      </w:numPr>
      <w:spacing w:before="0" w:after="0"/>
    </w:pPr>
    <w:rPr>
      <w:rFonts w:ascii="Calibri" w:eastAsiaTheme="minorHAnsi" w:hAnsi="Calibri"/>
      <w:noProof/>
      <w:szCs w:val="22"/>
      <w:lang w:val="en-US" w:eastAsia="en-US"/>
    </w:rPr>
  </w:style>
  <w:style w:type="character" w:customStyle="1" w:styleId="EndNoteBibliographyChar">
    <w:name w:val="EndNote Bibliography Char"/>
    <w:basedOn w:val="DefaultParagraphFont"/>
    <w:link w:val="EndNoteBibliography"/>
    <w:uiPriority w:val="74"/>
    <w:rsid w:val="00B7051C"/>
    <w:rPr>
      <w:rFonts w:ascii="Calibri" w:eastAsiaTheme="minorHAnsi" w:hAnsi="Calibri"/>
      <w:noProof/>
      <w:sz w:val="22"/>
      <w:szCs w:val="22"/>
      <w:lang w:val="en-US" w:eastAsia="en-US"/>
    </w:rPr>
  </w:style>
  <w:style w:type="paragraph" w:styleId="Revision">
    <w:name w:val="Revision"/>
    <w:hidden/>
    <w:uiPriority w:val="99"/>
    <w:semiHidden/>
    <w:rsid w:val="00BA1855"/>
    <w:rPr>
      <w:rFonts w:ascii="Arial" w:hAnsi="Arial"/>
      <w:sz w:val="22"/>
      <w:szCs w:val="24"/>
    </w:rPr>
  </w:style>
  <w:style w:type="paragraph" w:customStyle="1" w:styleId="NormalBulleted">
    <w:name w:val="Normal Bulleted"/>
    <w:basedOn w:val="ListContinue"/>
    <w:link w:val="NormalBulletedChar"/>
    <w:qFormat/>
    <w:rsid w:val="008460E3"/>
    <w:pPr>
      <w:numPr>
        <w:numId w:val="15"/>
      </w:numPr>
      <w:spacing w:before="180" w:line="312" w:lineRule="auto"/>
    </w:pPr>
  </w:style>
  <w:style w:type="character" w:customStyle="1" w:styleId="NormalBulletedChar">
    <w:name w:val="Normal Bulleted Char"/>
    <w:basedOn w:val="DefaultParagraphFont"/>
    <w:link w:val="NormalBulleted"/>
    <w:rsid w:val="00082595"/>
    <w:rPr>
      <w:rFonts w:asciiTheme="minorHAnsi" w:hAnsiTheme="minorHAnsi"/>
      <w:sz w:val="22"/>
      <w:szCs w:val="24"/>
      <w:lang w:val="en-GB"/>
    </w:rPr>
  </w:style>
  <w:style w:type="paragraph" w:styleId="ListContinue">
    <w:name w:val="List Continue"/>
    <w:basedOn w:val="Normal"/>
    <w:semiHidden/>
    <w:unhideWhenUsed/>
    <w:rsid w:val="00082595"/>
    <w:pPr>
      <w:spacing w:after="120"/>
      <w:ind w:left="283"/>
      <w:contextualSpacing/>
    </w:pPr>
  </w:style>
  <w:style w:type="numbering" w:customStyle="1" w:styleId="Style2">
    <w:name w:val="Style2"/>
    <w:uiPriority w:val="99"/>
    <w:rsid w:val="00E15A50"/>
    <w:pPr>
      <w:numPr>
        <w:numId w:val="16"/>
      </w:numPr>
    </w:pPr>
  </w:style>
  <w:style w:type="paragraph" w:customStyle="1" w:styleId="AppendixStyle2">
    <w:name w:val="Appendix Style2"/>
    <w:basedOn w:val="Normal"/>
    <w:qFormat/>
    <w:rsid w:val="00A1707A"/>
    <w:pPr>
      <w:keepNext/>
      <w:spacing w:before="120" w:line="312" w:lineRule="auto"/>
      <w:outlineLvl w:val="1"/>
    </w:pPr>
    <w:rPr>
      <w:rFonts w:eastAsiaTheme="minorHAnsi" w:cs="Arial"/>
      <w:b/>
      <w:bCs/>
      <w:iCs/>
      <w:sz w:val="26"/>
      <w:szCs w:val="22"/>
      <w:lang w:val="en-US" w:eastAsia="en-US"/>
    </w:rPr>
  </w:style>
  <w:style w:type="paragraph" w:styleId="PlainText">
    <w:name w:val="Plain Text"/>
    <w:basedOn w:val="Normal"/>
    <w:link w:val="PlainTextChar"/>
    <w:uiPriority w:val="99"/>
    <w:unhideWhenUsed/>
    <w:rsid w:val="00B409DB"/>
    <w:pPr>
      <w:spacing w:before="0" w:after="0"/>
    </w:pPr>
    <w:rPr>
      <w:rFonts w:ascii="Consolas" w:eastAsiaTheme="minorHAnsi" w:hAnsi="Consolas" w:cs="Consolas"/>
      <w:sz w:val="21"/>
      <w:szCs w:val="21"/>
      <w:lang w:val="en-AU" w:eastAsia="en-US"/>
    </w:rPr>
  </w:style>
  <w:style w:type="character" w:customStyle="1" w:styleId="PlainTextChar">
    <w:name w:val="Plain Text Char"/>
    <w:basedOn w:val="DefaultParagraphFont"/>
    <w:link w:val="PlainText"/>
    <w:uiPriority w:val="99"/>
    <w:rsid w:val="00B409DB"/>
    <w:rPr>
      <w:rFonts w:ascii="Consolas" w:eastAsiaTheme="minorHAnsi" w:hAnsi="Consolas" w:cs="Consolas"/>
      <w:sz w:val="21"/>
      <w:szCs w:val="21"/>
      <w:lang w:eastAsia="en-US"/>
    </w:rPr>
  </w:style>
  <w:style w:type="paragraph" w:customStyle="1" w:styleId="BoxText">
    <w:name w:val="BoxText"/>
    <w:basedOn w:val="Normal"/>
    <w:qFormat/>
    <w:rsid w:val="002D172E"/>
    <w:pPr>
      <w:pBdr>
        <w:top w:val="single" w:sz="12" w:space="4" w:color="C75F09"/>
        <w:left w:val="single" w:sz="12" w:space="4" w:color="C75F09"/>
        <w:bottom w:val="single" w:sz="12" w:space="4" w:color="C75F09"/>
        <w:right w:val="single" w:sz="12" w:space="4" w:color="C75F09"/>
      </w:pBdr>
      <w:spacing w:before="0" w:after="120"/>
    </w:pPr>
    <w:rPr>
      <w:rFonts w:ascii="Calibri" w:hAnsi="Calibri"/>
      <w:color w:val="000000"/>
      <w:szCs w:val="20"/>
      <w:lang w:val="en-AU"/>
    </w:rPr>
  </w:style>
  <w:style w:type="paragraph" w:customStyle="1" w:styleId="BoxBullet">
    <w:name w:val="BoxBullet"/>
    <w:basedOn w:val="BoxText"/>
    <w:rsid w:val="002D172E"/>
    <w:pPr>
      <w:numPr>
        <w:numId w:val="25"/>
      </w:numPr>
    </w:pPr>
  </w:style>
  <w:style w:type="paragraph" w:customStyle="1" w:styleId="Normalpara">
    <w:name w:val="Normal para"/>
    <w:basedOn w:val="Normal"/>
    <w:link w:val="NormalparaChar"/>
    <w:qFormat/>
    <w:rsid w:val="00E15D68"/>
    <w:rPr>
      <w:lang w:val="en-AU"/>
    </w:rPr>
  </w:style>
  <w:style w:type="character" w:customStyle="1" w:styleId="NormalparaChar">
    <w:name w:val="Normal para Char"/>
    <w:basedOn w:val="DefaultParagraphFont"/>
    <w:link w:val="Normalpara"/>
    <w:rsid w:val="00E15D68"/>
    <w:rPr>
      <w:rFonts w:asciiTheme="minorHAnsi" w:hAnsiTheme="minorHAnsi"/>
      <w:sz w:val="22"/>
      <w:szCs w:val="24"/>
    </w:rPr>
  </w:style>
  <w:style w:type="paragraph" w:customStyle="1" w:styleId="Head3">
    <w:name w:val="Head3"/>
    <w:basedOn w:val="Normal"/>
    <w:qFormat/>
    <w:rsid w:val="00EE7BD8"/>
  </w:style>
  <w:style w:type="paragraph" w:customStyle="1" w:styleId="H3">
    <w:name w:val="H3"/>
    <w:basedOn w:val="Heading3"/>
    <w:next w:val="Normal"/>
    <w:qFormat/>
    <w:rsid w:val="0099332F"/>
    <w:pPr>
      <w:numPr>
        <w:ilvl w:val="0"/>
        <w:numId w:val="0"/>
      </w:numPr>
      <w:spacing w:before="120" w:after="120"/>
    </w:pPr>
    <w:rPr>
      <w:i w:val="0"/>
      <w:color w:val="auto"/>
      <w:sz w:val="22"/>
    </w:rPr>
  </w:style>
  <w:style w:type="paragraph" w:customStyle="1" w:styleId="H4">
    <w:name w:val="H4"/>
    <w:basedOn w:val="Heading4"/>
    <w:next w:val="Normal"/>
    <w:qFormat/>
    <w:rsid w:val="004728F9"/>
    <w:pPr>
      <w:numPr>
        <w:ilvl w:val="0"/>
        <w:numId w:val="0"/>
      </w:numPr>
    </w:pPr>
    <w:rPr>
      <w:i w:val="0"/>
      <w:sz w:val="22"/>
    </w:rPr>
  </w:style>
  <w:style w:type="paragraph" w:customStyle="1" w:styleId="H2">
    <w:name w:val="H2"/>
    <w:basedOn w:val="Heading2"/>
    <w:next w:val="Normal"/>
    <w:qFormat/>
    <w:rsid w:val="002F6DD0"/>
    <w:pPr>
      <w:numPr>
        <w:ilvl w:val="0"/>
        <w:numId w:val="0"/>
      </w:numPr>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9910381">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0707671">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12554176">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6406755">
      <w:bodyDiv w:val="1"/>
      <w:marLeft w:val="0"/>
      <w:marRight w:val="0"/>
      <w:marTop w:val="0"/>
      <w:marBottom w:val="0"/>
      <w:divBdr>
        <w:top w:val="none" w:sz="0" w:space="0" w:color="auto"/>
        <w:left w:val="none" w:sz="0" w:space="0" w:color="auto"/>
        <w:bottom w:val="none" w:sz="0" w:space="0" w:color="auto"/>
        <w:right w:val="none" w:sz="0" w:space="0" w:color="auto"/>
      </w:divBdr>
    </w:div>
    <w:div w:id="167870362">
      <w:bodyDiv w:val="1"/>
      <w:marLeft w:val="0"/>
      <w:marRight w:val="0"/>
      <w:marTop w:val="0"/>
      <w:marBottom w:val="0"/>
      <w:divBdr>
        <w:top w:val="none" w:sz="0" w:space="0" w:color="auto"/>
        <w:left w:val="none" w:sz="0" w:space="0" w:color="auto"/>
        <w:bottom w:val="none" w:sz="0" w:space="0" w:color="auto"/>
        <w:right w:val="none" w:sz="0" w:space="0" w:color="auto"/>
      </w:divBdr>
      <w:divsChild>
        <w:div w:id="86269325">
          <w:marLeft w:val="446"/>
          <w:marRight w:val="0"/>
          <w:marTop w:val="0"/>
          <w:marBottom w:val="0"/>
          <w:divBdr>
            <w:top w:val="none" w:sz="0" w:space="0" w:color="auto"/>
            <w:left w:val="none" w:sz="0" w:space="0" w:color="auto"/>
            <w:bottom w:val="none" w:sz="0" w:space="0" w:color="auto"/>
            <w:right w:val="none" w:sz="0" w:space="0" w:color="auto"/>
          </w:divBdr>
        </w:div>
        <w:div w:id="145054071">
          <w:marLeft w:val="360"/>
          <w:marRight w:val="0"/>
          <w:marTop w:val="0"/>
          <w:marBottom w:val="0"/>
          <w:divBdr>
            <w:top w:val="none" w:sz="0" w:space="0" w:color="auto"/>
            <w:left w:val="none" w:sz="0" w:space="0" w:color="auto"/>
            <w:bottom w:val="none" w:sz="0" w:space="0" w:color="auto"/>
            <w:right w:val="none" w:sz="0" w:space="0" w:color="auto"/>
          </w:divBdr>
        </w:div>
        <w:div w:id="323167015">
          <w:marLeft w:val="360"/>
          <w:marRight w:val="0"/>
          <w:marTop w:val="0"/>
          <w:marBottom w:val="0"/>
          <w:divBdr>
            <w:top w:val="none" w:sz="0" w:space="0" w:color="auto"/>
            <w:left w:val="none" w:sz="0" w:space="0" w:color="auto"/>
            <w:bottom w:val="none" w:sz="0" w:space="0" w:color="auto"/>
            <w:right w:val="none" w:sz="0" w:space="0" w:color="auto"/>
          </w:divBdr>
        </w:div>
        <w:div w:id="620183237">
          <w:marLeft w:val="360"/>
          <w:marRight w:val="0"/>
          <w:marTop w:val="0"/>
          <w:marBottom w:val="0"/>
          <w:divBdr>
            <w:top w:val="none" w:sz="0" w:space="0" w:color="auto"/>
            <w:left w:val="none" w:sz="0" w:space="0" w:color="auto"/>
            <w:bottom w:val="none" w:sz="0" w:space="0" w:color="auto"/>
            <w:right w:val="none" w:sz="0" w:space="0" w:color="auto"/>
          </w:divBdr>
        </w:div>
        <w:div w:id="692414203">
          <w:marLeft w:val="360"/>
          <w:marRight w:val="0"/>
          <w:marTop w:val="0"/>
          <w:marBottom w:val="0"/>
          <w:divBdr>
            <w:top w:val="none" w:sz="0" w:space="0" w:color="auto"/>
            <w:left w:val="none" w:sz="0" w:space="0" w:color="auto"/>
            <w:bottom w:val="none" w:sz="0" w:space="0" w:color="auto"/>
            <w:right w:val="none" w:sz="0" w:space="0" w:color="auto"/>
          </w:divBdr>
        </w:div>
        <w:div w:id="1681467237">
          <w:marLeft w:val="360"/>
          <w:marRight w:val="0"/>
          <w:marTop w:val="0"/>
          <w:marBottom w:val="0"/>
          <w:divBdr>
            <w:top w:val="none" w:sz="0" w:space="0" w:color="auto"/>
            <w:left w:val="none" w:sz="0" w:space="0" w:color="auto"/>
            <w:bottom w:val="none" w:sz="0" w:space="0" w:color="auto"/>
            <w:right w:val="none" w:sz="0" w:space="0" w:color="auto"/>
          </w:divBdr>
        </w:div>
        <w:div w:id="1790973251">
          <w:marLeft w:val="1166"/>
          <w:marRight w:val="0"/>
          <w:marTop w:val="0"/>
          <w:marBottom w:val="0"/>
          <w:divBdr>
            <w:top w:val="none" w:sz="0" w:space="0" w:color="auto"/>
            <w:left w:val="none" w:sz="0" w:space="0" w:color="auto"/>
            <w:bottom w:val="none" w:sz="0" w:space="0" w:color="auto"/>
            <w:right w:val="none" w:sz="0" w:space="0" w:color="auto"/>
          </w:divBdr>
        </w:div>
        <w:div w:id="1805196221">
          <w:marLeft w:val="1166"/>
          <w:marRight w:val="0"/>
          <w:marTop w:val="0"/>
          <w:marBottom w:val="0"/>
          <w:divBdr>
            <w:top w:val="none" w:sz="0" w:space="0" w:color="auto"/>
            <w:left w:val="none" w:sz="0" w:space="0" w:color="auto"/>
            <w:bottom w:val="none" w:sz="0" w:space="0" w:color="auto"/>
            <w:right w:val="none" w:sz="0" w:space="0" w:color="auto"/>
          </w:divBdr>
        </w:div>
      </w:divsChild>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319280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89556590">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384439">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7913366">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79023207">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1278694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24129115">
      <w:bodyDiv w:val="1"/>
      <w:marLeft w:val="0"/>
      <w:marRight w:val="0"/>
      <w:marTop w:val="0"/>
      <w:marBottom w:val="0"/>
      <w:divBdr>
        <w:top w:val="none" w:sz="0" w:space="0" w:color="auto"/>
        <w:left w:val="none" w:sz="0" w:space="0" w:color="auto"/>
        <w:bottom w:val="none" w:sz="0" w:space="0" w:color="auto"/>
        <w:right w:val="none" w:sz="0" w:space="0" w:color="auto"/>
      </w:divBdr>
    </w:div>
    <w:div w:id="827327673">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31087406">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370889">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4131294">
      <w:bodyDiv w:val="1"/>
      <w:marLeft w:val="0"/>
      <w:marRight w:val="0"/>
      <w:marTop w:val="0"/>
      <w:marBottom w:val="0"/>
      <w:divBdr>
        <w:top w:val="none" w:sz="0" w:space="0" w:color="auto"/>
        <w:left w:val="none" w:sz="0" w:space="0" w:color="auto"/>
        <w:bottom w:val="none" w:sz="0" w:space="0" w:color="auto"/>
        <w:right w:val="none" w:sz="0" w:space="0" w:color="auto"/>
      </w:divBdr>
    </w:div>
    <w:div w:id="1127049073">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88182511">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05949669">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46569824">
      <w:bodyDiv w:val="1"/>
      <w:marLeft w:val="0"/>
      <w:marRight w:val="0"/>
      <w:marTop w:val="0"/>
      <w:marBottom w:val="0"/>
      <w:divBdr>
        <w:top w:val="none" w:sz="0" w:space="0" w:color="auto"/>
        <w:left w:val="none" w:sz="0" w:space="0" w:color="auto"/>
        <w:bottom w:val="none" w:sz="0" w:space="0" w:color="auto"/>
        <w:right w:val="none" w:sz="0" w:space="0" w:color="auto"/>
      </w:divBdr>
    </w:div>
    <w:div w:id="1248805653">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25083107">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65778433">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22891655">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37879814">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36708448">
      <w:bodyDiv w:val="1"/>
      <w:marLeft w:val="0"/>
      <w:marRight w:val="0"/>
      <w:marTop w:val="0"/>
      <w:marBottom w:val="0"/>
      <w:divBdr>
        <w:top w:val="none" w:sz="0" w:space="0" w:color="auto"/>
        <w:left w:val="none" w:sz="0" w:space="0" w:color="auto"/>
        <w:bottom w:val="none" w:sz="0" w:space="0" w:color="auto"/>
        <w:right w:val="none" w:sz="0" w:space="0" w:color="auto"/>
      </w:divBdr>
    </w:div>
    <w:div w:id="1742942790">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27303265">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02156125">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1150220">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D5DA6B6F-A880-4C0D-819E-83D74A70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29687</Words>
  <Characters>169220</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Renal Clinical Committee</vt:lpstr>
    </vt:vector>
  </TitlesOfParts>
  <Company/>
  <LinksUpToDate>false</LinksUpToDate>
  <CharactersWithSpaces>198510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Renal Clinical Committee</dc:title>
  <dc:subject>Medicare Benefits Schedule</dc:subject>
  <dc:creator>Australian Government Department of Health</dc:creator>
  <cp:keywords/>
  <dc:description>_x000d_
</dc:description>
  <cp:lastModifiedBy>SMEDLEY, Tyne</cp:lastModifiedBy>
  <cp:revision>2</cp:revision>
  <cp:lastPrinted>2021-06-28T05:18:00Z</cp:lastPrinted>
  <dcterms:created xsi:type="dcterms:W3CDTF">2021-06-29T05:18:00Z</dcterms:created>
  <dcterms:modified xsi:type="dcterms:W3CDTF">2021-06-29T05:18:00Z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7b34cf94-a2f4-3b72-87b6-90a8bb5c4388</vt:lpwstr>
  </property>
  <property fmtid="{D5CDD505-2E9C-101B-9397-08002B2CF9AE}" pid="25" name="DMSDOCTYPE">
    <vt:lpwstr/>
  </property>
  <property fmtid="{D5CDD505-2E9C-101B-9397-08002B2CF9AE}" pid="26" name="DraftType">
    <vt:lpwstr/>
  </property>
  <property fmtid="{D5CDD505-2E9C-101B-9397-08002B2CF9AE}" pid="27" name="WPLUSServerName">
    <vt:lpwstr/>
  </property>
  <property fmtid="{D5CDD505-2E9C-101B-9397-08002B2CF9AE}" pid="28" name="WPLUSDataBaseName">
    <vt:lpwstr/>
  </property>
  <property fmtid="{D5CDD505-2E9C-101B-9397-08002B2CF9AE}" pid="29" name="WPLUSDocumentUNID">
    <vt:lpwstr/>
  </property>
  <property fmtid="{D5CDD505-2E9C-101B-9397-08002B2CF9AE}" pid="30" name="NeverSavedToNT">
    <vt:lpwstr/>
  </property>
</Properties>
</file>