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F0D7F" w14:textId="77777777" w:rsidR="00DA40AC" w:rsidRDefault="002E1E75" w:rsidP="00B400FE">
      <w:pPr>
        <w:pStyle w:val="Subtitle"/>
        <w:pBdr>
          <w:top w:val="none" w:sz="0" w:space="0" w:color="auto"/>
          <w:bottom w:val="none" w:sz="0" w:space="0" w:color="auto"/>
        </w:pBdr>
        <w:tabs>
          <w:tab w:val="center" w:pos="4513"/>
          <w:tab w:val="left" w:pos="6028"/>
        </w:tabs>
        <w:ind w:left="-1701" w:hanging="425"/>
        <w:jc w:val="left"/>
        <w:rPr>
          <w:sz w:val="56"/>
          <w:szCs w:val="56"/>
        </w:rPr>
      </w:pPr>
      <w:bookmarkStart w:id="0" w:name="_Toc427153112"/>
      <w:r>
        <w:rPr>
          <w:sz w:val="56"/>
          <w:szCs w:val="56"/>
        </w:rPr>
        <w:tab/>
      </w:r>
    </w:p>
    <w:p w14:paraId="688CB0E7" w14:textId="6297EEBD" w:rsidR="00DA40AC" w:rsidRPr="00DA40AC" w:rsidRDefault="00A40B17" w:rsidP="00B400FE">
      <w:pPr>
        <w:pStyle w:val="CoverH1White"/>
        <w:tabs>
          <w:tab w:val="right" w:pos="8312"/>
        </w:tabs>
        <w:ind w:left="-1701" w:hanging="425"/>
        <w:rPr>
          <w:rStyle w:val="IntenseEmphasis"/>
          <w:b/>
          <w:bCs/>
          <w:i w:val="0"/>
          <w:iCs w:val="0"/>
          <w:color w:val="FFFFFF"/>
          <w:sz w:val="80"/>
          <w:szCs w:val="80"/>
          <w:lang w:val="en-AU"/>
        </w:rPr>
        <w:sectPr w:rsidR="00DA40AC" w:rsidRPr="00DA40AC" w:rsidSect="00A40B17">
          <w:headerReference w:type="default" r:id="rId8"/>
          <w:pgSz w:w="11906" w:h="16838" w:code="9"/>
          <w:pgMar w:top="1276" w:right="1797" w:bottom="1276" w:left="2694" w:header="720" w:footer="548" w:gutter="0"/>
          <w:cols w:space="720"/>
          <w:docGrid w:linePitch="326"/>
        </w:sectPr>
      </w:pPr>
      <w:r w:rsidRPr="00386E44">
        <w:rPr>
          <w:b w:val="0"/>
          <w:bCs w:val="0"/>
          <w:i/>
          <w:iCs/>
          <w:noProof/>
          <w:color w:val="1952F3"/>
          <w:lang w:val="en-AU" w:eastAsia="en-AU"/>
        </w:rPr>
        <mc:AlternateContent>
          <mc:Choice Requires="wps">
            <w:drawing>
              <wp:anchor distT="0" distB="0" distL="114300" distR="114300" simplePos="0" relativeHeight="251726848" behindDoc="0" locked="0" layoutInCell="1" allowOverlap="1" wp14:anchorId="00EDCBD8" wp14:editId="204B3346">
                <wp:simplePos x="0" y="0"/>
                <wp:positionH relativeFrom="margin">
                  <wp:posOffset>-570865</wp:posOffset>
                </wp:positionH>
                <wp:positionV relativeFrom="margin">
                  <wp:posOffset>2410460</wp:posOffset>
                </wp:positionV>
                <wp:extent cx="5279390" cy="663638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279390" cy="66363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ED27DE4" w14:textId="77777777" w:rsidR="009E44A7" w:rsidRPr="005C7FB0" w:rsidRDefault="009E44A7" w:rsidP="00DA40AC">
                            <w:pPr>
                              <w:pStyle w:val="CoverH1White"/>
                              <w:rPr>
                                <w:rFonts w:asciiTheme="minorHAnsi" w:hAnsiTheme="minorHAnsi" w:cstheme="minorHAnsi"/>
                              </w:rPr>
                            </w:pPr>
                            <w:r w:rsidRPr="005C7FB0">
                              <w:rPr>
                                <w:rFonts w:asciiTheme="minorHAnsi" w:hAnsiTheme="minorHAnsi" w:cstheme="minorHAnsi"/>
                              </w:rPr>
                              <w:t>Medicare Benefits Schedule Review Taskforce</w:t>
                            </w:r>
                          </w:p>
                          <w:p w14:paraId="6C348E7C" w14:textId="1A11FC86" w:rsidR="009E44A7" w:rsidRPr="005C7FB0" w:rsidRDefault="009E44A7" w:rsidP="00DA40AC">
                            <w:pPr>
                              <w:pStyle w:val="CoverH1Green"/>
                            </w:pPr>
                            <w:r>
                              <w:t>Second report from the Principles and Rules Committee</w:t>
                            </w:r>
                          </w:p>
                          <w:p w14:paraId="374B1239" w14:textId="4D8B9BD4" w:rsidR="009E44A7" w:rsidRPr="005C7FB0" w:rsidRDefault="009E44A7" w:rsidP="00DA40AC">
                            <w:pPr>
                              <w:pStyle w:val="Coverdate"/>
                              <w:tabs>
                                <w:tab w:val="center" w:pos="4156"/>
                              </w:tabs>
                            </w:pPr>
                            <w:r>
                              <w:t>November 2019</w:t>
                            </w:r>
                            <w:r w:rsidRPr="005C7FB0">
                              <w:tab/>
                            </w:r>
                          </w:p>
                          <w:p w14:paraId="5606F331" w14:textId="77777777" w:rsidR="009E44A7" w:rsidRDefault="009E44A7" w:rsidP="00DA40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DCBD8" id="_x0000_t202" coordsize="21600,21600" o:spt="202" path="m,l,21600r21600,l21600,xe">
                <v:stroke joinstyle="miter"/>
                <v:path gradientshapeok="t" o:connecttype="rect"/>
              </v:shapetype>
              <v:shape id="Text Box 1" o:spid="_x0000_s1026" type="#_x0000_t202" style="position:absolute;left:0;text-align:left;margin-left:-44.95pt;margin-top:189.8pt;width:415.7pt;height:522.5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aGRdgIAAFoFAAAOAAAAZHJzL2Uyb0RvYy54bWysVFFPGzEMfp+0/xDlfVxboMCJK+pATJMQ&#10;oMHEc5pL6GlJnCVu77pfj5O7lo7thWkvd4792bE/2zm/6KxhaxViA67i44MRZ8pJqBv3XPHvj9ef&#10;TjmLKFwtDDhV8Y2K/GL28cN560s1gSWYWgVGQVwsW1/xJaIviyLKpbIiHoBXjowaghVIx/Bc1EG0&#10;FN2aYjIaTYsWQu0DSBUjaa96I5/l+ForiXdaR4XMVJxyw/wN+btI32J2LsrnIPyykUMa4h+ysKJx&#10;dOku1JVAwVah+SOUbWSACBoPJNgCtG6kyjVQNePRm2oelsKrXAuRE/2Opvj/wsrb9X1gTU2948wJ&#10;Sy16VB2yz9CxcWKn9bEk0IMnGHakTshBH0mZiu50sOlP5TCyE8+bHbcpmCTl8eTk7PCMTJJs0+nh&#10;9PD0OMUpXt19iPhFgWVJqHig5mVOxfomYg/dQtJtDq4bY0gvSuN+U1DMXqPyBAzeqZI+4yzhxqje&#10;95vSxEBOPCny7KlLE9ha0NQIKZXDXHOOS+iE0nT3exwHfHLts3qP884j3wwOd862cRAyS2/Srn9s&#10;U9Y9nqjeqzuJ2C26oZMLqDfU4AD9gkQvrxtqwo2IeC8CbQQ1jrYc7+ijDbQVh0HibAnh19/0CU+D&#10;SlbOWtqwisefKxEUZ+aroxE+Gx8dpZXMh6Pjkwkdwr5lsW9xK3sJ1A4aU8ouiwmPZivqAPaJHoN5&#10;upVMwkm6u+K4FS+x33t6TKSazzOIltALvHEPXqbQid40Yo/dkwh+mEOkEb6F7S6K8s049tjk6WC+&#10;QtBNntVEcM/qQDwtcJ724bFJL8T+OaNen8TZCwAAAP//AwBQSwMEFAAGAAgAAAAhAKbLX+rhAAAA&#10;DAEAAA8AAABkcnMvZG93bnJldi54bWxMj8tOwzAQRfdI/IM1SOxauyVtmhCnQiC2IMpDYufG0yQi&#10;Hkex24S/77Aqy9E9uvdMsZ1cJ044hNaThsVcgUCqvG2p1vDx/jzbgAjRkDWdJ9TwiwG25fVVYXLr&#10;R3rD0y7Wgkso5EZDE2OfSxmqBp0Jc98jcXbwgzORz6GWdjAjl7tOLpVaS2da4oXG9PjYYPWzOzoN&#10;ny+H769EvdZPbtWPflKSXCa1vr2ZHu5BRJziBYY/fVaHkp32/kg2iE7DbJNljGq4S7M1CCbSZLEC&#10;sWc0WSYpyLKQ/58ozwAAAP//AwBQSwECLQAUAAYACAAAACEAtoM4kv4AAADhAQAAEwAAAAAAAAAA&#10;AAAAAAAAAAAAW0NvbnRlbnRfVHlwZXNdLnhtbFBLAQItABQABgAIAAAAIQA4/SH/1gAAAJQBAAAL&#10;AAAAAAAAAAAAAAAAAC8BAABfcmVscy8ucmVsc1BLAQItABQABgAIAAAAIQAvZaGRdgIAAFoFAAAO&#10;AAAAAAAAAAAAAAAAAC4CAABkcnMvZTJvRG9jLnhtbFBLAQItABQABgAIAAAAIQCmy1/q4QAAAAwB&#10;AAAPAAAAAAAAAAAAAAAAANAEAABkcnMvZG93bnJldi54bWxQSwUGAAAAAAQABADzAAAA3gUAAAAA&#10;" filled="f" stroked="f">
                <v:textbox>
                  <w:txbxContent>
                    <w:p w14:paraId="7ED27DE4" w14:textId="77777777" w:rsidR="009E44A7" w:rsidRPr="005C7FB0" w:rsidRDefault="009E44A7" w:rsidP="00DA40AC">
                      <w:pPr>
                        <w:pStyle w:val="CoverH1White"/>
                        <w:rPr>
                          <w:rFonts w:asciiTheme="minorHAnsi" w:hAnsiTheme="minorHAnsi" w:cstheme="minorHAnsi"/>
                        </w:rPr>
                      </w:pPr>
                      <w:r w:rsidRPr="005C7FB0">
                        <w:rPr>
                          <w:rFonts w:asciiTheme="minorHAnsi" w:hAnsiTheme="minorHAnsi" w:cstheme="minorHAnsi"/>
                        </w:rPr>
                        <w:t>Medicare Benefits Schedule Review Taskforce</w:t>
                      </w:r>
                    </w:p>
                    <w:p w14:paraId="6C348E7C" w14:textId="1A11FC86" w:rsidR="009E44A7" w:rsidRPr="005C7FB0" w:rsidRDefault="009E44A7" w:rsidP="00DA40AC">
                      <w:pPr>
                        <w:pStyle w:val="CoverH1Green"/>
                      </w:pPr>
                      <w:r>
                        <w:t>Second report from the Principles and Rules Committee</w:t>
                      </w:r>
                    </w:p>
                    <w:p w14:paraId="374B1239" w14:textId="4D8B9BD4" w:rsidR="009E44A7" w:rsidRPr="005C7FB0" w:rsidRDefault="009E44A7" w:rsidP="00DA40AC">
                      <w:pPr>
                        <w:pStyle w:val="Coverdate"/>
                        <w:tabs>
                          <w:tab w:val="center" w:pos="4156"/>
                        </w:tabs>
                      </w:pPr>
                      <w:r>
                        <w:t>November 2019</w:t>
                      </w:r>
                      <w:r w:rsidRPr="005C7FB0">
                        <w:tab/>
                      </w:r>
                    </w:p>
                    <w:p w14:paraId="5606F331" w14:textId="77777777" w:rsidR="009E44A7" w:rsidRDefault="009E44A7" w:rsidP="00DA40AC"/>
                  </w:txbxContent>
                </v:textbox>
                <w10:wrap type="square" anchorx="margin" anchory="margin"/>
              </v:shape>
            </w:pict>
          </mc:Fallback>
        </mc:AlternateContent>
      </w:r>
      <w:r w:rsidR="00DA40AC" w:rsidRPr="00386E44">
        <w:rPr>
          <w:lang w:val="en-AU"/>
        </w:rPr>
        <w:tab/>
      </w:r>
    </w:p>
    <w:p w14:paraId="7D4DA67C" w14:textId="77777777" w:rsidR="00C56DF9" w:rsidRPr="00733CF1" w:rsidRDefault="00C56DF9" w:rsidP="00361640">
      <w:pPr>
        <w:spacing w:before="120" w:after="120"/>
        <w:ind w:right="-46"/>
        <w:rPr>
          <w:rFonts w:cs="Arial"/>
          <w:b/>
          <w:color w:val="01653F"/>
          <w:sz w:val="32"/>
          <w:szCs w:val="32"/>
        </w:rPr>
      </w:pPr>
      <w:bookmarkStart w:id="1" w:name="_Hlk503433997"/>
      <w:bookmarkStart w:id="2" w:name="_Toc448369494"/>
      <w:bookmarkEnd w:id="1"/>
      <w:r w:rsidRPr="00733CF1">
        <w:rPr>
          <w:rFonts w:cs="Arial"/>
          <w:b/>
          <w:color w:val="01653F"/>
          <w:sz w:val="32"/>
          <w:szCs w:val="32"/>
        </w:rPr>
        <w:lastRenderedPageBreak/>
        <w:t>Table of</w:t>
      </w:r>
      <w:r w:rsidR="00C35BE7" w:rsidRPr="00733CF1">
        <w:rPr>
          <w:rFonts w:cs="Arial"/>
          <w:b/>
          <w:color w:val="01653F"/>
          <w:sz w:val="32"/>
          <w:szCs w:val="32"/>
        </w:rPr>
        <w:t xml:space="preserve"> c</w:t>
      </w:r>
      <w:r w:rsidRPr="00733CF1">
        <w:rPr>
          <w:rFonts w:cs="Arial"/>
          <w:b/>
          <w:color w:val="01653F"/>
          <w:sz w:val="32"/>
          <w:szCs w:val="32"/>
        </w:rPr>
        <w:t>ontents</w:t>
      </w:r>
      <w:bookmarkEnd w:id="2"/>
    </w:p>
    <w:p w14:paraId="21E87323" w14:textId="363C06D5" w:rsidR="001509D2" w:rsidRPr="001509D2" w:rsidRDefault="001F2FFA">
      <w:pPr>
        <w:pStyle w:val="TOC1"/>
        <w:rPr>
          <w:rFonts w:eastAsiaTheme="minorEastAsia" w:cstheme="minorBidi"/>
          <w:b w:val="0"/>
          <w:noProof/>
          <w:sz w:val="18"/>
          <w:szCs w:val="18"/>
        </w:rPr>
      </w:pPr>
      <w:r w:rsidRPr="001509D2">
        <w:rPr>
          <w:rFonts w:cstheme="minorHAnsi"/>
          <w:noProof/>
          <w:sz w:val="18"/>
          <w:szCs w:val="18"/>
        </w:rPr>
        <w:fldChar w:fldCharType="begin"/>
      </w:r>
      <w:r w:rsidRPr="001509D2">
        <w:rPr>
          <w:rFonts w:cstheme="minorHAnsi"/>
          <w:noProof/>
          <w:sz w:val="18"/>
          <w:szCs w:val="18"/>
        </w:rPr>
        <w:instrText xml:space="preserve"> TOC \o "2-2" \h \z \t "Heading 1,1,03. under table text,1,00 Small caps,1,Appendix Style 1,1,Rec,3,Rec 2,3" </w:instrText>
      </w:r>
      <w:r w:rsidRPr="001509D2">
        <w:rPr>
          <w:rFonts w:cstheme="minorHAnsi"/>
          <w:noProof/>
          <w:sz w:val="18"/>
          <w:szCs w:val="18"/>
        </w:rPr>
        <w:fldChar w:fldCharType="separate"/>
      </w:r>
      <w:hyperlink w:anchor="_Toc25843676" w:history="1">
        <w:r w:rsidR="001509D2" w:rsidRPr="001509D2">
          <w:rPr>
            <w:rStyle w:val="Hyperlink"/>
            <w:noProof/>
            <w:sz w:val="18"/>
            <w:szCs w:val="18"/>
          </w:rPr>
          <w:t>1.</w:t>
        </w:r>
        <w:r w:rsidR="001509D2" w:rsidRPr="001509D2">
          <w:rPr>
            <w:rFonts w:eastAsiaTheme="minorEastAsia" w:cstheme="minorBidi"/>
            <w:b w:val="0"/>
            <w:noProof/>
            <w:sz w:val="18"/>
            <w:szCs w:val="18"/>
          </w:rPr>
          <w:t xml:space="preserve"> </w:t>
        </w:r>
        <w:r w:rsidR="001509D2" w:rsidRPr="001509D2">
          <w:rPr>
            <w:rStyle w:val="Hyperlink"/>
            <w:noProof/>
            <w:sz w:val="18"/>
            <w:szCs w:val="18"/>
          </w:rPr>
          <w:t>Committee information</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_Toc25843676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1</w:t>
        </w:r>
        <w:r w:rsidR="001509D2" w:rsidRPr="001509D2">
          <w:rPr>
            <w:noProof/>
            <w:webHidden/>
            <w:sz w:val="18"/>
            <w:szCs w:val="18"/>
          </w:rPr>
          <w:fldChar w:fldCharType="end"/>
        </w:r>
      </w:hyperlink>
    </w:p>
    <w:p w14:paraId="6D95CEFE" w14:textId="7A3ADC0D" w:rsidR="001509D2" w:rsidRPr="001509D2" w:rsidRDefault="009E44A7">
      <w:pPr>
        <w:pStyle w:val="TOC2"/>
        <w:rPr>
          <w:rFonts w:eastAsiaTheme="minorEastAsia" w:cstheme="minorBidi"/>
          <w:noProof/>
          <w:sz w:val="18"/>
          <w:szCs w:val="18"/>
        </w:rPr>
      </w:pPr>
      <w:hyperlink w:anchor="_Toc25843677" w:history="1">
        <w:r w:rsidR="001509D2" w:rsidRPr="001509D2">
          <w:rPr>
            <w:rStyle w:val="Hyperlink"/>
            <w:noProof/>
            <w:sz w:val="18"/>
            <w:szCs w:val="18"/>
          </w:rPr>
          <w:t>1.1 The Principles and Rules Committee</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_Toc25843677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1</w:t>
        </w:r>
        <w:r w:rsidR="001509D2" w:rsidRPr="001509D2">
          <w:rPr>
            <w:noProof/>
            <w:webHidden/>
            <w:sz w:val="18"/>
            <w:szCs w:val="18"/>
          </w:rPr>
          <w:fldChar w:fldCharType="end"/>
        </w:r>
      </w:hyperlink>
    </w:p>
    <w:p w14:paraId="2732D8D7" w14:textId="6BEE18BC" w:rsidR="001509D2" w:rsidRPr="001509D2" w:rsidRDefault="009E44A7">
      <w:pPr>
        <w:pStyle w:val="TOC2"/>
        <w:rPr>
          <w:rFonts w:eastAsiaTheme="minorEastAsia" w:cstheme="minorBidi"/>
          <w:noProof/>
          <w:sz w:val="18"/>
          <w:szCs w:val="18"/>
        </w:rPr>
      </w:pPr>
      <w:hyperlink w:anchor="_Toc25843678" w:history="1">
        <w:r w:rsidR="001509D2" w:rsidRPr="001509D2">
          <w:rPr>
            <w:rStyle w:val="Hyperlink"/>
            <w:noProof/>
            <w:sz w:val="18"/>
            <w:szCs w:val="18"/>
          </w:rPr>
          <w:t>1.2 First report of the Principles and Rules Committee</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_Toc25843678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1</w:t>
        </w:r>
        <w:r w:rsidR="001509D2" w:rsidRPr="001509D2">
          <w:rPr>
            <w:noProof/>
            <w:webHidden/>
            <w:sz w:val="18"/>
            <w:szCs w:val="18"/>
          </w:rPr>
          <w:fldChar w:fldCharType="end"/>
        </w:r>
      </w:hyperlink>
    </w:p>
    <w:p w14:paraId="64B57F9A" w14:textId="02F1A34E" w:rsidR="001509D2" w:rsidRPr="001509D2" w:rsidRDefault="009E44A7">
      <w:pPr>
        <w:pStyle w:val="TOC2"/>
        <w:rPr>
          <w:rFonts w:eastAsiaTheme="minorEastAsia" w:cstheme="minorBidi"/>
          <w:noProof/>
          <w:sz w:val="18"/>
          <w:szCs w:val="18"/>
        </w:rPr>
      </w:pPr>
      <w:hyperlink w:anchor="_Toc25843679" w:history="1">
        <w:r w:rsidR="001509D2" w:rsidRPr="001509D2">
          <w:rPr>
            <w:rStyle w:val="Hyperlink"/>
            <w:noProof/>
            <w:sz w:val="18"/>
            <w:szCs w:val="18"/>
          </w:rPr>
          <w:t>1.3 Purpose of this report</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_Toc25843679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1</w:t>
        </w:r>
        <w:r w:rsidR="001509D2" w:rsidRPr="001509D2">
          <w:rPr>
            <w:noProof/>
            <w:webHidden/>
            <w:sz w:val="18"/>
            <w:szCs w:val="18"/>
          </w:rPr>
          <w:fldChar w:fldCharType="end"/>
        </w:r>
      </w:hyperlink>
    </w:p>
    <w:p w14:paraId="21ED2C6F" w14:textId="04648A78" w:rsidR="001509D2" w:rsidRPr="001509D2" w:rsidRDefault="009E44A7">
      <w:pPr>
        <w:pStyle w:val="TOC2"/>
        <w:rPr>
          <w:rFonts w:eastAsiaTheme="minorEastAsia" w:cstheme="minorBidi"/>
          <w:noProof/>
          <w:sz w:val="18"/>
          <w:szCs w:val="18"/>
        </w:rPr>
      </w:pPr>
      <w:hyperlink w:anchor="_Toc25843680" w:history="1">
        <w:r w:rsidR="001509D2" w:rsidRPr="001509D2">
          <w:rPr>
            <w:rStyle w:val="Hyperlink"/>
            <w:noProof/>
            <w:sz w:val="18"/>
            <w:szCs w:val="18"/>
          </w:rPr>
          <w:t>1.4 Other relevant public consultation – surgical assistant services</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_Toc25843680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1</w:t>
        </w:r>
        <w:r w:rsidR="001509D2" w:rsidRPr="001509D2">
          <w:rPr>
            <w:noProof/>
            <w:webHidden/>
            <w:sz w:val="18"/>
            <w:szCs w:val="18"/>
          </w:rPr>
          <w:fldChar w:fldCharType="end"/>
        </w:r>
      </w:hyperlink>
    </w:p>
    <w:p w14:paraId="22CE70F9" w14:textId="433C10FD" w:rsidR="001509D2" w:rsidRPr="001509D2" w:rsidRDefault="009E44A7">
      <w:pPr>
        <w:pStyle w:val="TOC1"/>
        <w:rPr>
          <w:rFonts w:eastAsiaTheme="minorEastAsia" w:cstheme="minorBidi"/>
          <w:b w:val="0"/>
          <w:noProof/>
          <w:sz w:val="18"/>
          <w:szCs w:val="18"/>
        </w:rPr>
      </w:pPr>
      <w:hyperlink w:anchor="_Toc25843681" w:history="1">
        <w:r w:rsidR="001509D2" w:rsidRPr="001509D2">
          <w:rPr>
            <w:rStyle w:val="Hyperlink"/>
            <w:noProof/>
            <w:sz w:val="18"/>
            <w:szCs w:val="18"/>
          </w:rPr>
          <w:t>2.</w:t>
        </w:r>
        <w:r w:rsidR="001509D2" w:rsidRPr="001509D2">
          <w:rPr>
            <w:rFonts w:eastAsiaTheme="minorEastAsia" w:cstheme="minorBidi"/>
            <w:b w:val="0"/>
            <w:noProof/>
            <w:sz w:val="18"/>
            <w:szCs w:val="18"/>
          </w:rPr>
          <w:t xml:space="preserve"> </w:t>
        </w:r>
        <w:r w:rsidR="001509D2" w:rsidRPr="001509D2">
          <w:rPr>
            <w:rStyle w:val="Hyperlink"/>
            <w:noProof/>
            <w:sz w:val="18"/>
            <w:szCs w:val="18"/>
          </w:rPr>
          <w:t>Committee membership</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_Toc25843681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2</w:t>
        </w:r>
        <w:r w:rsidR="001509D2" w:rsidRPr="001509D2">
          <w:rPr>
            <w:noProof/>
            <w:webHidden/>
            <w:sz w:val="18"/>
            <w:szCs w:val="18"/>
          </w:rPr>
          <w:fldChar w:fldCharType="end"/>
        </w:r>
      </w:hyperlink>
    </w:p>
    <w:p w14:paraId="64D0C158" w14:textId="4E264B06" w:rsidR="001509D2" w:rsidRPr="001509D2" w:rsidRDefault="009E44A7">
      <w:pPr>
        <w:pStyle w:val="TOC2"/>
        <w:rPr>
          <w:rFonts w:eastAsiaTheme="minorEastAsia" w:cstheme="minorBidi"/>
          <w:noProof/>
          <w:sz w:val="18"/>
          <w:szCs w:val="18"/>
        </w:rPr>
      </w:pPr>
      <w:hyperlink w:anchor="_Toc25843682" w:history="1">
        <w:r w:rsidR="001509D2" w:rsidRPr="001509D2">
          <w:rPr>
            <w:rStyle w:val="Hyperlink"/>
            <w:noProof/>
            <w:sz w:val="18"/>
            <w:szCs w:val="18"/>
          </w:rPr>
          <w:t>Conflicts of interest</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_Toc25843682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2</w:t>
        </w:r>
        <w:r w:rsidR="001509D2" w:rsidRPr="001509D2">
          <w:rPr>
            <w:noProof/>
            <w:webHidden/>
            <w:sz w:val="18"/>
            <w:szCs w:val="18"/>
          </w:rPr>
          <w:fldChar w:fldCharType="end"/>
        </w:r>
      </w:hyperlink>
    </w:p>
    <w:p w14:paraId="37963259" w14:textId="6A805E11" w:rsidR="001509D2" w:rsidRPr="001509D2" w:rsidRDefault="009E44A7">
      <w:pPr>
        <w:pStyle w:val="TOC1"/>
        <w:rPr>
          <w:rFonts w:eastAsiaTheme="minorEastAsia" w:cstheme="minorBidi"/>
          <w:b w:val="0"/>
          <w:noProof/>
          <w:sz w:val="18"/>
          <w:szCs w:val="18"/>
        </w:rPr>
      </w:pPr>
      <w:hyperlink w:anchor="_Toc25843683" w:history="1">
        <w:r w:rsidR="001509D2" w:rsidRPr="001509D2">
          <w:rPr>
            <w:rStyle w:val="Hyperlink"/>
            <w:noProof/>
            <w:sz w:val="18"/>
            <w:szCs w:val="18"/>
          </w:rPr>
          <w:t>3.</w:t>
        </w:r>
        <w:r w:rsidR="001509D2" w:rsidRPr="001509D2">
          <w:rPr>
            <w:rFonts w:eastAsiaTheme="minorEastAsia" w:cstheme="minorBidi"/>
            <w:b w:val="0"/>
            <w:noProof/>
            <w:sz w:val="18"/>
            <w:szCs w:val="18"/>
          </w:rPr>
          <w:t xml:space="preserve"> </w:t>
        </w:r>
        <w:r w:rsidR="001509D2" w:rsidRPr="001509D2">
          <w:rPr>
            <w:rStyle w:val="Hyperlink"/>
            <w:noProof/>
            <w:sz w:val="18"/>
            <w:szCs w:val="18"/>
          </w:rPr>
          <w:t>Guiding principles</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_Toc25843683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3</w:t>
        </w:r>
        <w:r w:rsidR="001509D2" w:rsidRPr="001509D2">
          <w:rPr>
            <w:noProof/>
            <w:webHidden/>
            <w:sz w:val="18"/>
            <w:szCs w:val="18"/>
          </w:rPr>
          <w:fldChar w:fldCharType="end"/>
        </w:r>
      </w:hyperlink>
    </w:p>
    <w:p w14:paraId="181650F5" w14:textId="389EE50F" w:rsidR="001509D2" w:rsidRPr="001509D2" w:rsidRDefault="009E44A7">
      <w:pPr>
        <w:pStyle w:val="TOC2"/>
        <w:rPr>
          <w:rFonts w:eastAsiaTheme="minorEastAsia" w:cstheme="minorBidi"/>
          <w:noProof/>
          <w:sz w:val="18"/>
          <w:szCs w:val="18"/>
        </w:rPr>
      </w:pPr>
      <w:hyperlink w:anchor="_Toc25843684" w:history="1">
        <w:r w:rsidR="001509D2" w:rsidRPr="001509D2">
          <w:rPr>
            <w:rStyle w:val="Hyperlink"/>
            <w:noProof/>
            <w:sz w:val="18"/>
            <w:szCs w:val="18"/>
          </w:rPr>
          <w:t>3.1 MBS function</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_Toc25843684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3</w:t>
        </w:r>
        <w:r w:rsidR="001509D2" w:rsidRPr="001509D2">
          <w:rPr>
            <w:noProof/>
            <w:webHidden/>
            <w:sz w:val="18"/>
            <w:szCs w:val="18"/>
          </w:rPr>
          <w:fldChar w:fldCharType="end"/>
        </w:r>
      </w:hyperlink>
    </w:p>
    <w:p w14:paraId="2B2C8B91" w14:textId="3C377592" w:rsidR="001509D2" w:rsidRPr="001509D2" w:rsidRDefault="009E44A7">
      <w:pPr>
        <w:pStyle w:val="TOC2"/>
        <w:rPr>
          <w:rFonts w:eastAsiaTheme="minorEastAsia" w:cstheme="minorBidi"/>
          <w:noProof/>
          <w:sz w:val="18"/>
          <w:szCs w:val="18"/>
        </w:rPr>
      </w:pPr>
      <w:hyperlink w:anchor="_Toc25843685" w:history="1">
        <w:r w:rsidR="001509D2" w:rsidRPr="001509D2">
          <w:rPr>
            <w:rStyle w:val="Hyperlink"/>
            <w:noProof/>
            <w:sz w:val="18"/>
            <w:szCs w:val="18"/>
          </w:rPr>
          <w:t>3.2 Stewardship – the role of the General Practitioner</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_Toc25843685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3</w:t>
        </w:r>
        <w:r w:rsidR="001509D2" w:rsidRPr="001509D2">
          <w:rPr>
            <w:noProof/>
            <w:webHidden/>
            <w:sz w:val="18"/>
            <w:szCs w:val="18"/>
          </w:rPr>
          <w:fldChar w:fldCharType="end"/>
        </w:r>
      </w:hyperlink>
    </w:p>
    <w:p w14:paraId="66F2F4DE" w14:textId="606A4AC9" w:rsidR="001509D2" w:rsidRPr="001509D2" w:rsidRDefault="009E44A7">
      <w:pPr>
        <w:pStyle w:val="TOC2"/>
        <w:rPr>
          <w:rFonts w:eastAsiaTheme="minorEastAsia" w:cstheme="minorBidi"/>
          <w:noProof/>
          <w:sz w:val="18"/>
          <w:szCs w:val="18"/>
        </w:rPr>
      </w:pPr>
      <w:hyperlink w:anchor="_Toc25843686" w:history="1">
        <w:r w:rsidR="001509D2" w:rsidRPr="001509D2">
          <w:rPr>
            <w:rStyle w:val="Hyperlink"/>
            <w:noProof/>
            <w:sz w:val="18"/>
            <w:szCs w:val="18"/>
          </w:rPr>
          <w:t>3.3 The complete medical service and the three item ‘rule’</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_Toc25843686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4</w:t>
        </w:r>
        <w:r w:rsidR="001509D2" w:rsidRPr="001509D2">
          <w:rPr>
            <w:noProof/>
            <w:webHidden/>
            <w:sz w:val="18"/>
            <w:szCs w:val="18"/>
          </w:rPr>
          <w:fldChar w:fldCharType="end"/>
        </w:r>
      </w:hyperlink>
    </w:p>
    <w:p w14:paraId="11A8D586" w14:textId="30629CBA" w:rsidR="001509D2" w:rsidRPr="001509D2" w:rsidRDefault="009E44A7">
      <w:pPr>
        <w:pStyle w:val="TOC2"/>
        <w:rPr>
          <w:rFonts w:eastAsiaTheme="minorEastAsia" w:cstheme="minorBidi"/>
          <w:noProof/>
          <w:sz w:val="18"/>
          <w:szCs w:val="18"/>
        </w:rPr>
      </w:pPr>
      <w:hyperlink w:anchor="_Toc25843687" w:history="1">
        <w:r w:rsidR="001509D2" w:rsidRPr="001509D2">
          <w:rPr>
            <w:rStyle w:val="Hyperlink"/>
            <w:noProof/>
            <w:sz w:val="18"/>
            <w:szCs w:val="18"/>
          </w:rPr>
          <w:t>3.4 The consumer perspective</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_Toc25843687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4</w:t>
        </w:r>
        <w:r w:rsidR="001509D2" w:rsidRPr="001509D2">
          <w:rPr>
            <w:noProof/>
            <w:webHidden/>
            <w:sz w:val="18"/>
            <w:szCs w:val="18"/>
          </w:rPr>
          <w:fldChar w:fldCharType="end"/>
        </w:r>
      </w:hyperlink>
    </w:p>
    <w:p w14:paraId="1514263C" w14:textId="30431CF4" w:rsidR="001509D2" w:rsidRPr="001509D2" w:rsidRDefault="009E44A7">
      <w:pPr>
        <w:pStyle w:val="TOC2"/>
        <w:rPr>
          <w:rFonts w:eastAsiaTheme="minorEastAsia" w:cstheme="minorBidi"/>
          <w:noProof/>
          <w:sz w:val="18"/>
          <w:szCs w:val="18"/>
        </w:rPr>
      </w:pPr>
      <w:hyperlink w:anchor="_Toc25843688" w:history="1">
        <w:r w:rsidR="001509D2" w:rsidRPr="001509D2">
          <w:rPr>
            <w:rStyle w:val="Hyperlink"/>
            <w:noProof/>
            <w:sz w:val="18"/>
            <w:szCs w:val="18"/>
          </w:rPr>
          <w:t>3.5 Fee transparency</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_Toc25843688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6</w:t>
        </w:r>
        <w:r w:rsidR="001509D2" w:rsidRPr="001509D2">
          <w:rPr>
            <w:noProof/>
            <w:webHidden/>
            <w:sz w:val="18"/>
            <w:szCs w:val="18"/>
          </w:rPr>
          <w:fldChar w:fldCharType="end"/>
        </w:r>
      </w:hyperlink>
    </w:p>
    <w:p w14:paraId="410B9A3F" w14:textId="20BAD97C" w:rsidR="001509D2" w:rsidRPr="001509D2" w:rsidRDefault="009E44A7">
      <w:pPr>
        <w:pStyle w:val="TOC1"/>
        <w:rPr>
          <w:rFonts w:eastAsiaTheme="minorEastAsia" w:cstheme="minorBidi"/>
          <w:b w:val="0"/>
          <w:noProof/>
          <w:sz w:val="18"/>
          <w:szCs w:val="18"/>
        </w:rPr>
      </w:pPr>
      <w:hyperlink w:anchor="_Toc25843689" w:history="1">
        <w:r w:rsidR="001509D2" w:rsidRPr="001509D2">
          <w:rPr>
            <w:rStyle w:val="Hyperlink"/>
            <w:noProof/>
            <w:sz w:val="18"/>
            <w:szCs w:val="18"/>
          </w:rPr>
          <w:t>4. Recommendations for Taskforce consideration</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_Toc25843689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7</w:t>
        </w:r>
        <w:r w:rsidR="001509D2" w:rsidRPr="001509D2">
          <w:rPr>
            <w:noProof/>
            <w:webHidden/>
            <w:sz w:val="18"/>
            <w:szCs w:val="18"/>
          </w:rPr>
          <w:fldChar w:fldCharType="end"/>
        </w:r>
      </w:hyperlink>
    </w:p>
    <w:p w14:paraId="7529438B" w14:textId="7EDAE967" w:rsidR="001509D2" w:rsidRPr="001509D2" w:rsidRDefault="009E44A7">
      <w:pPr>
        <w:pStyle w:val="TOC2"/>
        <w:rPr>
          <w:rFonts w:eastAsiaTheme="minorEastAsia" w:cstheme="minorBidi"/>
          <w:noProof/>
          <w:sz w:val="18"/>
          <w:szCs w:val="18"/>
        </w:rPr>
      </w:pPr>
      <w:hyperlink w:anchor="_Toc25843690" w:history="1">
        <w:r w:rsidR="001509D2" w:rsidRPr="001509D2">
          <w:rPr>
            <w:rStyle w:val="Hyperlink"/>
            <w:noProof/>
            <w:sz w:val="18"/>
            <w:szCs w:val="18"/>
          </w:rPr>
          <w:t>4.1 Improving compliance – outstanding recommendation</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_Toc25843690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7</w:t>
        </w:r>
        <w:r w:rsidR="001509D2" w:rsidRPr="001509D2">
          <w:rPr>
            <w:noProof/>
            <w:webHidden/>
            <w:sz w:val="18"/>
            <w:szCs w:val="18"/>
          </w:rPr>
          <w:fldChar w:fldCharType="end"/>
        </w:r>
      </w:hyperlink>
    </w:p>
    <w:p w14:paraId="4B111179" w14:textId="11BE525B" w:rsidR="001509D2" w:rsidRPr="001509D2" w:rsidRDefault="009E44A7">
      <w:pPr>
        <w:pStyle w:val="TOC2"/>
        <w:rPr>
          <w:rFonts w:eastAsiaTheme="minorEastAsia" w:cstheme="minorBidi"/>
          <w:noProof/>
          <w:sz w:val="18"/>
          <w:szCs w:val="18"/>
        </w:rPr>
      </w:pPr>
      <w:hyperlink w:anchor="_Toc25843691" w:history="1">
        <w:r w:rsidR="001509D2" w:rsidRPr="001509D2">
          <w:rPr>
            <w:rStyle w:val="Hyperlink"/>
            <w:noProof/>
            <w:sz w:val="18"/>
            <w:szCs w:val="18"/>
          </w:rPr>
          <w:t>4.2 Improving compliance – new recommendations</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_Toc25843691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8</w:t>
        </w:r>
        <w:r w:rsidR="001509D2" w:rsidRPr="001509D2">
          <w:rPr>
            <w:noProof/>
            <w:webHidden/>
            <w:sz w:val="18"/>
            <w:szCs w:val="18"/>
          </w:rPr>
          <w:fldChar w:fldCharType="end"/>
        </w:r>
      </w:hyperlink>
    </w:p>
    <w:p w14:paraId="68D83109" w14:textId="159EAC90" w:rsidR="001509D2" w:rsidRPr="001509D2" w:rsidRDefault="009E44A7">
      <w:pPr>
        <w:pStyle w:val="TOC2"/>
        <w:rPr>
          <w:rFonts w:eastAsiaTheme="minorEastAsia" w:cstheme="minorBidi"/>
          <w:noProof/>
          <w:sz w:val="18"/>
          <w:szCs w:val="18"/>
        </w:rPr>
      </w:pPr>
      <w:hyperlink w:anchor="_Toc25843692" w:history="1">
        <w:r w:rsidR="001509D2" w:rsidRPr="001509D2">
          <w:rPr>
            <w:rStyle w:val="Hyperlink"/>
            <w:noProof/>
            <w:sz w:val="18"/>
            <w:szCs w:val="18"/>
          </w:rPr>
          <w:t>4.3 Raising the profile of Explanatory Notes</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_Toc25843692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9</w:t>
        </w:r>
        <w:r w:rsidR="001509D2" w:rsidRPr="001509D2">
          <w:rPr>
            <w:noProof/>
            <w:webHidden/>
            <w:sz w:val="18"/>
            <w:szCs w:val="18"/>
          </w:rPr>
          <w:fldChar w:fldCharType="end"/>
        </w:r>
      </w:hyperlink>
    </w:p>
    <w:p w14:paraId="48DE1D8E" w14:textId="6DD06E9A" w:rsidR="001509D2" w:rsidRPr="001509D2" w:rsidRDefault="009E44A7">
      <w:pPr>
        <w:pStyle w:val="TOC2"/>
        <w:rPr>
          <w:rFonts w:eastAsiaTheme="minorEastAsia" w:cstheme="minorBidi"/>
          <w:noProof/>
          <w:sz w:val="18"/>
          <w:szCs w:val="18"/>
        </w:rPr>
      </w:pPr>
      <w:hyperlink w:anchor="_Toc25843693" w:history="1">
        <w:r w:rsidR="001509D2" w:rsidRPr="001509D2">
          <w:rPr>
            <w:rStyle w:val="Hyperlink"/>
            <w:noProof/>
            <w:sz w:val="18"/>
            <w:szCs w:val="18"/>
          </w:rPr>
          <w:t>4.4 Ineligible services – improving clarity</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_Toc25843693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10</w:t>
        </w:r>
        <w:r w:rsidR="001509D2" w:rsidRPr="001509D2">
          <w:rPr>
            <w:noProof/>
            <w:webHidden/>
            <w:sz w:val="18"/>
            <w:szCs w:val="18"/>
          </w:rPr>
          <w:fldChar w:fldCharType="end"/>
        </w:r>
      </w:hyperlink>
    </w:p>
    <w:p w14:paraId="0C20B106" w14:textId="72A9F5D3" w:rsidR="001509D2" w:rsidRPr="001509D2" w:rsidRDefault="009E44A7">
      <w:pPr>
        <w:pStyle w:val="TOC2"/>
        <w:rPr>
          <w:rFonts w:eastAsiaTheme="minorEastAsia" w:cstheme="minorBidi"/>
          <w:noProof/>
          <w:sz w:val="18"/>
          <w:szCs w:val="18"/>
        </w:rPr>
      </w:pPr>
      <w:hyperlink w:anchor="_Toc25843694" w:history="1">
        <w:r w:rsidR="001509D2" w:rsidRPr="001509D2">
          <w:rPr>
            <w:rStyle w:val="Hyperlink"/>
            <w:noProof/>
            <w:sz w:val="18"/>
            <w:szCs w:val="18"/>
          </w:rPr>
          <w:t>4.5 Implementing Taskforce endorsed principles</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_Toc25843694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11</w:t>
        </w:r>
        <w:r w:rsidR="001509D2" w:rsidRPr="001509D2">
          <w:rPr>
            <w:noProof/>
            <w:webHidden/>
            <w:sz w:val="18"/>
            <w:szCs w:val="18"/>
          </w:rPr>
          <w:fldChar w:fldCharType="end"/>
        </w:r>
      </w:hyperlink>
    </w:p>
    <w:p w14:paraId="5D33DDE3" w14:textId="3553D2BA" w:rsidR="001509D2" w:rsidRPr="001509D2" w:rsidRDefault="009E44A7">
      <w:pPr>
        <w:pStyle w:val="TOC2"/>
        <w:rPr>
          <w:rFonts w:eastAsiaTheme="minorEastAsia" w:cstheme="minorBidi"/>
          <w:noProof/>
          <w:sz w:val="18"/>
          <w:szCs w:val="18"/>
        </w:rPr>
      </w:pPr>
      <w:hyperlink w:anchor="_Toc25843695" w:history="1">
        <w:r w:rsidR="001509D2" w:rsidRPr="001509D2">
          <w:rPr>
            <w:rStyle w:val="Hyperlink"/>
            <w:noProof/>
            <w:sz w:val="18"/>
            <w:szCs w:val="18"/>
          </w:rPr>
          <w:t>4.6 Referrals – evidencing clinical need</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_Toc25843695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13</w:t>
        </w:r>
        <w:r w:rsidR="001509D2" w:rsidRPr="001509D2">
          <w:rPr>
            <w:noProof/>
            <w:webHidden/>
            <w:sz w:val="18"/>
            <w:szCs w:val="18"/>
          </w:rPr>
          <w:fldChar w:fldCharType="end"/>
        </w:r>
      </w:hyperlink>
    </w:p>
    <w:p w14:paraId="29D43BD6" w14:textId="112561E2" w:rsidR="001509D2" w:rsidRPr="001509D2" w:rsidRDefault="009E44A7">
      <w:pPr>
        <w:pStyle w:val="TOC2"/>
        <w:rPr>
          <w:rFonts w:eastAsiaTheme="minorEastAsia" w:cstheme="minorBidi"/>
          <w:noProof/>
          <w:sz w:val="18"/>
          <w:szCs w:val="18"/>
        </w:rPr>
      </w:pPr>
      <w:hyperlink w:anchor="_Toc25843696" w:history="1">
        <w:r w:rsidR="001509D2" w:rsidRPr="001509D2">
          <w:rPr>
            <w:rStyle w:val="Hyperlink"/>
            <w:noProof/>
            <w:sz w:val="18"/>
            <w:szCs w:val="18"/>
          </w:rPr>
          <w:t>4.7 “Never Events” – protecting patients from errors during surgery</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_Toc25843696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14</w:t>
        </w:r>
        <w:r w:rsidR="001509D2" w:rsidRPr="001509D2">
          <w:rPr>
            <w:noProof/>
            <w:webHidden/>
            <w:sz w:val="18"/>
            <w:szCs w:val="18"/>
          </w:rPr>
          <w:fldChar w:fldCharType="end"/>
        </w:r>
      </w:hyperlink>
    </w:p>
    <w:p w14:paraId="4E084992" w14:textId="18FF3402" w:rsidR="001509D2" w:rsidRPr="001509D2" w:rsidRDefault="009E44A7">
      <w:pPr>
        <w:pStyle w:val="TOC2"/>
        <w:rPr>
          <w:rFonts w:eastAsiaTheme="minorEastAsia" w:cstheme="minorBidi"/>
          <w:noProof/>
          <w:sz w:val="18"/>
          <w:szCs w:val="18"/>
        </w:rPr>
      </w:pPr>
      <w:hyperlink w:anchor="_Toc25843697" w:history="1">
        <w:r w:rsidR="001509D2" w:rsidRPr="001509D2">
          <w:rPr>
            <w:rStyle w:val="Hyperlink"/>
            <w:noProof/>
            <w:sz w:val="18"/>
            <w:szCs w:val="18"/>
          </w:rPr>
          <w:t>4.8 Unexpected Events – restricting opportunistic claiming</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_Toc25843697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14</w:t>
        </w:r>
        <w:r w:rsidR="001509D2" w:rsidRPr="001509D2">
          <w:rPr>
            <w:noProof/>
            <w:webHidden/>
            <w:sz w:val="18"/>
            <w:szCs w:val="18"/>
          </w:rPr>
          <w:fldChar w:fldCharType="end"/>
        </w:r>
      </w:hyperlink>
    </w:p>
    <w:p w14:paraId="2EFB5529" w14:textId="655F2CE8" w:rsidR="001509D2" w:rsidRPr="001509D2" w:rsidRDefault="009E44A7">
      <w:pPr>
        <w:pStyle w:val="TOC1"/>
        <w:rPr>
          <w:rFonts w:eastAsiaTheme="minorEastAsia" w:cstheme="minorBidi"/>
          <w:b w:val="0"/>
          <w:noProof/>
          <w:sz w:val="18"/>
          <w:szCs w:val="18"/>
        </w:rPr>
      </w:pPr>
      <w:hyperlink w:anchor="_Toc25843698" w:history="1">
        <w:r w:rsidR="001509D2" w:rsidRPr="001509D2">
          <w:rPr>
            <w:rStyle w:val="Hyperlink"/>
            <w:noProof/>
            <w:sz w:val="18"/>
            <w:szCs w:val="18"/>
          </w:rPr>
          <w:t>5. Considerations for future MBS Review activity</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_Toc25843698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16</w:t>
        </w:r>
        <w:r w:rsidR="001509D2" w:rsidRPr="001509D2">
          <w:rPr>
            <w:noProof/>
            <w:webHidden/>
            <w:sz w:val="18"/>
            <w:szCs w:val="18"/>
          </w:rPr>
          <w:fldChar w:fldCharType="end"/>
        </w:r>
      </w:hyperlink>
    </w:p>
    <w:p w14:paraId="7AFEC7AE" w14:textId="47E009EB" w:rsidR="001509D2" w:rsidRPr="001509D2" w:rsidRDefault="009E44A7">
      <w:pPr>
        <w:pStyle w:val="TOC2"/>
        <w:rPr>
          <w:rFonts w:eastAsiaTheme="minorEastAsia" w:cstheme="minorBidi"/>
          <w:noProof/>
          <w:sz w:val="18"/>
          <w:szCs w:val="18"/>
        </w:rPr>
      </w:pPr>
      <w:hyperlink w:anchor="_Toc25843699" w:history="1">
        <w:r w:rsidR="001509D2" w:rsidRPr="001509D2">
          <w:rPr>
            <w:rStyle w:val="Hyperlink"/>
            <w:noProof/>
            <w:sz w:val="18"/>
            <w:szCs w:val="18"/>
          </w:rPr>
          <w:t>5.1 Remunerating for surgery – is there a better way to pay?</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_Toc25843699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16</w:t>
        </w:r>
        <w:r w:rsidR="001509D2" w:rsidRPr="001509D2">
          <w:rPr>
            <w:noProof/>
            <w:webHidden/>
            <w:sz w:val="18"/>
            <w:szCs w:val="18"/>
          </w:rPr>
          <w:fldChar w:fldCharType="end"/>
        </w:r>
      </w:hyperlink>
    </w:p>
    <w:p w14:paraId="1B3F4A7C" w14:textId="59A3D12D" w:rsidR="001509D2" w:rsidRPr="001509D2" w:rsidRDefault="009E44A7">
      <w:pPr>
        <w:pStyle w:val="TOC2"/>
        <w:rPr>
          <w:rFonts w:eastAsiaTheme="minorEastAsia" w:cstheme="minorBidi"/>
          <w:noProof/>
          <w:sz w:val="18"/>
          <w:szCs w:val="18"/>
        </w:rPr>
      </w:pPr>
      <w:hyperlink w:anchor="_Toc25843700" w:history="1">
        <w:r w:rsidR="001509D2" w:rsidRPr="001509D2">
          <w:rPr>
            <w:rStyle w:val="Hyperlink"/>
            <w:noProof/>
            <w:sz w:val="18"/>
            <w:szCs w:val="18"/>
          </w:rPr>
          <w:t>5.2 Future health system design – valuing the consumer</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_Toc25843700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17</w:t>
        </w:r>
        <w:r w:rsidR="001509D2" w:rsidRPr="001509D2">
          <w:rPr>
            <w:noProof/>
            <w:webHidden/>
            <w:sz w:val="18"/>
            <w:szCs w:val="18"/>
          </w:rPr>
          <w:fldChar w:fldCharType="end"/>
        </w:r>
      </w:hyperlink>
    </w:p>
    <w:p w14:paraId="7138C90D" w14:textId="541818D5" w:rsidR="001509D2" w:rsidRPr="001509D2" w:rsidRDefault="009E44A7">
      <w:pPr>
        <w:pStyle w:val="TOC1"/>
        <w:rPr>
          <w:rFonts w:eastAsiaTheme="minorEastAsia" w:cstheme="minorBidi"/>
          <w:b w:val="0"/>
          <w:noProof/>
          <w:sz w:val="18"/>
          <w:szCs w:val="18"/>
        </w:rPr>
      </w:pPr>
      <w:hyperlink w:anchor="_Toc25843701" w:history="1">
        <w:r w:rsidR="001509D2" w:rsidRPr="001509D2">
          <w:rPr>
            <w:rStyle w:val="Hyperlink"/>
            <w:noProof/>
            <w:sz w:val="18"/>
            <w:szCs w:val="18"/>
          </w:rPr>
          <w:t>Appendix A</w:t>
        </w:r>
        <w:r w:rsidR="001509D2" w:rsidRPr="001509D2">
          <w:rPr>
            <w:noProof/>
            <w:webHidden/>
            <w:sz w:val="18"/>
            <w:szCs w:val="18"/>
          </w:rPr>
          <w:tab/>
        </w:r>
      </w:hyperlink>
      <w:hyperlink w:anchor="_Toc25843702" w:history="1">
        <w:r w:rsidR="001509D2" w:rsidRPr="001509D2">
          <w:rPr>
            <w:rStyle w:val="Hyperlink"/>
            <w:noProof/>
            <w:sz w:val="18"/>
            <w:szCs w:val="18"/>
          </w:rPr>
          <w:t>Principles and Rules Committee first report (2016)</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_Toc25843702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19</w:t>
        </w:r>
        <w:r w:rsidR="001509D2" w:rsidRPr="001509D2">
          <w:rPr>
            <w:noProof/>
            <w:webHidden/>
            <w:sz w:val="18"/>
            <w:szCs w:val="18"/>
          </w:rPr>
          <w:fldChar w:fldCharType="end"/>
        </w:r>
      </w:hyperlink>
    </w:p>
    <w:p w14:paraId="7079915C" w14:textId="2B842EBB" w:rsidR="001509D2" w:rsidRPr="001509D2" w:rsidRDefault="009E44A7">
      <w:pPr>
        <w:pStyle w:val="TOC1"/>
        <w:rPr>
          <w:rFonts w:eastAsiaTheme="minorEastAsia" w:cstheme="minorBidi"/>
          <w:b w:val="0"/>
          <w:noProof/>
          <w:sz w:val="18"/>
          <w:szCs w:val="18"/>
        </w:rPr>
      </w:pPr>
      <w:hyperlink w:anchor="_Toc25843703" w:history="1">
        <w:r w:rsidR="001509D2" w:rsidRPr="001509D2">
          <w:rPr>
            <w:rStyle w:val="Hyperlink"/>
            <w:noProof/>
            <w:sz w:val="18"/>
            <w:szCs w:val="18"/>
          </w:rPr>
          <w:t>Appendix B</w:t>
        </w:r>
        <w:r w:rsidR="001509D2" w:rsidRPr="001509D2">
          <w:rPr>
            <w:noProof/>
            <w:webHidden/>
            <w:sz w:val="18"/>
            <w:szCs w:val="18"/>
          </w:rPr>
          <w:tab/>
        </w:r>
      </w:hyperlink>
      <w:hyperlink w:anchor="_Toc25843704" w:history="1">
        <w:r w:rsidR="001509D2" w:rsidRPr="001509D2">
          <w:rPr>
            <w:rStyle w:val="Hyperlink"/>
            <w:noProof/>
            <w:sz w:val="18"/>
            <w:szCs w:val="18"/>
          </w:rPr>
          <w:t>Guidance provided by the Principles and Rules Committee</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_Toc25843704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21</w:t>
        </w:r>
        <w:r w:rsidR="001509D2" w:rsidRPr="001509D2">
          <w:rPr>
            <w:noProof/>
            <w:webHidden/>
            <w:sz w:val="18"/>
            <w:szCs w:val="18"/>
          </w:rPr>
          <w:fldChar w:fldCharType="end"/>
        </w:r>
      </w:hyperlink>
    </w:p>
    <w:p w14:paraId="02CA6745" w14:textId="31FD3519" w:rsidR="001509D2" w:rsidRPr="001509D2" w:rsidRDefault="009E44A7">
      <w:pPr>
        <w:pStyle w:val="TOC2"/>
        <w:rPr>
          <w:rFonts w:eastAsiaTheme="minorEastAsia" w:cstheme="minorBidi"/>
          <w:noProof/>
          <w:sz w:val="18"/>
          <w:szCs w:val="18"/>
        </w:rPr>
      </w:pPr>
      <w:hyperlink w:anchor="_Toc25843705" w:history="1">
        <w:r w:rsidR="001509D2" w:rsidRPr="001509D2">
          <w:rPr>
            <w:rStyle w:val="Hyperlink"/>
            <w:noProof/>
            <w:sz w:val="18"/>
            <w:szCs w:val="18"/>
          </w:rPr>
          <w:t>B.1 Appropriate Use Criteria</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_Toc25843705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21</w:t>
        </w:r>
        <w:r w:rsidR="001509D2" w:rsidRPr="001509D2">
          <w:rPr>
            <w:noProof/>
            <w:webHidden/>
            <w:sz w:val="18"/>
            <w:szCs w:val="18"/>
          </w:rPr>
          <w:fldChar w:fldCharType="end"/>
        </w:r>
      </w:hyperlink>
    </w:p>
    <w:p w14:paraId="29E86476" w14:textId="43B6E1DA" w:rsidR="001509D2" w:rsidRPr="001509D2" w:rsidRDefault="009E44A7">
      <w:pPr>
        <w:pStyle w:val="TOC2"/>
        <w:rPr>
          <w:rFonts w:eastAsiaTheme="minorEastAsia" w:cstheme="minorBidi"/>
          <w:noProof/>
          <w:sz w:val="18"/>
          <w:szCs w:val="18"/>
        </w:rPr>
      </w:pPr>
      <w:hyperlink w:anchor="_Toc25843706" w:history="1">
        <w:r w:rsidR="001509D2" w:rsidRPr="001509D2">
          <w:rPr>
            <w:rStyle w:val="Hyperlink"/>
            <w:noProof/>
            <w:sz w:val="18"/>
            <w:szCs w:val="18"/>
          </w:rPr>
          <w:t>B.2 Design of MBS items for surgical services</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_Toc25843706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23</w:t>
        </w:r>
        <w:r w:rsidR="001509D2" w:rsidRPr="001509D2">
          <w:rPr>
            <w:noProof/>
            <w:webHidden/>
            <w:sz w:val="18"/>
            <w:szCs w:val="18"/>
          </w:rPr>
          <w:fldChar w:fldCharType="end"/>
        </w:r>
      </w:hyperlink>
    </w:p>
    <w:p w14:paraId="5362C4A8" w14:textId="36F5820B" w:rsidR="001509D2" w:rsidRPr="001509D2" w:rsidRDefault="009E44A7">
      <w:pPr>
        <w:pStyle w:val="TOC2"/>
        <w:rPr>
          <w:rFonts w:eastAsiaTheme="minorEastAsia" w:cstheme="minorBidi"/>
          <w:noProof/>
          <w:sz w:val="18"/>
          <w:szCs w:val="18"/>
        </w:rPr>
      </w:pPr>
      <w:hyperlink w:anchor="_Toc25843707" w:history="1">
        <w:r w:rsidR="001509D2" w:rsidRPr="001509D2">
          <w:rPr>
            <w:rStyle w:val="Hyperlink"/>
            <w:noProof/>
            <w:sz w:val="18"/>
            <w:szCs w:val="18"/>
          </w:rPr>
          <w:t>B.3 Surgical assistance</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_Toc25843707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25</w:t>
        </w:r>
        <w:r w:rsidR="001509D2" w:rsidRPr="001509D2">
          <w:rPr>
            <w:noProof/>
            <w:webHidden/>
            <w:sz w:val="18"/>
            <w:szCs w:val="18"/>
          </w:rPr>
          <w:fldChar w:fldCharType="end"/>
        </w:r>
      </w:hyperlink>
    </w:p>
    <w:p w14:paraId="0F1F3DF2" w14:textId="332D0302" w:rsidR="001509D2" w:rsidRPr="001509D2" w:rsidRDefault="009E44A7">
      <w:pPr>
        <w:pStyle w:val="TOC2"/>
        <w:rPr>
          <w:rFonts w:eastAsiaTheme="minorEastAsia" w:cstheme="minorBidi"/>
          <w:noProof/>
          <w:sz w:val="18"/>
          <w:szCs w:val="18"/>
        </w:rPr>
      </w:pPr>
      <w:hyperlink w:anchor="_Toc25843708" w:history="1">
        <w:r w:rsidR="001509D2" w:rsidRPr="001509D2">
          <w:rPr>
            <w:rStyle w:val="Hyperlink"/>
            <w:noProof/>
            <w:sz w:val="18"/>
            <w:szCs w:val="18"/>
          </w:rPr>
          <w:t>B.4 Urgent after-hours services</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_Toc25843708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25</w:t>
        </w:r>
        <w:r w:rsidR="001509D2" w:rsidRPr="001509D2">
          <w:rPr>
            <w:noProof/>
            <w:webHidden/>
            <w:sz w:val="18"/>
            <w:szCs w:val="18"/>
          </w:rPr>
          <w:fldChar w:fldCharType="end"/>
        </w:r>
      </w:hyperlink>
    </w:p>
    <w:p w14:paraId="3C982962" w14:textId="788971B0" w:rsidR="001509D2" w:rsidRPr="001509D2" w:rsidRDefault="009E44A7">
      <w:pPr>
        <w:pStyle w:val="TOC2"/>
        <w:rPr>
          <w:rFonts w:eastAsiaTheme="minorEastAsia" w:cstheme="minorBidi"/>
          <w:noProof/>
          <w:sz w:val="18"/>
          <w:szCs w:val="18"/>
        </w:rPr>
      </w:pPr>
      <w:hyperlink w:anchor="_Toc25843709" w:history="1">
        <w:r w:rsidR="001509D2" w:rsidRPr="001509D2">
          <w:rPr>
            <w:rStyle w:val="Hyperlink"/>
            <w:noProof/>
            <w:sz w:val="18"/>
            <w:szCs w:val="18"/>
          </w:rPr>
          <w:t>B.5 MBS fee loadings</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_Toc25843709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26</w:t>
        </w:r>
        <w:r w:rsidR="001509D2" w:rsidRPr="001509D2">
          <w:rPr>
            <w:noProof/>
            <w:webHidden/>
            <w:sz w:val="18"/>
            <w:szCs w:val="18"/>
          </w:rPr>
          <w:fldChar w:fldCharType="end"/>
        </w:r>
      </w:hyperlink>
    </w:p>
    <w:p w14:paraId="34785E7B" w14:textId="5F71C92A" w:rsidR="001509D2" w:rsidRPr="001509D2" w:rsidRDefault="009E44A7">
      <w:pPr>
        <w:pStyle w:val="TOC2"/>
        <w:rPr>
          <w:rFonts w:eastAsiaTheme="minorEastAsia" w:cstheme="minorBidi"/>
          <w:noProof/>
          <w:sz w:val="18"/>
          <w:szCs w:val="18"/>
        </w:rPr>
      </w:pPr>
      <w:hyperlink w:anchor="_Toc25843710" w:history="1">
        <w:r w:rsidR="001509D2" w:rsidRPr="001509D2">
          <w:rPr>
            <w:rStyle w:val="Hyperlink"/>
            <w:noProof/>
            <w:sz w:val="18"/>
            <w:szCs w:val="18"/>
          </w:rPr>
          <w:t>B.6 MBS geo-classification standard—The Modified Monash Model</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_Toc25843710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27</w:t>
        </w:r>
        <w:r w:rsidR="001509D2" w:rsidRPr="001509D2">
          <w:rPr>
            <w:noProof/>
            <w:webHidden/>
            <w:sz w:val="18"/>
            <w:szCs w:val="18"/>
          </w:rPr>
          <w:fldChar w:fldCharType="end"/>
        </w:r>
      </w:hyperlink>
    </w:p>
    <w:p w14:paraId="08CD7246" w14:textId="31CD3A7C" w:rsidR="001509D2" w:rsidRPr="001509D2" w:rsidRDefault="009E44A7">
      <w:pPr>
        <w:pStyle w:val="TOC2"/>
        <w:rPr>
          <w:rFonts w:eastAsiaTheme="minorEastAsia" w:cstheme="minorBidi"/>
          <w:noProof/>
          <w:sz w:val="18"/>
          <w:szCs w:val="18"/>
        </w:rPr>
      </w:pPr>
      <w:hyperlink w:anchor="_Toc25843711" w:history="1">
        <w:r w:rsidR="001509D2" w:rsidRPr="001509D2">
          <w:rPr>
            <w:rStyle w:val="Hyperlink"/>
            <w:noProof/>
            <w:sz w:val="18"/>
            <w:szCs w:val="18"/>
          </w:rPr>
          <w:t>B.7 Repeat prescriptions and specialist</w:t>
        </w:r>
        <w:r w:rsidR="001509D2" w:rsidRPr="001509D2">
          <w:rPr>
            <w:rStyle w:val="Hyperlink"/>
            <w:noProof/>
            <w:sz w:val="18"/>
            <w:szCs w:val="18"/>
          </w:rPr>
          <w:noBreakHyphen/>
          <w:t>to</w:t>
        </w:r>
        <w:r w:rsidR="001509D2" w:rsidRPr="001509D2">
          <w:rPr>
            <w:rStyle w:val="Hyperlink"/>
            <w:noProof/>
            <w:sz w:val="18"/>
            <w:szCs w:val="18"/>
          </w:rPr>
          <w:noBreakHyphen/>
          <w:t>specialist referral</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_Toc25843711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28</w:t>
        </w:r>
        <w:r w:rsidR="001509D2" w:rsidRPr="001509D2">
          <w:rPr>
            <w:noProof/>
            <w:webHidden/>
            <w:sz w:val="18"/>
            <w:szCs w:val="18"/>
          </w:rPr>
          <w:fldChar w:fldCharType="end"/>
        </w:r>
      </w:hyperlink>
    </w:p>
    <w:p w14:paraId="4CA595E3" w14:textId="5112E354" w:rsidR="001509D2" w:rsidRPr="001509D2" w:rsidRDefault="009E44A7">
      <w:pPr>
        <w:pStyle w:val="TOC2"/>
        <w:rPr>
          <w:rFonts w:eastAsiaTheme="minorEastAsia" w:cstheme="minorBidi"/>
          <w:noProof/>
          <w:sz w:val="18"/>
          <w:szCs w:val="18"/>
        </w:rPr>
      </w:pPr>
      <w:hyperlink w:anchor="_Toc25843712" w:history="1">
        <w:r w:rsidR="001509D2" w:rsidRPr="001509D2">
          <w:rPr>
            <w:rStyle w:val="Hyperlink"/>
            <w:noProof/>
            <w:sz w:val="18"/>
            <w:szCs w:val="18"/>
          </w:rPr>
          <w:t>B.8 Volume-based incentive payments within a medical practice</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_Toc25843712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29</w:t>
        </w:r>
        <w:r w:rsidR="001509D2" w:rsidRPr="001509D2">
          <w:rPr>
            <w:noProof/>
            <w:webHidden/>
            <w:sz w:val="18"/>
            <w:szCs w:val="18"/>
          </w:rPr>
          <w:fldChar w:fldCharType="end"/>
        </w:r>
      </w:hyperlink>
    </w:p>
    <w:p w14:paraId="0773F09F" w14:textId="3FC7DD97" w:rsidR="001509D2" w:rsidRPr="001509D2" w:rsidRDefault="009E44A7">
      <w:pPr>
        <w:pStyle w:val="TOC2"/>
        <w:rPr>
          <w:rFonts w:eastAsiaTheme="minorEastAsia" w:cstheme="minorBidi"/>
          <w:noProof/>
          <w:sz w:val="18"/>
          <w:szCs w:val="18"/>
        </w:rPr>
      </w:pPr>
      <w:hyperlink w:anchor="_Toc25843713" w:history="1">
        <w:r w:rsidR="001509D2" w:rsidRPr="001509D2">
          <w:rPr>
            <w:rStyle w:val="Hyperlink"/>
            <w:noProof/>
            <w:sz w:val="18"/>
            <w:szCs w:val="18"/>
          </w:rPr>
          <w:t>B.9 Specialist and consultant physician attendance items</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_Toc25843713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29</w:t>
        </w:r>
        <w:r w:rsidR="001509D2" w:rsidRPr="001509D2">
          <w:rPr>
            <w:noProof/>
            <w:webHidden/>
            <w:sz w:val="18"/>
            <w:szCs w:val="18"/>
          </w:rPr>
          <w:fldChar w:fldCharType="end"/>
        </w:r>
      </w:hyperlink>
    </w:p>
    <w:p w14:paraId="05E2BE5C" w14:textId="4A8974D8" w:rsidR="001509D2" w:rsidRPr="001509D2" w:rsidRDefault="009E44A7">
      <w:pPr>
        <w:pStyle w:val="TOC2"/>
        <w:rPr>
          <w:rFonts w:eastAsiaTheme="minorEastAsia" w:cstheme="minorBidi"/>
          <w:noProof/>
          <w:sz w:val="18"/>
          <w:szCs w:val="18"/>
        </w:rPr>
      </w:pPr>
      <w:hyperlink w:anchor="_Toc25843714" w:history="1">
        <w:r w:rsidR="001509D2" w:rsidRPr="001509D2">
          <w:rPr>
            <w:rStyle w:val="Hyperlink"/>
            <w:noProof/>
            <w:sz w:val="18"/>
            <w:szCs w:val="18"/>
          </w:rPr>
          <w:t>B.10 Referrals from the Diagnostic Imaging Clinical Committee</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_Toc25843714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31</w:t>
        </w:r>
        <w:r w:rsidR="001509D2" w:rsidRPr="001509D2">
          <w:rPr>
            <w:noProof/>
            <w:webHidden/>
            <w:sz w:val="18"/>
            <w:szCs w:val="18"/>
          </w:rPr>
          <w:fldChar w:fldCharType="end"/>
        </w:r>
      </w:hyperlink>
    </w:p>
    <w:p w14:paraId="35393897" w14:textId="7023CA61" w:rsidR="001509D2" w:rsidRPr="001509D2" w:rsidRDefault="009E44A7">
      <w:pPr>
        <w:pStyle w:val="TOC2"/>
        <w:rPr>
          <w:rFonts w:eastAsiaTheme="minorEastAsia" w:cstheme="minorBidi"/>
          <w:noProof/>
          <w:sz w:val="18"/>
          <w:szCs w:val="18"/>
        </w:rPr>
      </w:pPr>
      <w:hyperlink w:anchor="_Toc25843719" w:history="1">
        <w:r w:rsidR="001509D2" w:rsidRPr="001509D2">
          <w:rPr>
            <w:rStyle w:val="Hyperlink"/>
            <w:rFonts w:cstheme="minorHAnsi"/>
            <w:noProof/>
            <w:sz w:val="18"/>
            <w:szCs w:val="18"/>
          </w:rPr>
          <w:t>B.11 Referral from the Cardiac Services Clinical Committee</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_Toc25843719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37</w:t>
        </w:r>
        <w:r w:rsidR="001509D2" w:rsidRPr="001509D2">
          <w:rPr>
            <w:noProof/>
            <w:webHidden/>
            <w:sz w:val="18"/>
            <w:szCs w:val="18"/>
          </w:rPr>
          <w:fldChar w:fldCharType="end"/>
        </w:r>
      </w:hyperlink>
    </w:p>
    <w:p w14:paraId="0A66341C" w14:textId="66C57956" w:rsidR="001509D2" w:rsidRPr="001509D2" w:rsidRDefault="009E44A7">
      <w:pPr>
        <w:pStyle w:val="TOC2"/>
        <w:rPr>
          <w:rFonts w:eastAsiaTheme="minorEastAsia" w:cstheme="minorBidi"/>
          <w:noProof/>
          <w:sz w:val="18"/>
          <w:szCs w:val="18"/>
        </w:rPr>
      </w:pPr>
      <w:hyperlink w:anchor="_Toc25843721" w:history="1">
        <w:r w:rsidR="001509D2" w:rsidRPr="001509D2">
          <w:rPr>
            <w:rStyle w:val="Hyperlink"/>
            <w:rFonts w:cstheme="minorHAnsi"/>
            <w:noProof/>
            <w:sz w:val="18"/>
            <w:szCs w:val="18"/>
          </w:rPr>
          <w:t>B.12 Referral from the Department of Health</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_Toc25843721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38</w:t>
        </w:r>
        <w:r w:rsidR="001509D2" w:rsidRPr="001509D2">
          <w:rPr>
            <w:noProof/>
            <w:webHidden/>
            <w:sz w:val="18"/>
            <w:szCs w:val="18"/>
          </w:rPr>
          <w:fldChar w:fldCharType="end"/>
        </w:r>
      </w:hyperlink>
    </w:p>
    <w:p w14:paraId="5C1BCB54" w14:textId="7FA2735F" w:rsidR="001509D2" w:rsidRPr="001509D2" w:rsidRDefault="009E44A7">
      <w:pPr>
        <w:pStyle w:val="TOC1"/>
        <w:rPr>
          <w:rFonts w:eastAsiaTheme="minorEastAsia" w:cstheme="minorBidi"/>
          <w:b w:val="0"/>
          <w:noProof/>
          <w:sz w:val="18"/>
          <w:szCs w:val="18"/>
        </w:rPr>
      </w:pPr>
      <w:hyperlink w:anchor="_Toc25843723" w:history="1">
        <w:r w:rsidR="001509D2" w:rsidRPr="001509D2">
          <w:rPr>
            <w:rStyle w:val="Hyperlink"/>
            <w:noProof/>
            <w:sz w:val="18"/>
            <w:szCs w:val="18"/>
          </w:rPr>
          <w:t>Appendix C</w:t>
        </w:r>
        <w:r w:rsidR="001509D2" w:rsidRPr="001509D2">
          <w:rPr>
            <w:noProof/>
            <w:webHidden/>
            <w:sz w:val="18"/>
            <w:szCs w:val="18"/>
          </w:rPr>
          <w:tab/>
        </w:r>
      </w:hyperlink>
      <w:hyperlink w:anchor="_Toc25843724" w:history="1">
        <w:r w:rsidR="001509D2" w:rsidRPr="001509D2">
          <w:rPr>
            <w:rStyle w:val="Hyperlink"/>
            <w:noProof/>
            <w:sz w:val="18"/>
            <w:szCs w:val="18"/>
          </w:rPr>
          <w:t>Consumer principles</w:t>
        </w:r>
        <w:r w:rsidR="001509D2" w:rsidRPr="001509D2">
          <w:rPr>
            <w:noProof/>
            <w:webHidden/>
            <w:sz w:val="18"/>
            <w:szCs w:val="18"/>
          </w:rPr>
          <w:tab/>
        </w:r>
        <w:r w:rsidR="001509D2" w:rsidRPr="001509D2">
          <w:rPr>
            <w:noProof/>
            <w:webHidden/>
            <w:sz w:val="18"/>
            <w:szCs w:val="18"/>
          </w:rPr>
          <w:fldChar w:fldCharType="begin"/>
        </w:r>
        <w:r w:rsidR="001509D2" w:rsidRPr="001509D2">
          <w:rPr>
            <w:noProof/>
            <w:webHidden/>
            <w:sz w:val="18"/>
            <w:szCs w:val="18"/>
          </w:rPr>
          <w:instrText xml:space="preserve"> PAGEREF _Toc25843724 \h </w:instrText>
        </w:r>
        <w:r w:rsidR="001509D2" w:rsidRPr="001509D2">
          <w:rPr>
            <w:noProof/>
            <w:webHidden/>
            <w:sz w:val="18"/>
            <w:szCs w:val="18"/>
          </w:rPr>
        </w:r>
        <w:r w:rsidR="001509D2" w:rsidRPr="001509D2">
          <w:rPr>
            <w:noProof/>
            <w:webHidden/>
            <w:sz w:val="18"/>
            <w:szCs w:val="18"/>
          </w:rPr>
          <w:fldChar w:fldCharType="separate"/>
        </w:r>
        <w:r w:rsidR="001509D2" w:rsidRPr="001509D2">
          <w:rPr>
            <w:noProof/>
            <w:webHidden/>
            <w:sz w:val="18"/>
            <w:szCs w:val="18"/>
          </w:rPr>
          <w:t>39</w:t>
        </w:r>
        <w:r w:rsidR="001509D2" w:rsidRPr="001509D2">
          <w:rPr>
            <w:noProof/>
            <w:webHidden/>
            <w:sz w:val="18"/>
            <w:szCs w:val="18"/>
          </w:rPr>
          <w:fldChar w:fldCharType="end"/>
        </w:r>
      </w:hyperlink>
    </w:p>
    <w:p w14:paraId="5CBEFB84" w14:textId="20F2E92F" w:rsidR="009E66F8" w:rsidRDefault="001F2FFA" w:rsidP="009E66F8">
      <w:pPr>
        <w:pStyle w:val="TOC1"/>
        <w:spacing w:before="0"/>
        <w:ind w:left="0" w:firstLine="0"/>
        <w:rPr>
          <w:rFonts w:ascii="Cambria" w:hAnsi="Cambria"/>
          <w:smallCaps/>
          <w:noProof/>
        </w:rPr>
      </w:pPr>
      <w:r w:rsidRPr="001509D2">
        <w:rPr>
          <w:rFonts w:cstheme="minorHAnsi"/>
          <w:smallCaps/>
          <w:noProof/>
          <w:sz w:val="18"/>
          <w:szCs w:val="18"/>
        </w:rPr>
        <w:fldChar w:fldCharType="end"/>
      </w:r>
    </w:p>
    <w:p w14:paraId="7C69C027" w14:textId="77777777" w:rsidR="00DB74FB" w:rsidRDefault="00DB74FB" w:rsidP="009E66F8">
      <w:pPr>
        <w:pStyle w:val="TOC1"/>
        <w:spacing w:before="0"/>
        <w:ind w:left="0" w:firstLine="0"/>
        <w:rPr>
          <w:b w:val="0"/>
          <w:noProof/>
          <w:color w:val="01653F"/>
          <w:sz w:val="28"/>
        </w:rPr>
      </w:pPr>
    </w:p>
    <w:p w14:paraId="0A4E58A8" w14:textId="1D4F0B1B" w:rsidR="00733CF1" w:rsidRPr="00733CF1" w:rsidRDefault="00733CF1" w:rsidP="009E66F8">
      <w:pPr>
        <w:pStyle w:val="TOC1"/>
        <w:spacing w:before="0"/>
        <w:ind w:left="0" w:firstLine="0"/>
        <w:rPr>
          <w:b w:val="0"/>
          <w:noProof/>
          <w:color w:val="01653F"/>
          <w:sz w:val="28"/>
        </w:rPr>
      </w:pPr>
      <w:r w:rsidRPr="00733CF1">
        <w:rPr>
          <w:b w:val="0"/>
          <w:noProof/>
          <w:color w:val="01653F"/>
          <w:sz w:val="28"/>
        </w:rPr>
        <w:lastRenderedPageBreak/>
        <w:t>Abbreviations and acronyms</w:t>
      </w:r>
    </w:p>
    <w:tbl>
      <w:tblPr>
        <w:tblStyle w:val="TableGrid"/>
        <w:tblW w:w="0" w:type="auto"/>
        <w:tblLook w:val="04A0" w:firstRow="1" w:lastRow="0" w:firstColumn="1" w:lastColumn="0" w:noHBand="0" w:noVBand="1"/>
      </w:tblPr>
      <w:tblGrid>
        <w:gridCol w:w="3300"/>
        <w:gridCol w:w="5716"/>
      </w:tblGrid>
      <w:tr w:rsidR="0030037E" w14:paraId="032F43F8" w14:textId="77777777" w:rsidTr="00913FE4">
        <w:tc>
          <w:tcPr>
            <w:tcW w:w="3369" w:type="dxa"/>
          </w:tcPr>
          <w:p w14:paraId="7AABCE50" w14:textId="77777777" w:rsidR="0030037E" w:rsidRDefault="009840AE" w:rsidP="009840AE">
            <w:pPr>
              <w:spacing w:before="40" w:after="40" w:line="240" w:lineRule="auto"/>
              <w:rPr>
                <w:lang w:val="en-US" w:eastAsia="en-US"/>
              </w:rPr>
            </w:pPr>
            <w:r>
              <w:rPr>
                <w:lang w:val="en-US" w:eastAsia="en-US"/>
              </w:rPr>
              <w:t>Act, The</w:t>
            </w:r>
          </w:p>
        </w:tc>
        <w:tc>
          <w:tcPr>
            <w:tcW w:w="5873" w:type="dxa"/>
          </w:tcPr>
          <w:p w14:paraId="2C16D67D" w14:textId="77777777" w:rsidR="0030037E" w:rsidRPr="009840AE" w:rsidRDefault="009840AE" w:rsidP="009840AE">
            <w:pPr>
              <w:spacing w:before="40" w:after="40" w:line="240" w:lineRule="auto"/>
              <w:rPr>
                <w:i/>
                <w:lang w:val="en-US" w:eastAsia="en-US"/>
              </w:rPr>
            </w:pPr>
            <w:r w:rsidRPr="009840AE">
              <w:rPr>
                <w:i/>
                <w:lang w:val="en-US" w:eastAsia="en-US"/>
              </w:rPr>
              <w:t>Health Insurance Act 1973</w:t>
            </w:r>
          </w:p>
        </w:tc>
      </w:tr>
      <w:tr w:rsidR="009840AE" w14:paraId="5C14097D" w14:textId="77777777" w:rsidTr="00913FE4">
        <w:tc>
          <w:tcPr>
            <w:tcW w:w="3369" w:type="dxa"/>
          </w:tcPr>
          <w:p w14:paraId="474F2A4E" w14:textId="77777777" w:rsidR="009840AE" w:rsidRDefault="009840AE" w:rsidP="009840AE">
            <w:pPr>
              <w:spacing w:before="40" w:after="40" w:line="240" w:lineRule="auto"/>
              <w:rPr>
                <w:lang w:val="en-US" w:eastAsia="en-US"/>
              </w:rPr>
            </w:pPr>
            <w:r>
              <w:rPr>
                <w:lang w:val="en-US" w:eastAsia="en-US"/>
              </w:rPr>
              <w:t>Committee, the</w:t>
            </w:r>
          </w:p>
        </w:tc>
        <w:tc>
          <w:tcPr>
            <w:tcW w:w="5873" w:type="dxa"/>
          </w:tcPr>
          <w:p w14:paraId="4316C86E" w14:textId="77777777" w:rsidR="009840AE" w:rsidRDefault="009840AE" w:rsidP="009840AE">
            <w:pPr>
              <w:spacing w:before="40" w:after="40" w:line="240" w:lineRule="auto"/>
              <w:rPr>
                <w:lang w:val="en-US" w:eastAsia="en-US"/>
              </w:rPr>
            </w:pPr>
            <w:r>
              <w:rPr>
                <w:lang w:val="en-US" w:eastAsia="en-US"/>
              </w:rPr>
              <w:t>MBS Principles and Rules Committee</w:t>
            </w:r>
          </w:p>
        </w:tc>
      </w:tr>
      <w:tr w:rsidR="0030037E" w14:paraId="0F51383D" w14:textId="77777777" w:rsidTr="00913FE4">
        <w:tc>
          <w:tcPr>
            <w:tcW w:w="3369" w:type="dxa"/>
          </w:tcPr>
          <w:p w14:paraId="07BCDEF9" w14:textId="77777777" w:rsidR="0030037E" w:rsidRDefault="009840AE" w:rsidP="009840AE">
            <w:pPr>
              <w:spacing w:before="40" w:after="40" w:line="240" w:lineRule="auto"/>
              <w:rPr>
                <w:lang w:val="en-US" w:eastAsia="en-US"/>
              </w:rPr>
            </w:pPr>
            <w:r>
              <w:rPr>
                <w:lang w:val="en-US" w:eastAsia="en-US"/>
              </w:rPr>
              <w:t>Department, The</w:t>
            </w:r>
          </w:p>
        </w:tc>
        <w:tc>
          <w:tcPr>
            <w:tcW w:w="5873" w:type="dxa"/>
          </w:tcPr>
          <w:p w14:paraId="73C2B2C5" w14:textId="77777777" w:rsidR="0030037E" w:rsidRDefault="009840AE" w:rsidP="009840AE">
            <w:pPr>
              <w:spacing w:before="40" w:after="40" w:line="240" w:lineRule="auto"/>
              <w:rPr>
                <w:lang w:val="en-US" w:eastAsia="en-US"/>
              </w:rPr>
            </w:pPr>
            <w:r>
              <w:rPr>
                <w:lang w:val="en-US" w:eastAsia="en-US"/>
              </w:rPr>
              <w:t>Australian Government Department of Health</w:t>
            </w:r>
          </w:p>
        </w:tc>
      </w:tr>
      <w:tr w:rsidR="00703C24" w14:paraId="2023795D" w14:textId="77777777" w:rsidTr="00913FE4">
        <w:tc>
          <w:tcPr>
            <w:tcW w:w="3369" w:type="dxa"/>
          </w:tcPr>
          <w:p w14:paraId="39E73BA0" w14:textId="77777777" w:rsidR="00703C24" w:rsidRDefault="00703C24" w:rsidP="009840AE">
            <w:pPr>
              <w:spacing w:before="40" w:after="40" w:line="240" w:lineRule="auto"/>
              <w:rPr>
                <w:lang w:val="en-US" w:eastAsia="en-US"/>
              </w:rPr>
            </w:pPr>
            <w:r>
              <w:rPr>
                <w:lang w:val="en-US" w:eastAsia="en-US"/>
              </w:rPr>
              <w:t>CP</w:t>
            </w:r>
          </w:p>
        </w:tc>
        <w:tc>
          <w:tcPr>
            <w:tcW w:w="5873" w:type="dxa"/>
          </w:tcPr>
          <w:p w14:paraId="76E73D31" w14:textId="77777777" w:rsidR="00703C24" w:rsidRDefault="00703C24" w:rsidP="009840AE">
            <w:pPr>
              <w:spacing w:before="40" w:after="40" w:line="240" w:lineRule="auto"/>
              <w:rPr>
                <w:lang w:val="en-US" w:eastAsia="en-US"/>
              </w:rPr>
            </w:pPr>
            <w:r>
              <w:rPr>
                <w:lang w:val="en-US" w:eastAsia="en-US"/>
              </w:rPr>
              <w:t>Consultant physician</w:t>
            </w:r>
          </w:p>
        </w:tc>
      </w:tr>
      <w:tr w:rsidR="0030037E" w14:paraId="3158FDD4" w14:textId="77777777" w:rsidTr="00913FE4">
        <w:tc>
          <w:tcPr>
            <w:tcW w:w="3369" w:type="dxa"/>
          </w:tcPr>
          <w:p w14:paraId="0BF3A24E" w14:textId="77777777" w:rsidR="0030037E" w:rsidRDefault="009840AE" w:rsidP="009840AE">
            <w:pPr>
              <w:spacing w:before="40" w:after="40" w:line="240" w:lineRule="auto"/>
              <w:rPr>
                <w:lang w:val="en-US" w:eastAsia="en-US"/>
              </w:rPr>
            </w:pPr>
            <w:r>
              <w:rPr>
                <w:lang w:val="en-US" w:eastAsia="en-US"/>
              </w:rPr>
              <w:t>CSCC</w:t>
            </w:r>
          </w:p>
        </w:tc>
        <w:tc>
          <w:tcPr>
            <w:tcW w:w="5873" w:type="dxa"/>
          </w:tcPr>
          <w:p w14:paraId="1CA642AF" w14:textId="77777777" w:rsidR="0030037E" w:rsidRDefault="009840AE" w:rsidP="009840AE">
            <w:pPr>
              <w:spacing w:before="40" w:after="40" w:line="240" w:lineRule="auto"/>
              <w:rPr>
                <w:lang w:val="en-US" w:eastAsia="en-US"/>
              </w:rPr>
            </w:pPr>
            <w:r>
              <w:rPr>
                <w:lang w:val="en-US" w:eastAsia="en-US"/>
              </w:rPr>
              <w:t>Cardiac Services Clinical Committee</w:t>
            </w:r>
          </w:p>
        </w:tc>
      </w:tr>
      <w:tr w:rsidR="005C7864" w14:paraId="37C2247F" w14:textId="77777777" w:rsidTr="00913FE4">
        <w:tc>
          <w:tcPr>
            <w:tcW w:w="3369" w:type="dxa"/>
          </w:tcPr>
          <w:p w14:paraId="3E0E8814" w14:textId="77777777" w:rsidR="005C7864" w:rsidRDefault="005C7864" w:rsidP="009840AE">
            <w:pPr>
              <w:spacing w:before="40" w:after="40" w:line="240" w:lineRule="auto"/>
              <w:rPr>
                <w:lang w:val="en-US" w:eastAsia="en-US"/>
              </w:rPr>
            </w:pPr>
            <w:r>
              <w:rPr>
                <w:lang w:val="en-US" w:eastAsia="en-US"/>
              </w:rPr>
              <w:t>CT</w:t>
            </w:r>
          </w:p>
        </w:tc>
        <w:tc>
          <w:tcPr>
            <w:tcW w:w="5873" w:type="dxa"/>
          </w:tcPr>
          <w:p w14:paraId="4E874DD8" w14:textId="77777777" w:rsidR="005C7864" w:rsidRDefault="005C7864" w:rsidP="009840AE">
            <w:pPr>
              <w:spacing w:before="40" w:after="40" w:line="240" w:lineRule="auto"/>
              <w:rPr>
                <w:lang w:val="en-US" w:eastAsia="en-US"/>
              </w:rPr>
            </w:pPr>
            <w:r>
              <w:rPr>
                <w:lang w:val="en-US" w:eastAsia="en-US"/>
              </w:rPr>
              <w:t>Computed tomography</w:t>
            </w:r>
          </w:p>
        </w:tc>
      </w:tr>
      <w:tr w:rsidR="0030037E" w14:paraId="47A15778" w14:textId="77777777" w:rsidTr="00913FE4">
        <w:tc>
          <w:tcPr>
            <w:tcW w:w="3369" w:type="dxa"/>
          </w:tcPr>
          <w:p w14:paraId="2DFEEB7D" w14:textId="77777777" w:rsidR="0030037E" w:rsidRDefault="00273D81" w:rsidP="009840AE">
            <w:pPr>
              <w:spacing w:before="40" w:after="40" w:line="240" w:lineRule="auto"/>
              <w:rPr>
                <w:lang w:val="en-US" w:eastAsia="en-US"/>
              </w:rPr>
            </w:pPr>
            <w:r>
              <w:rPr>
                <w:lang w:val="en-US" w:eastAsia="en-US"/>
              </w:rPr>
              <w:t>DICC</w:t>
            </w:r>
          </w:p>
        </w:tc>
        <w:tc>
          <w:tcPr>
            <w:tcW w:w="5873" w:type="dxa"/>
          </w:tcPr>
          <w:p w14:paraId="279CDB99" w14:textId="77777777" w:rsidR="0030037E" w:rsidRDefault="00273D81" w:rsidP="009840AE">
            <w:pPr>
              <w:spacing w:before="40" w:after="40" w:line="240" w:lineRule="auto"/>
              <w:rPr>
                <w:lang w:val="en-US" w:eastAsia="en-US"/>
              </w:rPr>
            </w:pPr>
            <w:r>
              <w:rPr>
                <w:lang w:val="en-US" w:eastAsia="en-US"/>
              </w:rPr>
              <w:t>Diagnostic Imaging Clinical Committee</w:t>
            </w:r>
          </w:p>
        </w:tc>
      </w:tr>
      <w:tr w:rsidR="0030037E" w14:paraId="4108AE8C" w14:textId="77777777" w:rsidTr="00913FE4">
        <w:tc>
          <w:tcPr>
            <w:tcW w:w="3369" w:type="dxa"/>
          </w:tcPr>
          <w:p w14:paraId="13A57D19" w14:textId="77777777" w:rsidR="0030037E" w:rsidRDefault="00273D81" w:rsidP="009840AE">
            <w:pPr>
              <w:spacing w:before="40" w:after="40" w:line="240" w:lineRule="auto"/>
              <w:rPr>
                <w:lang w:val="en-US" w:eastAsia="en-US"/>
              </w:rPr>
            </w:pPr>
            <w:r>
              <w:rPr>
                <w:lang w:val="en-US" w:eastAsia="en-US"/>
              </w:rPr>
              <w:t>DIST</w:t>
            </w:r>
          </w:p>
        </w:tc>
        <w:tc>
          <w:tcPr>
            <w:tcW w:w="5873" w:type="dxa"/>
          </w:tcPr>
          <w:p w14:paraId="4EBCEE24" w14:textId="77777777" w:rsidR="0030037E" w:rsidRDefault="00273D81" w:rsidP="009840AE">
            <w:pPr>
              <w:spacing w:before="40" w:after="40" w:line="240" w:lineRule="auto"/>
              <w:rPr>
                <w:lang w:val="en-US" w:eastAsia="en-US"/>
              </w:rPr>
            </w:pPr>
            <w:r>
              <w:rPr>
                <w:lang w:val="en-US" w:eastAsia="en-US"/>
              </w:rPr>
              <w:t>Diagnostic Imaging Services Table</w:t>
            </w:r>
          </w:p>
        </w:tc>
      </w:tr>
      <w:tr w:rsidR="0030037E" w14:paraId="720ABAF4" w14:textId="77777777" w:rsidTr="00913FE4">
        <w:tc>
          <w:tcPr>
            <w:tcW w:w="3369" w:type="dxa"/>
          </w:tcPr>
          <w:p w14:paraId="051D180A" w14:textId="77777777" w:rsidR="0030037E" w:rsidRDefault="0032322B" w:rsidP="009840AE">
            <w:pPr>
              <w:spacing w:before="40" w:after="40" w:line="240" w:lineRule="auto"/>
              <w:rPr>
                <w:lang w:val="en-US" w:eastAsia="en-US"/>
              </w:rPr>
            </w:pPr>
            <w:r>
              <w:rPr>
                <w:lang w:val="en-US" w:eastAsia="en-US"/>
              </w:rPr>
              <w:t>GP</w:t>
            </w:r>
          </w:p>
        </w:tc>
        <w:tc>
          <w:tcPr>
            <w:tcW w:w="5873" w:type="dxa"/>
          </w:tcPr>
          <w:p w14:paraId="482FEFAE" w14:textId="2D4394B3" w:rsidR="0030037E" w:rsidRDefault="000C6434" w:rsidP="009840AE">
            <w:pPr>
              <w:spacing w:before="40" w:after="40" w:line="240" w:lineRule="auto"/>
              <w:rPr>
                <w:lang w:val="en-US" w:eastAsia="en-US"/>
              </w:rPr>
            </w:pPr>
            <w:r>
              <w:rPr>
                <w:lang w:val="en-US" w:eastAsia="en-US"/>
              </w:rPr>
              <w:t>General P</w:t>
            </w:r>
            <w:r w:rsidR="0032322B">
              <w:rPr>
                <w:lang w:val="en-US" w:eastAsia="en-US"/>
              </w:rPr>
              <w:t>ractitioner</w:t>
            </w:r>
          </w:p>
        </w:tc>
      </w:tr>
      <w:tr w:rsidR="009840AE" w14:paraId="7CE495CE" w14:textId="77777777" w:rsidTr="00913FE4">
        <w:tc>
          <w:tcPr>
            <w:tcW w:w="3369" w:type="dxa"/>
          </w:tcPr>
          <w:p w14:paraId="20B30D31" w14:textId="77777777" w:rsidR="009840AE" w:rsidRDefault="009840AE" w:rsidP="009840AE">
            <w:pPr>
              <w:spacing w:before="40" w:after="40" w:line="240" w:lineRule="auto"/>
              <w:rPr>
                <w:lang w:val="en-US" w:eastAsia="en-US"/>
              </w:rPr>
            </w:pPr>
            <w:r>
              <w:rPr>
                <w:lang w:val="en-US" w:eastAsia="en-US"/>
              </w:rPr>
              <w:t>GMST</w:t>
            </w:r>
          </w:p>
        </w:tc>
        <w:tc>
          <w:tcPr>
            <w:tcW w:w="5873" w:type="dxa"/>
          </w:tcPr>
          <w:p w14:paraId="100DCFAB" w14:textId="77777777" w:rsidR="009840AE" w:rsidRDefault="009840AE" w:rsidP="009840AE">
            <w:pPr>
              <w:spacing w:before="40" w:after="40" w:line="240" w:lineRule="auto"/>
              <w:rPr>
                <w:lang w:val="en-US" w:eastAsia="en-US"/>
              </w:rPr>
            </w:pPr>
            <w:r>
              <w:rPr>
                <w:lang w:val="en-US" w:eastAsia="en-US"/>
              </w:rPr>
              <w:t>General Medical Services Table</w:t>
            </w:r>
          </w:p>
        </w:tc>
      </w:tr>
      <w:tr w:rsidR="009840AE" w14:paraId="096CDDA0" w14:textId="77777777" w:rsidTr="00913FE4">
        <w:tc>
          <w:tcPr>
            <w:tcW w:w="3369" w:type="dxa"/>
          </w:tcPr>
          <w:p w14:paraId="6853F300" w14:textId="77777777" w:rsidR="009840AE" w:rsidRDefault="001D0043" w:rsidP="009840AE">
            <w:pPr>
              <w:spacing w:before="40" w:after="40" w:line="240" w:lineRule="auto"/>
              <w:rPr>
                <w:lang w:val="en-US" w:eastAsia="en-US"/>
              </w:rPr>
            </w:pPr>
            <w:r>
              <w:rPr>
                <w:lang w:val="en-US" w:eastAsia="en-US"/>
              </w:rPr>
              <w:t>MBS</w:t>
            </w:r>
          </w:p>
        </w:tc>
        <w:tc>
          <w:tcPr>
            <w:tcW w:w="5873" w:type="dxa"/>
          </w:tcPr>
          <w:p w14:paraId="779E27E1" w14:textId="77777777" w:rsidR="009840AE" w:rsidRDefault="001D0043" w:rsidP="009840AE">
            <w:pPr>
              <w:spacing w:before="40" w:after="40" w:line="240" w:lineRule="auto"/>
              <w:rPr>
                <w:lang w:val="en-US" w:eastAsia="en-US"/>
              </w:rPr>
            </w:pPr>
            <w:r>
              <w:rPr>
                <w:lang w:val="en-US" w:eastAsia="en-US"/>
              </w:rPr>
              <w:t>Medicare Benefits Schedule</w:t>
            </w:r>
          </w:p>
        </w:tc>
      </w:tr>
      <w:tr w:rsidR="001D0043" w14:paraId="0512B3EA" w14:textId="77777777" w:rsidTr="00913FE4">
        <w:tc>
          <w:tcPr>
            <w:tcW w:w="3369" w:type="dxa"/>
          </w:tcPr>
          <w:p w14:paraId="307EF268" w14:textId="77777777" w:rsidR="001D0043" w:rsidRDefault="001D0043" w:rsidP="009840AE">
            <w:pPr>
              <w:spacing w:before="40" w:after="40" w:line="240" w:lineRule="auto"/>
              <w:rPr>
                <w:lang w:val="en-US" w:eastAsia="en-US"/>
              </w:rPr>
            </w:pPr>
            <w:r>
              <w:rPr>
                <w:lang w:val="en-US" w:eastAsia="en-US"/>
              </w:rPr>
              <w:t>MSAC</w:t>
            </w:r>
          </w:p>
        </w:tc>
        <w:tc>
          <w:tcPr>
            <w:tcW w:w="5873" w:type="dxa"/>
          </w:tcPr>
          <w:p w14:paraId="11264ADD" w14:textId="77777777" w:rsidR="001D0043" w:rsidRDefault="001D0043" w:rsidP="009840AE">
            <w:pPr>
              <w:spacing w:before="40" w:after="40" w:line="240" w:lineRule="auto"/>
              <w:rPr>
                <w:lang w:val="en-US" w:eastAsia="en-US"/>
              </w:rPr>
            </w:pPr>
            <w:r>
              <w:rPr>
                <w:lang w:val="en-US" w:eastAsia="en-US"/>
              </w:rPr>
              <w:t>Medical Services Advisory Committee</w:t>
            </w:r>
          </w:p>
        </w:tc>
      </w:tr>
      <w:tr w:rsidR="009840AE" w14:paraId="604CB6D0" w14:textId="77777777" w:rsidTr="00913FE4">
        <w:tc>
          <w:tcPr>
            <w:tcW w:w="3369" w:type="dxa"/>
          </w:tcPr>
          <w:p w14:paraId="398CD141" w14:textId="77777777" w:rsidR="009840AE" w:rsidRDefault="009840AE" w:rsidP="009840AE">
            <w:pPr>
              <w:spacing w:before="40" w:after="40" w:line="240" w:lineRule="auto"/>
              <w:rPr>
                <w:lang w:val="en-US" w:eastAsia="en-US"/>
              </w:rPr>
            </w:pPr>
            <w:r>
              <w:rPr>
                <w:lang w:val="en-US" w:eastAsia="en-US"/>
              </w:rPr>
              <w:t>MSR</w:t>
            </w:r>
          </w:p>
        </w:tc>
        <w:tc>
          <w:tcPr>
            <w:tcW w:w="5873" w:type="dxa"/>
          </w:tcPr>
          <w:p w14:paraId="6A447BC2" w14:textId="77777777" w:rsidR="009840AE" w:rsidRDefault="009840AE" w:rsidP="009840AE">
            <w:pPr>
              <w:spacing w:before="40" w:after="40" w:line="240" w:lineRule="auto"/>
              <w:rPr>
                <w:lang w:val="en-US" w:eastAsia="en-US"/>
              </w:rPr>
            </w:pPr>
            <w:r>
              <w:rPr>
                <w:lang w:val="en-US" w:eastAsia="en-US"/>
              </w:rPr>
              <w:t>Multiple services rule</w:t>
            </w:r>
          </w:p>
        </w:tc>
      </w:tr>
      <w:tr w:rsidR="005C7864" w14:paraId="1B2D869A" w14:textId="77777777" w:rsidTr="00913FE4">
        <w:tc>
          <w:tcPr>
            <w:tcW w:w="3369" w:type="dxa"/>
          </w:tcPr>
          <w:p w14:paraId="7A0E34A2" w14:textId="77777777" w:rsidR="005C7864" w:rsidRDefault="005C7864" w:rsidP="009840AE">
            <w:pPr>
              <w:spacing w:before="40" w:after="40" w:line="240" w:lineRule="auto"/>
              <w:rPr>
                <w:lang w:val="en-US" w:eastAsia="en-US"/>
              </w:rPr>
            </w:pPr>
            <w:r>
              <w:rPr>
                <w:lang w:val="en-US" w:eastAsia="en-US"/>
              </w:rPr>
              <w:t>‘NR’ services</w:t>
            </w:r>
          </w:p>
        </w:tc>
        <w:tc>
          <w:tcPr>
            <w:tcW w:w="5873" w:type="dxa"/>
          </w:tcPr>
          <w:p w14:paraId="0E061A59" w14:textId="77777777" w:rsidR="005C7864" w:rsidRDefault="005C7864" w:rsidP="009840AE">
            <w:pPr>
              <w:spacing w:before="40" w:after="40" w:line="240" w:lineRule="auto"/>
              <w:rPr>
                <w:lang w:val="en-US" w:eastAsia="en-US"/>
              </w:rPr>
            </w:pPr>
            <w:r>
              <w:rPr>
                <w:lang w:val="en-US" w:eastAsia="en-US"/>
              </w:rPr>
              <w:t xml:space="preserve">Non-referred </w:t>
            </w:r>
            <w:r w:rsidR="00D73087">
              <w:rPr>
                <w:lang w:val="en-US" w:eastAsia="en-US"/>
              </w:rPr>
              <w:t xml:space="preserve">(diagnostic imaging) </w:t>
            </w:r>
            <w:r>
              <w:rPr>
                <w:lang w:val="en-US" w:eastAsia="en-US"/>
              </w:rPr>
              <w:t>services</w:t>
            </w:r>
          </w:p>
        </w:tc>
      </w:tr>
      <w:tr w:rsidR="005C7864" w14:paraId="01547BD8" w14:textId="77777777" w:rsidTr="00913FE4">
        <w:tc>
          <w:tcPr>
            <w:tcW w:w="3369" w:type="dxa"/>
          </w:tcPr>
          <w:p w14:paraId="3C917340" w14:textId="77777777" w:rsidR="005C7864" w:rsidRDefault="005C7864" w:rsidP="009840AE">
            <w:pPr>
              <w:spacing w:before="40" w:after="40" w:line="240" w:lineRule="auto"/>
              <w:rPr>
                <w:lang w:val="en-US" w:eastAsia="en-US"/>
              </w:rPr>
            </w:pPr>
            <w:r>
              <w:rPr>
                <w:lang w:val="en-US" w:eastAsia="en-US"/>
              </w:rPr>
              <w:t>‘R’ services</w:t>
            </w:r>
          </w:p>
        </w:tc>
        <w:tc>
          <w:tcPr>
            <w:tcW w:w="5873" w:type="dxa"/>
          </w:tcPr>
          <w:p w14:paraId="32FF25A8" w14:textId="77777777" w:rsidR="005C7864" w:rsidRDefault="005C7864" w:rsidP="009840AE">
            <w:pPr>
              <w:spacing w:before="40" w:after="40" w:line="240" w:lineRule="auto"/>
              <w:rPr>
                <w:lang w:val="en-US" w:eastAsia="en-US"/>
              </w:rPr>
            </w:pPr>
            <w:r>
              <w:rPr>
                <w:lang w:val="en-US" w:eastAsia="en-US"/>
              </w:rPr>
              <w:t xml:space="preserve">Referred </w:t>
            </w:r>
            <w:r w:rsidR="00D73087">
              <w:rPr>
                <w:lang w:val="en-US" w:eastAsia="en-US"/>
              </w:rPr>
              <w:t xml:space="preserve">(diagnostic imaging) </w:t>
            </w:r>
            <w:r>
              <w:rPr>
                <w:lang w:val="en-US" w:eastAsia="en-US"/>
              </w:rPr>
              <w:t>services</w:t>
            </w:r>
          </w:p>
        </w:tc>
      </w:tr>
      <w:tr w:rsidR="009840AE" w14:paraId="4A137134" w14:textId="77777777" w:rsidTr="00913FE4">
        <w:tc>
          <w:tcPr>
            <w:tcW w:w="3369" w:type="dxa"/>
          </w:tcPr>
          <w:p w14:paraId="211FD0D5" w14:textId="77777777" w:rsidR="009840AE" w:rsidRDefault="005C7864" w:rsidP="009840AE">
            <w:pPr>
              <w:spacing w:before="40" w:after="40" w:line="240" w:lineRule="auto"/>
              <w:rPr>
                <w:lang w:val="en-US" w:eastAsia="en-US"/>
              </w:rPr>
            </w:pPr>
            <w:r>
              <w:rPr>
                <w:lang w:val="en-US" w:eastAsia="en-US"/>
              </w:rPr>
              <w:t>RANZCR</w:t>
            </w:r>
          </w:p>
        </w:tc>
        <w:tc>
          <w:tcPr>
            <w:tcW w:w="5873" w:type="dxa"/>
          </w:tcPr>
          <w:p w14:paraId="5C9B3A2B" w14:textId="77777777" w:rsidR="009840AE" w:rsidRDefault="005C7864" w:rsidP="009840AE">
            <w:pPr>
              <w:spacing w:before="40" w:after="40" w:line="240" w:lineRule="auto"/>
              <w:rPr>
                <w:lang w:val="en-US" w:eastAsia="en-US"/>
              </w:rPr>
            </w:pPr>
            <w:r>
              <w:rPr>
                <w:lang w:val="en-US" w:eastAsia="en-US"/>
              </w:rPr>
              <w:t xml:space="preserve">Royal Australian and New Zealand College of </w:t>
            </w:r>
            <w:r w:rsidR="00913FE4">
              <w:rPr>
                <w:lang w:val="en-US" w:eastAsia="en-US"/>
              </w:rPr>
              <w:t>Radiologists</w:t>
            </w:r>
          </w:p>
        </w:tc>
      </w:tr>
      <w:tr w:rsidR="00862B45" w14:paraId="56040147" w14:textId="77777777" w:rsidTr="00913FE4">
        <w:tc>
          <w:tcPr>
            <w:tcW w:w="3369" w:type="dxa"/>
          </w:tcPr>
          <w:p w14:paraId="66EAB77F" w14:textId="77777777" w:rsidR="00862B45" w:rsidRDefault="00862B45" w:rsidP="009840AE">
            <w:pPr>
              <w:spacing w:before="40" w:after="40" w:line="240" w:lineRule="auto"/>
              <w:rPr>
                <w:lang w:val="en-US" w:eastAsia="en-US"/>
              </w:rPr>
            </w:pPr>
            <w:r>
              <w:rPr>
                <w:lang w:val="en-US" w:eastAsia="en-US"/>
              </w:rPr>
              <w:t>Taskforce, the</w:t>
            </w:r>
          </w:p>
        </w:tc>
        <w:tc>
          <w:tcPr>
            <w:tcW w:w="5873" w:type="dxa"/>
          </w:tcPr>
          <w:p w14:paraId="558E7AA5" w14:textId="77777777" w:rsidR="00862B45" w:rsidRDefault="00862B45" w:rsidP="009840AE">
            <w:pPr>
              <w:spacing w:before="40" w:after="40" w:line="240" w:lineRule="auto"/>
              <w:rPr>
                <w:lang w:val="en-US" w:eastAsia="en-US"/>
              </w:rPr>
            </w:pPr>
            <w:r>
              <w:rPr>
                <w:lang w:val="en-US" w:eastAsia="en-US"/>
              </w:rPr>
              <w:t>MBS Review Taskforce</w:t>
            </w:r>
          </w:p>
        </w:tc>
      </w:tr>
    </w:tbl>
    <w:p w14:paraId="46092656" w14:textId="77777777" w:rsidR="001346E6" w:rsidRDefault="001346E6" w:rsidP="00D062D6">
      <w:pPr>
        <w:sectPr w:rsidR="001346E6" w:rsidSect="008C5A4A">
          <w:headerReference w:type="default" r:id="rId9"/>
          <w:footerReference w:type="default" r:id="rId10"/>
          <w:footerReference w:type="first" r:id="rId11"/>
          <w:pgSz w:w="11906" w:h="16838"/>
          <w:pgMar w:top="1560" w:right="1440" w:bottom="1418" w:left="1440" w:header="708" w:footer="324" w:gutter="0"/>
          <w:pgNumType w:start="1"/>
          <w:cols w:space="708"/>
          <w:titlePg/>
          <w:docGrid w:linePitch="360"/>
        </w:sectPr>
      </w:pPr>
      <w:bookmarkStart w:id="3" w:name="_Toc457053403"/>
      <w:bookmarkEnd w:id="0"/>
    </w:p>
    <w:p w14:paraId="0E03F2ED" w14:textId="097B4FD0" w:rsidR="009837DB" w:rsidRPr="00B65F18" w:rsidRDefault="00465BC5" w:rsidP="00C93614">
      <w:pPr>
        <w:pStyle w:val="Heading1"/>
        <w:numPr>
          <w:ilvl w:val="0"/>
          <w:numId w:val="14"/>
        </w:numPr>
        <w:spacing w:line="240" w:lineRule="auto"/>
      </w:pPr>
      <w:bookmarkStart w:id="4" w:name="_Toc25843676"/>
      <w:bookmarkEnd w:id="3"/>
      <w:r>
        <w:lastRenderedPageBreak/>
        <w:t>Committee information</w:t>
      </w:r>
      <w:bookmarkEnd w:id="4"/>
      <w:r>
        <w:t xml:space="preserve"> </w:t>
      </w:r>
    </w:p>
    <w:p w14:paraId="42F1CABB" w14:textId="6E6B1F21" w:rsidR="000A13CD" w:rsidRPr="00B65F18" w:rsidRDefault="00BD30B6" w:rsidP="00517893">
      <w:pPr>
        <w:pStyle w:val="Heading2"/>
        <w:spacing w:before="240" w:after="120" w:line="240" w:lineRule="auto"/>
        <w:ind w:right="238"/>
      </w:pPr>
      <w:bookmarkStart w:id="5" w:name="_Toc20839918"/>
      <w:bookmarkStart w:id="6" w:name="_Toc20839967"/>
      <w:bookmarkStart w:id="7" w:name="_Toc25843677"/>
      <w:bookmarkStart w:id="8" w:name="_Toc457053408"/>
      <w:r>
        <w:t xml:space="preserve">1.1 </w:t>
      </w:r>
      <w:r w:rsidR="000A13CD">
        <w:t>The Principles and Rules Committee</w:t>
      </w:r>
      <w:bookmarkEnd w:id="5"/>
      <w:bookmarkEnd w:id="6"/>
      <w:bookmarkEnd w:id="7"/>
      <w:r w:rsidR="000A13CD">
        <w:t xml:space="preserve"> </w:t>
      </w:r>
    </w:p>
    <w:p w14:paraId="6AA6506B" w14:textId="22B61C88" w:rsidR="002469AC" w:rsidRDefault="004924AC" w:rsidP="00735C0D">
      <w:pPr>
        <w:spacing w:before="120" w:after="120" w:line="240" w:lineRule="auto"/>
        <w:ind w:right="238"/>
      </w:pPr>
      <w:r w:rsidRPr="002E1E75">
        <w:rPr>
          <w:rStyle w:val="IntenseEmphasis"/>
          <w:rFonts w:eastAsiaTheme="majorEastAsia"/>
          <w:b w:val="0"/>
          <w:i w:val="0"/>
          <w:color w:val="auto"/>
        </w:rPr>
        <w:t>The Medicare Benefits Schedule (MBS) Re</w:t>
      </w:r>
      <w:r>
        <w:rPr>
          <w:rStyle w:val="IntenseEmphasis"/>
          <w:rFonts w:eastAsiaTheme="majorEastAsia"/>
          <w:b w:val="0"/>
          <w:i w:val="0"/>
          <w:color w:val="auto"/>
        </w:rPr>
        <w:t xml:space="preserve">view Taskforce (the Taskforce) established the Principles and Rules Committee (the Committee) to assist with the Taskforce’s </w:t>
      </w:r>
      <w:r w:rsidRPr="002E1E75">
        <w:rPr>
          <w:rStyle w:val="IntenseEmphasis"/>
          <w:rFonts w:eastAsiaTheme="majorEastAsia"/>
          <w:b w:val="0"/>
          <w:i w:val="0"/>
          <w:color w:val="auto"/>
        </w:rPr>
        <w:t xml:space="preserve">programme of work </w:t>
      </w:r>
      <w:r>
        <w:rPr>
          <w:rStyle w:val="IntenseEmphasis"/>
          <w:rFonts w:eastAsiaTheme="majorEastAsia"/>
          <w:b w:val="0"/>
          <w:i w:val="0"/>
          <w:color w:val="auto"/>
        </w:rPr>
        <w:t xml:space="preserve">to consider </w:t>
      </w:r>
      <w:r w:rsidRPr="002E1E75">
        <w:rPr>
          <w:rStyle w:val="IntenseEmphasis"/>
          <w:rFonts w:eastAsiaTheme="majorEastAsia"/>
          <w:b w:val="0"/>
          <w:i w:val="0"/>
          <w:color w:val="auto"/>
        </w:rPr>
        <w:t xml:space="preserve">how more than 5,700 items on the MBS can be aligned with contemporary clinical evidence and practice and improve health outcomes for patients. </w:t>
      </w:r>
      <w:r>
        <w:rPr>
          <w:rStyle w:val="IntenseEmphasis"/>
          <w:rFonts w:eastAsiaTheme="majorEastAsia"/>
          <w:b w:val="0"/>
          <w:i w:val="0"/>
          <w:color w:val="auto"/>
        </w:rPr>
        <w:t xml:space="preserve">Specifically, the Committee assists the </w:t>
      </w:r>
      <w:r w:rsidR="00735C0D">
        <w:rPr>
          <w:rStyle w:val="IntenseEmphasis"/>
          <w:rFonts w:eastAsiaTheme="majorEastAsia"/>
          <w:b w:val="0"/>
          <w:i w:val="0"/>
          <w:color w:val="auto"/>
        </w:rPr>
        <w:t xml:space="preserve">Taskforce with: </w:t>
      </w:r>
    </w:p>
    <w:p w14:paraId="657FB164" w14:textId="69212C7F" w:rsidR="002469AC" w:rsidRDefault="002469AC" w:rsidP="00C93614">
      <w:pPr>
        <w:pStyle w:val="ListParagraph"/>
        <w:numPr>
          <w:ilvl w:val="1"/>
          <w:numId w:val="15"/>
        </w:numPr>
        <w:spacing w:before="0" w:after="0" w:line="240" w:lineRule="auto"/>
        <w:ind w:left="708" w:right="237" w:hanging="442"/>
      </w:pPr>
      <w:r w:rsidRPr="00433D23">
        <w:t>examination, and updating where appropriate, of the legislative and regulatory fra</w:t>
      </w:r>
      <w:r>
        <w:t xml:space="preserve">mework underpinning the </w:t>
      </w:r>
      <w:proofErr w:type="gramStart"/>
      <w:r>
        <w:t>MBS;</w:t>
      </w:r>
      <w:proofErr w:type="gramEnd"/>
      <w:r>
        <w:t xml:space="preserve"> </w:t>
      </w:r>
    </w:p>
    <w:p w14:paraId="76C94845" w14:textId="46A2565C" w:rsidR="002469AC" w:rsidRDefault="002469AC" w:rsidP="00C93614">
      <w:pPr>
        <w:pStyle w:val="ListParagraph"/>
        <w:numPr>
          <w:ilvl w:val="1"/>
          <w:numId w:val="15"/>
        </w:numPr>
        <w:spacing w:before="0" w:after="0" w:line="240" w:lineRule="auto"/>
        <w:ind w:left="708" w:right="237" w:hanging="442"/>
      </w:pPr>
      <w:r w:rsidRPr="00433D23">
        <w:t>broader questions about the principles, objectives and boundaries shaping the MBS’s conceptual approach and its impact in practic</w:t>
      </w:r>
      <w:r>
        <w:t>e</w:t>
      </w:r>
      <w:r w:rsidR="00DA40AC">
        <w:t>; and</w:t>
      </w:r>
    </w:p>
    <w:p w14:paraId="3D1E441B" w14:textId="3E3B9DC0" w:rsidR="00BF4A4E" w:rsidRDefault="00735C0D" w:rsidP="00C93614">
      <w:pPr>
        <w:pStyle w:val="ListParagraph"/>
        <w:numPr>
          <w:ilvl w:val="1"/>
          <w:numId w:val="15"/>
        </w:numPr>
        <w:spacing w:before="0" w:after="0" w:line="240" w:lineRule="auto"/>
        <w:ind w:left="708" w:right="237" w:hanging="442"/>
      </w:pPr>
      <w:r>
        <w:t xml:space="preserve">design of </w:t>
      </w:r>
      <w:r w:rsidR="00CE0A87" w:rsidRPr="009457A0">
        <w:t>principles to</w:t>
      </w:r>
      <w:r w:rsidR="00C12664">
        <w:t xml:space="preserve"> guide clinical c</w:t>
      </w:r>
      <w:r w:rsidR="00CE0A87" w:rsidRPr="009457A0">
        <w:t xml:space="preserve">ommittees in </w:t>
      </w:r>
      <w:r w:rsidR="00BF4A4E">
        <w:t xml:space="preserve">forming </w:t>
      </w:r>
      <w:r w:rsidR="00CE0A87" w:rsidRPr="009457A0">
        <w:t>their recommendati</w:t>
      </w:r>
      <w:r w:rsidR="00561E9C">
        <w:t>o</w:t>
      </w:r>
      <w:r w:rsidR="00BF4A4E">
        <w:t>ns</w:t>
      </w:r>
      <w:r w:rsidR="002469AC">
        <w:t>.</w:t>
      </w:r>
    </w:p>
    <w:p w14:paraId="65852C08" w14:textId="1D85F5AD" w:rsidR="00735C0D" w:rsidRPr="00B65F18" w:rsidRDefault="00BD30B6" w:rsidP="00517893">
      <w:pPr>
        <w:pStyle w:val="Heading2"/>
        <w:spacing w:before="240" w:after="120" w:line="240" w:lineRule="auto"/>
        <w:ind w:right="238"/>
      </w:pPr>
      <w:bookmarkStart w:id="9" w:name="_Toc25843678"/>
      <w:bookmarkStart w:id="10" w:name="_Toc20404367"/>
      <w:bookmarkStart w:id="11" w:name="_Toc20740410"/>
      <w:bookmarkStart w:id="12" w:name="_Toc20749004"/>
      <w:bookmarkStart w:id="13" w:name="_Toc20749320"/>
      <w:bookmarkStart w:id="14" w:name="_Toc20839919"/>
      <w:bookmarkStart w:id="15" w:name="_Toc20839968"/>
      <w:r>
        <w:t xml:space="preserve">1.2 </w:t>
      </w:r>
      <w:r w:rsidR="00735C0D" w:rsidRPr="00B65F18">
        <w:t>First report of the Principles and Rules Committee</w:t>
      </w:r>
      <w:bookmarkEnd w:id="9"/>
    </w:p>
    <w:p w14:paraId="40F7127C" w14:textId="77777777" w:rsidR="00735C0D" w:rsidRDefault="00735C0D" w:rsidP="008C5A4A">
      <w:pPr>
        <w:spacing w:before="120" w:line="240" w:lineRule="auto"/>
        <w:ind w:right="96"/>
        <w:rPr>
          <w:rFonts w:eastAsiaTheme="minorHAnsi"/>
        </w:rPr>
      </w:pPr>
      <w:r>
        <w:rPr>
          <w:rFonts w:eastAsiaTheme="minorHAnsi"/>
        </w:rPr>
        <w:t>The Committee’s first report was released for public consultation in August 2016. The finalised report provided six</w:t>
      </w:r>
      <w:bookmarkStart w:id="16" w:name="_Toc456625922"/>
      <w:r>
        <w:rPr>
          <w:rFonts w:eastAsiaTheme="minorHAnsi"/>
        </w:rPr>
        <w:t xml:space="preserve"> recommendations to Government, three of which were implemented in full on 1 November 2017 and three of which are pending Government decision.</w:t>
      </w:r>
    </w:p>
    <w:p w14:paraId="7A82339F" w14:textId="745E4CF0" w:rsidR="00735C0D" w:rsidRPr="00735C0D" w:rsidRDefault="00735C0D" w:rsidP="008C5A4A">
      <w:pPr>
        <w:spacing w:before="120" w:line="240" w:lineRule="auto"/>
        <w:ind w:right="96"/>
        <w:rPr>
          <w:rFonts w:eastAsiaTheme="minorHAnsi"/>
        </w:rPr>
      </w:pPr>
      <w:r>
        <w:rPr>
          <w:rFonts w:eastAsiaTheme="minorHAnsi"/>
        </w:rPr>
        <w:t xml:space="preserve">A summary of first report recommendations and subsequent action is provided at </w:t>
      </w:r>
      <w:r w:rsidRPr="00A559CC">
        <w:rPr>
          <w:rFonts w:eastAsiaTheme="minorHAnsi"/>
          <w:u w:val="single"/>
        </w:rPr>
        <w:t>A</w:t>
      </w:r>
      <w:r>
        <w:rPr>
          <w:rFonts w:eastAsiaTheme="minorHAnsi"/>
          <w:u w:val="single"/>
        </w:rPr>
        <w:t xml:space="preserve">ppendix </w:t>
      </w:r>
      <w:r w:rsidRPr="00A559CC">
        <w:rPr>
          <w:rFonts w:eastAsiaTheme="minorHAnsi"/>
          <w:u w:val="single"/>
        </w:rPr>
        <w:t>A</w:t>
      </w:r>
      <w:r>
        <w:rPr>
          <w:rFonts w:eastAsiaTheme="minorHAnsi"/>
        </w:rPr>
        <w:t xml:space="preserve">. </w:t>
      </w:r>
    </w:p>
    <w:p w14:paraId="68DA63D0" w14:textId="1EB3C728" w:rsidR="002469AC" w:rsidRPr="00B65F18" w:rsidRDefault="00BD30B6" w:rsidP="00517893">
      <w:pPr>
        <w:pStyle w:val="Heading2"/>
        <w:spacing w:before="240" w:after="120" w:line="240" w:lineRule="auto"/>
        <w:ind w:right="238"/>
      </w:pPr>
      <w:bookmarkStart w:id="17" w:name="_Toc25843679"/>
      <w:bookmarkEnd w:id="16"/>
      <w:r>
        <w:t xml:space="preserve">1.3 </w:t>
      </w:r>
      <w:r w:rsidR="002469AC" w:rsidRPr="00B65F18">
        <w:t>Purpose of this report</w:t>
      </w:r>
      <w:bookmarkEnd w:id="10"/>
      <w:bookmarkEnd w:id="11"/>
      <w:bookmarkEnd w:id="12"/>
      <w:bookmarkEnd w:id="13"/>
      <w:bookmarkEnd w:id="14"/>
      <w:bookmarkEnd w:id="15"/>
      <w:bookmarkEnd w:id="17"/>
    </w:p>
    <w:p w14:paraId="3DAD4355" w14:textId="077D70C9" w:rsidR="002469AC" w:rsidRPr="002469AC" w:rsidRDefault="002469AC" w:rsidP="00735C0D">
      <w:pPr>
        <w:spacing w:before="0" w:after="0" w:line="240" w:lineRule="auto"/>
        <w:ind w:right="237"/>
        <w:rPr>
          <w:rStyle w:val="IntenseEmphasis"/>
          <w:rFonts w:eastAsiaTheme="majorEastAsia"/>
          <w:b w:val="0"/>
          <w:i w:val="0"/>
          <w:color w:val="auto"/>
        </w:rPr>
      </w:pPr>
      <w:r w:rsidRPr="002469AC">
        <w:rPr>
          <w:rStyle w:val="IntenseEmphasis"/>
          <w:rFonts w:eastAsiaTheme="majorEastAsia"/>
          <w:b w:val="0"/>
          <w:i w:val="0"/>
          <w:color w:val="auto"/>
        </w:rPr>
        <w:t>This</w:t>
      </w:r>
      <w:r w:rsidR="008C5A4A">
        <w:rPr>
          <w:rStyle w:val="IntenseEmphasis"/>
          <w:rFonts w:eastAsiaTheme="majorEastAsia"/>
          <w:b w:val="0"/>
          <w:i w:val="0"/>
          <w:color w:val="auto"/>
        </w:rPr>
        <w:t>, the Committee’s</w:t>
      </w:r>
      <w:r w:rsidRPr="002469AC">
        <w:rPr>
          <w:rStyle w:val="IntenseEmphasis"/>
          <w:rFonts w:eastAsiaTheme="majorEastAsia"/>
          <w:b w:val="0"/>
          <w:i w:val="0"/>
          <w:color w:val="auto"/>
        </w:rPr>
        <w:t xml:space="preserve"> second report is not intended to be released for public consultation and is provided to the Taskforce to: </w:t>
      </w:r>
    </w:p>
    <w:p w14:paraId="7191689E" w14:textId="465614AA" w:rsidR="002469AC" w:rsidRPr="002469AC" w:rsidRDefault="002469AC" w:rsidP="00C93614">
      <w:pPr>
        <w:pStyle w:val="ListParagraph"/>
        <w:numPr>
          <w:ilvl w:val="0"/>
          <w:numId w:val="18"/>
        </w:numPr>
        <w:spacing w:after="0" w:line="240" w:lineRule="auto"/>
        <w:ind w:left="709" w:right="237" w:hanging="425"/>
        <w:rPr>
          <w:rStyle w:val="IntenseEmphasis"/>
          <w:rFonts w:eastAsiaTheme="majorEastAsia"/>
          <w:b w:val="0"/>
          <w:i w:val="0"/>
          <w:color w:val="auto"/>
        </w:rPr>
      </w:pPr>
      <w:r w:rsidRPr="002469AC">
        <w:rPr>
          <w:rStyle w:val="IntenseEmphasis"/>
          <w:rFonts w:eastAsiaTheme="majorEastAsia"/>
          <w:b w:val="0"/>
          <w:i w:val="0"/>
          <w:color w:val="auto"/>
        </w:rPr>
        <w:t>Provide transparency over point in time advice provided by the Committee to both the Taskforce and its clinical committees</w:t>
      </w:r>
      <w:r w:rsidRPr="008422E8">
        <w:rPr>
          <w:rStyle w:val="IntenseEmphasis"/>
          <w:rFonts w:eastAsiaTheme="majorEastAsia"/>
          <w:b w:val="0"/>
          <w:i w:val="0"/>
          <w:color w:val="auto"/>
        </w:rPr>
        <w:t xml:space="preserve"> (</w:t>
      </w:r>
      <w:r w:rsidR="00B400FE" w:rsidRPr="008422E8">
        <w:rPr>
          <w:rStyle w:val="IntenseEmphasis"/>
          <w:rFonts w:eastAsiaTheme="majorEastAsia"/>
          <w:b w:val="0"/>
          <w:i w:val="0"/>
          <w:color w:val="auto"/>
          <w:u w:val="single"/>
        </w:rPr>
        <w:t>Appendix B</w:t>
      </w:r>
      <w:proofErr w:type="gramStart"/>
      <w:r w:rsidR="00DA40AC">
        <w:rPr>
          <w:rStyle w:val="IntenseEmphasis"/>
          <w:rFonts w:eastAsiaTheme="majorEastAsia"/>
          <w:b w:val="0"/>
          <w:i w:val="0"/>
          <w:color w:val="auto"/>
        </w:rPr>
        <w:t>);</w:t>
      </w:r>
      <w:proofErr w:type="gramEnd"/>
      <w:r w:rsidR="00DA40AC">
        <w:rPr>
          <w:rStyle w:val="IntenseEmphasis"/>
          <w:rFonts w:eastAsiaTheme="majorEastAsia"/>
          <w:b w:val="0"/>
          <w:i w:val="0"/>
          <w:color w:val="auto"/>
        </w:rPr>
        <w:t xml:space="preserve"> </w:t>
      </w:r>
    </w:p>
    <w:p w14:paraId="129E3D7B" w14:textId="7D660564" w:rsidR="008422E8" w:rsidRDefault="002469AC" w:rsidP="00C93614">
      <w:pPr>
        <w:pStyle w:val="ListParagraph"/>
        <w:numPr>
          <w:ilvl w:val="0"/>
          <w:numId w:val="18"/>
        </w:numPr>
        <w:spacing w:after="0" w:line="240" w:lineRule="auto"/>
        <w:ind w:left="709" w:right="237" w:hanging="425"/>
        <w:rPr>
          <w:rFonts w:eastAsiaTheme="minorHAnsi"/>
        </w:rPr>
      </w:pPr>
      <w:r>
        <w:rPr>
          <w:rFonts w:eastAsiaTheme="minorHAnsi"/>
        </w:rPr>
        <w:t>D</w:t>
      </w:r>
      <w:r w:rsidRPr="00A559CC">
        <w:rPr>
          <w:rFonts w:eastAsiaTheme="minorHAnsi"/>
        </w:rPr>
        <w:t xml:space="preserve">eliver </w:t>
      </w:r>
      <w:r w:rsidR="008422E8">
        <w:rPr>
          <w:rFonts w:eastAsiaTheme="minorHAnsi"/>
        </w:rPr>
        <w:t xml:space="preserve">a recommendation and </w:t>
      </w:r>
      <w:r w:rsidRPr="00A559CC">
        <w:rPr>
          <w:rFonts w:eastAsiaTheme="minorHAnsi"/>
        </w:rPr>
        <w:t>suggestions</w:t>
      </w:r>
      <w:r w:rsidR="008422E8">
        <w:rPr>
          <w:rFonts w:eastAsiaTheme="minorHAnsi"/>
        </w:rPr>
        <w:t xml:space="preserve"> for Department of Health action; and </w:t>
      </w:r>
    </w:p>
    <w:p w14:paraId="1E404A31" w14:textId="36D4A4A1" w:rsidR="002469AC" w:rsidRPr="002469AC" w:rsidRDefault="008422E8" w:rsidP="00C93614">
      <w:pPr>
        <w:pStyle w:val="ListParagraph"/>
        <w:numPr>
          <w:ilvl w:val="0"/>
          <w:numId w:val="18"/>
        </w:numPr>
        <w:spacing w:after="0" w:line="240" w:lineRule="auto"/>
        <w:ind w:left="709" w:right="237" w:hanging="425"/>
        <w:rPr>
          <w:rFonts w:eastAsiaTheme="minorHAnsi"/>
        </w:rPr>
      </w:pPr>
      <w:r>
        <w:rPr>
          <w:rFonts w:eastAsiaTheme="minorHAnsi"/>
        </w:rPr>
        <w:t xml:space="preserve">Deliver considerations for </w:t>
      </w:r>
      <w:r w:rsidR="002469AC">
        <w:rPr>
          <w:rFonts w:eastAsiaTheme="minorHAnsi"/>
        </w:rPr>
        <w:t>future MBS </w:t>
      </w:r>
      <w:r w:rsidR="002469AC" w:rsidRPr="00A559CC">
        <w:rPr>
          <w:rFonts w:eastAsiaTheme="minorHAnsi"/>
        </w:rPr>
        <w:t>review activity</w:t>
      </w:r>
      <w:r w:rsidR="002469AC">
        <w:rPr>
          <w:rFonts w:eastAsiaTheme="minorHAnsi"/>
        </w:rPr>
        <w:t>.</w:t>
      </w:r>
      <w:r w:rsidR="002469AC" w:rsidRPr="00A559CC">
        <w:rPr>
          <w:rFonts w:eastAsiaTheme="minorHAnsi"/>
        </w:rPr>
        <w:t xml:space="preserve"> </w:t>
      </w:r>
    </w:p>
    <w:p w14:paraId="5840153C" w14:textId="57E5BA23" w:rsidR="004924AC" w:rsidRPr="00527A02" w:rsidRDefault="00BD30B6" w:rsidP="00517893">
      <w:pPr>
        <w:pStyle w:val="Heading2"/>
        <w:spacing w:before="240" w:after="120" w:line="240" w:lineRule="auto"/>
        <w:ind w:right="238"/>
      </w:pPr>
      <w:bookmarkStart w:id="18" w:name="_Toc25843680"/>
      <w:bookmarkStart w:id="19" w:name="_Toc455669872"/>
      <w:bookmarkStart w:id="20" w:name="_Toc457053414"/>
      <w:bookmarkEnd w:id="8"/>
      <w:r>
        <w:t xml:space="preserve">1.4 </w:t>
      </w:r>
      <w:r w:rsidR="004924AC">
        <w:t>Other relevant public consultation – surgical assistant services</w:t>
      </w:r>
      <w:bookmarkEnd w:id="18"/>
    </w:p>
    <w:p w14:paraId="2D7B9303" w14:textId="77777777" w:rsidR="004924AC" w:rsidRPr="00E40E1D" w:rsidRDefault="004924AC" w:rsidP="004924AC">
      <w:pPr>
        <w:spacing w:before="120" w:line="240" w:lineRule="auto"/>
        <w:ind w:right="96"/>
        <w:rPr>
          <w:bCs/>
        </w:rPr>
      </w:pPr>
      <w:r>
        <w:rPr>
          <w:bCs/>
        </w:rPr>
        <w:t xml:space="preserve">In September 2018 the Committee developed and consulted on draft principles and recommendations that </w:t>
      </w:r>
      <w:r w:rsidRPr="00E40E1D">
        <w:rPr>
          <w:bCs/>
        </w:rPr>
        <w:t xml:space="preserve">centred on </w:t>
      </w:r>
      <w:r>
        <w:rPr>
          <w:bCs/>
        </w:rPr>
        <w:t xml:space="preserve">remuneration for surgical assistants. </w:t>
      </w:r>
      <w:r w:rsidRPr="00E40E1D">
        <w:rPr>
          <w:bCs/>
        </w:rPr>
        <w:t xml:space="preserve">Over 100 submissions were received from peak bodies, individual clinicians, nurses and billing agencies during stakeholder consultation. </w:t>
      </w:r>
    </w:p>
    <w:p w14:paraId="78C3A95C" w14:textId="77777777" w:rsidR="004924AC" w:rsidRPr="00AF2997" w:rsidRDefault="004924AC" w:rsidP="004924AC">
      <w:pPr>
        <w:spacing w:before="120" w:line="240" w:lineRule="auto"/>
        <w:ind w:right="96"/>
        <w:rPr>
          <w:bCs/>
        </w:rPr>
      </w:pPr>
      <w:r>
        <w:rPr>
          <w:bCs/>
        </w:rPr>
        <w:t xml:space="preserve">Following the consultation </w:t>
      </w:r>
      <w:proofErr w:type="gramStart"/>
      <w:r>
        <w:rPr>
          <w:bCs/>
        </w:rPr>
        <w:t>period</w:t>
      </w:r>
      <w:proofErr w:type="gramEnd"/>
      <w:r>
        <w:rPr>
          <w:bCs/>
        </w:rPr>
        <w:t xml:space="preserve"> the Taskforce recommended to Government the formation of a working group to examine the issue </w:t>
      </w:r>
      <w:r w:rsidRPr="00E40E1D">
        <w:rPr>
          <w:bCs/>
        </w:rPr>
        <w:t>in greater depth</w:t>
      </w:r>
      <w:r>
        <w:rPr>
          <w:bCs/>
        </w:rPr>
        <w:t xml:space="preserve">. At the time of writing, Government decision is pending. </w:t>
      </w:r>
    </w:p>
    <w:p w14:paraId="0821D43C" w14:textId="77777777" w:rsidR="00BD30B6" w:rsidRDefault="00BD30B6">
      <w:pPr>
        <w:spacing w:before="0" w:after="0" w:line="240" w:lineRule="auto"/>
        <w:rPr>
          <w:rFonts w:eastAsiaTheme="minorHAnsi" w:cs="Arial"/>
          <w:b/>
          <w:bCs/>
          <w:color w:val="01653F"/>
          <w:kern w:val="32"/>
          <w:sz w:val="32"/>
          <w:szCs w:val="28"/>
          <w:lang w:val="en-US" w:eastAsia="en-US"/>
        </w:rPr>
      </w:pPr>
      <w:r>
        <w:br w:type="page"/>
      </w:r>
    </w:p>
    <w:p w14:paraId="4338A409" w14:textId="1E218CC3" w:rsidR="006C1EAE" w:rsidRPr="00B65F18" w:rsidRDefault="006C1EAE" w:rsidP="00C93614">
      <w:pPr>
        <w:pStyle w:val="Heading1"/>
        <w:numPr>
          <w:ilvl w:val="0"/>
          <w:numId w:val="14"/>
        </w:numPr>
        <w:spacing w:line="240" w:lineRule="auto"/>
      </w:pPr>
      <w:bookmarkStart w:id="21" w:name="_Toc25843681"/>
      <w:r w:rsidRPr="00B65F18">
        <w:lastRenderedPageBreak/>
        <w:t>Committee</w:t>
      </w:r>
      <w:r w:rsidR="00AF5671">
        <w:t xml:space="preserve"> membership</w:t>
      </w:r>
      <w:bookmarkEnd w:id="21"/>
    </w:p>
    <w:bookmarkEnd w:id="19"/>
    <w:bookmarkEnd w:id="20"/>
    <w:p w14:paraId="5FD439DC" w14:textId="77777777" w:rsidR="006C1EAE" w:rsidRPr="00B215A7" w:rsidRDefault="006C1EAE" w:rsidP="00DA40AC">
      <w:pPr>
        <w:spacing w:before="0" w:line="240" w:lineRule="auto"/>
      </w:pPr>
      <w:r w:rsidRPr="009457A0">
        <w:t>The Committee’s membership c</w:t>
      </w:r>
      <w:r>
        <w:t>omprises nine</w:t>
      </w:r>
      <w:r w:rsidRPr="009457A0">
        <w:t xml:space="preserve"> clinicians, a consumer representative, and a health policy expert, and includes two </w:t>
      </w:r>
      <w:r w:rsidRPr="00B215A7">
        <w:rPr>
          <w:i/>
        </w:rPr>
        <w:t>ex officio</w:t>
      </w:r>
      <w:r>
        <w:t xml:space="preserve"> </w:t>
      </w:r>
      <w:r w:rsidRPr="009457A0">
        <w:t xml:space="preserve">Taskforce members. </w:t>
      </w:r>
    </w:p>
    <w:p w14:paraId="6BBCA03C" w14:textId="0DA01EAC" w:rsidR="006C1EAE" w:rsidRPr="004A56C0" w:rsidRDefault="002634EB" w:rsidP="00DA40AC">
      <w:pPr>
        <w:pStyle w:val="Caption"/>
      </w:pPr>
      <w:bookmarkStart w:id="22" w:name="_Toc521674877"/>
      <w:r>
        <w:t>Table 1:</w:t>
      </w:r>
      <w:r>
        <w:tab/>
      </w:r>
      <w:r w:rsidR="006C1EAE">
        <w:t xml:space="preserve">Principles and Rules </w:t>
      </w:r>
      <w:r w:rsidR="006C1EAE" w:rsidRPr="004A56C0">
        <w:t>Committee members</w:t>
      </w:r>
      <w:bookmarkEnd w:id="22"/>
    </w:p>
    <w:tbl>
      <w:tblPr>
        <w:tblW w:w="5497" w:type="pct"/>
        <w:tblInd w:w="-284" w:type="dxa"/>
        <w:tblBorders>
          <w:top w:val="single" w:sz="4" w:space="0" w:color="B56012"/>
          <w:bottom w:val="single" w:sz="4" w:space="0" w:color="B56012"/>
          <w:insideH w:val="single" w:sz="4" w:space="0" w:color="B56012"/>
        </w:tblBorders>
        <w:tblLook w:val="04A0" w:firstRow="1" w:lastRow="0" w:firstColumn="1" w:lastColumn="0" w:noHBand="0" w:noVBand="1"/>
        <w:tblDescription w:val="Table 1 lists the committee members of the Principles and Rules Committee, including their position and any declared conflicts of interest."/>
      </w:tblPr>
      <w:tblGrid>
        <w:gridCol w:w="1844"/>
        <w:gridCol w:w="6519"/>
        <w:gridCol w:w="1560"/>
      </w:tblGrid>
      <w:tr w:rsidR="006C1EAE" w:rsidRPr="00D85630" w14:paraId="1B81A64A" w14:textId="77777777" w:rsidTr="00BD30B6">
        <w:trPr>
          <w:tblHeader/>
        </w:trPr>
        <w:tc>
          <w:tcPr>
            <w:tcW w:w="929" w:type="pct"/>
            <w:shd w:val="clear" w:color="auto" w:fill="auto"/>
            <w:vAlign w:val="center"/>
          </w:tcPr>
          <w:p w14:paraId="3E5C0C8B" w14:textId="77777777" w:rsidR="006C1EAE" w:rsidRPr="00D85630" w:rsidRDefault="006C1EAE" w:rsidP="00DA40AC">
            <w:pPr>
              <w:spacing w:before="0" w:after="0" w:line="240" w:lineRule="auto"/>
              <w:ind w:right="-45"/>
              <w:rPr>
                <w:rFonts w:cstheme="minorHAnsi"/>
                <w:b/>
                <w:sz w:val="20"/>
                <w:szCs w:val="20"/>
              </w:rPr>
            </w:pPr>
            <w:r w:rsidRPr="00D85630">
              <w:rPr>
                <w:rFonts w:cstheme="minorHAnsi"/>
                <w:b/>
                <w:color w:val="000000" w:themeColor="text1"/>
                <w:sz w:val="20"/>
                <w:szCs w:val="20"/>
              </w:rPr>
              <w:t>Name</w:t>
            </w:r>
          </w:p>
        </w:tc>
        <w:tc>
          <w:tcPr>
            <w:tcW w:w="3285" w:type="pct"/>
            <w:shd w:val="clear" w:color="auto" w:fill="auto"/>
            <w:vAlign w:val="center"/>
          </w:tcPr>
          <w:p w14:paraId="6C59F5F4" w14:textId="77777777" w:rsidR="006C1EAE" w:rsidRPr="00D85630" w:rsidRDefault="006C1EAE" w:rsidP="00DA40AC">
            <w:pPr>
              <w:spacing w:before="0" w:after="0" w:line="240" w:lineRule="auto"/>
              <w:ind w:right="-45"/>
              <w:rPr>
                <w:rFonts w:cstheme="minorHAnsi"/>
                <w:b/>
                <w:sz w:val="20"/>
                <w:szCs w:val="20"/>
              </w:rPr>
            </w:pPr>
            <w:r w:rsidRPr="00D85630">
              <w:rPr>
                <w:rFonts w:cstheme="minorHAnsi"/>
                <w:b/>
                <w:color w:val="000000" w:themeColor="text1"/>
                <w:sz w:val="20"/>
                <w:szCs w:val="20"/>
              </w:rPr>
              <w:t>Position/title</w:t>
            </w:r>
          </w:p>
        </w:tc>
        <w:tc>
          <w:tcPr>
            <w:tcW w:w="786" w:type="pct"/>
            <w:vAlign w:val="center"/>
          </w:tcPr>
          <w:p w14:paraId="523D7A17" w14:textId="1E45CAC2" w:rsidR="006C1EAE" w:rsidRPr="00D85630" w:rsidRDefault="006C1EAE" w:rsidP="00BD30B6">
            <w:pPr>
              <w:spacing w:before="0" w:after="0" w:line="240" w:lineRule="auto"/>
              <w:ind w:right="-45"/>
              <w:rPr>
                <w:rFonts w:cstheme="minorHAnsi"/>
                <w:b/>
                <w:sz w:val="20"/>
                <w:szCs w:val="20"/>
              </w:rPr>
            </w:pPr>
            <w:r w:rsidRPr="00D85630">
              <w:rPr>
                <w:rFonts w:cstheme="minorHAnsi"/>
                <w:b/>
                <w:color w:val="000000" w:themeColor="text1"/>
                <w:sz w:val="20"/>
                <w:szCs w:val="20"/>
              </w:rPr>
              <w:t>Declared conflict of interest</w:t>
            </w:r>
          </w:p>
        </w:tc>
      </w:tr>
      <w:tr w:rsidR="006C1EAE" w:rsidRPr="00D85630" w14:paraId="16E76F5F" w14:textId="77777777" w:rsidTr="00BD30B6">
        <w:trPr>
          <w:trHeight w:val="549"/>
        </w:trPr>
        <w:tc>
          <w:tcPr>
            <w:tcW w:w="929" w:type="pct"/>
            <w:hideMark/>
          </w:tcPr>
          <w:p w14:paraId="57D527DE" w14:textId="77777777" w:rsidR="006C1EAE" w:rsidRPr="00D85630" w:rsidRDefault="006C1EAE" w:rsidP="00DA40AC">
            <w:pPr>
              <w:pStyle w:val="02Tabletext"/>
              <w:spacing w:before="0" w:after="0" w:line="240" w:lineRule="auto"/>
              <w:ind w:right="-46"/>
              <w:rPr>
                <w:rFonts w:cstheme="minorHAnsi"/>
                <w:sz w:val="20"/>
                <w:szCs w:val="20"/>
              </w:rPr>
            </w:pPr>
            <w:r w:rsidRPr="00D85630">
              <w:rPr>
                <w:rFonts w:cstheme="minorHAnsi"/>
                <w:b/>
                <w:color w:val="000000" w:themeColor="text1"/>
                <w:sz w:val="20"/>
                <w:szCs w:val="20"/>
              </w:rPr>
              <w:t>Professor Michael Grigg (Chair)</w:t>
            </w:r>
          </w:p>
        </w:tc>
        <w:tc>
          <w:tcPr>
            <w:tcW w:w="3285" w:type="pct"/>
          </w:tcPr>
          <w:p w14:paraId="27675853" w14:textId="77777777" w:rsidR="006C1EAE" w:rsidRPr="00D85630" w:rsidRDefault="006C1EAE" w:rsidP="00DA40AC">
            <w:pPr>
              <w:autoSpaceDE w:val="0"/>
              <w:autoSpaceDN w:val="0"/>
              <w:adjustRightInd w:val="0"/>
              <w:spacing w:before="0" w:after="0" w:line="240" w:lineRule="auto"/>
              <w:rPr>
                <w:rFonts w:cstheme="minorHAnsi"/>
                <w:sz w:val="20"/>
                <w:szCs w:val="20"/>
              </w:rPr>
            </w:pPr>
            <w:r w:rsidRPr="00D85630">
              <w:rPr>
                <w:rFonts w:cstheme="minorHAnsi"/>
                <w:color w:val="000000" w:themeColor="text1"/>
                <w:sz w:val="20"/>
                <w:szCs w:val="20"/>
              </w:rPr>
              <w:t xml:space="preserve">Past President, Royal Australasian College of Surgeons; </w:t>
            </w:r>
            <w:r w:rsidRPr="00D85630">
              <w:rPr>
                <w:rFonts w:cstheme="minorHAnsi"/>
                <w:color w:val="000000" w:themeColor="text1"/>
                <w:sz w:val="20"/>
                <w:szCs w:val="20"/>
                <w:shd w:val="clear" w:color="auto" w:fill="FFFFFF"/>
              </w:rPr>
              <w:t xml:space="preserve">Past President, Australia and New Zealand Society of Vascular Surgery; </w:t>
            </w:r>
            <w:r w:rsidRPr="00D85630">
              <w:rPr>
                <w:rFonts w:cstheme="minorHAnsi"/>
                <w:color w:val="000000" w:themeColor="text1"/>
                <w:sz w:val="20"/>
                <w:szCs w:val="20"/>
              </w:rPr>
              <w:t>Private practitioner (vascular surgery)</w:t>
            </w:r>
          </w:p>
        </w:tc>
        <w:tc>
          <w:tcPr>
            <w:tcW w:w="786" w:type="pct"/>
          </w:tcPr>
          <w:p w14:paraId="42B4387A" w14:textId="77777777" w:rsidR="006C1EAE" w:rsidRPr="00D85630" w:rsidRDefault="006C1EAE" w:rsidP="00DA40AC">
            <w:pPr>
              <w:spacing w:before="0" w:after="0" w:line="240" w:lineRule="auto"/>
              <w:rPr>
                <w:rFonts w:cstheme="minorHAnsi"/>
                <w:sz w:val="20"/>
                <w:szCs w:val="20"/>
              </w:rPr>
            </w:pPr>
            <w:r w:rsidRPr="00D85630">
              <w:rPr>
                <w:rFonts w:cstheme="minorHAnsi"/>
                <w:sz w:val="20"/>
                <w:szCs w:val="20"/>
              </w:rPr>
              <w:t>Nil</w:t>
            </w:r>
          </w:p>
        </w:tc>
      </w:tr>
      <w:tr w:rsidR="006C1EAE" w:rsidRPr="00D85630" w14:paraId="6C9C6408" w14:textId="77777777" w:rsidTr="00BD30B6">
        <w:trPr>
          <w:trHeight w:val="549"/>
        </w:trPr>
        <w:tc>
          <w:tcPr>
            <w:tcW w:w="929" w:type="pct"/>
          </w:tcPr>
          <w:p w14:paraId="47A85B30" w14:textId="77777777" w:rsidR="006C1EAE" w:rsidRPr="00D85630" w:rsidRDefault="006C1EAE" w:rsidP="00DA40AC">
            <w:pPr>
              <w:autoSpaceDE w:val="0"/>
              <w:autoSpaceDN w:val="0"/>
              <w:adjustRightInd w:val="0"/>
              <w:spacing w:before="0" w:after="0" w:line="240" w:lineRule="auto"/>
              <w:rPr>
                <w:rFonts w:cstheme="minorHAnsi"/>
                <w:b/>
                <w:color w:val="000000" w:themeColor="text1"/>
                <w:sz w:val="20"/>
                <w:szCs w:val="20"/>
              </w:rPr>
            </w:pPr>
            <w:r w:rsidRPr="00D85630">
              <w:rPr>
                <w:rFonts w:cstheme="minorHAnsi"/>
                <w:b/>
                <w:color w:val="000000" w:themeColor="text1"/>
                <w:sz w:val="20"/>
                <w:szCs w:val="20"/>
              </w:rPr>
              <w:t>Associate Professor Lourens Bester</w:t>
            </w:r>
          </w:p>
        </w:tc>
        <w:tc>
          <w:tcPr>
            <w:tcW w:w="3285" w:type="pct"/>
          </w:tcPr>
          <w:p w14:paraId="20BF2BD0" w14:textId="77777777" w:rsidR="006C1EAE" w:rsidRPr="00D85630" w:rsidRDefault="006C1EAE" w:rsidP="00DA40AC">
            <w:pPr>
              <w:autoSpaceDE w:val="0"/>
              <w:autoSpaceDN w:val="0"/>
              <w:adjustRightInd w:val="0"/>
              <w:spacing w:before="0" w:after="0" w:line="240" w:lineRule="auto"/>
              <w:rPr>
                <w:rFonts w:cstheme="minorHAnsi"/>
                <w:color w:val="000000" w:themeColor="text1"/>
                <w:sz w:val="20"/>
                <w:szCs w:val="20"/>
              </w:rPr>
            </w:pPr>
            <w:r w:rsidRPr="00D85630">
              <w:rPr>
                <w:rFonts w:cstheme="minorHAnsi"/>
                <w:color w:val="000000" w:themeColor="text1"/>
                <w:sz w:val="20"/>
                <w:szCs w:val="20"/>
              </w:rPr>
              <w:t>Interventional radiologist</w:t>
            </w:r>
          </w:p>
        </w:tc>
        <w:tc>
          <w:tcPr>
            <w:tcW w:w="786" w:type="pct"/>
          </w:tcPr>
          <w:p w14:paraId="61008933" w14:textId="3BB2A172" w:rsidR="006C1EAE" w:rsidRPr="00D85630" w:rsidRDefault="006351B0" w:rsidP="00DA40AC">
            <w:pPr>
              <w:spacing w:before="0" w:after="0" w:line="240" w:lineRule="auto"/>
              <w:rPr>
                <w:rFonts w:cstheme="minorHAnsi"/>
                <w:sz w:val="20"/>
                <w:szCs w:val="20"/>
              </w:rPr>
            </w:pPr>
            <w:r>
              <w:rPr>
                <w:rFonts w:cstheme="minorHAnsi"/>
                <w:sz w:val="20"/>
                <w:szCs w:val="20"/>
              </w:rPr>
              <w:t>Nil</w:t>
            </w:r>
          </w:p>
        </w:tc>
      </w:tr>
      <w:tr w:rsidR="006C1EAE" w:rsidRPr="00D85630" w14:paraId="3C3DC11B" w14:textId="77777777" w:rsidTr="00BD30B6">
        <w:trPr>
          <w:trHeight w:val="229"/>
        </w:trPr>
        <w:tc>
          <w:tcPr>
            <w:tcW w:w="929" w:type="pct"/>
            <w:hideMark/>
          </w:tcPr>
          <w:p w14:paraId="46B6866F" w14:textId="77777777" w:rsidR="006C1EAE" w:rsidRPr="00D85630" w:rsidRDefault="006C1EAE" w:rsidP="00DA40AC">
            <w:pPr>
              <w:autoSpaceDE w:val="0"/>
              <w:autoSpaceDN w:val="0"/>
              <w:adjustRightInd w:val="0"/>
              <w:spacing w:before="0" w:after="0" w:line="240" w:lineRule="auto"/>
              <w:rPr>
                <w:rFonts w:cstheme="minorHAnsi"/>
                <w:sz w:val="20"/>
                <w:szCs w:val="20"/>
              </w:rPr>
            </w:pPr>
            <w:r w:rsidRPr="00D85630">
              <w:rPr>
                <w:rFonts w:cstheme="minorHAnsi"/>
                <w:b/>
                <w:color w:val="000000" w:themeColor="text1"/>
                <w:sz w:val="20"/>
                <w:szCs w:val="20"/>
              </w:rPr>
              <w:t xml:space="preserve">Dr Penny Browne </w:t>
            </w:r>
          </w:p>
        </w:tc>
        <w:tc>
          <w:tcPr>
            <w:tcW w:w="3285" w:type="pct"/>
          </w:tcPr>
          <w:p w14:paraId="63503028" w14:textId="5D4016AD" w:rsidR="006C1EAE" w:rsidRPr="00D85630" w:rsidRDefault="008422E8" w:rsidP="00DA40AC">
            <w:pPr>
              <w:autoSpaceDE w:val="0"/>
              <w:autoSpaceDN w:val="0"/>
              <w:adjustRightInd w:val="0"/>
              <w:spacing w:before="0" w:after="0" w:line="240" w:lineRule="auto"/>
              <w:rPr>
                <w:rFonts w:cstheme="minorHAnsi"/>
                <w:sz w:val="20"/>
                <w:szCs w:val="20"/>
              </w:rPr>
            </w:pPr>
            <w:r>
              <w:rPr>
                <w:rFonts w:cstheme="minorHAnsi"/>
                <w:color w:val="000000" w:themeColor="text1"/>
                <w:sz w:val="20"/>
                <w:szCs w:val="20"/>
              </w:rPr>
              <w:t>General P</w:t>
            </w:r>
            <w:r w:rsidR="006C1EAE" w:rsidRPr="00D85630">
              <w:rPr>
                <w:rFonts w:cstheme="minorHAnsi"/>
                <w:color w:val="000000" w:themeColor="text1"/>
                <w:sz w:val="20"/>
                <w:szCs w:val="20"/>
              </w:rPr>
              <w:t>ractitioner; Chief Medical Officer, Avant Mutual Group Ltd</w:t>
            </w:r>
          </w:p>
        </w:tc>
        <w:tc>
          <w:tcPr>
            <w:tcW w:w="786" w:type="pct"/>
          </w:tcPr>
          <w:p w14:paraId="16545496" w14:textId="77777777" w:rsidR="006C1EAE" w:rsidRPr="00D85630" w:rsidRDefault="006C1EAE" w:rsidP="00DA40AC">
            <w:pPr>
              <w:spacing w:before="0" w:after="0" w:line="240" w:lineRule="auto"/>
              <w:rPr>
                <w:rFonts w:cstheme="minorHAnsi"/>
                <w:sz w:val="20"/>
                <w:szCs w:val="20"/>
              </w:rPr>
            </w:pPr>
            <w:r w:rsidRPr="00D85630">
              <w:rPr>
                <w:rFonts w:cstheme="minorHAnsi"/>
                <w:sz w:val="20"/>
                <w:szCs w:val="20"/>
              </w:rPr>
              <w:t>Nil</w:t>
            </w:r>
          </w:p>
        </w:tc>
      </w:tr>
      <w:tr w:rsidR="006C1EAE" w:rsidRPr="00D85630" w14:paraId="573752B4" w14:textId="77777777" w:rsidTr="00BD30B6">
        <w:trPr>
          <w:trHeight w:val="423"/>
        </w:trPr>
        <w:tc>
          <w:tcPr>
            <w:tcW w:w="929" w:type="pct"/>
            <w:hideMark/>
          </w:tcPr>
          <w:p w14:paraId="2825EEA5" w14:textId="77777777" w:rsidR="006C1EAE" w:rsidRPr="00D85630" w:rsidRDefault="006C1EAE" w:rsidP="00DA40AC">
            <w:pPr>
              <w:pStyle w:val="02Tabletext"/>
              <w:spacing w:before="0" w:after="0" w:line="240" w:lineRule="auto"/>
              <w:ind w:right="-46"/>
              <w:rPr>
                <w:rFonts w:cstheme="minorHAnsi"/>
                <w:sz w:val="20"/>
                <w:szCs w:val="20"/>
              </w:rPr>
            </w:pPr>
            <w:r w:rsidRPr="00D85630">
              <w:rPr>
                <w:rFonts w:cstheme="minorHAnsi"/>
                <w:b/>
                <w:color w:val="000000" w:themeColor="text1"/>
                <w:sz w:val="20"/>
                <w:szCs w:val="20"/>
              </w:rPr>
              <w:t xml:space="preserve">Dr Eleanor Chew </w:t>
            </w:r>
          </w:p>
        </w:tc>
        <w:tc>
          <w:tcPr>
            <w:tcW w:w="3285" w:type="pct"/>
          </w:tcPr>
          <w:p w14:paraId="5240EE81" w14:textId="18937AC4" w:rsidR="006C1EAE" w:rsidRPr="00D85630" w:rsidRDefault="006C1EAE" w:rsidP="00DA40AC">
            <w:pPr>
              <w:autoSpaceDE w:val="0"/>
              <w:autoSpaceDN w:val="0"/>
              <w:adjustRightInd w:val="0"/>
              <w:spacing w:before="0" w:after="0" w:line="240" w:lineRule="auto"/>
              <w:rPr>
                <w:rFonts w:cstheme="minorHAnsi"/>
                <w:sz w:val="20"/>
                <w:szCs w:val="20"/>
              </w:rPr>
            </w:pPr>
            <w:r w:rsidRPr="00D85630">
              <w:rPr>
                <w:sz w:val="20"/>
                <w:szCs w:val="20"/>
              </w:rPr>
              <w:t>G</w:t>
            </w:r>
            <w:r w:rsidR="008422E8">
              <w:rPr>
                <w:sz w:val="20"/>
                <w:szCs w:val="20"/>
              </w:rPr>
              <w:t xml:space="preserve">eneral </w:t>
            </w:r>
            <w:r w:rsidRPr="00D85630">
              <w:rPr>
                <w:sz w:val="20"/>
                <w:szCs w:val="20"/>
              </w:rPr>
              <w:t>P</w:t>
            </w:r>
            <w:r w:rsidR="008422E8">
              <w:rPr>
                <w:sz w:val="20"/>
                <w:szCs w:val="20"/>
              </w:rPr>
              <w:t>ractitioner</w:t>
            </w:r>
            <w:r w:rsidR="000C6434">
              <w:rPr>
                <w:sz w:val="20"/>
                <w:szCs w:val="20"/>
              </w:rPr>
              <w:t>; Member, MBS Review Taskforce; M</w:t>
            </w:r>
            <w:r w:rsidRPr="00D85630">
              <w:rPr>
                <w:sz w:val="20"/>
                <w:szCs w:val="20"/>
              </w:rPr>
              <w:t>ember, Professional Service Review Committee; Board member, Australian Digital Health Agency; Board member, General Practice Training Queensland; Clinical Lead, Integrated Care, Sonic Clinical Services; Member, RACGP Queensland; Member, AMAQ Council of General Practice; Member, Diagnostic Imaging Advisory Committee; Member, General Practice Mental Health Standards Collaboration</w:t>
            </w:r>
          </w:p>
        </w:tc>
        <w:tc>
          <w:tcPr>
            <w:tcW w:w="786" w:type="pct"/>
          </w:tcPr>
          <w:p w14:paraId="200ABE68" w14:textId="77777777" w:rsidR="006C1EAE" w:rsidRPr="00D85630" w:rsidRDefault="006C1EAE" w:rsidP="00DA40AC">
            <w:pPr>
              <w:spacing w:before="0" w:after="0" w:line="240" w:lineRule="auto"/>
              <w:rPr>
                <w:rFonts w:cstheme="minorHAnsi"/>
                <w:sz w:val="20"/>
                <w:szCs w:val="20"/>
              </w:rPr>
            </w:pPr>
            <w:r w:rsidRPr="00D85630">
              <w:rPr>
                <w:sz w:val="20"/>
                <w:szCs w:val="20"/>
              </w:rPr>
              <w:t>Positions held in organisations listed.</w:t>
            </w:r>
          </w:p>
        </w:tc>
      </w:tr>
      <w:tr w:rsidR="006C1EAE" w:rsidRPr="00D85630" w14:paraId="7F865004" w14:textId="77777777" w:rsidTr="00BD30B6">
        <w:trPr>
          <w:trHeight w:val="211"/>
        </w:trPr>
        <w:tc>
          <w:tcPr>
            <w:tcW w:w="929" w:type="pct"/>
            <w:hideMark/>
          </w:tcPr>
          <w:p w14:paraId="006CA2B4" w14:textId="77777777" w:rsidR="006C1EAE" w:rsidRPr="00D85630" w:rsidRDefault="006C1EAE" w:rsidP="00DA40AC">
            <w:pPr>
              <w:autoSpaceDE w:val="0"/>
              <w:autoSpaceDN w:val="0"/>
              <w:adjustRightInd w:val="0"/>
              <w:spacing w:before="0" w:after="0" w:line="240" w:lineRule="auto"/>
              <w:rPr>
                <w:rFonts w:cstheme="minorHAnsi"/>
                <w:b/>
                <w:color w:val="000000" w:themeColor="text1"/>
                <w:sz w:val="20"/>
                <w:szCs w:val="20"/>
              </w:rPr>
            </w:pPr>
            <w:r w:rsidRPr="00D85630">
              <w:rPr>
                <w:rFonts w:cstheme="minorHAnsi"/>
                <w:b/>
                <w:color w:val="000000" w:themeColor="text1"/>
                <w:sz w:val="20"/>
                <w:szCs w:val="20"/>
              </w:rPr>
              <w:t xml:space="preserve">Dr Michael </w:t>
            </w:r>
            <w:proofErr w:type="spellStart"/>
            <w:r w:rsidRPr="00D85630">
              <w:rPr>
                <w:rFonts w:cstheme="minorHAnsi"/>
                <w:b/>
                <w:color w:val="000000" w:themeColor="text1"/>
                <w:sz w:val="20"/>
                <w:szCs w:val="20"/>
              </w:rPr>
              <w:t>Coglin</w:t>
            </w:r>
            <w:proofErr w:type="spellEnd"/>
          </w:p>
        </w:tc>
        <w:tc>
          <w:tcPr>
            <w:tcW w:w="3285" w:type="pct"/>
          </w:tcPr>
          <w:p w14:paraId="62AA88AA" w14:textId="77777777" w:rsidR="006C1EAE" w:rsidRPr="00D85630" w:rsidRDefault="006C1EAE" w:rsidP="00DA40AC">
            <w:pPr>
              <w:pStyle w:val="02Tabletext"/>
              <w:spacing w:before="0" w:after="0" w:line="240" w:lineRule="auto"/>
              <w:ind w:right="-46"/>
              <w:rPr>
                <w:rFonts w:cstheme="minorHAnsi"/>
                <w:sz w:val="20"/>
                <w:szCs w:val="20"/>
              </w:rPr>
            </w:pPr>
            <w:r w:rsidRPr="00D85630">
              <w:rPr>
                <w:rFonts w:cstheme="minorHAnsi"/>
                <w:color w:val="000000" w:themeColor="text1"/>
                <w:sz w:val="20"/>
                <w:szCs w:val="20"/>
              </w:rPr>
              <w:t>Chief Medical Officer, Healthscope Ltd</w:t>
            </w:r>
          </w:p>
        </w:tc>
        <w:tc>
          <w:tcPr>
            <w:tcW w:w="786" w:type="pct"/>
          </w:tcPr>
          <w:p w14:paraId="4349C138" w14:textId="77777777" w:rsidR="006C1EAE" w:rsidRPr="00D85630" w:rsidRDefault="006C1EAE" w:rsidP="00DA40AC">
            <w:pPr>
              <w:spacing w:before="0" w:after="0" w:line="240" w:lineRule="auto"/>
              <w:rPr>
                <w:rFonts w:cstheme="minorHAnsi"/>
                <w:sz w:val="20"/>
                <w:szCs w:val="20"/>
              </w:rPr>
            </w:pPr>
            <w:r w:rsidRPr="00D85630">
              <w:rPr>
                <w:rFonts w:cstheme="minorHAnsi"/>
                <w:sz w:val="20"/>
                <w:szCs w:val="20"/>
              </w:rPr>
              <w:t>Nil</w:t>
            </w:r>
          </w:p>
        </w:tc>
      </w:tr>
      <w:tr w:rsidR="006C1EAE" w:rsidRPr="00D85630" w14:paraId="43BDB8FB" w14:textId="77777777" w:rsidTr="00BD30B6">
        <w:trPr>
          <w:trHeight w:val="788"/>
        </w:trPr>
        <w:tc>
          <w:tcPr>
            <w:tcW w:w="929" w:type="pct"/>
            <w:hideMark/>
          </w:tcPr>
          <w:p w14:paraId="15E4343C" w14:textId="77777777" w:rsidR="00DA40AC" w:rsidRDefault="006C1EAE" w:rsidP="00DA40AC">
            <w:pPr>
              <w:autoSpaceDE w:val="0"/>
              <w:autoSpaceDN w:val="0"/>
              <w:adjustRightInd w:val="0"/>
              <w:spacing w:before="0" w:after="0" w:line="240" w:lineRule="auto"/>
              <w:rPr>
                <w:rFonts w:cstheme="minorHAnsi"/>
                <w:b/>
                <w:color w:val="000000" w:themeColor="text1"/>
                <w:sz w:val="20"/>
                <w:szCs w:val="20"/>
              </w:rPr>
            </w:pPr>
            <w:r w:rsidRPr="00D85630">
              <w:rPr>
                <w:rFonts w:cstheme="minorHAnsi"/>
                <w:b/>
                <w:color w:val="000000" w:themeColor="text1"/>
                <w:sz w:val="20"/>
                <w:szCs w:val="20"/>
              </w:rPr>
              <w:t xml:space="preserve">Professor Adam </w:t>
            </w:r>
            <w:proofErr w:type="spellStart"/>
            <w:r w:rsidRPr="00D85630">
              <w:rPr>
                <w:rFonts w:cstheme="minorHAnsi"/>
                <w:b/>
                <w:color w:val="000000" w:themeColor="text1"/>
                <w:sz w:val="20"/>
                <w:szCs w:val="20"/>
              </w:rPr>
              <w:t>Elshaug</w:t>
            </w:r>
            <w:proofErr w:type="spellEnd"/>
            <w:r w:rsidRPr="00D85630">
              <w:rPr>
                <w:rFonts w:cstheme="minorHAnsi"/>
                <w:b/>
                <w:color w:val="000000" w:themeColor="text1"/>
                <w:sz w:val="20"/>
                <w:szCs w:val="20"/>
              </w:rPr>
              <w:t xml:space="preserve"> </w:t>
            </w:r>
          </w:p>
          <w:p w14:paraId="5EB89F04" w14:textId="79046987" w:rsidR="006C1EAE" w:rsidRPr="00D85630" w:rsidRDefault="006C1EAE" w:rsidP="00DA40AC">
            <w:pPr>
              <w:autoSpaceDE w:val="0"/>
              <w:autoSpaceDN w:val="0"/>
              <w:adjustRightInd w:val="0"/>
              <w:spacing w:before="0" w:after="0" w:line="240" w:lineRule="auto"/>
              <w:rPr>
                <w:rFonts w:cstheme="minorHAnsi"/>
                <w:sz w:val="20"/>
                <w:szCs w:val="20"/>
              </w:rPr>
            </w:pPr>
            <w:r w:rsidRPr="00D85630">
              <w:rPr>
                <w:rFonts w:cstheme="minorHAnsi"/>
                <w:color w:val="000000" w:themeColor="text1"/>
                <w:sz w:val="20"/>
                <w:szCs w:val="20"/>
              </w:rPr>
              <w:t>(</w:t>
            </w:r>
            <w:r w:rsidRPr="00D85630">
              <w:rPr>
                <w:rFonts w:cstheme="minorHAnsi"/>
                <w:i/>
                <w:color w:val="000000" w:themeColor="text1"/>
                <w:sz w:val="20"/>
                <w:szCs w:val="20"/>
              </w:rPr>
              <w:t>ex officio</w:t>
            </w:r>
            <w:r w:rsidRPr="00D85630">
              <w:rPr>
                <w:rFonts w:cstheme="minorHAnsi"/>
                <w:color w:val="000000" w:themeColor="text1"/>
                <w:sz w:val="20"/>
                <w:szCs w:val="20"/>
              </w:rPr>
              <w:t>)</w:t>
            </w:r>
          </w:p>
        </w:tc>
        <w:tc>
          <w:tcPr>
            <w:tcW w:w="3285" w:type="pct"/>
          </w:tcPr>
          <w:p w14:paraId="6BB93624" w14:textId="77777777" w:rsidR="006C1EAE" w:rsidRPr="00D85630" w:rsidRDefault="006C1EAE" w:rsidP="00DA40AC">
            <w:pPr>
              <w:autoSpaceDE w:val="0"/>
              <w:autoSpaceDN w:val="0"/>
              <w:adjustRightInd w:val="0"/>
              <w:spacing w:before="0" w:after="0" w:line="240" w:lineRule="auto"/>
              <w:rPr>
                <w:rFonts w:cstheme="minorHAnsi"/>
                <w:sz w:val="20"/>
                <w:szCs w:val="20"/>
              </w:rPr>
            </w:pPr>
            <w:r w:rsidRPr="00D85630">
              <w:rPr>
                <w:rFonts w:cstheme="minorHAnsi"/>
                <w:color w:val="000000" w:themeColor="text1"/>
                <w:sz w:val="20"/>
                <w:szCs w:val="20"/>
              </w:rPr>
              <w:t xml:space="preserve">Professor of Health Policy; </w:t>
            </w:r>
            <w:r w:rsidRPr="00D85630">
              <w:rPr>
                <w:rStyle w:val="Emphasis"/>
                <w:rFonts w:cstheme="minorHAnsi"/>
                <w:color w:val="000000" w:themeColor="text1"/>
                <w:sz w:val="20"/>
                <w:szCs w:val="20"/>
                <w:shd w:val="clear" w:color="auto" w:fill="FFFFFF"/>
              </w:rPr>
              <w:t>HCF Research Foundation Professorial Research Fellow; Co-Director, Menzies Centre for Health Policy, School of Public Health</w:t>
            </w:r>
            <w:r w:rsidRPr="00D85630" w:rsidDel="0098334B">
              <w:rPr>
                <w:rFonts w:cstheme="minorHAnsi"/>
                <w:color w:val="000000" w:themeColor="text1"/>
                <w:sz w:val="20"/>
                <w:szCs w:val="20"/>
              </w:rPr>
              <w:t xml:space="preserve"> </w:t>
            </w:r>
          </w:p>
        </w:tc>
        <w:tc>
          <w:tcPr>
            <w:tcW w:w="786" w:type="pct"/>
          </w:tcPr>
          <w:p w14:paraId="3B5EED2D" w14:textId="77777777" w:rsidR="006C1EAE" w:rsidRPr="00D85630" w:rsidRDefault="006C1EAE" w:rsidP="00DA40AC">
            <w:pPr>
              <w:spacing w:before="0" w:after="0" w:line="240" w:lineRule="auto"/>
              <w:rPr>
                <w:rFonts w:cstheme="minorHAnsi"/>
                <w:sz w:val="20"/>
                <w:szCs w:val="20"/>
              </w:rPr>
            </w:pPr>
            <w:r w:rsidRPr="00D85630">
              <w:rPr>
                <w:rFonts w:cstheme="minorHAnsi"/>
                <w:sz w:val="20"/>
                <w:szCs w:val="20"/>
              </w:rPr>
              <w:t>Nil</w:t>
            </w:r>
          </w:p>
        </w:tc>
      </w:tr>
      <w:tr w:rsidR="006C1EAE" w:rsidRPr="00D85630" w14:paraId="2FD3C543" w14:textId="77777777" w:rsidTr="00BD30B6">
        <w:trPr>
          <w:trHeight w:val="1009"/>
        </w:trPr>
        <w:tc>
          <w:tcPr>
            <w:tcW w:w="929" w:type="pct"/>
            <w:hideMark/>
          </w:tcPr>
          <w:p w14:paraId="606E42A8" w14:textId="77777777" w:rsidR="006C1EAE" w:rsidRPr="00D85630" w:rsidRDefault="006C1EAE" w:rsidP="00DA40AC">
            <w:pPr>
              <w:autoSpaceDE w:val="0"/>
              <w:autoSpaceDN w:val="0"/>
              <w:adjustRightInd w:val="0"/>
              <w:spacing w:before="0" w:after="0" w:line="240" w:lineRule="auto"/>
              <w:rPr>
                <w:rFonts w:cstheme="minorHAnsi"/>
                <w:sz w:val="20"/>
                <w:szCs w:val="20"/>
              </w:rPr>
            </w:pPr>
            <w:r w:rsidRPr="00D85630">
              <w:rPr>
                <w:rFonts w:cstheme="minorHAnsi"/>
                <w:b/>
                <w:color w:val="000000" w:themeColor="text1"/>
                <w:sz w:val="20"/>
                <w:szCs w:val="20"/>
              </w:rPr>
              <w:t xml:space="preserve">Associate Professor Alex </w:t>
            </w:r>
            <w:proofErr w:type="spellStart"/>
            <w:r w:rsidRPr="00D85630">
              <w:rPr>
                <w:rFonts w:cstheme="minorHAnsi"/>
                <w:b/>
                <w:color w:val="000000" w:themeColor="text1"/>
                <w:sz w:val="20"/>
                <w:szCs w:val="20"/>
              </w:rPr>
              <w:t>Hunyor</w:t>
            </w:r>
            <w:proofErr w:type="spellEnd"/>
          </w:p>
        </w:tc>
        <w:tc>
          <w:tcPr>
            <w:tcW w:w="3285" w:type="pct"/>
          </w:tcPr>
          <w:p w14:paraId="01002032" w14:textId="43FAD5E0" w:rsidR="006C1EAE" w:rsidRPr="00D85630" w:rsidRDefault="006C1EAE" w:rsidP="00DA40AC">
            <w:pPr>
              <w:autoSpaceDE w:val="0"/>
              <w:autoSpaceDN w:val="0"/>
              <w:adjustRightInd w:val="0"/>
              <w:spacing w:before="0" w:after="0" w:line="240" w:lineRule="auto"/>
              <w:rPr>
                <w:rFonts w:cstheme="minorHAnsi"/>
                <w:sz w:val="20"/>
                <w:szCs w:val="20"/>
              </w:rPr>
            </w:pPr>
            <w:r w:rsidRPr="00D85630">
              <w:rPr>
                <w:rFonts w:cstheme="minorHAnsi"/>
                <w:color w:val="000000" w:themeColor="text1"/>
                <w:sz w:val="20"/>
                <w:szCs w:val="20"/>
              </w:rPr>
              <w:t>Associate Professor of Ophthalmology, University of Sydney; Director, Retina Associates; Previous Chair and current Member, Medicare Advisory Committee, Royal Australian &amp; New Zealand Coll</w:t>
            </w:r>
            <w:r w:rsidR="000C6434">
              <w:rPr>
                <w:rFonts w:cstheme="minorHAnsi"/>
                <w:color w:val="000000" w:themeColor="text1"/>
                <w:sz w:val="20"/>
                <w:szCs w:val="20"/>
              </w:rPr>
              <w:t>ege of Ophthalmologists; Board M</w:t>
            </w:r>
            <w:r w:rsidRPr="00D85630">
              <w:rPr>
                <w:rFonts w:cstheme="minorHAnsi"/>
                <w:color w:val="000000" w:themeColor="text1"/>
                <w:sz w:val="20"/>
                <w:szCs w:val="20"/>
              </w:rPr>
              <w:t>ember, Australian Society of Ophthalmologists; Chair, Medical Committee, Macular Disease Foundation Australia</w:t>
            </w:r>
          </w:p>
        </w:tc>
        <w:tc>
          <w:tcPr>
            <w:tcW w:w="786" w:type="pct"/>
          </w:tcPr>
          <w:p w14:paraId="7CDFC69F" w14:textId="77777777" w:rsidR="006C1EAE" w:rsidRPr="00D85630" w:rsidRDefault="006C1EAE" w:rsidP="00DA40AC">
            <w:pPr>
              <w:spacing w:before="0" w:after="0" w:line="240" w:lineRule="auto"/>
              <w:rPr>
                <w:rFonts w:cstheme="minorHAnsi"/>
                <w:sz w:val="20"/>
                <w:szCs w:val="20"/>
              </w:rPr>
            </w:pPr>
            <w:r w:rsidRPr="00D85630">
              <w:rPr>
                <w:rFonts w:cstheme="minorHAnsi"/>
                <w:sz w:val="20"/>
                <w:szCs w:val="20"/>
              </w:rPr>
              <w:t>Nil</w:t>
            </w:r>
          </w:p>
        </w:tc>
      </w:tr>
      <w:tr w:rsidR="006C1EAE" w:rsidRPr="00D85630" w14:paraId="64799E03" w14:textId="77777777" w:rsidTr="00BD30B6">
        <w:trPr>
          <w:trHeight w:val="503"/>
        </w:trPr>
        <w:tc>
          <w:tcPr>
            <w:tcW w:w="929" w:type="pct"/>
          </w:tcPr>
          <w:p w14:paraId="6A437853" w14:textId="77777777" w:rsidR="006C1EAE" w:rsidRPr="00D85630" w:rsidRDefault="006C1EAE" w:rsidP="00DA40AC">
            <w:pPr>
              <w:autoSpaceDE w:val="0"/>
              <w:autoSpaceDN w:val="0"/>
              <w:adjustRightInd w:val="0"/>
              <w:spacing w:before="0" w:after="0" w:line="240" w:lineRule="auto"/>
              <w:rPr>
                <w:rFonts w:cstheme="minorHAnsi"/>
                <w:sz w:val="20"/>
                <w:szCs w:val="20"/>
              </w:rPr>
            </w:pPr>
            <w:r w:rsidRPr="00D85630">
              <w:rPr>
                <w:rFonts w:cstheme="minorHAnsi"/>
                <w:b/>
                <w:color w:val="000000" w:themeColor="text1"/>
                <w:sz w:val="20"/>
                <w:szCs w:val="20"/>
              </w:rPr>
              <w:t>Dr Gerard Ingham</w:t>
            </w:r>
          </w:p>
        </w:tc>
        <w:tc>
          <w:tcPr>
            <w:tcW w:w="3285" w:type="pct"/>
          </w:tcPr>
          <w:p w14:paraId="396BF1F4" w14:textId="69C1B587" w:rsidR="006C1EAE" w:rsidRPr="00D85630" w:rsidRDefault="000C6434" w:rsidP="00DA40AC">
            <w:pPr>
              <w:autoSpaceDE w:val="0"/>
              <w:autoSpaceDN w:val="0"/>
              <w:adjustRightInd w:val="0"/>
              <w:spacing w:before="0" w:after="0" w:line="240" w:lineRule="auto"/>
              <w:rPr>
                <w:rFonts w:cstheme="minorHAnsi"/>
                <w:sz w:val="20"/>
                <w:szCs w:val="20"/>
              </w:rPr>
            </w:pPr>
            <w:r>
              <w:rPr>
                <w:rFonts w:cstheme="minorHAnsi"/>
                <w:color w:val="000000" w:themeColor="text1"/>
                <w:sz w:val="20"/>
                <w:szCs w:val="20"/>
              </w:rPr>
              <w:t>Rural General P</w:t>
            </w:r>
            <w:r w:rsidR="006C1EAE" w:rsidRPr="00D85630">
              <w:rPr>
                <w:rFonts w:cstheme="minorHAnsi"/>
                <w:color w:val="000000" w:themeColor="text1"/>
                <w:sz w:val="20"/>
                <w:szCs w:val="20"/>
              </w:rPr>
              <w:t>ractitioner; Member, Professional Services Review</w:t>
            </w:r>
          </w:p>
        </w:tc>
        <w:tc>
          <w:tcPr>
            <w:tcW w:w="786" w:type="pct"/>
          </w:tcPr>
          <w:p w14:paraId="7D2DE365" w14:textId="77777777" w:rsidR="006C1EAE" w:rsidRPr="00D85630" w:rsidRDefault="006C1EAE" w:rsidP="00DA40AC">
            <w:pPr>
              <w:spacing w:before="0" w:after="0" w:line="240" w:lineRule="auto"/>
              <w:rPr>
                <w:rFonts w:cstheme="minorHAnsi"/>
                <w:sz w:val="20"/>
                <w:szCs w:val="20"/>
              </w:rPr>
            </w:pPr>
            <w:r w:rsidRPr="00D85630">
              <w:rPr>
                <w:rFonts w:cstheme="minorHAnsi"/>
                <w:sz w:val="20"/>
                <w:szCs w:val="20"/>
              </w:rPr>
              <w:t>Nil</w:t>
            </w:r>
          </w:p>
        </w:tc>
      </w:tr>
      <w:tr w:rsidR="006C1EAE" w:rsidRPr="00D85630" w14:paraId="2ECCFB6E" w14:textId="77777777" w:rsidTr="00BD30B6">
        <w:trPr>
          <w:trHeight w:val="251"/>
        </w:trPr>
        <w:tc>
          <w:tcPr>
            <w:tcW w:w="929" w:type="pct"/>
          </w:tcPr>
          <w:p w14:paraId="28AFD0E7" w14:textId="50BCB257" w:rsidR="006C1EAE" w:rsidRPr="00D85630" w:rsidRDefault="006C1EAE" w:rsidP="00DA40AC">
            <w:pPr>
              <w:autoSpaceDE w:val="0"/>
              <w:autoSpaceDN w:val="0"/>
              <w:adjustRightInd w:val="0"/>
              <w:spacing w:before="0" w:after="0" w:line="240" w:lineRule="auto"/>
              <w:rPr>
                <w:rFonts w:cstheme="minorHAnsi"/>
                <w:b/>
                <w:color w:val="000000" w:themeColor="text1"/>
                <w:sz w:val="20"/>
                <w:szCs w:val="20"/>
              </w:rPr>
            </w:pPr>
            <w:r w:rsidRPr="00D85630">
              <w:rPr>
                <w:rFonts w:cstheme="minorHAnsi"/>
                <w:b/>
                <w:color w:val="000000" w:themeColor="text1"/>
                <w:sz w:val="20"/>
                <w:szCs w:val="20"/>
              </w:rPr>
              <w:t>Ms Debra Kay</w:t>
            </w:r>
            <w:r w:rsidR="0005615C">
              <w:rPr>
                <w:rFonts w:cstheme="minorHAnsi"/>
                <w:b/>
                <w:color w:val="000000" w:themeColor="text1"/>
                <w:sz w:val="20"/>
                <w:szCs w:val="20"/>
              </w:rPr>
              <w:t xml:space="preserve"> PSM</w:t>
            </w:r>
          </w:p>
        </w:tc>
        <w:tc>
          <w:tcPr>
            <w:tcW w:w="3285" w:type="pct"/>
          </w:tcPr>
          <w:p w14:paraId="7BEDF266" w14:textId="11A9BFAF" w:rsidR="006C1EAE" w:rsidRPr="00D85630" w:rsidRDefault="006C1EAE" w:rsidP="00DA40AC">
            <w:pPr>
              <w:spacing w:before="0" w:after="0" w:line="240" w:lineRule="auto"/>
              <w:ind w:right="-46"/>
              <w:rPr>
                <w:rFonts w:cstheme="minorHAnsi"/>
                <w:sz w:val="20"/>
                <w:szCs w:val="20"/>
              </w:rPr>
            </w:pPr>
            <w:r w:rsidRPr="00D85630">
              <w:rPr>
                <w:rFonts w:cstheme="minorHAnsi"/>
                <w:color w:val="000000" w:themeColor="text1"/>
                <w:sz w:val="20"/>
                <w:szCs w:val="20"/>
              </w:rPr>
              <w:t>Consumer representative</w:t>
            </w:r>
            <w:r w:rsidR="0005615C">
              <w:rPr>
                <w:rFonts w:cstheme="minorHAnsi"/>
                <w:color w:val="000000" w:themeColor="text1"/>
                <w:sz w:val="20"/>
                <w:szCs w:val="20"/>
              </w:rPr>
              <w:t xml:space="preserve">; Member, Medical Services Advisory Committee and Health Technology Assessment Consumer Consultative Committee </w:t>
            </w:r>
          </w:p>
        </w:tc>
        <w:tc>
          <w:tcPr>
            <w:tcW w:w="786" w:type="pct"/>
          </w:tcPr>
          <w:p w14:paraId="72793401" w14:textId="77777777" w:rsidR="006C1EAE" w:rsidRPr="00D85630" w:rsidRDefault="006C1EAE" w:rsidP="00DA40AC">
            <w:pPr>
              <w:spacing w:before="0" w:after="0" w:line="240" w:lineRule="auto"/>
              <w:rPr>
                <w:rFonts w:cstheme="minorHAnsi"/>
                <w:sz w:val="20"/>
                <w:szCs w:val="20"/>
              </w:rPr>
            </w:pPr>
            <w:r w:rsidRPr="00D85630">
              <w:rPr>
                <w:rFonts w:cstheme="minorHAnsi"/>
                <w:sz w:val="20"/>
                <w:szCs w:val="20"/>
              </w:rPr>
              <w:t>Nil</w:t>
            </w:r>
          </w:p>
        </w:tc>
      </w:tr>
      <w:tr w:rsidR="006C1EAE" w:rsidRPr="00D85630" w14:paraId="4FFCA5BE" w14:textId="77777777" w:rsidTr="00BD30B6">
        <w:tc>
          <w:tcPr>
            <w:tcW w:w="929" w:type="pct"/>
          </w:tcPr>
          <w:p w14:paraId="08D6888D" w14:textId="5B875E01" w:rsidR="006C1EAE" w:rsidRPr="00D85630" w:rsidRDefault="006C1EAE" w:rsidP="00DA40AC">
            <w:pPr>
              <w:pStyle w:val="02Tabletext"/>
              <w:spacing w:before="0" w:after="0" w:line="240" w:lineRule="auto"/>
              <w:ind w:right="-46"/>
              <w:rPr>
                <w:rFonts w:cstheme="minorHAnsi"/>
                <w:sz w:val="20"/>
                <w:szCs w:val="20"/>
              </w:rPr>
            </w:pPr>
            <w:r w:rsidRPr="00D85630">
              <w:rPr>
                <w:rFonts w:cstheme="minorHAnsi"/>
                <w:b/>
                <w:color w:val="000000" w:themeColor="text1"/>
                <w:sz w:val="20"/>
                <w:szCs w:val="20"/>
              </w:rPr>
              <w:t xml:space="preserve">Dr Matthew McConnell </w:t>
            </w:r>
            <w:r w:rsidRPr="00D85630">
              <w:rPr>
                <w:rFonts w:cstheme="minorHAnsi"/>
                <w:color w:val="000000" w:themeColor="text1"/>
                <w:sz w:val="20"/>
                <w:szCs w:val="20"/>
              </w:rPr>
              <w:t>(</w:t>
            </w:r>
            <w:r w:rsidR="00BD30B6">
              <w:rPr>
                <w:rFonts w:cstheme="minorHAnsi"/>
                <w:i/>
                <w:color w:val="000000" w:themeColor="text1"/>
                <w:sz w:val="20"/>
                <w:szCs w:val="20"/>
              </w:rPr>
              <w:t>ex </w:t>
            </w:r>
            <w:r w:rsidRPr="00D85630">
              <w:rPr>
                <w:rFonts w:cstheme="minorHAnsi"/>
                <w:i/>
                <w:color w:val="000000" w:themeColor="text1"/>
                <w:sz w:val="20"/>
                <w:szCs w:val="20"/>
              </w:rPr>
              <w:t>officio</w:t>
            </w:r>
            <w:r w:rsidRPr="00D85630">
              <w:rPr>
                <w:rFonts w:cstheme="minorHAnsi"/>
                <w:color w:val="000000" w:themeColor="text1"/>
                <w:sz w:val="20"/>
                <w:szCs w:val="20"/>
              </w:rPr>
              <w:t>)</w:t>
            </w:r>
          </w:p>
        </w:tc>
        <w:tc>
          <w:tcPr>
            <w:tcW w:w="3285" w:type="pct"/>
          </w:tcPr>
          <w:p w14:paraId="294137AE" w14:textId="77777777" w:rsidR="006C1EAE" w:rsidRPr="00D85630" w:rsidRDefault="006C1EAE" w:rsidP="00DA40AC">
            <w:pPr>
              <w:autoSpaceDE w:val="0"/>
              <w:autoSpaceDN w:val="0"/>
              <w:adjustRightInd w:val="0"/>
              <w:spacing w:before="0" w:after="0" w:line="240" w:lineRule="auto"/>
              <w:rPr>
                <w:rFonts w:cstheme="minorHAnsi"/>
                <w:sz w:val="20"/>
                <w:szCs w:val="20"/>
              </w:rPr>
            </w:pPr>
            <w:r w:rsidRPr="00D85630">
              <w:rPr>
                <w:rFonts w:cstheme="minorHAnsi"/>
                <w:color w:val="000000" w:themeColor="text1"/>
                <w:sz w:val="20"/>
                <w:szCs w:val="20"/>
              </w:rPr>
              <w:t>Public health physician; Clinical Planning Team, Country Health SA Local Health Network</w:t>
            </w:r>
          </w:p>
        </w:tc>
        <w:tc>
          <w:tcPr>
            <w:tcW w:w="786" w:type="pct"/>
          </w:tcPr>
          <w:p w14:paraId="4601D95D" w14:textId="77777777" w:rsidR="006C1EAE" w:rsidRPr="00D85630" w:rsidRDefault="006C1EAE" w:rsidP="00DA40AC">
            <w:pPr>
              <w:spacing w:before="0" w:after="0" w:line="240" w:lineRule="auto"/>
              <w:rPr>
                <w:rFonts w:cstheme="minorHAnsi"/>
                <w:sz w:val="20"/>
                <w:szCs w:val="20"/>
              </w:rPr>
            </w:pPr>
            <w:r w:rsidRPr="00D85630">
              <w:rPr>
                <w:rFonts w:cstheme="minorHAnsi"/>
                <w:sz w:val="20"/>
                <w:szCs w:val="20"/>
              </w:rPr>
              <w:t>Nil</w:t>
            </w:r>
          </w:p>
        </w:tc>
      </w:tr>
      <w:tr w:rsidR="006C1EAE" w:rsidRPr="00D85630" w14:paraId="2B141B61" w14:textId="77777777" w:rsidTr="00BD30B6">
        <w:trPr>
          <w:trHeight w:val="767"/>
        </w:trPr>
        <w:tc>
          <w:tcPr>
            <w:tcW w:w="929" w:type="pct"/>
          </w:tcPr>
          <w:p w14:paraId="2A6F4583" w14:textId="77777777" w:rsidR="006C1EAE" w:rsidRPr="00D85630" w:rsidRDefault="006C1EAE" w:rsidP="00DA40AC">
            <w:pPr>
              <w:autoSpaceDE w:val="0"/>
              <w:autoSpaceDN w:val="0"/>
              <w:adjustRightInd w:val="0"/>
              <w:spacing w:before="0" w:after="0" w:line="240" w:lineRule="auto"/>
              <w:rPr>
                <w:rFonts w:cstheme="minorHAnsi"/>
                <w:sz w:val="20"/>
                <w:szCs w:val="20"/>
              </w:rPr>
            </w:pPr>
            <w:r w:rsidRPr="00D85630">
              <w:rPr>
                <w:rFonts w:cstheme="minorHAnsi"/>
                <w:b/>
                <w:color w:val="000000" w:themeColor="text1"/>
                <w:sz w:val="20"/>
                <w:szCs w:val="20"/>
              </w:rPr>
              <w:t xml:space="preserve">Associate Professor Ken </w:t>
            </w:r>
            <w:proofErr w:type="spellStart"/>
            <w:r w:rsidRPr="00D85630">
              <w:rPr>
                <w:rFonts w:cstheme="minorHAnsi"/>
                <w:b/>
                <w:color w:val="000000" w:themeColor="text1"/>
                <w:sz w:val="20"/>
                <w:szCs w:val="20"/>
              </w:rPr>
              <w:t>Sikaris</w:t>
            </w:r>
            <w:proofErr w:type="spellEnd"/>
          </w:p>
        </w:tc>
        <w:tc>
          <w:tcPr>
            <w:tcW w:w="3285" w:type="pct"/>
          </w:tcPr>
          <w:p w14:paraId="09CA841E" w14:textId="77777777" w:rsidR="006C1EAE" w:rsidRPr="00D85630" w:rsidRDefault="006C1EAE" w:rsidP="00DA40AC">
            <w:pPr>
              <w:autoSpaceDE w:val="0"/>
              <w:autoSpaceDN w:val="0"/>
              <w:adjustRightInd w:val="0"/>
              <w:spacing w:before="0" w:after="0" w:line="240" w:lineRule="auto"/>
              <w:rPr>
                <w:rFonts w:cstheme="minorHAnsi"/>
                <w:sz w:val="20"/>
                <w:szCs w:val="20"/>
              </w:rPr>
            </w:pPr>
            <w:r w:rsidRPr="00D85630">
              <w:rPr>
                <w:rFonts w:cstheme="minorHAnsi"/>
                <w:color w:val="000000" w:themeColor="text1"/>
                <w:sz w:val="20"/>
                <w:szCs w:val="20"/>
              </w:rPr>
              <w:t>Chemical pathologist, Melbourne Pathology; Director of Clinical Support Systems, Sonic Healthcare; Associate Professor, Pathology, University of Melbourne</w:t>
            </w:r>
          </w:p>
        </w:tc>
        <w:tc>
          <w:tcPr>
            <w:tcW w:w="786" w:type="pct"/>
          </w:tcPr>
          <w:p w14:paraId="393B17FD" w14:textId="77777777" w:rsidR="006C1EAE" w:rsidRPr="00D85630" w:rsidRDefault="006C1EAE" w:rsidP="00DA40AC">
            <w:pPr>
              <w:spacing w:before="0" w:after="0" w:line="240" w:lineRule="auto"/>
              <w:rPr>
                <w:rFonts w:cstheme="minorHAnsi"/>
                <w:sz w:val="20"/>
                <w:szCs w:val="20"/>
              </w:rPr>
            </w:pPr>
            <w:r w:rsidRPr="00D85630">
              <w:rPr>
                <w:rFonts w:cstheme="minorHAnsi"/>
                <w:sz w:val="20"/>
                <w:szCs w:val="20"/>
              </w:rPr>
              <w:t>Nil</w:t>
            </w:r>
          </w:p>
        </w:tc>
      </w:tr>
    </w:tbl>
    <w:p w14:paraId="5233D48B" w14:textId="16E5770F" w:rsidR="006C1EAE" w:rsidRPr="00B65F18" w:rsidRDefault="006C1EAE" w:rsidP="00DA40AC">
      <w:pPr>
        <w:pStyle w:val="Heading2"/>
        <w:spacing w:line="240" w:lineRule="auto"/>
      </w:pPr>
      <w:bookmarkStart w:id="23" w:name="_Toc519867726"/>
      <w:bookmarkStart w:id="24" w:name="_Toc7695303"/>
      <w:bookmarkStart w:id="25" w:name="_Toc19273918"/>
      <w:bookmarkStart w:id="26" w:name="_Toc20404369"/>
      <w:bookmarkStart w:id="27" w:name="_Toc20740412"/>
      <w:bookmarkStart w:id="28" w:name="_Toc20749006"/>
      <w:bookmarkStart w:id="29" w:name="_Toc20749322"/>
      <w:bookmarkStart w:id="30" w:name="_Toc20839921"/>
      <w:bookmarkStart w:id="31" w:name="_Toc20839970"/>
      <w:bookmarkStart w:id="32" w:name="_Toc20907222"/>
      <w:bookmarkStart w:id="33" w:name="_Toc22120820"/>
      <w:bookmarkStart w:id="34" w:name="_Toc25843682"/>
      <w:bookmarkStart w:id="35" w:name="_Toc505843878"/>
      <w:r w:rsidRPr="00B65F18">
        <w:t>Conflicts of interest</w:t>
      </w:r>
      <w:bookmarkEnd w:id="23"/>
      <w:bookmarkEnd w:id="24"/>
      <w:bookmarkEnd w:id="25"/>
      <w:bookmarkEnd w:id="26"/>
      <w:bookmarkEnd w:id="27"/>
      <w:bookmarkEnd w:id="28"/>
      <w:bookmarkEnd w:id="29"/>
      <w:bookmarkEnd w:id="30"/>
      <w:bookmarkEnd w:id="31"/>
      <w:bookmarkEnd w:id="32"/>
      <w:bookmarkEnd w:id="33"/>
      <w:bookmarkEnd w:id="34"/>
    </w:p>
    <w:p w14:paraId="71DACDD7" w14:textId="37C6CB40" w:rsidR="006C1EAE" w:rsidRDefault="006C1EAE" w:rsidP="002058BC">
      <w:pPr>
        <w:spacing w:line="240" w:lineRule="auto"/>
        <w:ind w:right="95"/>
      </w:pPr>
      <w:r w:rsidRPr="00E72750">
        <w:t xml:space="preserve">All members of the </w:t>
      </w:r>
      <w:r>
        <w:t>Committee we</w:t>
      </w:r>
      <w:r w:rsidRPr="00E72750">
        <w:t xml:space="preserve">re asked to declare any conflicts of interest at the </w:t>
      </w:r>
      <w:r>
        <w:t>start of their involvement and we</w:t>
      </w:r>
      <w:r w:rsidRPr="00E72750">
        <w:t>re reminded to update their declarations periodically.</w:t>
      </w:r>
      <w:r>
        <w:t xml:space="preserve"> </w:t>
      </w:r>
      <w:r w:rsidRPr="005631FB">
        <w:t>A complete list of declared conflicts of interest can be viewed</w:t>
      </w:r>
      <w:r w:rsidR="005E4536">
        <w:t xml:space="preserve"> in </w:t>
      </w:r>
      <w:r w:rsidR="006D788A">
        <w:t>the table above</w:t>
      </w:r>
      <w:r w:rsidRPr="005631FB">
        <w:t xml:space="preserve">. </w:t>
      </w:r>
    </w:p>
    <w:p w14:paraId="7217A9F6" w14:textId="77777777" w:rsidR="006C1EAE" w:rsidRDefault="006C1EAE" w:rsidP="002058BC">
      <w:pPr>
        <w:spacing w:line="240" w:lineRule="auto"/>
        <w:ind w:right="95"/>
      </w:pPr>
      <w:r w:rsidRPr="004D1B38">
        <w:t xml:space="preserve">It is </w:t>
      </w:r>
      <w:r>
        <w:t xml:space="preserve">noted that </w:t>
      </w:r>
      <w:proofErr w:type="gramStart"/>
      <w:r>
        <w:t>the majority of</w:t>
      </w:r>
      <w:proofErr w:type="gramEnd"/>
      <w:r>
        <w:t xml:space="preserve"> the participants in the MBS Review</w:t>
      </w:r>
      <w:r w:rsidRPr="004D1B38">
        <w:t xml:space="preserve"> share a common conflict of interest</w:t>
      </w:r>
      <w:r>
        <w:t>,</w:t>
      </w:r>
      <w:r w:rsidRPr="004D1B38">
        <w:t xml:space="preserve"> in reviewing items that are a so</w:t>
      </w:r>
      <w:r>
        <w:t>urce of revenue for them (i.e. c</w:t>
      </w:r>
      <w:r w:rsidRPr="004D1B38">
        <w:t xml:space="preserve">ommittee members claim the </w:t>
      </w:r>
      <w:r>
        <w:t xml:space="preserve">MBS </w:t>
      </w:r>
      <w:r w:rsidRPr="004D1B38">
        <w:t xml:space="preserve">items under review). </w:t>
      </w:r>
    </w:p>
    <w:p w14:paraId="6707A205" w14:textId="6E0D1469" w:rsidR="006D788A" w:rsidRPr="00BD30B6" w:rsidRDefault="006C1EAE" w:rsidP="00BD30B6">
      <w:pPr>
        <w:spacing w:line="240" w:lineRule="auto"/>
        <w:ind w:right="95"/>
      </w:pPr>
      <w:r w:rsidRPr="004D1B38">
        <w:t>This conflict is inherent in a clinician-led process and</w:t>
      </w:r>
      <w:r>
        <w:t>,</w:t>
      </w:r>
      <w:r w:rsidRPr="004D1B38">
        <w:t xml:space="preserve"> h</w:t>
      </w:r>
      <w:r>
        <w:t xml:space="preserve">aving been acknowledged by the Committee and the </w:t>
      </w:r>
      <w:r w:rsidRPr="004D1B38">
        <w:t xml:space="preserve">Taskforce, it </w:t>
      </w:r>
      <w:r>
        <w:t>was</w:t>
      </w:r>
      <w:r w:rsidRPr="004D1B38">
        <w:t xml:space="preserve"> agreed that this should not prevent a clinician from participating in the review.</w:t>
      </w:r>
      <w:bookmarkEnd w:id="35"/>
      <w:r w:rsidR="006D788A">
        <w:br w:type="page"/>
      </w:r>
    </w:p>
    <w:p w14:paraId="06556D91" w14:textId="39A349DC" w:rsidR="00C204DC" w:rsidRPr="00B65F18" w:rsidRDefault="00103DD5" w:rsidP="007245CE">
      <w:pPr>
        <w:pStyle w:val="Heading1"/>
        <w:numPr>
          <w:ilvl w:val="0"/>
          <w:numId w:val="14"/>
        </w:numPr>
        <w:spacing w:line="240" w:lineRule="auto"/>
      </w:pPr>
      <w:bookmarkStart w:id="36" w:name="_Toc25843683"/>
      <w:r>
        <w:lastRenderedPageBreak/>
        <w:t>Guiding p</w:t>
      </w:r>
      <w:r w:rsidR="006C1EAE" w:rsidRPr="00B65F18">
        <w:t>rinciples</w:t>
      </w:r>
      <w:bookmarkEnd w:id="36"/>
      <w:r w:rsidR="006C1EAE" w:rsidRPr="00B65F18">
        <w:t xml:space="preserve"> </w:t>
      </w:r>
    </w:p>
    <w:p w14:paraId="1468F1A9" w14:textId="50C6B149" w:rsidR="001676DA" w:rsidRDefault="00FA00F9" w:rsidP="002058BC">
      <w:pPr>
        <w:spacing w:line="240" w:lineRule="auto"/>
        <w:ind w:right="95"/>
      </w:pPr>
      <w:bookmarkStart w:id="37" w:name="_Toc456625923"/>
      <w:r>
        <w:t xml:space="preserve">Since </w:t>
      </w:r>
      <w:r w:rsidR="006C6B2F">
        <w:t xml:space="preserve">inception </w:t>
      </w:r>
      <w:r>
        <w:t xml:space="preserve">the Committee </w:t>
      </w:r>
      <w:r w:rsidRPr="00FA00F9">
        <w:t xml:space="preserve">has </w:t>
      </w:r>
      <w:r>
        <w:t xml:space="preserve">continued to articulate and adopt </w:t>
      </w:r>
      <w:r w:rsidRPr="00FA00F9">
        <w:t>principles about the intent</w:t>
      </w:r>
      <w:r>
        <w:t xml:space="preserve"> of the MBS</w:t>
      </w:r>
      <w:r w:rsidR="00674999">
        <w:t xml:space="preserve"> and</w:t>
      </w:r>
      <w:r>
        <w:t xml:space="preserve"> the medical </w:t>
      </w:r>
      <w:r w:rsidRPr="00FA00F9">
        <w:t xml:space="preserve">practices it </w:t>
      </w:r>
      <w:r>
        <w:t>endorses</w:t>
      </w:r>
      <w:r w:rsidR="000A13CD">
        <w:t>,</w:t>
      </w:r>
      <w:r w:rsidR="00222EAD">
        <w:t xml:space="preserve"> to </w:t>
      </w:r>
      <w:r w:rsidR="00674999">
        <w:t xml:space="preserve">achieve </w:t>
      </w:r>
      <w:r w:rsidR="00BE44A9">
        <w:t>real patient</w:t>
      </w:r>
      <w:r w:rsidR="00BE44A9">
        <w:noBreakHyphen/>
      </w:r>
      <w:r w:rsidR="00674999">
        <w:t>centred care</w:t>
      </w:r>
      <w:r w:rsidRPr="00FA00F9">
        <w:t>.</w:t>
      </w:r>
      <w:r>
        <w:t xml:space="preserve"> </w:t>
      </w:r>
    </w:p>
    <w:p w14:paraId="6F632120" w14:textId="3B3B8BF4" w:rsidR="002C7590" w:rsidRDefault="006C6B2F" w:rsidP="002058BC">
      <w:pPr>
        <w:spacing w:line="240" w:lineRule="auto"/>
        <w:ind w:right="95"/>
      </w:pPr>
      <w:r>
        <w:t>The following</w:t>
      </w:r>
      <w:r w:rsidR="00FC7D33">
        <w:t xml:space="preserve"> principles </w:t>
      </w:r>
      <w:r w:rsidR="000A13CD">
        <w:t xml:space="preserve">are intrinsic to </w:t>
      </w:r>
      <w:r>
        <w:t xml:space="preserve">all </w:t>
      </w:r>
      <w:r w:rsidR="00FA00F9">
        <w:t xml:space="preserve">Committee </w:t>
      </w:r>
      <w:r>
        <w:t xml:space="preserve">deliberations, providing a </w:t>
      </w:r>
      <w:r w:rsidR="00FC7D33">
        <w:t>foundation for the Committee’s advic</w:t>
      </w:r>
      <w:r>
        <w:t>e</w:t>
      </w:r>
      <w:r w:rsidR="002C7590" w:rsidRPr="00B215A7">
        <w:t>.</w:t>
      </w:r>
    </w:p>
    <w:p w14:paraId="48FAA9E2" w14:textId="5CA6D2A8" w:rsidR="00FA00F9" w:rsidRDefault="00BD30B6" w:rsidP="00BD30B6">
      <w:pPr>
        <w:pStyle w:val="Heading2"/>
        <w:spacing w:before="240" w:line="240" w:lineRule="auto"/>
        <w:ind w:right="96"/>
      </w:pPr>
      <w:bookmarkStart w:id="38" w:name="_Toc528313767"/>
      <w:bookmarkStart w:id="39" w:name="_Toc20907545"/>
      <w:bookmarkStart w:id="40" w:name="_Toc20908414"/>
      <w:bookmarkStart w:id="41" w:name="_Toc20914347"/>
      <w:bookmarkStart w:id="42" w:name="_Toc25843684"/>
      <w:r>
        <w:t xml:space="preserve">3.1 </w:t>
      </w:r>
      <w:r w:rsidR="00FA00F9">
        <w:t>MBS</w:t>
      </w:r>
      <w:bookmarkEnd w:id="38"/>
      <w:r w:rsidR="005F7C2B">
        <w:t xml:space="preserve"> function</w:t>
      </w:r>
      <w:bookmarkEnd w:id="39"/>
      <w:bookmarkEnd w:id="40"/>
      <w:bookmarkEnd w:id="41"/>
      <w:bookmarkEnd w:id="42"/>
      <w:r w:rsidR="00EE19E4">
        <w:t xml:space="preserve"> </w:t>
      </w:r>
    </w:p>
    <w:p w14:paraId="53541440" w14:textId="77777777" w:rsidR="00674999" w:rsidRPr="00674999" w:rsidRDefault="00674999" w:rsidP="002058BC">
      <w:pPr>
        <w:spacing w:line="240" w:lineRule="auto"/>
        <w:ind w:right="95"/>
        <w:rPr>
          <w:lang w:val="en-US" w:eastAsia="en-US"/>
        </w:rPr>
      </w:pPr>
      <w:r>
        <w:rPr>
          <w:lang w:val="en-US" w:eastAsia="en-US"/>
        </w:rPr>
        <w:t xml:space="preserve">The </w:t>
      </w:r>
      <w:r w:rsidR="00EE19E4">
        <w:rPr>
          <w:lang w:val="en-US" w:eastAsia="en-US"/>
        </w:rPr>
        <w:t xml:space="preserve">Committee maintains that the </w:t>
      </w:r>
      <w:r>
        <w:rPr>
          <w:lang w:val="en-US" w:eastAsia="en-US"/>
        </w:rPr>
        <w:t>MBS:</w:t>
      </w:r>
    </w:p>
    <w:p w14:paraId="5B99AA39" w14:textId="77777777" w:rsidR="00FA00F9" w:rsidRPr="000E3EE0" w:rsidRDefault="00674999" w:rsidP="007245CE">
      <w:pPr>
        <w:pStyle w:val="ListParagraph"/>
        <w:numPr>
          <w:ilvl w:val="1"/>
          <w:numId w:val="15"/>
        </w:numPr>
        <w:spacing w:line="240" w:lineRule="auto"/>
        <w:ind w:left="993" w:right="95" w:hanging="426"/>
      </w:pPr>
      <w:r>
        <w:t>Is a t</w:t>
      </w:r>
      <w:r w:rsidRPr="000E3EE0">
        <w:t>axpayer-funded</w:t>
      </w:r>
      <w:r w:rsidR="00FA00F9" w:rsidRPr="000E3EE0">
        <w:t xml:space="preserve"> insurance system that financially contributes to </w:t>
      </w:r>
      <w:r>
        <w:t xml:space="preserve">the cost of care for eligible patients, </w:t>
      </w:r>
      <w:r w:rsidR="00FA00F9" w:rsidRPr="000E3EE0">
        <w:t>incurred fro</w:t>
      </w:r>
      <w:r>
        <w:t xml:space="preserve">m eligible health professionals, </w:t>
      </w:r>
      <w:r w:rsidR="00FA00F9" w:rsidRPr="000E3EE0">
        <w:t>for clinically relevant services.</w:t>
      </w:r>
    </w:p>
    <w:p w14:paraId="312437C8" w14:textId="77777777" w:rsidR="00FA00F9" w:rsidRPr="000E3EE0" w:rsidRDefault="00674999" w:rsidP="007245CE">
      <w:pPr>
        <w:pStyle w:val="ListParagraph"/>
        <w:numPr>
          <w:ilvl w:val="1"/>
          <w:numId w:val="15"/>
        </w:numPr>
        <w:spacing w:line="240" w:lineRule="auto"/>
        <w:ind w:left="993" w:right="95" w:hanging="426"/>
      </w:pPr>
      <w:r>
        <w:t>Promotes best clinical practice and is</w:t>
      </w:r>
      <w:r w:rsidR="00FA00F9" w:rsidRPr="000E3EE0">
        <w:t xml:space="preserve"> receptive to changes in medical practice.</w:t>
      </w:r>
    </w:p>
    <w:p w14:paraId="557CBCC9" w14:textId="1EA2B686" w:rsidR="00674999" w:rsidRDefault="00674999" w:rsidP="007245CE">
      <w:pPr>
        <w:pStyle w:val="ListParagraph"/>
        <w:numPr>
          <w:ilvl w:val="1"/>
          <w:numId w:val="15"/>
        </w:numPr>
        <w:spacing w:line="240" w:lineRule="auto"/>
        <w:ind w:left="993" w:right="95" w:hanging="426"/>
      </w:pPr>
      <w:r w:rsidRPr="000E3EE0">
        <w:t>Supports</w:t>
      </w:r>
      <w:r w:rsidR="00FA00F9" w:rsidRPr="000E3EE0">
        <w:t xml:space="preserve"> medical profess</w:t>
      </w:r>
      <w:r w:rsidR="0085440B">
        <w:t>ionalism</w:t>
      </w:r>
      <w:r w:rsidR="007F527C">
        <w:t>.</w:t>
      </w:r>
      <w:r w:rsidR="00FA00F9" w:rsidRPr="000E3EE0">
        <w:t xml:space="preserve"> </w:t>
      </w:r>
    </w:p>
    <w:p w14:paraId="2D634FA6" w14:textId="77777777" w:rsidR="00FA00F9" w:rsidRPr="000E3EE0" w:rsidRDefault="00674999" w:rsidP="007245CE">
      <w:pPr>
        <w:pStyle w:val="ListParagraph"/>
        <w:numPr>
          <w:ilvl w:val="1"/>
          <w:numId w:val="15"/>
        </w:numPr>
        <w:spacing w:line="240" w:lineRule="auto"/>
        <w:ind w:left="993" w:right="95" w:hanging="426"/>
      </w:pPr>
      <w:r>
        <w:t>S</w:t>
      </w:r>
      <w:r w:rsidR="00FA00F9" w:rsidRPr="000E3EE0">
        <w:t>eeks to support medical professionalism by being intolerant of exploitive and fraudulent behaviour.</w:t>
      </w:r>
    </w:p>
    <w:p w14:paraId="55F36AF8" w14:textId="77777777" w:rsidR="00FA00F9" w:rsidRPr="000E3EE0" w:rsidRDefault="00674999" w:rsidP="007245CE">
      <w:pPr>
        <w:pStyle w:val="ListParagraph"/>
        <w:numPr>
          <w:ilvl w:val="1"/>
          <w:numId w:val="15"/>
        </w:numPr>
        <w:spacing w:line="240" w:lineRule="auto"/>
        <w:ind w:left="993" w:right="95" w:hanging="426"/>
      </w:pPr>
      <w:r>
        <w:t xml:space="preserve">Aims to </w:t>
      </w:r>
      <w:r w:rsidR="00FA00F9" w:rsidRPr="000E3EE0">
        <w:t>provide universal access to high-value, cost-effective essential care.</w:t>
      </w:r>
    </w:p>
    <w:p w14:paraId="765B99DC" w14:textId="623C5F13" w:rsidR="00FA00F9" w:rsidRDefault="00674999" w:rsidP="007245CE">
      <w:pPr>
        <w:pStyle w:val="ListParagraph"/>
        <w:numPr>
          <w:ilvl w:val="1"/>
          <w:numId w:val="15"/>
        </w:numPr>
        <w:spacing w:line="240" w:lineRule="auto"/>
        <w:ind w:left="993" w:right="95" w:hanging="426"/>
      </w:pPr>
      <w:r>
        <w:t xml:space="preserve">Places </w:t>
      </w:r>
      <w:r w:rsidR="007F527C">
        <w:t>the patient’s needs and outcomes</w:t>
      </w:r>
      <w:r>
        <w:t xml:space="preserve"> at the centre of the </w:t>
      </w:r>
      <w:r w:rsidR="00FA00F9" w:rsidRPr="000E3EE0">
        <w:t>MBS scheme.</w:t>
      </w:r>
    </w:p>
    <w:p w14:paraId="27171217" w14:textId="2F125D0A" w:rsidR="00A77FEA" w:rsidRDefault="00A77FEA" w:rsidP="00A77FEA">
      <w:pPr>
        <w:pStyle w:val="IntenseQuote"/>
        <w:spacing w:line="240" w:lineRule="auto"/>
        <w:ind w:left="720" w:right="662" w:firstLine="0"/>
        <w:jc w:val="center"/>
      </w:pPr>
      <w:r>
        <w:t xml:space="preserve">The MBS </w:t>
      </w:r>
      <w:r w:rsidR="000A13CD">
        <w:t xml:space="preserve">should be designed to meet patient needs, not the needs of the clinician </w:t>
      </w:r>
    </w:p>
    <w:p w14:paraId="332A9119" w14:textId="3A47D1BA" w:rsidR="005A21C3" w:rsidRPr="00B65F18" w:rsidRDefault="00BD30B6" w:rsidP="00BD30B6">
      <w:pPr>
        <w:pStyle w:val="Heading2"/>
        <w:spacing w:before="240" w:line="240" w:lineRule="auto"/>
        <w:ind w:right="96"/>
      </w:pPr>
      <w:bookmarkStart w:id="43" w:name="_Toc20907546"/>
      <w:bookmarkStart w:id="44" w:name="_Toc20908415"/>
      <w:bookmarkStart w:id="45" w:name="_Toc20914348"/>
      <w:bookmarkStart w:id="46" w:name="_Toc25843685"/>
      <w:r>
        <w:t xml:space="preserve">3.2 </w:t>
      </w:r>
      <w:r w:rsidR="00E10676">
        <w:t>Stewardship – the r</w:t>
      </w:r>
      <w:r w:rsidR="005A21C3" w:rsidRPr="00B65F18">
        <w:t>ole of the General Practitioner</w:t>
      </w:r>
      <w:bookmarkEnd w:id="43"/>
      <w:bookmarkEnd w:id="44"/>
      <w:bookmarkEnd w:id="45"/>
      <w:bookmarkEnd w:id="46"/>
      <w:r w:rsidR="005A21C3" w:rsidRPr="00B65F18">
        <w:t xml:space="preserve"> </w:t>
      </w:r>
    </w:p>
    <w:p w14:paraId="7273E775" w14:textId="38AC9BDE" w:rsidR="00093D64" w:rsidRDefault="00EF6B02" w:rsidP="002058BC">
      <w:pPr>
        <w:spacing w:line="240" w:lineRule="auto"/>
        <w:ind w:right="95"/>
        <w:rPr>
          <w:color w:val="000000" w:themeColor="text1"/>
        </w:rPr>
      </w:pPr>
      <w:r>
        <w:rPr>
          <w:color w:val="000000" w:themeColor="text1"/>
        </w:rPr>
        <w:t>T</w:t>
      </w:r>
      <w:r w:rsidR="000A13CD">
        <w:rPr>
          <w:color w:val="000000" w:themeColor="text1"/>
        </w:rPr>
        <w:t xml:space="preserve">he Committee </w:t>
      </w:r>
      <w:r w:rsidR="00093D64">
        <w:rPr>
          <w:color w:val="000000" w:themeColor="text1"/>
        </w:rPr>
        <w:t xml:space="preserve">seeks to protect the integrity of the </w:t>
      </w:r>
      <w:r w:rsidR="009C1A71">
        <w:rPr>
          <w:color w:val="000000" w:themeColor="text1"/>
        </w:rPr>
        <w:t xml:space="preserve">General Practitioner (GP) </w:t>
      </w:r>
      <w:r w:rsidR="00093D64">
        <w:rPr>
          <w:color w:val="000000" w:themeColor="text1"/>
        </w:rPr>
        <w:t>role</w:t>
      </w:r>
      <w:r>
        <w:rPr>
          <w:color w:val="000000" w:themeColor="text1"/>
        </w:rPr>
        <w:t xml:space="preserve">, maintaining that the GP provides: </w:t>
      </w:r>
    </w:p>
    <w:p w14:paraId="5F3FF572" w14:textId="2F5A62D2" w:rsidR="00EF6B02" w:rsidRDefault="00EF6B02" w:rsidP="007245CE">
      <w:pPr>
        <w:pStyle w:val="ListParagraph"/>
        <w:numPr>
          <w:ilvl w:val="1"/>
          <w:numId w:val="15"/>
        </w:numPr>
        <w:spacing w:line="240" w:lineRule="auto"/>
        <w:ind w:left="993" w:right="95" w:hanging="426"/>
      </w:pPr>
      <w:r>
        <w:t>The primary source of knowledge relating to a patient’s history and clinical conditions</w:t>
      </w:r>
      <w:r w:rsidR="00890E2E">
        <w:t>.</w:t>
      </w:r>
    </w:p>
    <w:p w14:paraId="41A09A1B" w14:textId="755EEDA5" w:rsidR="00EF6B02" w:rsidRDefault="00EF6B02" w:rsidP="007245CE">
      <w:pPr>
        <w:pStyle w:val="ListParagraph"/>
        <w:numPr>
          <w:ilvl w:val="1"/>
          <w:numId w:val="15"/>
        </w:numPr>
        <w:spacing w:line="240" w:lineRule="auto"/>
        <w:ind w:left="993" w:right="95" w:hanging="426"/>
      </w:pPr>
      <w:r>
        <w:t xml:space="preserve">Access to </w:t>
      </w:r>
      <w:r w:rsidRPr="00093D64">
        <w:t>clinically necessary specialist services</w:t>
      </w:r>
      <w:r w:rsidR="00890E2E">
        <w:t>.</w:t>
      </w:r>
    </w:p>
    <w:p w14:paraId="1AC86E6D" w14:textId="0D784298" w:rsidR="001429B1" w:rsidRPr="00093D64" w:rsidRDefault="00EF6B02" w:rsidP="007245CE">
      <w:pPr>
        <w:pStyle w:val="ListParagraph"/>
        <w:numPr>
          <w:ilvl w:val="1"/>
          <w:numId w:val="15"/>
        </w:numPr>
        <w:spacing w:line="240" w:lineRule="auto"/>
        <w:ind w:left="993" w:right="95" w:hanging="426"/>
      </w:pPr>
      <w:r>
        <w:t xml:space="preserve">Valuable contributions </w:t>
      </w:r>
      <w:r w:rsidR="00093D64" w:rsidRPr="00093D64">
        <w:t xml:space="preserve">to </w:t>
      </w:r>
      <w:r w:rsidR="009C1A71" w:rsidRPr="00093D64">
        <w:t xml:space="preserve">high </w:t>
      </w:r>
      <w:r w:rsidR="00093D64" w:rsidRPr="00093D64">
        <w:t xml:space="preserve">quality patient care and a </w:t>
      </w:r>
      <w:r w:rsidR="001429B1" w:rsidRPr="00093D64">
        <w:t>sustain</w:t>
      </w:r>
      <w:r w:rsidR="00093D64" w:rsidRPr="00093D64">
        <w:t xml:space="preserve">able and cost-effective </w:t>
      </w:r>
      <w:r>
        <w:t xml:space="preserve">healthcare </w:t>
      </w:r>
      <w:r w:rsidR="00093D64" w:rsidRPr="00093D64">
        <w:t>system</w:t>
      </w:r>
      <w:r w:rsidR="00890E2E">
        <w:t>.</w:t>
      </w:r>
    </w:p>
    <w:p w14:paraId="49B2BCC7" w14:textId="65CE0C4C" w:rsidR="00EF6B02" w:rsidRPr="00093D64" w:rsidRDefault="00EF6B02" w:rsidP="007245CE">
      <w:pPr>
        <w:pStyle w:val="ListParagraph"/>
        <w:numPr>
          <w:ilvl w:val="1"/>
          <w:numId w:val="15"/>
        </w:numPr>
        <w:spacing w:line="240" w:lineRule="auto"/>
        <w:ind w:left="993" w:right="95" w:hanging="426"/>
      </w:pPr>
      <w:r>
        <w:t>S</w:t>
      </w:r>
      <w:r w:rsidRPr="00093D64">
        <w:t>tewardship of Australia’s healthcare system</w:t>
      </w:r>
      <w:r>
        <w:rPr>
          <w:rStyle w:val="FootnoteReference"/>
        </w:rPr>
        <w:footnoteReference w:id="1"/>
      </w:r>
      <w:r>
        <w:t>.</w:t>
      </w:r>
    </w:p>
    <w:p w14:paraId="3517DCB7" w14:textId="1CEEA7DC" w:rsidR="003D73A9" w:rsidRPr="003D73A9" w:rsidRDefault="000C6434" w:rsidP="002058BC">
      <w:pPr>
        <w:pStyle w:val="IntenseQuote"/>
        <w:spacing w:line="240" w:lineRule="auto"/>
        <w:ind w:left="426" w:right="662" w:firstLine="0"/>
        <w:jc w:val="center"/>
      </w:pPr>
      <w:r>
        <w:t>GPs</w:t>
      </w:r>
      <w:r w:rsidR="003D73A9">
        <w:t xml:space="preserve"> </w:t>
      </w:r>
      <w:r w:rsidR="00A77FEA">
        <w:t xml:space="preserve">are the </w:t>
      </w:r>
      <w:r w:rsidR="003D73A9">
        <w:t>key contributor to quality, patient-centred health</w:t>
      </w:r>
      <w:r w:rsidR="00D85630">
        <w:t xml:space="preserve"> </w:t>
      </w:r>
      <w:r w:rsidR="003D73A9">
        <w:t xml:space="preserve">care </w:t>
      </w:r>
      <w:r w:rsidR="007A63BD">
        <w:t>– providin</w:t>
      </w:r>
      <w:r w:rsidR="006D788A">
        <w:t xml:space="preserve">g coordination of, </w:t>
      </w:r>
      <w:r w:rsidR="007A63BD">
        <w:t>and access to</w:t>
      </w:r>
      <w:r w:rsidR="006D788A">
        <w:t>,</w:t>
      </w:r>
      <w:r w:rsidR="007A63BD">
        <w:t xml:space="preserve"> </w:t>
      </w:r>
      <w:r w:rsidR="00093D64">
        <w:t xml:space="preserve">necessary </w:t>
      </w:r>
      <w:r w:rsidR="007A63BD">
        <w:t>specialist services</w:t>
      </w:r>
    </w:p>
    <w:p w14:paraId="6F1ED7B6" w14:textId="3599A97A" w:rsidR="00EF6B02" w:rsidRDefault="009C1A71" w:rsidP="00A35283">
      <w:pPr>
        <w:spacing w:line="240" w:lineRule="auto"/>
        <w:ind w:right="95"/>
        <w:rPr>
          <w:color w:val="000000" w:themeColor="text1"/>
        </w:rPr>
      </w:pPr>
      <w:r>
        <w:t xml:space="preserve">The Committee </w:t>
      </w:r>
      <w:r w:rsidR="00093D64">
        <w:t xml:space="preserve">recognises </w:t>
      </w:r>
      <w:r w:rsidR="00A35283">
        <w:t xml:space="preserve">GPs’ </w:t>
      </w:r>
      <w:r w:rsidRPr="00130818">
        <w:t>knowledge of loca</w:t>
      </w:r>
      <w:r>
        <w:t>l healt</w:t>
      </w:r>
      <w:r w:rsidR="00EF6B02">
        <w:t>h systems</w:t>
      </w:r>
      <w:r>
        <w:t xml:space="preserve">, </w:t>
      </w:r>
      <w:r>
        <w:rPr>
          <w:color w:val="000000" w:themeColor="text1"/>
        </w:rPr>
        <w:t xml:space="preserve">essential to the </w:t>
      </w:r>
      <w:r w:rsidR="001429B1">
        <w:rPr>
          <w:color w:val="000000" w:themeColor="text1"/>
        </w:rPr>
        <w:t xml:space="preserve">delivery of </w:t>
      </w:r>
      <w:r w:rsidR="00750D3B" w:rsidRPr="003D3F9A">
        <w:rPr>
          <w:color w:val="000000" w:themeColor="text1"/>
        </w:rPr>
        <w:t>holistic, longit</w:t>
      </w:r>
      <w:r w:rsidR="00A35283">
        <w:rPr>
          <w:color w:val="000000" w:themeColor="text1"/>
        </w:rPr>
        <w:t>udinal and patient</w:t>
      </w:r>
      <w:r w:rsidR="00A35283">
        <w:rPr>
          <w:color w:val="000000" w:themeColor="text1"/>
        </w:rPr>
        <w:noBreakHyphen/>
      </w:r>
      <w:r>
        <w:rPr>
          <w:color w:val="000000" w:themeColor="text1"/>
        </w:rPr>
        <w:t>centred care</w:t>
      </w:r>
      <w:r w:rsidR="00EF6B02">
        <w:rPr>
          <w:color w:val="000000" w:themeColor="text1"/>
        </w:rPr>
        <w:t xml:space="preserve"> in the community</w:t>
      </w:r>
      <w:r>
        <w:rPr>
          <w:color w:val="000000" w:themeColor="text1"/>
        </w:rPr>
        <w:t>.</w:t>
      </w:r>
      <w:r w:rsidR="008176C3">
        <w:rPr>
          <w:color w:val="000000" w:themeColor="text1"/>
        </w:rPr>
        <w:t xml:space="preserve"> </w:t>
      </w:r>
    </w:p>
    <w:p w14:paraId="5CBD9C34" w14:textId="302E64EB" w:rsidR="00B65F18" w:rsidRDefault="00BD30B6" w:rsidP="00BD30B6">
      <w:pPr>
        <w:pStyle w:val="Heading2"/>
        <w:spacing w:before="240" w:line="240" w:lineRule="auto"/>
        <w:ind w:right="96"/>
      </w:pPr>
      <w:bookmarkStart w:id="47" w:name="_Toc20907547"/>
      <w:bookmarkStart w:id="48" w:name="_Toc20908416"/>
      <w:bookmarkStart w:id="49" w:name="_Toc20914349"/>
      <w:bookmarkStart w:id="50" w:name="_Toc25843686"/>
      <w:r>
        <w:lastRenderedPageBreak/>
        <w:t xml:space="preserve">3.3 </w:t>
      </w:r>
      <w:r w:rsidR="00B65F18">
        <w:t>The complete medical service</w:t>
      </w:r>
      <w:r w:rsidR="00FB088C">
        <w:t xml:space="preserve"> and the three item ‘rule’</w:t>
      </w:r>
      <w:bookmarkEnd w:id="47"/>
      <w:bookmarkEnd w:id="48"/>
      <w:bookmarkEnd w:id="49"/>
      <w:bookmarkEnd w:id="50"/>
    </w:p>
    <w:p w14:paraId="73F7E2BD" w14:textId="335B9D89" w:rsidR="008216A1" w:rsidRDefault="00050B0E" w:rsidP="00795576">
      <w:pPr>
        <w:spacing w:line="240" w:lineRule="auto"/>
        <w:ind w:right="95"/>
      </w:pPr>
      <w:bookmarkStart w:id="51" w:name="_Toc454895076"/>
      <w:bookmarkStart w:id="52" w:name="_Toc454969109"/>
      <w:bookmarkStart w:id="53" w:name="_Toc454969292"/>
      <w:r>
        <w:rPr>
          <w:bCs/>
        </w:rPr>
        <w:t xml:space="preserve">To support transparency for the patient and ensure claims are consistent across all providers, the </w:t>
      </w:r>
      <w:r w:rsidR="00E16BB2">
        <w:rPr>
          <w:bCs/>
        </w:rPr>
        <w:t xml:space="preserve">Committee </w:t>
      </w:r>
      <w:r>
        <w:rPr>
          <w:bCs/>
        </w:rPr>
        <w:t xml:space="preserve">has continually advocated for </w:t>
      </w:r>
      <w:r w:rsidR="00795576">
        <w:t>delivery of an MBS that provides a single MBS item for a discrete</w:t>
      </w:r>
      <w:r>
        <w:t>, and complete,</w:t>
      </w:r>
      <w:r w:rsidR="00795576">
        <w:t xml:space="preserve"> medical service</w:t>
      </w:r>
      <w:r w:rsidR="008216A1">
        <w:t xml:space="preserve">. </w:t>
      </w:r>
      <w:r w:rsidR="001346E6">
        <w:t xml:space="preserve">Such an MBS would, in </w:t>
      </w:r>
      <w:r>
        <w:t xml:space="preserve">practice, </w:t>
      </w:r>
      <w:r w:rsidR="001346E6">
        <w:t xml:space="preserve">mean that a </w:t>
      </w:r>
      <w:r>
        <w:t xml:space="preserve">clinician </w:t>
      </w:r>
      <w:r w:rsidR="001346E6">
        <w:t xml:space="preserve">would submit a claim for a </w:t>
      </w:r>
      <w:r w:rsidR="008216A1">
        <w:t xml:space="preserve">single MBS item for a </w:t>
      </w:r>
      <w:r w:rsidR="001346E6">
        <w:t xml:space="preserve">patient’s </w:t>
      </w:r>
      <w:r w:rsidR="008216A1">
        <w:t>medical service</w:t>
      </w:r>
      <w:r>
        <w:t xml:space="preserve">. Only when there are </w:t>
      </w:r>
      <w:r w:rsidR="00795576">
        <w:t xml:space="preserve">sound clinical reasons </w:t>
      </w:r>
      <w:r>
        <w:t xml:space="preserve">would a claim be made for </w:t>
      </w:r>
      <w:r w:rsidR="00795576">
        <w:t>multiple MBS items</w:t>
      </w:r>
      <w:r w:rsidR="008216A1">
        <w:t xml:space="preserve">. </w:t>
      </w:r>
    </w:p>
    <w:p w14:paraId="2198C14A" w14:textId="33F670CC" w:rsidR="00050B0E" w:rsidRDefault="00050B0E" w:rsidP="00050B0E">
      <w:pPr>
        <w:spacing w:line="240" w:lineRule="auto"/>
        <w:rPr>
          <w:bCs/>
        </w:rPr>
      </w:pPr>
      <w:r>
        <w:rPr>
          <w:bCs/>
        </w:rPr>
        <w:t xml:space="preserve">The </w:t>
      </w:r>
      <w:r w:rsidR="001346E6">
        <w:rPr>
          <w:bCs/>
        </w:rPr>
        <w:t xml:space="preserve">Committee, in its </w:t>
      </w:r>
      <w:r>
        <w:rPr>
          <w:bCs/>
        </w:rPr>
        <w:t>first draft report</w:t>
      </w:r>
      <w:r w:rsidR="001346E6">
        <w:rPr>
          <w:bCs/>
        </w:rPr>
        <w:t xml:space="preserve">, </w:t>
      </w:r>
      <w:proofErr w:type="spellStart"/>
      <w:r w:rsidR="001346E6">
        <w:rPr>
          <w:bCs/>
        </w:rPr>
        <w:t>publically</w:t>
      </w:r>
      <w:proofErr w:type="spellEnd"/>
      <w:r w:rsidR="001346E6">
        <w:rPr>
          <w:bCs/>
        </w:rPr>
        <w:t xml:space="preserve"> consulted on </w:t>
      </w:r>
      <w:r>
        <w:rPr>
          <w:bCs/>
        </w:rPr>
        <w:t xml:space="preserve">a proposed ‘complete medical service’ </w:t>
      </w:r>
      <w:r w:rsidR="001346E6">
        <w:rPr>
          <w:bCs/>
        </w:rPr>
        <w:t xml:space="preserve">principle </w:t>
      </w:r>
      <w:r>
        <w:rPr>
          <w:bCs/>
        </w:rPr>
        <w:t xml:space="preserve">and </w:t>
      </w:r>
      <w:r w:rsidR="001346E6">
        <w:rPr>
          <w:bCs/>
        </w:rPr>
        <w:t xml:space="preserve">a ‘three item </w:t>
      </w:r>
      <w:proofErr w:type="gramStart"/>
      <w:r w:rsidR="001346E6">
        <w:rPr>
          <w:bCs/>
        </w:rPr>
        <w:t>rule</w:t>
      </w:r>
      <w:proofErr w:type="gramEnd"/>
      <w:r w:rsidR="001346E6">
        <w:rPr>
          <w:bCs/>
        </w:rPr>
        <w:t xml:space="preserve">’ </w:t>
      </w:r>
      <w:r>
        <w:rPr>
          <w:bCs/>
        </w:rPr>
        <w:t xml:space="preserve">recommendation. </w:t>
      </w:r>
    </w:p>
    <w:p w14:paraId="227AB6D6" w14:textId="42CE4F84" w:rsidR="00050B0E" w:rsidRDefault="00050B0E" w:rsidP="00050B0E">
      <w:pPr>
        <w:spacing w:line="240" w:lineRule="auto"/>
        <w:rPr>
          <w:bCs/>
        </w:rPr>
      </w:pPr>
      <w:r>
        <w:rPr>
          <w:bCs/>
        </w:rPr>
        <w:t xml:space="preserve">The </w:t>
      </w:r>
      <w:proofErr w:type="gramStart"/>
      <w:r>
        <w:rPr>
          <w:bCs/>
        </w:rPr>
        <w:t>ultimate aim</w:t>
      </w:r>
      <w:proofErr w:type="gramEnd"/>
      <w:r>
        <w:rPr>
          <w:bCs/>
        </w:rPr>
        <w:t xml:space="preserve"> of the complete medical service principle was to design MBS items that accurately and completely describe the provision of a specific service, reducing and restricting the need to claim multiple MBS items for a single procedure. The </w:t>
      </w:r>
      <w:proofErr w:type="gramStart"/>
      <w:r>
        <w:rPr>
          <w:bCs/>
        </w:rPr>
        <w:t>three item</w:t>
      </w:r>
      <w:proofErr w:type="gramEnd"/>
      <w:r>
        <w:rPr>
          <w:bCs/>
        </w:rPr>
        <w:t xml:space="preserve"> rule </w:t>
      </w:r>
      <w:r w:rsidR="001346E6">
        <w:rPr>
          <w:bCs/>
        </w:rPr>
        <w:t xml:space="preserve">recommendation </w:t>
      </w:r>
      <w:r>
        <w:rPr>
          <w:bCs/>
        </w:rPr>
        <w:t>aimed to limit a practitioner’s claim for a single surgical procedure to three items.</w:t>
      </w:r>
    </w:p>
    <w:p w14:paraId="1A765FE1" w14:textId="77777777" w:rsidR="003F2050" w:rsidRPr="008142CF" w:rsidRDefault="003F2050" w:rsidP="003F2050">
      <w:pPr>
        <w:pStyle w:val="IntenseQuote"/>
        <w:spacing w:line="240" w:lineRule="auto"/>
        <w:ind w:left="426" w:right="662" w:firstLine="0"/>
        <w:jc w:val="center"/>
      </w:pPr>
      <w:r>
        <w:t>Patients want an MBS that is easy to understand</w:t>
      </w:r>
    </w:p>
    <w:p w14:paraId="7E71BC80" w14:textId="77777777" w:rsidR="00795576" w:rsidRDefault="00892F74" w:rsidP="006772DE">
      <w:pPr>
        <w:spacing w:line="240" w:lineRule="auto"/>
      </w:pPr>
      <w:r>
        <w:t xml:space="preserve">The </w:t>
      </w:r>
      <w:r w:rsidR="006772DE" w:rsidRPr="00B97E9F">
        <w:t xml:space="preserve">consultation period </w:t>
      </w:r>
      <w:r>
        <w:t xml:space="preserve">for </w:t>
      </w:r>
      <w:r w:rsidR="006772DE" w:rsidRPr="00B97E9F">
        <w:t>the first report</w:t>
      </w:r>
      <w:r w:rsidR="00795576">
        <w:t xml:space="preserve"> resulted in concern across the sector on the practical application of the </w:t>
      </w:r>
      <w:proofErr w:type="gramStart"/>
      <w:r w:rsidR="00795576">
        <w:t>three item</w:t>
      </w:r>
      <w:proofErr w:type="gramEnd"/>
      <w:r w:rsidR="00795576">
        <w:t xml:space="preserve"> rule. The </w:t>
      </w:r>
      <w:r w:rsidR="006772DE" w:rsidRPr="00B97E9F">
        <w:t xml:space="preserve">Taskforce determined that further consideration of the </w:t>
      </w:r>
      <w:proofErr w:type="gramStart"/>
      <w:r w:rsidR="006772DE" w:rsidRPr="00B97E9F">
        <w:t>three item</w:t>
      </w:r>
      <w:proofErr w:type="gramEnd"/>
      <w:r w:rsidR="006772DE" w:rsidRPr="00B97E9F">
        <w:t xml:space="preserve"> rule </w:t>
      </w:r>
      <w:r w:rsidR="00795576">
        <w:t xml:space="preserve">was required and should be informed by decisions made within the </w:t>
      </w:r>
      <w:r w:rsidR="006772DE" w:rsidRPr="00B97E9F">
        <w:t>MBS Review’s clinical committees</w:t>
      </w:r>
      <w:r w:rsidR="00795576">
        <w:t xml:space="preserve">. </w:t>
      </w:r>
    </w:p>
    <w:p w14:paraId="4A35DE80" w14:textId="180DF2B4" w:rsidR="00501B7B" w:rsidRPr="006D788A" w:rsidRDefault="00892F74" w:rsidP="006D788A">
      <w:pPr>
        <w:spacing w:line="240" w:lineRule="auto"/>
        <w:rPr>
          <w:rStyle w:val="FootnoteReference"/>
          <w:vertAlign w:val="baseline"/>
        </w:rPr>
      </w:pPr>
      <w:r>
        <w:t xml:space="preserve">The recommendation pertaining to the complete medical service and the </w:t>
      </w:r>
      <w:proofErr w:type="gramStart"/>
      <w:r>
        <w:t>three item</w:t>
      </w:r>
      <w:proofErr w:type="gramEnd"/>
      <w:r>
        <w:t xml:space="preserve"> rule was subsequently removed from the first report and not </w:t>
      </w:r>
      <w:r w:rsidR="006772DE" w:rsidRPr="00B97E9F">
        <w:t xml:space="preserve">submitted to Government. </w:t>
      </w:r>
      <w:r w:rsidR="00795576">
        <w:t>However, t</w:t>
      </w:r>
      <w:r w:rsidR="00455D79">
        <w:t xml:space="preserve">he concept of a </w:t>
      </w:r>
      <w:r w:rsidR="006772DE">
        <w:t xml:space="preserve">‘complete medical service’ </w:t>
      </w:r>
      <w:r w:rsidR="00455D79">
        <w:t xml:space="preserve">was formally </w:t>
      </w:r>
      <w:r w:rsidR="006772DE">
        <w:t xml:space="preserve">endorsed by </w:t>
      </w:r>
      <w:r w:rsidR="001F7406">
        <w:t xml:space="preserve">the Taskforce and advice was provided to </w:t>
      </w:r>
      <w:r w:rsidR="001F7406">
        <w:rPr>
          <w:bCs/>
        </w:rPr>
        <w:t xml:space="preserve">newly formed clinical committees </w:t>
      </w:r>
      <w:r w:rsidR="00795576">
        <w:rPr>
          <w:bCs/>
        </w:rPr>
        <w:t xml:space="preserve">that they must </w:t>
      </w:r>
      <w:r w:rsidR="00501B7B">
        <w:rPr>
          <w:bCs/>
        </w:rPr>
        <w:t xml:space="preserve">acknowledge the </w:t>
      </w:r>
      <w:r w:rsidR="001F7406">
        <w:rPr>
          <w:bCs/>
        </w:rPr>
        <w:t xml:space="preserve">complete medical service principle in </w:t>
      </w:r>
      <w:r w:rsidR="00795576">
        <w:rPr>
          <w:bCs/>
        </w:rPr>
        <w:t xml:space="preserve">their </w:t>
      </w:r>
      <w:r w:rsidR="001F7406">
        <w:rPr>
          <w:bCs/>
        </w:rPr>
        <w:t>decision</w:t>
      </w:r>
      <w:r w:rsidR="001F7406">
        <w:rPr>
          <w:bCs/>
        </w:rPr>
        <w:noBreakHyphen/>
        <w:t>making</w:t>
      </w:r>
    </w:p>
    <w:p w14:paraId="21E8E67E" w14:textId="67CB885D" w:rsidR="00A77FEA" w:rsidRDefault="00795576" w:rsidP="008C5A4A">
      <w:pPr>
        <w:spacing w:line="240" w:lineRule="auto"/>
        <w:ind w:right="95"/>
        <w:rPr>
          <w:bCs/>
        </w:rPr>
      </w:pPr>
      <w:r>
        <w:rPr>
          <w:bCs/>
        </w:rPr>
        <w:t>The acceptance of the</w:t>
      </w:r>
      <w:r w:rsidR="001F7406">
        <w:rPr>
          <w:bCs/>
        </w:rPr>
        <w:t xml:space="preserve"> principle has varied across clinical </w:t>
      </w:r>
      <w:proofErr w:type="gramStart"/>
      <w:r w:rsidR="001F7406">
        <w:rPr>
          <w:bCs/>
        </w:rPr>
        <w:t>committees</w:t>
      </w:r>
      <w:proofErr w:type="gramEnd"/>
      <w:r w:rsidR="001F7406">
        <w:rPr>
          <w:bCs/>
        </w:rPr>
        <w:t xml:space="preserve"> but </w:t>
      </w:r>
      <w:r w:rsidR="007234E7">
        <w:rPr>
          <w:bCs/>
        </w:rPr>
        <w:t xml:space="preserve">it </w:t>
      </w:r>
      <w:r>
        <w:rPr>
          <w:bCs/>
        </w:rPr>
        <w:t xml:space="preserve">is evident that there has been a significant </w:t>
      </w:r>
      <w:r w:rsidR="007234E7">
        <w:rPr>
          <w:bCs/>
        </w:rPr>
        <w:t xml:space="preserve">refinement </w:t>
      </w:r>
      <w:r>
        <w:rPr>
          <w:bCs/>
        </w:rPr>
        <w:t xml:space="preserve">of item descriptors that restricts the </w:t>
      </w:r>
      <w:r w:rsidR="007234E7">
        <w:rPr>
          <w:bCs/>
        </w:rPr>
        <w:t xml:space="preserve">ability </w:t>
      </w:r>
      <w:r>
        <w:rPr>
          <w:bCs/>
        </w:rPr>
        <w:t xml:space="preserve">for a clinician </w:t>
      </w:r>
      <w:r w:rsidR="007234E7">
        <w:rPr>
          <w:bCs/>
        </w:rPr>
        <w:t xml:space="preserve">to make </w:t>
      </w:r>
      <w:r>
        <w:rPr>
          <w:bCs/>
        </w:rPr>
        <w:t>an inappropriate co</w:t>
      </w:r>
      <w:r>
        <w:rPr>
          <w:bCs/>
        </w:rPr>
        <w:noBreakHyphen/>
        <w:t>claim</w:t>
      </w:r>
      <w:r w:rsidR="001F7406">
        <w:rPr>
          <w:bCs/>
        </w:rPr>
        <w:t xml:space="preserve">. </w:t>
      </w:r>
      <w:bookmarkEnd w:id="51"/>
      <w:bookmarkEnd w:id="52"/>
      <w:bookmarkEnd w:id="53"/>
    </w:p>
    <w:p w14:paraId="063B379F" w14:textId="03B1CD7C" w:rsidR="00717492" w:rsidRPr="00717492" w:rsidRDefault="001346E6" w:rsidP="008C5A4A">
      <w:pPr>
        <w:spacing w:line="240" w:lineRule="auto"/>
        <w:ind w:right="95"/>
        <w:rPr>
          <w:lang w:val="en-US"/>
        </w:rPr>
      </w:pPr>
      <w:r>
        <w:t xml:space="preserve">Throughout subsequent </w:t>
      </w:r>
      <w:r w:rsidR="00717492" w:rsidRPr="006F4672">
        <w:t>d</w:t>
      </w:r>
      <w:r>
        <w:t xml:space="preserve">eliberations, the Committee refined this guiding principle, reaching the position that </w:t>
      </w:r>
      <w:r w:rsidR="00717492" w:rsidRPr="006F4672">
        <w:t xml:space="preserve">a clinician should not be making a claim to the MBS for correction of any unexpected, yet standard, event during surgery. </w:t>
      </w:r>
      <w:r>
        <w:t xml:space="preserve">This means that, in </w:t>
      </w:r>
      <w:r w:rsidR="00717492" w:rsidRPr="006F4672">
        <w:t xml:space="preserve">practice, if a clinician, when performing a service encounters an unusual or unexpected event during the planned </w:t>
      </w:r>
      <w:r w:rsidR="00717492" w:rsidRPr="006F4672">
        <w:rPr>
          <w:lang w:val="en-US"/>
        </w:rPr>
        <w:t xml:space="preserve">procedure, that does not require attendance by a clinician of another specialty and does not alter the intent of the procedure, they are not entitled to make a claim to the MBS for the procedure necessitated to correct the unusual event. In this instance only the primary, intended, </w:t>
      </w:r>
      <w:r>
        <w:rPr>
          <w:lang w:val="en-US"/>
        </w:rPr>
        <w:t>procedure should be claimed</w:t>
      </w:r>
      <w:r w:rsidR="00717492">
        <w:rPr>
          <w:lang w:val="en-US"/>
        </w:rPr>
        <w:t xml:space="preserve">. </w:t>
      </w:r>
    </w:p>
    <w:p w14:paraId="39AD3B22" w14:textId="26173B42" w:rsidR="00B24260" w:rsidRDefault="00BD30B6" w:rsidP="00BD30B6">
      <w:pPr>
        <w:pStyle w:val="Heading2"/>
        <w:spacing w:before="240" w:line="240" w:lineRule="auto"/>
        <w:ind w:right="96"/>
      </w:pPr>
      <w:bookmarkStart w:id="54" w:name="_Toc20907548"/>
      <w:bookmarkStart w:id="55" w:name="_Toc20908417"/>
      <w:bookmarkStart w:id="56" w:name="_Toc20914350"/>
      <w:bookmarkStart w:id="57" w:name="_Toc25843687"/>
      <w:r>
        <w:t xml:space="preserve">3.4 </w:t>
      </w:r>
      <w:r w:rsidR="004924AC">
        <w:t>The c</w:t>
      </w:r>
      <w:r w:rsidR="00B24260">
        <w:t xml:space="preserve">onsumer </w:t>
      </w:r>
      <w:r w:rsidR="00455D79">
        <w:t>perspective</w:t>
      </w:r>
      <w:bookmarkEnd w:id="54"/>
      <w:bookmarkEnd w:id="55"/>
      <w:bookmarkEnd w:id="56"/>
      <w:bookmarkEnd w:id="57"/>
    </w:p>
    <w:p w14:paraId="2E99BA8D" w14:textId="77777777" w:rsidR="00B24260" w:rsidRDefault="00B24260" w:rsidP="00B24260">
      <w:pPr>
        <w:spacing w:line="240" w:lineRule="auto"/>
        <w:ind w:right="95"/>
        <w:rPr>
          <w:lang w:val="en-US" w:eastAsia="en-US"/>
        </w:rPr>
      </w:pPr>
      <w:r>
        <w:rPr>
          <w:lang w:val="en-US" w:eastAsia="en-US"/>
        </w:rPr>
        <w:t xml:space="preserve">The Committee has maintained consideration of how its deliberations and advice will impact upon the consumer. </w:t>
      </w:r>
      <w:r>
        <w:rPr>
          <w:bCs/>
        </w:rPr>
        <w:t xml:space="preserve">Very early in the MBS Review the Committee designed an Appropriate Use Criteria (AUC) methodology (endorsed by the Taskforce in March 2016) for use by all clinical committees, to guide their deliberations regarding MBS items (see </w:t>
      </w:r>
      <w:r w:rsidRPr="00B24260">
        <w:rPr>
          <w:bCs/>
          <w:u w:val="single"/>
        </w:rPr>
        <w:t>Appendix B</w:t>
      </w:r>
      <w:r>
        <w:rPr>
          <w:bCs/>
        </w:rPr>
        <w:t xml:space="preserve"> for full details). </w:t>
      </w:r>
    </w:p>
    <w:p w14:paraId="0D99B686" w14:textId="47C1899B" w:rsidR="00B24260" w:rsidRPr="00B24260" w:rsidRDefault="00B24260" w:rsidP="00B24260">
      <w:pPr>
        <w:spacing w:line="240" w:lineRule="auto"/>
        <w:ind w:right="95"/>
        <w:rPr>
          <w:lang w:val="en-US" w:eastAsia="en-US"/>
        </w:rPr>
      </w:pPr>
      <w:r w:rsidRPr="00B24260">
        <w:rPr>
          <w:bCs/>
        </w:rPr>
        <w:t>The Committee</w:t>
      </w:r>
      <w:r w:rsidR="007234E7">
        <w:rPr>
          <w:bCs/>
        </w:rPr>
        <w:t xml:space="preserve"> sought to align the AUC with established best practice models, including the work of the </w:t>
      </w:r>
      <w:r w:rsidRPr="00B24260">
        <w:rPr>
          <w:lang w:val="en-US" w:eastAsia="en-US"/>
        </w:rPr>
        <w:t xml:space="preserve">Department’s Health Technology Assessment Consumer Consultative Committee </w:t>
      </w:r>
      <w:r w:rsidR="007234E7">
        <w:rPr>
          <w:lang w:val="en-US" w:eastAsia="en-US"/>
        </w:rPr>
        <w:t xml:space="preserve">to </w:t>
      </w:r>
      <w:r w:rsidR="008835EC">
        <w:rPr>
          <w:lang w:val="en-US" w:eastAsia="en-US"/>
        </w:rPr>
        <w:lastRenderedPageBreak/>
        <w:t xml:space="preserve">incorporate </w:t>
      </w:r>
      <w:r w:rsidRPr="00B24260">
        <w:rPr>
          <w:lang w:val="en-US" w:eastAsia="en-US"/>
        </w:rPr>
        <w:t>consumer evidence and perspectives</w:t>
      </w:r>
      <w:r>
        <w:rPr>
          <w:bCs/>
        </w:rPr>
        <w:t xml:space="preserve">. </w:t>
      </w:r>
      <w:proofErr w:type="gramStart"/>
      <w:r>
        <w:rPr>
          <w:bCs/>
        </w:rPr>
        <w:t>However</w:t>
      </w:r>
      <w:proofErr w:type="gramEnd"/>
      <w:r>
        <w:rPr>
          <w:bCs/>
        </w:rPr>
        <w:t xml:space="preserve"> </w:t>
      </w:r>
      <w:r w:rsidRPr="00B24260">
        <w:rPr>
          <w:bCs/>
        </w:rPr>
        <w:t xml:space="preserve">it </w:t>
      </w:r>
      <w:r w:rsidRPr="00B24260">
        <w:rPr>
          <w:lang w:val="en-US" w:eastAsia="en-US"/>
        </w:rPr>
        <w:t xml:space="preserve">was unachievable, at that time, to fully incorporate consumer evidence and perspectives as standard. </w:t>
      </w:r>
    </w:p>
    <w:p w14:paraId="763FB2FD" w14:textId="0B3157DB" w:rsidR="00527D85" w:rsidRPr="00527D85" w:rsidRDefault="00527D85" w:rsidP="00B24260">
      <w:pPr>
        <w:spacing w:line="240" w:lineRule="auto"/>
        <w:ind w:right="95"/>
        <w:rPr>
          <w:lang w:val="en-US" w:eastAsia="en-US"/>
        </w:rPr>
      </w:pPr>
      <w:r>
        <w:rPr>
          <w:lang w:val="en-US" w:eastAsia="en-US"/>
        </w:rPr>
        <w:t>In</w:t>
      </w:r>
      <w:r w:rsidR="00B24260">
        <w:rPr>
          <w:lang w:val="en-US" w:eastAsia="en-US"/>
        </w:rPr>
        <w:t xml:space="preserve"> early 2016</w:t>
      </w:r>
      <w:r w:rsidR="006D788A">
        <w:rPr>
          <w:lang w:val="en-US" w:eastAsia="en-US"/>
        </w:rPr>
        <w:t>,</w:t>
      </w:r>
      <w:r w:rsidR="00B24260">
        <w:rPr>
          <w:lang w:val="en-US" w:eastAsia="en-US"/>
        </w:rPr>
        <w:t xml:space="preserve"> the Taskforce established the Consumer Panel</w:t>
      </w:r>
      <w:r w:rsidR="007234E7">
        <w:rPr>
          <w:rStyle w:val="FootnoteReference"/>
          <w:lang w:val="en-US" w:eastAsia="en-US"/>
        </w:rPr>
        <w:footnoteReference w:id="2"/>
      </w:r>
      <w:r w:rsidR="00B24260">
        <w:rPr>
          <w:lang w:val="en-US" w:eastAsia="en-US"/>
        </w:rPr>
        <w:t>. The Panel developed a set of Consumer Principles</w:t>
      </w:r>
      <w:r>
        <w:rPr>
          <w:lang w:val="en-US" w:eastAsia="en-US"/>
        </w:rPr>
        <w:t xml:space="preserve"> (listed in full at</w:t>
      </w:r>
      <w:r w:rsidR="00AA6F98">
        <w:rPr>
          <w:lang w:val="en-US" w:eastAsia="en-US"/>
        </w:rPr>
        <w:t xml:space="preserve"> </w:t>
      </w:r>
      <w:r w:rsidR="00AA6F98" w:rsidRPr="00AA6F98">
        <w:rPr>
          <w:u w:val="single"/>
          <w:lang w:val="en-US" w:eastAsia="en-US"/>
        </w:rPr>
        <w:t>Appendix C</w:t>
      </w:r>
      <w:r w:rsidR="00AA6F98">
        <w:rPr>
          <w:lang w:val="en-US" w:eastAsia="en-US"/>
        </w:rPr>
        <w:t>)</w:t>
      </w:r>
      <w:r w:rsidR="00B24260">
        <w:rPr>
          <w:lang w:val="en-US" w:eastAsia="en-US"/>
        </w:rPr>
        <w:t xml:space="preserve"> to be applied by</w:t>
      </w:r>
      <w:r w:rsidR="006D788A">
        <w:rPr>
          <w:lang w:val="en-US" w:eastAsia="en-US"/>
        </w:rPr>
        <w:t xml:space="preserve"> each clinical committee in their </w:t>
      </w:r>
      <w:r w:rsidR="00B24260">
        <w:rPr>
          <w:lang w:val="en-US" w:eastAsia="en-US"/>
        </w:rPr>
        <w:t>deliberations and decision making. The principles were intended to ensure that clinical committee decisions were made by consensus and consumer perspectives were not merely an annotation to clinical decision</w:t>
      </w:r>
      <w:r w:rsidR="00B24260">
        <w:rPr>
          <w:lang w:val="en-US" w:eastAsia="en-US"/>
        </w:rPr>
        <w:noBreakHyphen/>
        <w:t>making. The Committee actively supported early</w:t>
      </w:r>
      <w:r w:rsidR="00B24260" w:rsidRPr="00B24260">
        <w:rPr>
          <w:bCs/>
        </w:rPr>
        <w:t xml:space="preserve"> adoption of the</w:t>
      </w:r>
      <w:r w:rsidR="00B24260">
        <w:rPr>
          <w:bCs/>
        </w:rPr>
        <w:t>se</w:t>
      </w:r>
      <w:r w:rsidR="00B24260" w:rsidRPr="00B24260">
        <w:rPr>
          <w:bCs/>
        </w:rPr>
        <w:t xml:space="preserve"> </w:t>
      </w:r>
      <w:r w:rsidR="00B24260">
        <w:rPr>
          <w:bCs/>
        </w:rPr>
        <w:t xml:space="preserve">principles. </w:t>
      </w:r>
    </w:p>
    <w:p w14:paraId="584ED311" w14:textId="184FFBD0" w:rsidR="00B24260" w:rsidRPr="00B24260" w:rsidRDefault="00B24260" w:rsidP="00B24260">
      <w:pPr>
        <w:spacing w:line="240" w:lineRule="auto"/>
        <w:ind w:right="95"/>
        <w:rPr>
          <w:lang w:val="en-US" w:eastAsia="en-US"/>
        </w:rPr>
      </w:pPr>
      <w:r>
        <w:rPr>
          <w:bCs/>
        </w:rPr>
        <w:t xml:space="preserve">Throughout this </w:t>
      </w:r>
      <w:r>
        <w:rPr>
          <w:lang w:val="en-US" w:eastAsia="en-US"/>
        </w:rPr>
        <w:t>report, in all advice and recommendations the reader will find implicit and explicit reference to the consumer</w:t>
      </w:r>
      <w:r w:rsidR="00E31D61">
        <w:rPr>
          <w:lang w:val="en-US" w:eastAsia="en-US"/>
        </w:rPr>
        <w:t>. E</w:t>
      </w:r>
      <w:r w:rsidRPr="00B24260">
        <w:rPr>
          <w:lang w:val="en-US" w:eastAsia="en-US"/>
        </w:rPr>
        <w:t>xample</w:t>
      </w:r>
      <w:r w:rsidR="00E31D61">
        <w:rPr>
          <w:lang w:val="en-US" w:eastAsia="en-US"/>
        </w:rPr>
        <w:t>s include but are not limited to</w:t>
      </w:r>
      <w:r w:rsidRPr="00B24260">
        <w:rPr>
          <w:lang w:val="en-US" w:eastAsia="en-US"/>
        </w:rPr>
        <w:t xml:space="preserve">: </w:t>
      </w:r>
    </w:p>
    <w:p w14:paraId="2A3E7737" w14:textId="296ADFED" w:rsidR="00B24260" w:rsidRPr="00B24260" w:rsidRDefault="00D7769E" w:rsidP="007245CE">
      <w:pPr>
        <w:pStyle w:val="ListParagraph"/>
        <w:numPr>
          <w:ilvl w:val="1"/>
          <w:numId w:val="15"/>
        </w:numPr>
        <w:spacing w:line="240" w:lineRule="auto"/>
        <w:ind w:left="851" w:right="95" w:hanging="284"/>
      </w:pPr>
      <w:r>
        <w:t>T</w:t>
      </w:r>
      <w:r w:rsidR="00B24260" w:rsidRPr="00D7769E">
        <w:t>he</w:t>
      </w:r>
      <w:r w:rsidR="00B24260">
        <w:t xml:space="preserve"> </w:t>
      </w:r>
      <w:r w:rsidR="00B24260" w:rsidRPr="00B24260">
        <w:rPr>
          <w:i/>
        </w:rPr>
        <w:t>MBS function</w:t>
      </w:r>
      <w:r w:rsidR="00B24260">
        <w:t xml:space="preserve"> </w:t>
      </w:r>
      <w:r>
        <w:t xml:space="preserve">(see 5.1 above) </w:t>
      </w:r>
      <w:r w:rsidR="00B24260" w:rsidRPr="00B24260">
        <w:t xml:space="preserve">reinforces </w:t>
      </w:r>
      <w:r w:rsidR="00B24260">
        <w:t xml:space="preserve">the patient’s centrality to the MBS by explicitly stating that the MBS is </w:t>
      </w:r>
      <w:r w:rsidR="00B24260" w:rsidRPr="00B24260">
        <w:t>f</w:t>
      </w:r>
      <w:r w:rsidR="00B24260">
        <w:t xml:space="preserve">unded by consumers (taxpayers) and </w:t>
      </w:r>
      <w:r w:rsidR="00B24260" w:rsidRPr="00B24260">
        <w:t>enacts the government’s commitment to universal access to high value, cost-effective essential care</w:t>
      </w:r>
      <w:r w:rsidR="00B24260">
        <w:t>.</w:t>
      </w:r>
    </w:p>
    <w:p w14:paraId="50F7593C" w14:textId="259C1D1C" w:rsidR="00B24260" w:rsidRDefault="00022153" w:rsidP="007245CE">
      <w:pPr>
        <w:pStyle w:val="ListParagraph"/>
        <w:numPr>
          <w:ilvl w:val="1"/>
          <w:numId w:val="15"/>
        </w:numPr>
        <w:spacing w:line="240" w:lineRule="auto"/>
        <w:ind w:left="851" w:right="95" w:hanging="284"/>
      </w:pPr>
      <w:r>
        <w:t xml:space="preserve">At 6.6 below, the </w:t>
      </w:r>
      <w:r w:rsidR="00B24260">
        <w:t xml:space="preserve">recommendation pertaining to use of </w:t>
      </w:r>
      <w:r w:rsidR="00B24260" w:rsidRPr="00B24260">
        <w:t>online specialist refe</w:t>
      </w:r>
      <w:r w:rsidR="00B24260">
        <w:t xml:space="preserve">rrals, balances </w:t>
      </w:r>
      <w:r w:rsidR="00B24260" w:rsidRPr="00B24260">
        <w:t xml:space="preserve">respect for patient access and convenience with the evidence supporting the </w:t>
      </w:r>
      <w:r w:rsidR="00B24260">
        <w:t xml:space="preserve">role of the GP. </w:t>
      </w:r>
    </w:p>
    <w:p w14:paraId="65F4F381" w14:textId="19AD7D1A" w:rsidR="00B24260" w:rsidRPr="00B24260" w:rsidRDefault="00455D79" w:rsidP="007245CE">
      <w:pPr>
        <w:pStyle w:val="ListParagraph"/>
        <w:numPr>
          <w:ilvl w:val="1"/>
          <w:numId w:val="15"/>
        </w:numPr>
        <w:spacing w:line="240" w:lineRule="auto"/>
        <w:ind w:left="851" w:right="95" w:hanging="284"/>
      </w:pPr>
      <w:r>
        <w:rPr>
          <w:lang w:val="en-US" w:eastAsia="en-US"/>
        </w:rPr>
        <w:t>Committee a</w:t>
      </w:r>
      <w:r w:rsidR="00022153">
        <w:rPr>
          <w:lang w:val="en-US" w:eastAsia="en-US"/>
        </w:rPr>
        <w:t xml:space="preserve">ttempts to better </w:t>
      </w:r>
      <w:r w:rsidR="00B24260">
        <w:rPr>
          <w:lang w:val="en-US" w:eastAsia="en-US"/>
        </w:rPr>
        <w:t xml:space="preserve">define MBS remuneration for surgical services </w:t>
      </w:r>
      <w:r>
        <w:rPr>
          <w:lang w:val="en-US" w:eastAsia="en-US"/>
        </w:rPr>
        <w:t xml:space="preserve">that aim to minimize </w:t>
      </w:r>
      <w:r w:rsidR="00B24260">
        <w:rPr>
          <w:lang w:val="en-US" w:eastAsia="en-US"/>
        </w:rPr>
        <w:t>variability</w:t>
      </w:r>
      <w:r>
        <w:rPr>
          <w:lang w:val="en-US" w:eastAsia="en-US"/>
        </w:rPr>
        <w:t xml:space="preserve"> across patients and </w:t>
      </w:r>
      <w:proofErr w:type="spellStart"/>
      <w:r>
        <w:rPr>
          <w:lang w:val="en-US" w:eastAsia="en-US"/>
        </w:rPr>
        <w:t>maximise</w:t>
      </w:r>
      <w:proofErr w:type="spellEnd"/>
      <w:r>
        <w:rPr>
          <w:lang w:val="en-US" w:eastAsia="en-US"/>
        </w:rPr>
        <w:t xml:space="preserve"> </w:t>
      </w:r>
      <w:r w:rsidR="00B24260">
        <w:rPr>
          <w:lang w:val="en-US" w:eastAsia="en-US"/>
        </w:rPr>
        <w:t xml:space="preserve">transparency for the consumer in terms of the service provided and </w:t>
      </w:r>
      <w:r w:rsidR="00B24260" w:rsidRPr="00B24260">
        <w:rPr>
          <w:lang w:val="en-US" w:eastAsia="en-US"/>
        </w:rPr>
        <w:t>billing.</w:t>
      </w:r>
      <w:r w:rsidR="00B24260">
        <w:rPr>
          <w:lang w:val="en-US" w:eastAsia="en-US"/>
        </w:rPr>
        <w:t xml:space="preserve"> When making design recommendations the Committee noted that taxpayers do not want unnecessary and inconsistent billing, nor do they want to incur multiple gap payments. </w:t>
      </w:r>
    </w:p>
    <w:p w14:paraId="044AD980" w14:textId="75CB14CC" w:rsidR="00B24260" w:rsidRPr="00B24260" w:rsidRDefault="00022153" w:rsidP="007245CE">
      <w:pPr>
        <w:pStyle w:val="ListParagraph"/>
        <w:numPr>
          <w:ilvl w:val="1"/>
          <w:numId w:val="15"/>
        </w:numPr>
        <w:spacing w:line="240" w:lineRule="auto"/>
        <w:ind w:left="851" w:right="95" w:hanging="284"/>
      </w:pPr>
      <w:r>
        <w:rPr>
          <w:lang w:val="en-US" w:eastAsia="en-US"/>
        </w:rPr>
        <w:t>The</w:t>
      </w:r>
      <w:r w:rsidR="00B24260" w:rsidRPr="00B24260">
        <w:rPr>
          <w:lang w:val="en-US" w:eastAsia="en-US"/>
        </w:rPr>
        <w:t xml:space="preserve"> </w:t>
      </w:r>
      <w:r w:rsidR="00B24260">
        <w:rPr>
          <w:lang w:val="en-US" w:eastAsia="en-US"/>
        </w:rPr>
        <w:t xml:space="preserve">final position </w:t>
      </w:r>
      <w:r>
        <w:rPr>
          <w:lang w:val="en-US" w:eastAsia="en-US"/>
        </w:rPr>
        <w:t xml:space="preserve">on the use of </w:t>
      </w:r>
      <w:r w:rsidR="00B24260">
        <w:rPr>
          <w:lang w:val="en-US" w:eastAsia="en-US"/>
        </w:rPr>
        <w:t>loadings</w:t>
      </w:r>
      <w:r w:rsidR="00D7769E">
        <w:rPr>
          <w:lang w:val="en-US" w:eastAsia="en-US"/>
        </w:rPr>
        <w:t xml:space="preserve"> (see </w:t>
      </w:r>
      <w:r w:rsidR="00D7769E" w:rsidRPr="00D7769E">
        <w:rPr>
          <w:u w:val="single"/>
          <w:lang w:val="en-US" w:eastAsia="en-US"/>
        </w:rPr>
        <w:t>Appendix B</w:t>
      </w:r>
      <w:r w:rsidR="00D7769E">
        <w:rPr>
          <w:lang w:val="en-US" w:eastAsia="en-US"/>
        </w:rPr>
        <w:t>)</w:t>
      </w:r>
      <w:r w:rsidR="00B24260">
        <w:rPr>
          <w:lang w:val="en-US" w:eastAsia="en-US"/>
        </w:rPr>
        <w:t xml:space="preserve"> was designed to ensure that every patient has access to an equal rebate for a specific service, regardless of the location of service provision</w:t>
      </w:r>
      <w:r w:rsidR="00B24260" w:rsidRPr="00B24260">
        <w:rPr>
          <w:lang w:val="en-US" w:eastAsia="en-US"/>
        </w:rPr>
        <w:t>.</w:t>
      </w:r>
    </w:p>
    <w:p w14:paraId="577BD2FD" w14:textId="3D8A702A" w:rsidR="00B24260" w:rsidRPr="00B24260" w:rsidRDefault="00E31D61" w:rsidP="007245CE">
      <w:pPr>
        <w:pStyle w:val="ListParagraph"/>
        <w:numPr>
          <w:ilvl w:val="1"/>
          <w:numId w:val="15"/>
        </w:numPr>
        <w:spacing w:line="240" w:lineRule="auto"/>
        <w:ind w:left="851" w:right="95" w:hanging="284"/>
      </w:pPr>
      <w:r w:rsidRPr="00B24260">
        <w:rPr>
          <w:lang w:val="en-US" w:eastAsia="en-US"/>
        </w:rPr>
        <w:t>Deliberations</w:t>
      </w:r>
      <w:r w:rsidR="00B24260" w:rsidRPr="00B24260">
        <w:rPr>
          <w:lang w:val="en-US" w:eastAsia="en-US"/>
        </w:rPr>
        <w:t xml:space="preserve"> </w:t>
      </w:r>
      <w:r w:rsidR="00022153">
        <w:rPr>
          <w:lang w:val="en-US" w:eastAsia="en-US"/>
        </w:rPr>
        <w:t xml:space="preserve">and </w:t>
      </w:r>
      <w:r>
        <w:rPr>
          <w:lang w:val="en-US" w:eastAsia="en-US"/>
        </w:rPr>
        <w:t xml:space="preserve">resulting </w:t>
      </w:r>
      <w:r w:rsidR="00022153">
        <w:rPr>
          <w:lang w:val="en-US" w:eastAsia="en-US"/>
        </w:rPr>
        <w:t xml:space="preserve">action on </w:t>
      </w:r>
      <w:r w:rsidR="00B24260" w:rsidRPr="00B24260">
        <w:rPr>
          <w:lang w:val="en-US" w:eastAsia="en-US"/>
        </w:rPr>
        <w:t xml:space="preserve">urgent after-hours services </w:t>
      </w:r>
      <w:r w:rsidR="00022153" w:rsidRPr="00D7769E">
        <w:rPr>
          <w:lang w:val="en-US" w:eastAsia="en-US"/>
        </w:rPr>
        <w:t xml:space="preserve">(see </w:t>
      </w:r>
      <w:r w:rsidR="00B24260" w:rsidRPr="00D7769E">
        <w:rPr>
          <w:u w:val="single"/>
          <w:lang w:val="en-US" w:eastAsia="en-US"/>
        </w:rPr>
        <w:t>Appendix B</w:t>
      </w:r>
      <w:r w:rsidR="00022153" w:rsidRPr="00D7769E">
        <w:rPr>
          <w:lang w:val="en-US" w:eastAsia="en-US"/>
        </w:rPr>
        <w:t>)</w:t>
      </w:r>
      <w:r w:rsidR="00022153">
        <w:rPr>
          <w:lang w:val="en-US" w:eastAsia="en-US"/>
        </w:rPr>
        <w:t xml:space="preserve"> strongly supported </w:t>
      </w:r>
      <w:r w:rsidR="00B24260" w:rsidRPr="00B24260">
        <w:rPr>
          <w:lang w:val="en-US" w:eastAsia="en-US"/>
        </w:rPr>
        <w:t>consumer access to safe, quality after-hour</w:t>
      </w:r>
      <w:r w:rsidR="00022153">
        <w:rPr>
          <w:lang w:val="en-US" w:eastAsia="en-US"/>
        </w:rPr>
        <w:t>s health services</w:t>
      </w:r>
      <w:r w:rsidR="00B24260" w:rsidRPr="00B24260">
        <w:rPr>
          <w:lang w:val="en-US" w:eastAsia="en-US"/>
        </w:rPr>
        <w:t xml:space="preserve">. </w:t>
      </w:r>
    </w:p>
    <w:p w14:paraId="1B461583" w14:textId="016648FC" w:rsidR="00B24260" w:rsidRPr="00D7769E" w:rsidRDefault="00022153" w:rsidP="007245CE">
      <w:pPr>
        <w:pStyle w:val="ListParagraph"/>
        <w:numPr>
          <w:ilvl w:val="1"/>
          <w:numId w:val="15"/>
        </w:numPr>
        <w:spacing w:line="240" w:lineRule="auto"/>
        <w:ind w:left="851" w:right="95" w:hanging="284"/>
      </w:pPr>
      <w:r>
        <w:rPr>
          <w:lang w:val="en-US" w:eastAsia="en-US"/>
        </w:rPr>
        <w:t xml:space="preserve">Consultation on surgical </w:t>
      </w:r>
      <w:r w:rsidRPr="00D7769E">
        <w:rPr>
          <w:lang w:val="en-US" w:eastAsia="en-US"/>
        </w:rPr>
        <w:t xml:space="preserve">assistant remuneration </w:t>
      </w:r>
      <w:r w:rsidR="00E31D61" w:rsidRPr="00D7769E">
        <w:rPr>
          <w:lang w:val="en-US" w:eastAsia="en-US"/>
        </w:rPr>
        <w:t xml:space="preserve">(see </w:t>
      </w:r>
      <w:r w:rsidR="00E31D61" w:rsidRPr="00D7769E">
        <w:rPr>
          <w:u w:val="single"/>
          <w:lang w:val="en-US" w:eastAsia="en-US"/>
        </w:rPr>
        <w:t>Appendix B</w:t>
      </w:r>
      <w:r w:rsidR="00E31D61" w:rsidRPr="00D7769E">
        <w:rPr>
          <w:lang w:val="en-US" w:eastAsia="en-US"/>
        </w:rPr>
        <w:t xml:space="preserve">) </w:t>
      </w:r>
      <w:r w:rsidRPr="00D7769E">
        <w:rPr>
          <w:lang w:val="en-US" w:eastAsia="en-US"/>
        </w:rPr>
        <w:t xml:space="preserve">aimed to put in place a </w:t>
      </w:r>
      <w:r w:rsidR="00B24260" w:rsidRPr="00D7769E">
        <w:rPr>
          <w:lang w:val="en-US" w:eastAsia="en-US"/>
        </w:rPr>
        <w:t xml:space="preserve">principles-based approach </w:t>
      </w:r>
      <w:r w:rsidRPr="00D7769E">
        <w:rPr>
          <w:lang w:val="en-US" w:eastAsia="en-US"/>
        </w:rPr>
        <w:t xml:space="preserve">to remuneration of assistants that </w:t>
      </w:r>
      <w:proofErr w:type="spellStart"/>
      <w:r w:rsidR="00B24260" w:rsidRPr="00D7769E">
        <w:rPr>
          <w:lang w:val="en-US" w:eastAsia="en-US"/>
        </w:rPr>
        <w:t>emphasises</w:t>
      </w:r>
      <w:proofErr w:type="spellEnd"/>
      <w:r w:rsidR="00B24260" w:rsidRPr="00D7769E">
        <w:rPr>
          <w:lang w:val="en-US" w:eastAsia="en-US"/>
        </w:rPr>
        <w:t xml:space="preserve"> the importance of informed financial consent and of comparability of fees for similar services. </w:t>
      </w:r>
    </w:p>
    <w:p w14:paraId="2945EFB5" w14:textId="2F1D77BE" w:rsidR="00B24260" w:rsidRPr="001F7406" w:rsidRDefault="00E31D61" w:rsidP="007245CE">
      <w:pPr>
        <w:pStyle w:val="ListParagraph"/>
        <w:numPr>
          <w:ilvl w:val="1"/>
          <w:numId w:val="15"/>
        </w:numPr>
        <w:spacing w:line="240" w:lineRule="auto"/>
        <w:ind w:left="851" w:right="95" w:hanging="284"/>
      </w:pPr>
      <w:r w:rsidRPr="00D7769E">
        <w:rPr>
          <w:lang w:val="en-US" w:eastAsia="en-US"/>
        </w:rPr>
        <w:t>Advice provided by the C</w:t>
      </w:r>
      <w:r w:rsidR="00B24260" w:rsidRPr="00D7769E">
        <w:rPr>
          <w:lang w:val="en-US" w:eastAsia="en-US"/>
        </w:rPr>
        <w:t xml:space="preserve">ommittee </w:t>
      </w:r>
      <w:r w:rsidRPr="00D7769E">
        <w:rPr>
          <w:lang w:val="en-US" w:eastAsia="en-US"/>
        </w:rPr>
        <w:t xml:space="preserve">on </w:t>
      </w:r>
      <w:r w:rsidR="00B24260" w:rsidRPr="00D7769E">
        <w:rPr>
          <w:lang w:val="en-US" w:eastAsia="en-US"/>
        </w:rPr>
        <w:t xml:space="preserve">adoption of the Modified Monash Model </w:t>
      </w:r>
      <w:r w:rsidRPr="00D7769E">
        <w:rPr>
          <w:lang w:val="en-US" w:eastAsia="en-US"/>
        </w:rPr>
        <w:t xml:space="preserve">(see </w:t>
      </w:r>
      <w:r w:rsidRPr="00D7769E">
        <w:rPr>
          <w:u w:val="single"/>
          <w:lang w:val="en-US" w:eastAsia="en-US"/>
        </w:rPr>
        <w:t>Appendix B</w:t>
      </w:r>
      <w:r w:rsidRPr="00D7769E">
        <w:rPr>
          <w:lang w:val="en-US" w:eastAsia="en-US"/>
        </w:rPr>
        <w:t xml:space="preserve">) aimed to </w:t>
      </w:r>
      <w:proofErr w:type="spellStart"/>
      <w:r w:rsidRPr="00D7769E">
        <w:rPr>
          <w:lang w:val="en-US" w:eastAsia="en-US"/>
        </w:rPr>
        <w:t>equalise</w:t>
      </w:r>
      <w:proofErr w:type="spellEnd"/>
      <w:r w:rsidRPr="00D7769E">
        <w:rPr>
          <w:lang w:val="en-US" w:eastAsia="en-US"/>
        </w:rPr>
        <w:t xml:space="preserve"> access to </w:t>
      </w:r>
      <w:r w:rsidR="00B24260" w:rsidRPr="00D7769E">
        <w:rPr>
          <w:lang w:val="en-US" w:eastAsia="en-US"/>
        </w:rPr>
        <w:t xml:space="preserve">health workers </w:t>
      </w:r>
      <w:r w:rsidRPr="00D7769E">
        <w:rPr>
          <w:lang w:val="en-US" w:eastAsia="en-US"/>
        </w:rPr>
        <w:t xml:space="preserve">in </w:t>
      </w:r>
      <w:r w:rsidR="00B24260" w:rsidRPr="00D7769E">
        <w:rPr>
          <w:lang w:val="en-US" w:eastAsia="en-US"/>
        </w:rPr>
        <w:t>remote and smaller communities: a valuable contribution</w:t>
      </w:r>
      <w:r w:rsidR="00B24260" w:rsidRPr="00B24260">
        <w:rPr>
          <w:lang w:val="en-US" w:eastAsia="en-US"/>
        </w:rPr>
        <w:t xml:space="preserve"> to equity of service access for consumers.</w:t>
      </w:r>
    </w:p>
    <w:p w14:paraId="6EB7D414" w14:textId="47D4FA97" w:rsidR="006D788A" w:rsidRPr="00BD30B6" w:rsidRDefault="007234E7" w:rsidP="00BD30B6">
      <w:pPr>
        <w:spacing w:line="240" w:lineRule="auto"/>
        <w:ind w:right="95"/>
        <w:rPr>
          <w:lang w:val="en-US" w:eastAsia="en-US"/>
        </w:rPr>
      </w:pPr>
      <w:r>
        <w:rPr>
          <w:lang w:val="en-US" w:eastAsia="en-US"/>
        </w:rPr>
        <w:t xml:space="preserve">In addition, when investigating </w:t>
      </w:r>
      <w:r w:rsidR="00D7769E">
        <w:rPr>
          <w:lang w:val="en-US" w:eastAsia="en-US"/>
        </w:rPr>
        <w:t>specific issues, referred for Committee advice by clinical comm</w:t>
      </w:r>
      <w:r>
        <w:rPr>
          <w:lang w:val="en-US" w:eastAsia="en-US"/>
        </w:rPr>
        <w:t xml:space="preserve">ittees or the Taskforce, the </w:t>
      </w:r>
      <w:r w:rsidR="00E31D61">
        <w:rPr>
          <w:lang w:val="en-US" w:eastAsia="en-US"/>
        </w:rPr>
        <w:t xml:space="preserve">Committee </w:t>
      </w:r>
      <w:r>
        <w:rPr>
          <w:lang w:val="en-US" w:eastAsia="en-US"/>
        </w:rPr>
        <w:t xml:space="preserve">has made </w:t>
      </w:r>
      <w:r w:rsidR="00E31D61">
        <w:rPr>
          <w:lang w:val="en-US" w:eastAsia="en-US"/>
        </w:rPr>
        <w:t xml:space="preserve">several recommendations for further exploration of an issue, in a whole of MBS context. One example is the </w:t>
      </w:r>
      <w:r w:rsidR="00B24260" w:rsidRPr="00E31D61">
        <w:rPr>
          <w:lang w:val="en-US" w:eastAsia="en-US"/>
        </w:rPr>
        <w:t>practice of performing bil</w:t>
      </w:r>
      <w:r w:rsidR="00E31D61">
        <w:rPr>
          <w:lang w:val="en-US" w:eastAsia="en-US"/>
        </w:rPr>
        <w:t>ateral surgery on separate days</w:t>
      </w:r>
      <w:r w:rsidR="00D7769E">
        <w:rPr>
          <w:lang w:val="en-US" w:eastAsia="en-US"/>
        </w:rPr>
        <w:t xml:space="preserve"> which led to the </w:t>
      </w:r>
      <w:r w:rsidR="00E31D61">
        <w:rPr>
          <w:lang w:val="en-US" w:eastAsia="en-US"/>
        </w:rPr>
        <w:t xml:space="preserve">Committee’s recommendation </w:t>
      </w:r>
      <w:r w:rsidR="00D7769E">
        <w:rPr>
          <w:lang w:val="en-US" w:eastAsia="en-US"/>
        </w:rPr>
        <w:t>at 6.4</w:t>
      </w:r>
      <w:r w:rsidR="005F3F33">
        <w:rPr>
          <w:lang w:val="en-US" w:eastAsia="en-US"/>
        </w:rPr>
        <w:t xml:space="preserve"> below. Ensuring the MBS acknowledges best practice while </w:t>
      </w:r>
      <w:proofErr w:type="spellStart"/>
      <w:r w:rsidR="005F3F33">
        <w:rPr>
          <w:lang w:val="en-US" w:eastAsia="en-US"/>
        </w:rPr>
        <w:t>minimising</w:t>
      </w:r>
      <w:proofErr w:type="spellEnd"/>
      <w:r w:rsidR="005F3F33">
        <w:rPr>
          <w:lang w:val="en-US" w:eastAsia="en-US"/>
        </w:rPr>
        <w:t xml:space="preserve"> </w:t>
      </w:r>
      <w:r w:rsidR="00B24260" w:rsidRPr="00E31D61">
        <w:rPr>
          <w:lang w:val="en-US" w:eastAsia="en-US"/>
        </w:rPr>
        <w:t>patien</w:t>
      </w:r>
      <w:r w:rsidR="00E31D61">
        <w:rPr>
          <w:lang w:val="en-US" w:eastAsia="en-US"/>
        </w:rPr>
        <w:t xml:space="preserve">t inconvenience and potential </w:t>
      </w:r>
      <w:r w:rsidR="00B24260" w:rsidRPr="00E31D61">
        <w:rPr>
          <w:lang w:val="en-US" w:eastAsia="en-US"/>
        </w:rPr>
        <w:t>safety issues</w:t>
      </w:r>
      <w:r w:rsidR="005F3F33">
        <w:rPr>
          <w:lang w:val="en-US" w:eastAsia="en-US"/>
        </w:rPr>
        <w:t>.</w:t>
      </w:r>
      <w:bookmarkStart w:id="58" w:name="_Toc20907549"/>
    </w:p>
    <w:p w14:paraId="143D70EB" w14:textId="177ACFD5" w:rsidR="00D505E0" w:rsidRPr="004924AC" w:rsidRDefault="00BD30B6" w:rsidP="00BD30B6">
      <w:pPr>
        <w:pStyle w:val="Heading2"/>
        <w:spacing w:before="240" w:line="240" w:lineRule="auto"/>
        <w:ind w:right="96"/>
      </w:pPr>
      <w:bookmarkStart w:id="59" w:name="_Toc20908418"/>
      <w:bookmarkStart w:id="60" w:name="_Toc20914351"/>
      <w:bookmarkStart w:id="61" w:name="_Toc25843688"/>
      <w:r>
        <w:t xml:space="preserve">3.5 </w:t>
      </w:r>
      <w:r w:rsidR="00222EAD">
        <w:t>Fee</w:t>
      </w:r>
      <w:r w:rsidR="00D505E0">
        <w:t xml:space="preserve"> transparency</w:t>
      </w:r>
      <w:bookmarkEnd w:id="58"/>
      <w:bookmarkEnd w:id="59"/>
      <w:bookmarkEnd w:id="60"/>
      <w:bookmarkEnd w:id="61"/>
      <w:r w:rsidR="00D505E0">
        <w:t xml:space="preserve"> </w:t>
      </w:r>
    </w:p>
    <w:p w14:paraId="14219515" w14:textId="433182F3" w:rsidR="00D505E0" w:rsidRPr="006D788A" w:rsidRDefault="00A77FEA" w:rsidP="002058BC">
      <w:pPr>
        <w:spacing w:line="240" w:lineRule="auto"/>
        <w:ind w:right="95"/>
      </w:pPr>
      <w:r>
        <w:rPr>
          <w:color w:val="000000" w:themeColor="text1"/>
          <w:lang w:val="en-US"/>
        </w:rPr>
        <w:t>The Committee holds a</w:t>
      </w:r>
      <w:r w:rsidR="006F3467">
        <w:rPr>
          <w:color w:val="000000" w:themeColor="text1"/>
          <w:lang w:val="en-US"/>
        </w:rPr>
        <w:t xml:space="preserve"> strong conviction to protect patients from </w:t>
      </w:r>
      <w:r w:rsidR="00D505E0">
        <w:rPr>
          <w:color w:val="000000" w:themeColor="text1"/>
          <w:lang w:val="en-US"/>
        </w:rPr>
        <w:t xml:space="preserve">inappropriate </w:t>
      </w:r>
      <w:r w:rsidR="006F3467">
        <w:rPr>
          <w:color w:val="000000" w:themeColor="text1"/>
          <w:lang w:val="en-US"/>
        </w:rPr>
        <w:t>billing practices</w:t>
      </w:r>
      <w:r w:rsidR="006D788A">
        <w:rPr>
          <w:color w:val="000000" w:themeColor="text1"/>
          <w:lang w:val="en-US"/>
        </w:rPr>
        <w:t xml:space="preserve"> and supports the </w:t>
      </w:r>
      <w:r w:rsidR="006D788A" w:rsidRPr="00BE44A9">
        <w:t>work and progress made to date to improve fee transparency.</w:t>
      </w:r>
    </w:p>
    <w:p w14:paraId="6760F276" w14:textId="3071EBB2" w:rsidR="00D505E0" w:rsidRPr="00A93C8F" w:rsidRDefault="00D505E0" w:rsidP="002058BC">
      <w:pPr>
        <w:pStyle w:val="IntenseQuote"/>
        <w:spacing w:line="240" w:lineRule="auto"/>
        <w:ind w:left="426" w:right="662" w:firstLine="0"/>
        <w:jc w:val="center"/>
      </w:pPr>
      <w:r>
        <w:lastRenderedPageBreak/>
        <w:t xml:space="preserve">In a </w:t>
      </w:r>
      <w:proofErr w:type="gramStart"/>
      <w:r>
        <w:t>consumer-led healthcare market consumers</w:t>
      </w:r>
      <w:proofErr w:type="gramEnd"/>
      <w:r>
        <w:t xml:space="preserve"> need </w:t>
      </w:r>
      <w:r w:rsidR="00A77FEA">
        <w:t xml:space="preserve">clear and transparent information to give their full, informed consent to services </w:t>
      </w:r>
    </w:p>
    <w:p w14:paraId="736414A9" w14:textId="4D22E712" w:rsidR="00D505E0" w:rsidRPr="00D505E0" w:rsidRDefault="004F7304" w:rsidP="002058BC">
      <w:pPr>
        <w:spacing w:line="240" w:lineRule="auto"/>
        <w:ind w:right="95"/>
        <w:rPr>
          <w:color w:val="000000" w:themeColor="text1"/>
          <w:lang w:val="en-US"/>
        </w:rPr>
      </w:pPr>
      <w:r>
        <w:rPr>
          <w:color w:val="000000" w:themeColor="text1"/>
          <w:lang w:val="en-US"/>
        </w:rPr>
        <w:t>During</w:t>
      </w:r>
      <w:r w:rsidR="00D505E0">
        <w:rPr>
          <w:color w:val="000000" w:themeColor="text1"/>
          <w:lang w:val="en-US"/>
        </w:rPr>
        <w:t xml:space="preserve"> the life of the MBS Review the need for transparency across the private healthcare sector has gained momentum. </w:t>
      </w:r>
      <w:r w:rsidR="00D505E0" w:rsidRPr="00D505E0">
        <w:rPr>
          <w:color w:val="000000" w:themeColor="text1"/>
          <w:lang w:val="en-US"/>
        </w:rPr>
        <w:t>On 2 January 2018 the Ministerial Advisory Committee on Out-of-Pocket Costs was established to provide advice to the Minister for Health on possible reforms covering:</w:t>
      </w:r>
    </w:p>
    <w:p w14:paraId="61799CB1" w14:textId="77777777" w:rsidR="00D505E0" w:rsidRPr="00D505E0" w:rsidRDefault="00D505E0" w:rsidP="007245CE">
      <w:pPr>
        <w:pStyle w:val="ListParagraph"/>
        <w:numPr>
          <w:ilvl w:val="1"/>
          <w:numId w:val="15"/>
        </w:numPr>
        <w:spacing w:line="240" w:lineRule="auto"/>
        <w:ind w:left="993" w:right="95" w:hanging="426"/>
      </w:pPr>
      <w:r w:rsidRPr="00D505E0">
        <w:t xml:space="preserve">Best practice models for the transparency of in-hospital medical out-of-pocket costs, and associated medical services in the </w:t>
      </w:r>
      <w:proofErr w:type="gramStart"/>
      <w:r w:rsidRPr="00D505E0">
        <w:t>community;</w:t>
      </w:r>
      <w:proofErr w:type="gramEnd"/>
    </w:p>
    <w:p w14:paraId="06168971" w14:textId="2D0278DA" w:rsidR="00D505E0" w:rsidRPr="00D505E0" w:rsidRDefault="00D505E0" w:rsidP="007245CE">
      <w:pPr>
        <w:pStyle w:val="ListParagraph"/>
        <w:numPr>
          <w:ilvl w:val="1"/>
          <w:numId w:val="15"/>
        </w:numPr>
        <w:spacing w:line="240" w:lineRule="auto"/>
        <w:ind w:left="993" w:right="95" w:hanging="426"/>
      </w:pPr>
      <w:r w:rsidRPr="00D505E0">
        <w:t>Legislation and regulatory barriers to consumer transparency of out-of-pocket medical costs;</w:t>
      </w:r>
      <w:r w:rsidR="004F7304">
        <w:t xml:space="preserve"> </w:t>
      </w:r>
      <w:r w:rsidRPr="00D505E0">
        <w:t>and</w:t>
      </w:r>
    </w:p>
    <w:p w14:paraId="29A37145" w14:textId="77777777" w:rsidR="00D505E0" w:rsidRPr="00D505E0" w:rsidRDefault="00D505E0" w:rsidP="007245CE">
      <w:pPr>
        <w:pStyle w:val="ListParagraph"/>
        <w:numPr>
          <w:ilvl w:val="1"/>
          <w:numId w:val="15"/>
        </w:numPr>
        <w:spacing w:line="240" w:lineRule="auto"/>
        <w:ind w:left="993" w:right="95" w:hanging="426"/>
      </w:pPr>
      <w:r w:rsidRPr="00D505E0">
        <w:t>Other related issues as directed by the Minister.</w:t>
      </w:r>
    </w:p>
    <w:p w14:paraId="4284044C" w14:textId="452397B3" w:rsidR="00D505E0" w:rsidRPr="00BE44A9" w:rsidRDefault="00D505E0" w:rsidP="002058BC">
      <w:pPr>
        <w:spacing w:line="240" w:lineRule="auto"/>
        <w:ind w:right="95"/>
      </w:pPr>
      <w:r w:rsidRPr="00BE44A9">
        <w:t>The Advisory Committee report, released in November 2018</w:t>
      </w:r>
      <w:r w:rsidR="00BE44A9" w:rsidRPr="00BE44A9">
        <w:t xml:space="preserve"> </w:t>
      </w:r>
      <w:r w:rsidRPr="00BE44A9">
        <w:t xml:space="preserve">made </w:t>
      </w:r>
      <w:proofErr w:type="gramStart"/>
      <w:r w:rsidRPr="00BE44A9">
        <w:t>a number of</w:t>
      </w:r>
      <w:proofErr w:type="gramEnd"/>
      <w:r w:rsidRPr="00BE44A9">
        <w:t xml:space="preserve"> recommendations and on 2 March 2019, the Government announced its plan to tackle transparency of out of pocket costs, committing to implement all of the recommendations of the Advisory Committee. The announced out of pocket costs transparency activities will provide consumers with access to easy to understand information about the cost of medical specialist treatment to support them in choosing a specialist in consultation with their referring doctor. It will: </w:t>
      </w:r>
    </w:p>
    <w:p w14:paraId="5DA5B472" w14:textId="054C2928" w:rsidR="00D505E0" w:rsidRPr="00BE44A9" w:rsidRDefault="005D494E" w:rsidP="007245CE">
      <w:pPr>
        <w:pStyle w:val="ListParagraph"/>
        <w:numPr>
          <w:ilvl w:val="1"/>
          <w:numId w:val="15"/>
        </w:numPr>
        <w:spacing w:line="240" w:lineRule="auto"/>
        <w:ind w:left="993" w:right="95" w:hanging="426"/>
      </w:pPr>
      <w:r>
        <w:t xml:space="preserve">publish on the Department’s </w:t>
      </w:r>
      <w:r w:rsidR="00D505E0" w:rsidRPr="00BE44A9">
        <w:t xml:space="preserve">webpage by end of 2019 the range of medical </w:t>
      </w:r>
      <w:proofErr w:type="gramStart"/>
      <w:r w:rsidR="00D505E0" w:rsidRPr="00BE44A9">
        <w:t>specialists</w:t>
      </w:r>
      <w:proofErr w:type="gramEnd"/>
      <w:r w:rsidR="00D505E0" w:rsidRPr="00BE44A9">
        <w:t xml:space="preserve"> costs for common treatments within a geographic area, using aggregated Government held data; </w:t>
      </w:r>
    </w:p>
    <w:p w14:paraId="39085547" w14:textId="77777777" w:rsidR="00D505E0" w:rsidRPr="00BE44A9" w:rsidRDefault="00D505E0" w:rsidP="007245CE">
      <w:pPr>
        <w:pStyle w:val="ListParagraph"/>
        <w:numPr>
          <w:ilvl w:val="1"/>
          <w:numId w:val="15"/>
        </w:numPr>
        <w:spacing w:line="240" w:lineRule="auto"/>
        <w:ind w:left="993" w:right="95" w:hanging="426"/>
      </w:pPr>
      <w:r w:rsidRPr="00BE44A9">
        <w:t>develop a website for specialists to voluntarily disclose their individual billing practices, providing nationally searchable information for use by patients and referring doctors when choosing a specialist; and</w:t>
      </w:r>
    </w:p>
    <w:p w14:paraId="34D09F05" w14:textId="5FB04C27" w:rsidR="00566BB1" w:rsidRDefault="00D505E0" w:rsidP="007245CE">
      <w:pPr>
        <w:pStyle w:val="ListParagraph"/>
        <w:numPr>
          <w:ilvl w:val="1"/>
          <w:numId w:val="15"/>
        </w:numPr>
        <w:spacing w:line="240" w:lineRule="auto"/>
        <w:ind w:left="993" w:right="95" w:hanging="426"/>
      </w:pPr>
      <w:r w:rsidRPr="00BE44A9">
        <w:t>deliver a complementary education initiative to better inform patients and assist in the referral process. Specialists will also be educated on the impact of unreasonable and sometimes ‘hidden’ booking fees.</w:t>
      </w:r>
    </w:p>
    <w:p w14:paraId="46C112F5" w14:textId="10DA9302" w:rsidR="00D505E0" w:rsidRPr="00BE44A9" w:rsidRDefault="00BE44A9" w:rsidP="002058BC">
      <w:pPr>
        <w:spacing w:line="240" w:lineRule="auto"/>
        <w:ind w:right="95"/>
      </w:pPr>
      <w:r w:rsidRPr="00BE44A9">
        <w:t>The Department has resourced a dedicated team to progress the findings of the Advisory Committee and has advised that c</w:t>
      </w:r>
      <w:r w:rsidR="00D505E0" w:rsidRPr="00BE44A9">
        <w:t>onsultation is underway for both websites. A Reference Group, consisting of members from peak organisations for medical professionals, hospitals, insurers and consumers met on 18 July 2019. The group discussed Government data collections; the type of data to be published; requirements for searching and displaying aggregated data; and the education initiative.</w:t>
      </w:r>
    </w:p>
    <w:p w14:paraId="42B5CFE3" w14:textId="77777777" w:rsidR="004F7304" w:rsidRDefault="004F7304">
      <w:pPr>
        <w:spacing w:before="0" w:after="0" w:line="240" w:lineRule="auto"/>
        <w:rPr>
          <w:rFonts w:eastAsiaTheme="minorHAnsi" w:cs="Arial"/>
          <w:b/>
          <w:bCs/>
          <w:color w:val="01653F"/>
          <w:kern w:val="32"/>
          <w:sz w:val="32"/>
          <w:szCs w:val="28"/>
          <w:lang w:val="en-US" w:eastAsia="en-US"/>
        </w:rPr>
      </w:pPr>
      <w:r>
        <w:br w:type="page"/>
      </w:r>
    </w:p>
    <w:p w14:paraId="071AD493" w14:textId="6AA92989" w:rsidR="005A21C3" w:rsidRPr="00B65F18" w:rsidRDefault="007245CE" w:rsidP="007245CE">
      <w:pPr>
        <w:pStyle w:val="Heading1"/>
        <w:spacing w:line="240" w:lineRule="auto"/>
        <w:ind w:left="720" w:right="95"/>
      </w:pPr>
      <w:bookmarkStart w:id="62" w:name="_Toc25843689"/>
      <w:r>
        <w:lastRenderedPageBreak/>
        <w:t xml:space="preserve">4. </w:t>
      </w:r>
      <w:r w:rsidR="005A21C3" w:rsidRPr="00B65F18">
        <w:t>Recommendations for Taskforce consideration</w:t>
      </w:r>
      <w:bookmarkEnd w:id="62"/>
      <w:r w:rsidR="005A21C3" w:rsidRPr="00B65F18">
        <w:t xml:space="preserve"> </w:t>
      </w:r>
    </w:p>
    <w:p w14:paraId="0E4E95DC" w14:textId="2DF9FC3A" w:rsidR="002634EB" w:rsidRPr="009F0991" w:rsidRDefault="00BD30B6" w:rsidP="00BD30B6">
      <w:pPr>
        <w:pStyle w:val="Heading2"/>
        <w:spacing w:line="240" w:lineRule="auto"/>
        <w:ind w:right="95"/>
      </w:pPr>
      <w:bookmarkStart w:id="63" w:name="_Toc25843690"/>
      <w:r>
        <w:t xml:space="preserve">4.1 </w:t>
      </w:r>
      <w:r w:rsidR="00E9276B">
        <w:t>Improving c</w:t>
      </w:r>
      <w:r w:rsidR="005F3F33">
        <w:t>ompliance –</w:t>
      </w:r>
      <w:r w:rsidR="006F3467">
        <w:t xml:space="preserve"> </w:t>
      </w:r>
      <w:r w:rsidR="005F3F33">
        <w:t>o</w:t>
      </w:r>
      <w:r w:rsidR="002634EB">
        <w:t>utstanding recommendation</w:t>
      </w:r>
      <w:bookmarkEnd w:id="63"/>
      <w:r w:rsidR="002634EB">
        <w:t xml:space="preserve"> </w:t>
      </w:r>
    </w:p>
    <w:p w14:paraId="0DF95962" w14:textId="65167995" w:rsidR="00580BAB" w:rsidRPr="005E4212" w:rsidRDefault="000529B4" w:rsidP="002058BC">
      <w:pPr>
        <w:spacing w:after="120" w:line="240" w:lineRule="auto"/>
        <w:ind w:right="95"/>
        <w:rPr>
          <w:color w:val="222222"/>
          <w:shd w:val="clear" w:color="auto" w:fill="FFFFFF"/>
        </w:rPr>
      </w:pPr>
      <w:r w:rsidRPr="00686FC5">
        <w:rPr>
          <w:color w:val="222222"/>
          <w:shd w:val="clear" w:color="auto" w:fill="FFFFFF"/>
        </w:rPr>
        <w:t xml:space="preserve">The MBS is an uncapped, </w:t>
      </w:r>
      <w:r>
        <w:rPr>
          <w:color w:val="222222"/>
          <w:shd w:val="clear" w:color="auto" w:fill="FFFFFF"/>
        </w:rPr>
        <w:t>activity reward system</w:t>
      </w:r>
      <w:r w:rsidR="0075557E">
        <w:rPr>
          <w:color w:val="222222"/>
          <w:shd w:val="clear" w:color="auto" w:fill="FFFFFF"/>
        </w:rPr>
        <w:t xml:space="preserve"> whereby patients are reimbursed for medical services from a recognised (by way of a provider number) healthcare professional</w:t>
      </w:r>
      <w:r w:rsidRPr="00686FC5">
        <w:rPr>
          <w:color w:val="222222"/>
          <w:shd w:val="clear" w:color="auto" w:fill="FFFFFF"/>
        </w:rPr>
        <w:t>. In general, once a particular service is included on the MBS, its utilisation is largely a matter for health professionals and their clinical decision making</w:t>
      </w:r>
      <w:r w:rsidR="004F7304">
        <w:rPr>
          <w:color w:val="222222"/>
          <w:shd w:val="clear" w:color="auto" w:fill="FFFFFF"/>
        </w:rPr>
        <w:t>,</w:t>
      </w:r>
      <w:r w:rsidRPr="00686FC5">
        <w:rPr>
          <w:color w:val="222222"/>
          <w:shd w:val="clear" w:color="auto" w:fill="FFFFFF"/>
        </w:rPr>
        <w:t xml:space="preserve"> in consultation with their patients</w:t>
      </w:r>
      <w:r w:rsidR="00434D24">
        <w:rPr>
          <w:rStyle w:val="FootnoteReference"/>
          <w:color w:val="222222"/>
          <w:shd w:val="clear" w:color="auto" w:fill="FFFFFF"/>
        </w:rPr>
        <w:footnoteReference w:id="3"/>
      </w:r>
      <w:r w:rsidR="00434D24">
        <w:rPr>
          <w:color w:val="222222"/>
          <w:shd w:val="clear" w:color="auto" w:fill="FFFFFF"/>
        </w:rPr>
        <w:t>.</w:t>
      </w:r>
      <w:r w:rsidRPr="00686FC5">
        <w:rPr>
          <w:color w:val="222222"/>
          <w:shd w:val="clear" w:color="auto" w:fill="FFFFFF"/>
        </w:rPr>
        <w:t xml:space="preserve"> </w:t>
      </w:r>
    </w:p>
    <w:p w14:paraId="27107AC8" w14:textId="3D914B78" w:rsidR="00580BAB" w:rsidRDefault="00F859F6" w:rsidP="002058BC">
      <w:pPr>
        <w:spacing w:after="120" w:line="240" w:lineRule="auto"/>
        <w:ind w:right="95"/>
      </w:pPr>
      <w:r>
        <w:t xml:space="preserve">Understandably, and </w:t>
      </w:r>
      <w:r w:rsidR="00580BAB">
        <w:t xml:space="preserve">comfortingly, in everyday practice, provider awareness of MBS rules regarding billing for MBS services is often a secondary consideration for the clinician whose primary consideration is providing the best care possible for the patient. </w:t>
      </w:r>
    </w:p>
    <w:p w14:paraId="46231271" w14:textId="39274CEC" w:rsidR="00566BB1" w:rsidRPr="005E4212" w:rsidRDefault="00566BB1" w:rsidP="002058BC">
      <w:pPr>
        <w:spacing w:after="120" w:line="240" w:lineRule="auto"/>
        <w:ind w:right="95"/>
        <w:rPr>
          <w:color w:val="222222"/>
          <w:shd w:val="clear" w:color="auto" w:fill="FFFFFF"/>
        </w:rPr>
      </w:pPr>
      <w:r>
        <w:t>There is an inherent expectation that healthcare providers will act professionally in the best in</w:t>
      </w:r>
      <w:r w:rsidR="004F7304">
        <w:t>terests of their patients. T</w:t>
      </w:r>
      <w:r>
        <w:t xml:space="preserve">here is evidence that </w:t>
      </w:r>
      <w:proofErr w:type="gramStart"/>
      <w:r>
        <w:t>the vast majority of</w:t>
      </w:r>
      <w:proofErr w:type="gramEnd"/>
      <w:r>
        <w:t xml:space="preserve"> Medicare providers do act appropriately and adhere to the legislated responsibilities to act in line with Medicare Law.</w:t>
      </w:r>
    </w:p>
    <w:p w14:paraId="6F902DD9" w14:textId="726BD29B" w:rsidR="003F2050" w:rsidRPr="00231A34" w:rsidRDefault="003F2050" w:rsidP="003F2050">
      <w:pPr>
        <w:pStyle w:val="IntenseQuote"/>
        <w:spacing w:line="240" w:lineRule="auto"/>
        <w:ind w:left="426" w:right="662" w:firstLine="0"/>
        <w:jc w:val="center"/>
      </w:pPr>
      <w:r>
        <w:t xml:space="preserve">Clinicians need to fully understand their responsibilities before they </w:t>
      </w:r>
      <w:proofErr w:type="gramStart"/>
      <w:r>
        <w:t>are able to</w:t>
      </w:r>
      <w:proofErr w:type="gramEnd"/>
      <w:r>
        <w:t xml:space="preserve"> make a claim to the MBS</w:t>
      </w:r>
    </w:p>
    <w:p w14:paraId="451EF518" w14:textId="651EA445" w:rsidR="0075557E" w:rsidRDefault="00467ED9" w:rsidP="002058BC">
      <w:pPr>
        <w:spacing w:after="120" w:line="240" w:lineRule="auto"/>
        <w:ind w:right="95"/>
        <w:rPr>
          <w:color w:val="222222"/>
          <w:shd w:val="clear" w:color="auto" w:fill="FFFFFF"/>
        </w:rPr>
      </w:pPr>
      <w:r>
        <w:rPr>
          <w:color w:val="222222"/>
          <w:shd w:val="clear" w:color="auto" w:fill="FFFFFF"/>
        </w:rPr>
        <w:t>As</w:t>
      </w:r>
      <w:r w:rsidR="0075557E">
        <w:rPr>
          <w:color w:val="222222"/>
          <w:shd w:val="clear" w:color="auto" w:fill="FFFFFF"/>
        </w:rPr>
        <w:t xml:space="preserve"> with any financial system, there is a need for a compliance regimen to detect and prevent </w:t>
      </w:r>
      <w:r w:rsidR="0075557E" w:rsidRPr="00160E9B">
        <w:rPr>
          <w:color w:val="222222"/>
          <w:shd w:val="clear" w:color="auto" w:fill="FFFFFF"/>
        </w:rPr>
        <w:t>incorrect claiming, inappropriate practice and fraud by health care providers and suppliers</w:t>
      </w:r>
      <w:r w:rsidR="0075557E">
        <w:rPr>
          <w:rStyle w:val="FootnoteReference"/>
          <w:color w:val="222222"/>
          <w:shd w:val="clear" w:color="auto" w:fill="FFFFFF"/>
        </w:rPr>
        <w:footnoteReference w:id="4"/>
      </w:r>
      <w:r w:rsidR="0075557E" w:rsidRPr="00160E9B">
        <w:rPr>
          <w:color w:val="222222"/>
          <w:shd w:val="clear" w:color="auto" w:fill="FFFFFF"/>
        </w:rPr>
        <w:t>.</w:t>
      </w:r>
      <w:r w:rsidR="0075557E">
        <w:rPr>
          <w:color w:val="222222"/>
          <w:shd w:val="clear" w:color="auto" w:fill="FFFFFF"/>
        </w:rPr>
        <w:t xml:space="preserve">  </w:t>
      </w:r>
    </w:p>
    <w:p w14:paraId="2F607EE2" w14:textId="77777777" w:rsidR="00580BAB" w:rsidRDefault="00580BAB" w:rsidP="002058BC">
      <w:pPr>
        <w:spacing w:after="120" w:line="240" w:lineRule="auto"/>
        <w:ind w:right="95"/>
        <w:rPr>
          <w:color w:val="222222"/>
          <w:shd w:val="clear" w:color="auto" w:fill="FFFFFF"/>
        </w:rPr>
      </w:pPr>
      <w:r w:rsidRPr="005E4212">
        <w:rPr>
          <w:color w:val="222222"/>
          <w:shd w:val="clear" w:color="auto" w:fill="FFFFFF"/>
        </w:rPr>
        <w:t>The Department of Human Services, the entity responsible for administration of MBS payments, provides a range of screen readers and interactive provider e</w:t>
      </w:r>
      <w:r>
        <w:rPr>
          <w:color w:val="222222"/>
          <w:shd w:val="clear" w:color="auto" w:fill="FFFFFF"/>
        </w:rPr>
        <w:t>ducation modules on its website</w:t>
      </w:r>
      <w:r w:rsidRPr="005E4212">
        <w:rPr>
          <w:color w:val="222222"/>
          <w:shd w:val="clear" w:color="auto" w:fill="FFFFFF"/>
        </w:rPr>
        <w:t>. Providers may use these resources to self-educate in the use of the MBS but there is currently no compulsion for providers to consult this resource.</w:t>
      </w:r>
    </w:p>
    <w:p w14:paraId="64409C90" w14:textId="77777777" w:rsidR="002058BC" w:rsidRDefault="002058BC" w:rsidP="002058BC">
      <w:pPr>
        <w:spacing w:after="120" w:line="240" w:lineRule="auto"/>
        <w:ind w:right="95"/>
      </w:pPr>
      <w:r>
        <w:t xml:space="preserve">In its first report, the Committee made a recommendation to mandate provider education on compliant use of the MBS and this recommendation is maintained. </w:t>
      </w:r>
    </w:p>
    <w:p w14:paraId="23F05E06" w14:textId="4D30A81B" w:rsidR="00580BAB" w:rsidRPr="002534A3" w:rsidRDefault="00580BAB" w:rsidP="002058BC">
      <w:pPr>
        <w:spacing w:line="240" w:lineRule="auto"/>
        <w:ind w:right="95"/>
        <w:rPr>
          <w:color w:val="000000" w:themeColor="text1"/>
          <w:lang w:val="en-US"/>
        </w:rPr>
      </w:pPr>
      <w:r>
        <w:rPr>
          <w:color w:val="000000" w:themeColor="text1"/>
          <w:lang w:val="en-US"/>
        </w:rPr>
        <w:t xml:space="preserve">The </w:t>
      </w:r>
      <w:r w:rsidRPr="002534A3">
        <w:rPr>
          <w:color w:val="000000" w:themeColor="text1"/>
          <w:lang w:val="en-US"/>
        </w:rPr>
        <w:t>Committee</w:t>
      </w:r>
      <w:r>
        <w:rPr>
          <w:color w:val="000000" w:themeColor="text1"/>
          <w:lang w:val="en-US"/>
        </w:rPr>
        <w:t xml:space="preserve"> strongly supports the notion that the clinician has an obligation to acquire knowledge of the MBS rules and billing requirements and that this form of education </w:t>
      </w:r>
      <w:r w:rsidRPr="002534A3">
        <w:rPr>
          <w:color w:val="000000" w:themeColor="text1"/>
          <w:lang w:val="en-US"/>
        </w:rPr>
        <w:t xml:space="preserve">be </w:t>
      </w:r>
      <w:r>
        <w:rPr>
          <w:color w:val="000000" w:themeColor="text1"/>
          <w:lang w:val="en-US"/>
        </w:rPr>
        <w:t xml:space="preserve">made </w:t>
      </w:r>
      <w:r w:rsidRPr="002534A3">
        <w:rPr>
          <w:color w:val="000000" w:themeColor="text1"/>
          <w:lang w:val="en-US"/>
        </w:rPr>
        <w:t>compulsory</w:t>
      </w:r>
      <w:r>
        <w:rPr>
          <w:color w:val="000000" w:themeColor="text1"/>
          <w:lang w:val="en-US"/>
        </w:rPr>
        <w:t xml:space="preserve"> through an </w:t>
      </w:r>
      <w:r w:rsidRPr="002534A3">
        <w:rPr>
          <w:color w:val="000000" w:themeColor="text1"/>
          <w:lang w:val="en-US"/>
        </w:rPr>
        <w:t xml:space="preserve">assessable </w:t>
      </w:r>
      <w:r>
        <w:rPr>
          <w:color w:val="000000" w:themeColor="text1"/>
          <w:lang w:val="en-US"/>
        </w:rPr>
        <w:t xml:space="preserve">online resource, </w:t>
      </w:r>
      <w:r w:rsidRPr="002534A3">
        <w:rPr>
          <w:color w:val="000000" w:themeColor="text1"/>
          <w:lang w:val="en-US"/>
        </w:rPr>
        <w:t xml:space="preserve">for those </w:t>
      </w:r>
      <w:r>
        <w:rPr>
          <w:color w:val="000000" w:themeColor="text1"/>
          <w:lang w:val="en-US"/>
        </w:rPr>
        <w:t xml:space="preserve">seeking to enter </w:t>
      </w:r>
      <w:r w:rsidRPr="002534A3">
        <w:rPr>
          <w:color w:val="000000" w:themeColor="text1"/>
          <w:lang w:val="en-US"/>
        </w:rPr>
        <w:t xml:space="preserve">practice. </w:t>
      </w:r>
    </w:p>
    <w:p w14:paraId="7F53C48D" w14:textId="197FE3DA" w:rsidR="00580BAB" w:rsidRDefault="0026412D" w:rsidP="002058BC">
      <w:pPr>
        <w:spacing w:after="120" w:line="240" w:lineRule="auto"/>
        <w:ind w:right="95"/>
        <w:rPr>
          <w:color w:val="222222"/>
          <w:shd w:val="clear" w:color="auto" w:fill="FFFFFF"/>
        </w:rPr>
      </w:pPr>
      <w:r>
        <w:t xml:space="preserve">The Committee feels that acceptance of this </w:t>
      </w:r>
      <w:r w:rsidR="00580BAB">
        <w:rPr>
          <w:color w:val="222222"/>
          <w:shd w:val="clear" w:color="auto" w:fill="FFFFFF"/>
        </w:rPr>
        <w:t>recommendation would have obvious benefits for providers, patients and the Australian taxpayer alike</w:t>
      </w:r>
      <w:r w:rsidR="00890E2E">
        <w:rPr>
          <w:color w:val="222222"/>
          <w:shd w:val="clear" w:color="auto" w:fill="FFFFFF"/>
        </w:rPr>
        <w:t>.</w:t>
      </w:r>
      <w:r w:rsidR="00580BAB">
        <w:rPr>
          <w:color w:val="222222"/>
          <w:shd w:val="clear" w:color="auto" w:fill="FFFFFF"/>
        </w:rPr>
        <w:t xml:space="preserve"> </w:t>
      </w:r>
    </w:p>
    <w:p w14:paraId="03D361CB" w14:textId="77777777" w:rsidR="00D7769E" w:rsidRDefault="00D7769E">
      <w:pPr>
        <w:spacing w:before="0" w:after="0" w:line="240" w:lineRule="auto"/>
        <w:rPr>
          <w:rFonts w:eastAsiaTheme="minorHAnsi" w:cs="Arial"/>
          <w:b/>
          <w:bCs/>
          <w:iCs/>
          <w:color w:val="01653F"/>
          <w:sz w:val="26"/>
          <w:szCs w:val="22"/>
          <w:lang w:val="en-US" w:eastAsia="en-US"/>
        </w:rPr>
      </w:pPr>
      <w:bookmarkStart w:id="64" w:name="_Toc20739783"/>
      <w:r>
        <w:br w:type="page"/>
      </w:r>
    </w:p>
    <w:p w14:paraId="3B32575C" w14:textId="254FD0AC" w:rsidR="005F3F33" w:rsidRDefault="00BD30B6" w:rsidP="00BD30B6">
      <w:pPr>
        <w:pStyle w:val="Heading2"/>
        <w:spacing w:line="240" w:lineRule="auto"/>
        <w:ind w:right="95"/>
      </w:pPr>
      <w:bookmarkStart w:id="65" w:name="_Toc25843691"/>
      <w:r>
        <w:lastRenderedPageBreak/>
        <w:t xml:space="preserve">4.2 </w:t>
      </w:r>
      <w:r w:rsidR="005F3F33">
        <w:t>Improving compliance – new recommendations</w:t>
      </w:r>
      <w:bookmarkEnd w:id="65"/>
      <w:r w:rsidR="005F3F33">
        <w:t xml:space="preserve"> </w:t>
      </w:r>
    </w:p>
    <w:bookmarkEnd w:id="64"/>
    <w:p w14:paraId="206824B8" w14:textId="7713769A" w:rsidR="002634EB" w:rsidRPr="00231A34" w:rsidRDefault="008C5A4A" w:rsidP="00231A34">
      <w:pPr>
        <w:spacing w:line="240" w:lineRule="auto"/>
        <w:ind w:right="95"/>
        <w:rPr>
          <w:b/>
          <w:u w:val="single"/>
        </w:rPr>
      </w:pPr>
      <w:r w:rsidRPr="008C5A4A">
        <w:t>Given</w:t>
      </w:r>
      <w:r w:rsidR="002634EB" w:rsidRPr="00231A34">
        <w:t xml:space="preserve"> population growth and the increased demand on the MBS, the Committee m</w:t>
      </w:r>
      <w:r w:rsidR="003F2050">
        <w:t xml:space="preserve">akes a general recommendation </w:t>
      </w:r>
      <w:r w:rsidR="00197AB1">
        <w:t xml:space="preserve">that resources for the Department are increased to improve </w:t>
      </w:r>
      <w:r w:rsidR="004F7304">
        <w:t>compliance, via the avenues outlined below.</w:t>
      </w:r>
    </w:p>
    <w:p w14:paraId="7233D7C4" w14:textId="77777777" w:rsidR="003F2050" w:rsidRPr="00231A34" w:rsidRDefault="003F2050" w:rsidP="003F2050">
      <w:pPr>
        <w:pStyle w:val="IntenseQuote"/>
        <w:spacing w:line="240" w:lineRule="auto"/>
        <w:ind w:left="426" w:right="662" w:firstLine="0"/>
        <w:jc w:val="center"/>
      </w:pPr>
      <w:r>
        <w:t xml:space="preserve">Audit and compliance activity </w:t>
      </w:r>
      <w:proofErr w:type="gramStart"/>
      <w:r>
        <w:t>needs</w:t>
      </w:r>
      <w:proofErr w:type="gramEnd"/>
      <w:r>
        <w:t xml:space="preserve"> to keep pace with increasing healthcare expenditure and demand </w:t>
      </w:r>
    </w:p>
    <w:p w14:paraId="60CD928D" w14:textId="6E04B9F4" w:rsidR="00E1592E" w:rsidRDefault="008C5A4A" w:rsidP="002058BC">
      <w:pPr>
        <w:spacing w:line="240" w:lineRule="auto"/>
        <w:ind w:right="95"/>
      </w:pPr>
      <w:r>
        <w:t>The C</w:t>
      </w:r>
      <w:r w:rsidR="001F4294">
        <w:t xml:space="preserve">ommittee </w:t>
      </w:r>
      <w:r w:rsidR="002634EB">
        <w:t xml:space="preserve">suggests </w:t>
      </w:r>
      <w:r w:rsidR="00B34807">
        <w:t xml:space="preserve">an </w:t>
      </w:r>
      <w:r w:rsidR="002634EB">
        <w:t xml:space="preserve">enhancement of the current </w:t>
      </w:r>
      <w:proofErr w:type="spellStart"/>
      <w:r w:rsidR="00F83F35">
        <w:t>AskMBS</w:t>
      </w:r>
      <w:proofErr w:type="spellEnd"/>
      <w:r w:rsidR="00F83F35">
        <w:t xml:space="preserve"> service offering, to include, </w:t>
      </w:r>
      <w:r w:rsidR="00E1592E">
        <w:t xml:space="preserve">at a minimum, </w:t>
      </w:r>
      <w:r w:rsidR="00CE0F46">
        <w:t>an online repository of Frequently Asked Questions and common</w:t>
      </w:r>
      <w:r w:rsidR="00E1592E">
        <w:t xml:space="preserve"> queries and the policy response provided by the Department.</w:t>
      </w:r>
    </w:p>
    <w:p w14:paraId="09141D29" w14:textId="555840EB" w:rsidR="008B07C6" w:rsidRDefault="00F83F35" w:rsidP="002058BC">
      <w:pPr>
        <w:spacing w:after="120" w:line="240" w:lineRule="auto"/>
        <w:ind w:right="95"/>
        <w:rPr>
          <w:color w:val="222222"/>
          <w:shd w:val="clear" w:color="auto" w:fill="FFFFFF"/>
        </w:rPr>
      </w:pPr>
      <w:r w:rsidRPr="00F83F35">
        <w:rPr>
          <w:color w:val="222222"/>
          <w:shd w:val="clear" w:color="auto" w:fill="FFFFFF"/>
        </w:rPr>
        <w:t xml:space="preserve">This suggestion </w:t>
      </w:r>
      <w:r w:rsidR="008B07C6" w:rsidRPr="00F83F35">
        <w:t>acknowledges</w:t>
      </w:r>
      <w:r w:rsidR="008B07C6">
        <w:t xml:space="preserve"> the Department’s role </w:t>
      </w:r>
      <w:r w:rsidR="00E1592E">
        <w:t>as the primary sour</w:t>
      </w:r>
      <w:r w:rsidR="008B07C6">
        <w:t xml:space="preserve">ce of information on MBS policy and takes </w:t>
      </w:r>
      <w:r w:rsidR="00504298">
        <w:rPr>
          <w:color w:val="222222"/>
          <w:shd w:val="clear" w:color="auto" w:fill="FFFFFF"/>
        </w:rPr>
        <w:t xml:space="preserve">into consideration </w:t>
      </w:r>
      <w:r w:rsidR="008B07C6">
        <w:rPr>
          <w:color w:val="222222"/>
          <w:shd w:val="clear" w:color="auto" w:fill="FFFFFF"/>
        </w:rPr>
        <w:t xml:space="preserve">the beneficial effects the </w:t>
      </w:r>
      <w:r w:rsidR="00504298">
        <w:rPr>
          <w:color w:val="222222"/>
          <w:shd w:val="clear" w:color="auto" w:fill="FFFFFF"/>
        </w:rPr>
        <w:t xml:space="preserve">current MBS Review process will </w:t>
      </w:r>
      <w:r w:rsidR="008B07C6">
        <w:rPr>
          <w:color w:val="222222"/>
          <w:shd w:val="clear" w:color="auto" w:fill="FFFFFF"/>
        </w:rPr>
        <w:t xml:space="preserve">have on </w:t>
      </w:r>
      <w:r w:rsidR="00504298">
        <w:rPr>
          <w:color w:val="222222"/>
          <w:shd w:val="clear" w:color="auto" w:fill="FFFFFF"/>
        </w:rPr>
        <w:t xml:space="preserve">clarity in all </w:t>
      </w:r>
      <w:r w:rsidR="008B07C6">
        <w:rPr>
          <w:color w:val="222222"/>
          <w:shd w:val="clear" w:color="auto" w:fill="FFFFFF"/>
        </w:rPr>
        <w:t xml:space="preserve">reviewed </w:t>
      </w:r>
      <w:r w:rsidR="00504298">
        <w:rPr>
          <w:color w:val="222222"/>
          <w:shd w:val="clear" w:color="auto" w:fill="FFFFFF"/>
        </w:rPr>
        <w:t>item descriptors</w:t>
      </w:r>
      <w:r w:rsidR="008B07C6">
        <w:rPr>
          <w:color w:val="222222"/>
          <w:shd w:val="clear" w:color="auto" w:fill="FFFFFF"/>
        </w:rPr>
        <w:t>.</w:t>
      </w:r>
    </w:p>
    <w:p w14:paraId="409B0258" w14:textId="24214933" w:rsidR="00E1592E" w:rsidRDefault="00E1592E" w:rsidP="002058BC">
      <w:pPr>
        <w:spacing w:after="120" w:line="240" w:lineRule="auto"/>
        <w:ind w:right="95"/>
      </w:pPr>
      <w:r>
        <w:t>The Committee</w:t>
      </w:r>
      <w:r w:rsidR="00BD7618">
        <w:t xml:space="preserve"> is aware that </w:t>
      </w:r>
      <w:r>
        <w:t xml:space="preserve">clinicians </w:t>
      </w:r>
      <w:r w:rsidR="00BD7618">
        <w:t xml:space="preserve">report </w:t>
      </w:r>
      <w:r>
        <w:t xml:space="preserve">difficulties </w:t>
      </w:r>
      <w:r w:rsidR="00BD7618">
        <w:t xml:space="preserve">in </w:t>
      </w:r>
      <w:r>
        <w:t xml:space="preserve">obtaining </w:t>
      </w:r>
      <w:r w:rsidR="00BD7618">
        <w:t xml:space="preserve">timely, specific </w:t>
      </w:r>
      <w:r>
        <w:t xml:space="preserve">advice </w:t>
      </w:r>
      <w:r w:rsidR="00BD7618">
        <w:t xml:space="preserve">via </w:t>
      </w:r>
      <w:r>
        <w:t xml:space="preserve">the </w:t>
      </w:r>
      <w:proofErr w:type="spellStart"/>
      <w:r w:rsidR="00BD7618">
        <w:t>AskMBS</w:t>
      </w:r>
      <w:proofErr w:type="spellEnd"/>
      <w:r w:rsidR="00BD7618">
        <w:t xml:space="preserve"> service and that there is currently a service delay when seeking interpretation of </w:t>
      </w:r>
      <w:r>
        <w:t xml:space="preserve">existing MBS item descriptors and explanatory notes.  Often advice received is </w:t>
      </w:r>
      <w:r w:rsidR="00BD7618">
        <w:t>non-</w:t>
      </w:r>
      <w:r>
        <w:t xml:space="preserve">specific and is often framed around what is ‘clinically and professionally appropriate as applies to your discipline and your peers’.  </w:t>
      </w:r>
    </w:p>
    <w:p w14:paraId="0F72B976" w14:textId="77777777" w:rsidR="003F2050" w:rsidRPr="005E4212" w:rsidRDefault="003F2050" w:rsidP="003F2050">
      <w:pPr>
        <w:pStyle w:val="IntenseQuote"/>
        <w:spacing w:line="240" w:lineRule="auto"/>
        <w:ind w:left="426" w:right="662" w:firstLine="0"/>
        <w:jc w:val="center"/>
      </w:pPr>
      <w:r>
        <w:t>Clinicians need access to a responsive and unambiguous source of advice for MBS queries</w:t>
      </w:r>
    </w:p>
    <w:p w14:paraId="3E16E2EF" w14:textId="53AC289C" w:rsidR="00E1592E" w:rsidRDefault="00E1592E" w:rsidP="002058BC">
      <w:pPr>
        <w:spacing w:line="240" w:lineRule="auto"/>
        <w:ind w:right="95"/>
        <w:rPr>
          <w:rFonts w:cstheme="minorHAnsi"/>
        </w:rPr>
      </w:pPr>
      <w:r>
        <w:rPr>
          <w:color w:val="222222"/>
          <w:shd w:val="clear" w:color="auto" w:fill="FFFFFF"/>
        </w:rPr>
        <w:t xml:space="preserve">The Committee feels </w:t>
      </w:r>
      <w:r w:rsidR="00BD7618">
        <w:rPr>
          <w:color w:val="222222"/>
          <w:shd w:val="clear" w:color="auto" w:fill="FFFFFF"/>
        </w:rPr>
        <w:t xml:space="preserve">that </w:t>
      </w:r>
      <w:r w:rsidR="004F7304">
        <w:rPr>
          <w:color w:val="222222"/>
          <w:shd w:val="clear" w:color="auto" w:fill="FFFFFF"/>
        </w:rPr>
        <w:t xml:space="preserve">an increase in </w:t>
      </w:r>
      <w:proofErr w:type="spellStart"/>
      <w:r w:rsidR="004F7304">
        <w:rPr>
          <w:color w:val="222222"/>
          <w:shd w:val="clear" w:color="auto" w:fill="FFFFFF"/>
        </w:rPr>
        <w:t>AskMBS’s</w:t>
      </w:r>
      <w:proofErr w:type="spellEnd"/>
      <w:r w:rsidR="004F7304">
        <w:rPr>
          <w:color w:val="222222"/>
          <w:shd w:val="clear" w:color="auto" w:fill="FFFFFF"/>
        </w:rPr>
        <w:t xml:space="preserve"> capacity to rapidly respond to information requests would </w:t>
      </w:r>
      <w:r w:rsidR="00BD7618">
        <w:rPr>
          <w:color w:val="222222"/>
          <w:shd w:val="clear" w:color="auto" w:fill="FFFFFF"/>
        </w:rPr>
        <w:t>have a beneficial effect on MBS</w:t>
      </w:r>
      <w:r w:rsidR="004F7304">
        <w:rPr>
          <w:color w:val="222222"/>
          <w:shd w:val="clear" w:color="auto" w:fill="FFFFFF"/>
        </w:rPr>
        <w:t xml:space="preserve"> compliance. The proposed </w:t>
      </w:r>
      <w:r w:rsidR="00BD7618">
        <w:rPr>
          <w:color w:val="222222"/>
          <w:shd w:val="clear" w:color="auto" w:fill="FFFFFF"/>
        </w:rPr>
        <w:t xml:space="preserve">online repository of past responses </w:t>
      </w:r>
      <w:r w:rsidR="004F7304">
        <w:rPr>
          <w:color w:val="222222"/>
          <w:shd w:val="clear" w:color="auto" w:fill="FFFFFF"/>
        </w:rPr>
        <w:t>would provide a self</w:t>
      </w:r>
      <w:r w:rsidR="004F7304">
        <w:rPr>
          <w:color w:val="222222"/>
          <w:shd w:val="clear" w:color="auto" w:fill="FFFFFF"/>
        </w:rPr>
        <w:noBreakHyphen/>
      </w:r>
      <w:r w:rsidR="00BD7618">
        <w:rPr>
          <w:color w:val="222222"/>
          <w:shd w:val="clear" w:color="auto" w:fill="FFFFFF"/>
        </w:rPr>
        <w:t>guide</w:t>
      </w:r>
      <w:r w:rsidR="004F7304">
        <w:rPr>
          <w:color w:val="222222"/>
          <w:shd w:val="clear" w:color="auto" w:fill="FFFFFF"/>
        </w:rPr>
        <w:t xml:space="preserve">d resource for a first triage of clinician questions and could include </w:t>
      </w:r>
      <w:r w:rsidR="00BD7618">
        <w:rPr>
          <w:color w:val="222222"/>
          <w:shd w:val="clear" w:color="auto" w:fill="FFFFFF"/>
        </w:rPr>
        <w:t xml:space="preserve">links </w:t>
      </w:r>
      <w:r>
        <w:rPr>
          <w:rFonts w:cstheme="minorHAnsi"/>
        </w:rPr>
        <w:t xml:space="preserve">to specific </w:t>
      </w:r>
      <w:r w:rsidRPr="00A25145">
        <w:rPr>
          <w:rFonts w:cstheme="minorHAnsi"/>
        </w:rPr>
        <w:t xml:space="preserve">item numbers, appropriate fact </w:t>
      </w:r>
      <w:r>
        <w:rPr>
          <w:rFonts w:cstheme="minorHAnsi"/>
        </w:rPr>
        <w:t>sheets and explanatory material.</w:t>
      </w:r>
    </w:p>
    <w:p w14:paraId="3A5808EF" w14:textId="1F69CB07" w:rsidR="00B872BD" w:rsidRDefault="00B872BD" w:rsidP="002058BC">
      <w:pPr>
        <w:spacing w:after="120" w:line="240" w:lineRule="auto"/>
        <w:ind w:right="95"/>
        <w:rPr>
          <w:color w:val="222222"/>
          <w:shd w:val="clear" w:color="auto" w:fill="FFFFFF"/>
        </w:rPr>
      </w:pPr>
      <w:r>
        <w:rPr>
          <w:color w:val="222222"/>
          <w:shd w:val="clear" w:color="auto" w:fill="FFFFFF"/>
        </w:rPr>
        <w:t xml:space="preserve">Acknowledging the </w:t>
      </w:r>
      <w:r w:rsidRPr="00B67F45">
        <w:t>delicate</w:t>
      </w:r>
      <w:r>
        <w:t xml:space="preserve"> balance between ensuring there is sufficient detail in item descriptors to provide clarity of the intent and delivering an item descriptor that is overly prescriptive or so extensive </w:t>
      </w:r>
      <w:r w:rsidR="00A6474B">
        <w:t xml:space="preserve">as to become incomprehensible, the Committee suggests </w:t>
      </w:r>
      <w:r w:rsidR="009965CC">
        <w:t xml:space="preserve">a resource increase to support the Department’s continuous improvement model </w:t>
      </w:r>
      <w:r w:rsidR="00A6474B">
        <w:t xml:space="preserve">to update descriptors of concern. </w:t>
      </w:r>
      <w:r w:rsidR="00A6474B">
        <w:rPr>
          <w:color w:val="222222"/>
          <w:shd w:val="clear" w:color="auto" w:fill="FFFFFF"/>
        </w:rPr>
        <w:t xml:space="preserve">The Committee is confident that </w:t>
      </w:r>
      <w:r w:rsidR="009965CC">
        <w:rPr>
          <w:color w:val="222222"/>
          <w:shd w:val="clear" w:color="auto" w:fill="FFFFFF"/>
        </w:rPr>
        <w:t xml:space="preserve">this </w:t>
      </w:r>
      <w:r w:rsidR="00A6474B">
        <w:rPr>
          <w:color w:val="222222"/>
          <w:shd w:val="clear" w:color="auto" w:fill="FFFFFF"/>
        </w:rPr>
        <w:t>mechanism to quickly identify and rectify MBS items that are proving to be easily misused, w</w:t>
      </w:r>
      <w:r w:rsidR="009965CC">
        <w:rPr>
          <w:color w:val="222222"/>
          <w:shd w:val="clear" w:color="auto" w:fill="FFFFFF"/>
        </w:rPr>
        <w:t xml:space="preserve">hether by design or accident, </w:t>
      </w:r>
      <w:r w:rsidR="00A6474B">
        <w:rPr>
          <w:color w:val="222222"/>
          <w:shd w:val="clear" w:color="auto" w:fill="FFFFFF"/>
        </w:rPr>
        <w:t>is an important measure in improving compliance.</w:t>
      </w:r>
    </w:p>
    <w:p w14:paraId="02FCF002" w14:textId="5B8C8E8F" w:rsidR="003F2050" w:rsidRPr="008C5A4A" w:rsidRDefault="00E1592E" w:rsidP="008C5A4A">
      <w:pPr>
        <w:spacing w:line="240" w:lineRule="auto"/>
        <w:ind w:right="95"/>
      </w:pPr>
      <w:r>
        <w:t>The Committee initially suggested an increase in use of peer groups in an advisory capacity to provide advice on item use. How</w:t>
      </w:r>
      <w:r w:rsidR="00BD7618">
        <w:t>ever, the Department has stated</w:t>
      </w:r>
      <w:r>
        <w:t xml:space="preserve"> that this has the potential to affect timeliness of decision making processes and may pose a risk to the Director of the Professional Services Review’s ability to convene committees of peers to determine peer views in regard to compliance and prevention of inappropriate practice.</w:t>
      </w:r>
    </w:p>
    <w:p w14:paraId="0C40DC88" w14:textId="1BA422CD" w:rsidR="00990704" w:rsidRDefault="008C5A4A" w:rsidP="00056E2D">
      <w:pPr>
        <w:spacing w:line="240" w:lineRule="auto"/>
        <w:ind w:right="95"/>
        <w:rPr>
          <w:color w:val="000000" w:themeColor="text1"/>
          <w:lang w:val="en-US"/>
        </w:rPr>
      </w:pPr>
      <w:r w:rsidRPr="008C5A4A">
        <w:rPr>
          <w:color w:val="000000" w:themeColor="text1"/>
          <w:lang w:val="en-US"/>
        </w:rPr>
        <w:t>Noting</w:t>
      </w:r>
      <w:r w:rsidR="00345B0D">
        <w:rPr>
          <w:color w:val="000000" w:themeColor="text1"/>
          <w:lang w:val="en-US"/>
        </w:rPr>
        <w:t xml:space="preserve"> </w:t>
      </w:r>
      <w:r w:rsidR="00056E2D" w:rsidRPr="00056E2D">
        <w:rPr>
          <w:color w:val="000000" w:themeColor="text1"/>
          <w:lang w:val="en-US"/>
        </w:rPr>
        <w:t>that a strong compliance program is currently in place to protect Australia’s health payments system, the Committee feels that more empha</w:t>
      </w:r>
      <w:r w:rsidR="00056E2D">
        <w:rPr>
          <w:color w:val="000000" w:themeColor="text1"/>
          <w:lang w:val="en-US"/>
        </w:rPr>
        <w:t>sis sh</w:t>
      </w:r>
      <w:r w:rsidR="00056E2D" w:rsidRPr="00056E2D">
        <w:rPr>
          <w:color w:val="000000" w:themeColor="text1"/>
          <w:lang w:val="en-US"/>
        </w:rPr>
        <w:t xml:space="preserve">ould be placed on preventative </w:t>
      </w:r>
      <w:r w:rsidR="004F7304">
        <w:rPr>
          <w:color w:val="000000" w:themeColor="text1"/>
          <w:lang w:val="en-US"/>
        </w:rPr>
        <w:lastRenderedPageBreak/>
        <w:t xml:space="preserve">education. </w:t>
      </w:r>
      <w:proofErr w:type="gramStart"/>
      <w:r w:rsidR="004F7304">
        <w:rPr>
          <w:color w:val="000000" w:themeColor="text1"/>
          <w:lang w:val="en-US"/>
        </w:rPr>
        <w:t>I</w:t>
      </w:r>
      <w:r w:rsidR="003E7A58" w:rsidRPr="00056E2D">
        <w:rPr>
          <w:color w:val="000000" w:themeColor="text1"/>
          <w:lang w:val="en-US"/>
        </w:rPr>
        <w:t>n particular sharing</w:t>
      </w:r>
      <w:proofErr w:type="gramEnd"/>
      <w:r w:rsidR="003E7A58" w:rsidRPr="00056E2D">
        <w:rPr>
          <w:color w:val="000000" w:themeColor="text1"/>
          <w:lang w:val="en-US"/>
        </w:rPr>
        <w:t xml:space="preserve"> of </w:t>
      </w:r>
      <w:r w:rsidR="00D6797A" w:rsidRPr="00056E2D">
        <w:rPr>
          <w:color w:val="000000" w:themeColor="text1"/>
          <w:lang w:val="en-US"/>
        </w:rPr>
        <w:t>proven epis</w:t>
      </w:r>
      <w:r w:rsidR="003E7A58" w:rsidRPr="00056E2D">
        <w:rPr>
          <w:color w:val="000000" w:themeColor="text1"/>
          <w:lang w:val="en-US"/>
        </w:rPr>
        <w:t>odes of non</w:t>
      </w:r>
      <w:r w:rsidR="003E7A58" w:rsidRPr="00056E2D">
        <w:rPr>
          <w:color w:val="000000" w:themeColor="text1"/>
          <w:lang w:val="en-US"/>
        </w:rPr>
        <w:noBreakHyphen/>
        <w:t xml:space="preserve">compliant </w:t>
      </w:r>
      <w:proofErr w:type="spellStart"/>
      <w:r w:rsidR="003E7A58" w:rsidRPr="00056E2D">
        <w:rPr>
          <w:color w:val="000000" w:themeColor="text1"/>
          <w:lang w:val="en-US"/>
        </w:rPr>
        <w:t>behaviour</w:t>
      </w:r>
      <w:proofErr w:type="spellEnd"/>
      <w:r w:rsidR="003E7A58" w:rsidRPr="00056E2D">
        <w:rPr>
          <w:color w:val="000000" w:themeColor="text1"/>
          <w:lang w:val="en-US"/>
        </w:rPr>
        <w:t xml:space="preserve"> and the penalty imposed</w:t>
      </w:r>
      <w:r w:rsidR="00990704">
        <w:rPr>
          <w:color w:val="000000" w:themeColor="text1"/>
          <w:lang w:val="en-US"/>
        </w:rPr>
        <w:t xml:space="preserve">. </w:t>
      </w:r>
    </w:p>
    <w:p w14:paraId="78281EEA" w14:textId="29B12763" w:rsidR="00D6797A" w:rsidRPr="00056E2D" w:rsidRDefault="00990704" w:rsidP="00056E2D">
      <w:pPr>
        <w:spacing w:line="240" w:lineRule="auto"/>
        <w:ind w:right="95"/>
        <w:rPr>
          <w:color w:val="000000" w:themeColor="text1"/>
          <w:lang w:val="en-US"/>
        </w:rPr>
      </w:pPr>
      <w:r>
        <w:rPr>
          <w:color w:val="000000" w:themeColor="text1"/>
          <w:lang w:val="en-US"/>
        </w:rPr>
        <w:t>Not only</w:t>
      </w:r>
      <w:r w:rsidR="003F2050" w:rsidRPr="00056E2D">
        <w:rPr>
          <w:color w:val="000000" w:themeColor="text1"/>
          <w:lang w:val="en-US"/>
        </w:rPr>
        <w:t xml:space="preserve"> would </w:t>
      </w:r>
      <w:r>
        <w:rPr>
          <w:color w:val="000000" w:themeColor="text1"/>
          <w:lang w:val="en-US"/>
        </w:rPr>
        <w:t xml:space="preserve">this </w:t>
      </w:r>
      <w:r w:rsidR="003F2050" w:rsidRPr="00056E2D">
        <w:rPr>
          <w:color w:val="000000" w:themeColor="text1"/>
          <w:lang w:val="en-US"/>
        </w:rPr>
        <w:t>be beneficial in improving compliance</w:t>
      </w:r>
      <w:r>
        <w:rPr>
          <w:color w:val="000000" w:themeColor="text1"/>
          <w:lang w:val="en-US"/>
        </w:rPr>
        <w:t xml:space="preserve"> as a deterrent, it would serve a secondary, educational purpose</w:t>
      </w:r>
      <w:r w:rsidR="00D6797A" w:rsidRPr="00056E2D">
        <w:rPr>
          <w:color w:val="000000" w:themeColor="text1"/>
          <w:lang w:val="en-US"/>
        </w:rPr>
        <w:t xml:space="preserve">. </w:t>
      </w:r>
    </w:p>
    <w:p w14:paraId="3636E2E8" w14:textId="0088838C" w:rsidR="00D6797A" w:rsidRPr="0089342A" w:rsidRDefault="00D6797A" w:rsidP="002058BC">
      <w:pPr>
        <w:pStyle w:val="IntenseQuote"/>
        <w:spacing w:line="240" w:lineRule="auto"/>
        <w:ind w:left="426" w:right="662" w:firstLine="0"/>
        <w:jc w:val="center"/>
      </w:pPr>
      <w:r>
        <w:t xml:space="preserve">Proven incidents of inappropriate </w:t>
      </w:r>
      <w:r w:rsidR="003E7A58">
        <w:t xml:space="preserve">MBS </w:t>
      </w:r>
      <w:r>
        <w:t xml:space="preserve">use should be </w:t>
      </w:r>
      <w:r w:rsidR="003E7A58">
        <w:t xml:space="preserve">more </w:t>
      </w:r>
      <w:r w:rsidR="00475E0F">
        <w:t>actively shared with the profession</w:t>
      </w:r>
    </w:p>
    <w:p w14:paraId="03D6BE48" w14:textId="71AC5498" w:rsidR="001756F0" w:rsidRPr="00A77FEA" w:rsidRDefault="003F2050" w:rsidP="00FC5B3A">
      <w:pPr>
        <w:spacing w:after="120" w:line="240" w:lineRule="auto"/>
        <w:ind w:right="95"/>
        <w:rPr>
          <w:rFonts w:cs="Arial"/>
          <w:szCs w:val="22"/>
        </w:rPr>
      </w:pPr>
      <w:r w:rsidRPr="003F2050">
        <w:t xml:space="preserve">The </w:t>
      </w:r>
      <w:r w:rsidR="00990704">
        <w:t xml:space="preserve">Committee is aware that the </w:t>
      </w:r>
      <w:r w:rsidR="003E7A58" w:rsidRPr="003F2050">
        <w:t>Professional</w:t>
      </w:r>
      <w:r w:rsidR="003E7A58">
        <w:t xml:space="preserve"> Services Review </w:t>
      </w:r>
      <w:r w:rsidR="00990704">
        <w:t xml:space="preserve">(PSR) already </w:t>
      </w:r>
      <w:r w:rsidR="003E7A58">
        <w:t xml:space="preserve">provides information on the outcomes of review processes here: </w:t>
      </w:r>
      <w:hyperlink r:id="rId12" w:history="1">
        <w:r w:rsidR="003E7A58" w:rsidRPr="00475E0F">
          <w:rPr>
            <w:rStyle w:val="Hyperlink"/>
            <w:rFonts w:eastAsiaTheme="minorHAnsi"/>
            <w:szCs w:val="22"/>
          </w:rPr>
          <w:t>https://www.psr.gov.au/about-the-psr-scheme</w:t>
        </w:r>
      </w:hyperlink>
      <w:r w:rsidR="004F7304">
        <w:rPr>
          <w:rFonts w:cs="Arial"/>
          <w:szCs w:val="22"/>
        </w:rPr>
        <w:t>. In addition</w:t>
      </w:r>
      <w:r w:rsidR="003E7A58">
        <w:rPr>
          <w:rFonts w:cs="Arial"/>
          <w:szCs w:val="22"/>
        </w:rPr>
        <w:t xml:space="preserve">, the Department publishes its compliance processes at: </w:t>
      </w:r>
      <w:hyperlink r:id="rId13" w:history="1">
        <w:r w:rsidR="003E7A58" w:rsidRPr="00E92681">
          <w:rPr>
            <w:rStyle w:val="Hyperlink"/>
            <w:rFonts w:eastAsiaTheme="minorHAnsi"/>
            <w:szCs w:val="22"/>
          </w:rPr>
          <w:t>http://www.health.gov.au/internet/main/publishing.nsf/Content/health-compliance</w:t>
        </w:r>
      </w:hyperlink>
      <w:r w:rsidR="003E7A58" w:rsidRPr="00E92681">
        <w:rPr>
          <w:rStyle w:val="Hyperlink"/>
          <w:rFonts w:eastAsiaTheme="minorHAnsi"/>
        </w:rPr>
        <w:t xml:space="preserve">. </w:t>
      </w:r>
      <w:r w:rsidR="00A77FEA">
        <w:rPr>
          <w:rFonts w:cs="Arial"/>
          <w:szCs w:val="22"/>
        </w:rPr>
        <w:t xml:space="preserve"> </w:t>
      </w:r>
      <w:r w:rsidR="003E7A58">
        <w:t>Howev</w:t>
      </w:r>
      <w:r w:rsidR="00990704">
        <w:t>er, the Committee would like to see regular publication of peer group interpretations of the legislation, when determining episodes of ‘inappropriate practice</w:t>
      </w:r>
      <w:r w:rsidR="00990704">
        <w:rPr>
          <w:rStyle w:val="FootnoteReference"/>
        </w:rPr>
        <w:footnoteReference w:id="5"/>
      </w:r>
      <w:r w:rsidR="00990704">
        <w:t>’.</w:t>
      </w:r>
    </w:p>
    <w:p w14:paraId="1B8B08E2" w14:textId="7AE4C142" w:rsidR="00F83F35" w:rsidRDefault="004F7304" w:rsidP="002058BC">
      <w:pPr>
        <w:spacing w:line="240" w:lineRule="auto"/>
        <w:ind w:right="95"/>
        <w:rPr>
          <w:color w:val="000000" w:themeColor="text1"/>
          <w:lang w:val="en-US"/>
        </w:rPr>
      </w:pPr>
      <w:r w:rsidRPr="004F7304">
        <w:rPr>
          <w:color w:val="000000" w:themeColor="text1"/>
          <w:lang w:val="en-US"/>
        </w:rPr>
        <w:t>The</w:t>
      </w:r>
      <w:r w:rsidR="00E15653" w:rsidRPr="0097196A">
        <w:rPr>
          <w:color w:val="000000" w:themeColor="text1"/>
          <w:lang w:val="en-US"/>
        </w:rPr>
        <w:t xml:space="preserve"> Committee </w:t>
      </w:r>
      <w:r w:rsidR="001112CB" w:rsidRPr="0097196A">
        <w:rPr>
          <w:color w:val="000000" w:themeColor="text1"/>
          <w:lang w:val="en-US"/>
        </w:rPr>
        <w:t xml:space="preserve">seeks to increase involvement of patients, </w:t>
      </w:r>
      <w:proofErr w:type="spellStart"/>
      <w:r w:rsidR="001112CB" w:rsidRPr="0097196A">
        <w:rPr>
          <w:color w:val="000000" w:themeColor="text1"/>
          <w:lang w:val="en-US"/>
        </w:rPr>
        <w:t>carers</w:t>
      </w:r>
      <w:proofErr w:type="spellEnd"/>
      <w:r w:rsidR="001112CB" w:rsidRPr="0097196A">
        <w:rPr>
          <w:color w:val="000000" w:themeColor="text1"/>
          <w:lang w:val="en-US"/>
        </w:rPr>
        <w:t xml:space="preserve"> and professionals in compliance activity and </w:t>
      </w:r>
      <w:r w:rsidR="00E15653" w:rsidRPr="0097196A">
        <w:rPr>
          <w:color w:val="000000" w:themeColor="text1"/>
          <w:lang w:val="en-US"/>
        </w:rPr>
        <w:t xml:space="preserve">recommends </w:t>
      </w:r>
      <w:r w:rsidR="00B005F1" w:rsidRPr="0097196A">
        <w:rPr>
          <w:color w:val="000000" w:themeColor="text1"/>
          <w:lang w:val="en-US"/>
        </w:rPr>
        <w:t xml:space="preserve">that the Department increase the public profile of the existing </w:t>
      </w:r>
      <w:r w:rsidR="00453C23" w:rsidRPr="0097196A">
        <w:rPr>
          <w:color w:val="000000" w:themeColor="text1"/>
          <w:lang w:val="en-US"/>
        </w:rPr>
        <w:t xml:space="preserve">public </w:t>
      </w:r>
      <w:r w:rsidR="00B005F1" w:rsidRPr="0097196A">
        <w:rPr>
          <w:color w:val="000000" w:themeColor="text1"/>
          <w:lang w:val="en-US"/>
        </w:rPr>
        <w:t>complaints mechanism</w:t>
      </w:r>
      <w:r w:rsidR="000B009B" w:rsidRPr="0097196A">
        <w:rPr>
          <w:color w:val="000000" w:themeColor="text1"/>
          <w:lang w:val="en-US"/>
        </w:rPr>
        <w:t>, the Provider Benefits Integrity Hotline</w:t>
      </w:r>
      <w:r w:rsidR="000B009B" w:rsidRPr="0097196A">
        <w:rPr>
          <w:rStyle w:val="FootnoteReference"/>
          <w:color w:val="000000" w:themeColor="text1"/>
          <w:lang w:val="en-US"/>
        </w:rPr>
        <w:footnoteReference w:id="6"/>
      </w:r>
      <w:r w:rsidR="000B009B" w:rsidRPr="0097196A">
        <w:rPr>
          <w:color w:val="000000" w:themeColor="text1"/>
          <w:lang w:val="en-US"/>
        </w:rPr>
        <w:t>.</w:t>
      </w:r>
      <w:r w:rsidR="001112CB" w:rsidRPr="0097196A">
        <w:rPr>
          <w:color w:val="000000" w:themeColor="text1"/>
          <w:lang w:val="en-US"/>
        </w:rPr>
        <w:t xml:space="preserve"> </w:t>
      </w:r>
    </w:p>
    <w:p w14:paraId="0692885A" w14:textId="76B8F4CC" w:rsidR="00742BF2" w:rsidRPr="0097196A" w:rsidRDefault="00A77FEA" w:rsidP="002058BC">
      <w:pPr>
        <w:pStyle w:val="IntenseQuote"/>
        <w:spacing w:line="240" w:lineRule="auto"/>
        <w:ind w:left="426" w:right="662" w:firstLine="0"/>
        <w:jc w:val="center"/>
      </w:pPr>
      <w:r>
        <w:t xml:space="preserve">Consumers have a right to exert </w:t>
      </w:r>
      <w:r w:rsidR="00F83F35">
        <w:t xml:space="preserve">influence </w:t>
      </w:r>
      <w:r>
        <w:t xml:space="preserve">over </w:t>
      </w:r>
      <w:r w:rsidR="00F83F35">
        <w:t xml:space="preserve">provider behaviour </w:t>
      </w:r>
    </w:p>
    <w:p w14:paraId="32068FE2" w14:textId="77777777" w:rsidR="003C4859" w:rsidRDefault="00EE3541" w:rsidP="00EE3541">
      <w:pPr>
        <w:spacing w:line="240" w:lineRule="auto"/>
        <w:ind w:right="95"/>
        <w:rPr>
          <w:color w:val="000000" w:themeColor="text1"/>
          <w:lang w:val="en-US"/>
        </w:rPr>
      </w:pPr>
      <w:r w:rsidRPr="0097196A">
        <w:rPr>
          <w:color w:val="000000" w:themeColor="text1"/>
          <w:lang w:val="en-US"/>
        </w:rPr>
        <w:t>Although the Hotline is currently available to both patients and practitioners to report possible misuse of the MBS payment s</w:t>
      </w:r>
      <w:r w:rsidR="003C4859">
        <w:rPr>
          <w:color w:val="000000" w:themeColor="text1"/>
          <w:lang w:val="en-US"/>
        </w:rPr>
        <w:t xml:space="preserve">ystem, the Committee would like to see greater visibility of the </w:t>
      </w:r>
      <w:r w:rsidRPr="0097196A">
        <w:rPr>
          <w:color w:val="000000" w:themeColor="text1"/>
          <w:lang w:val="en-US"/>
        </w:rPr>
        <w:t>existing Hotline</w:t>
      </w:r>
      <w:r w:rsidR="003C4859">
        <w:rPr>
          <w:color w:val="000000" w:themeColor="text1"/>
          <w:lang w:val="en-US"/>
        </w:rPr>
        <w:t xml:space="preserve"> in the public domain</w:t>
      </w:r>
      <w:r w:rsidRPr="0097196A">
        <w:rPr>
          <w:color w:val="000000" w:themeColor="text1"/>
          <w:lang w:val="en-US"/>
        </w:rPr>
        <w:t xml:space="preserve">. </w:t>
      </w:r>
    </w:p>
    <w:p w14:paraId="2AD09ADD" w14:textId="0588B55B" w:rsidR="00A77FEA" w:rsidRPr="008C5A4A" w:rsidRDefault="00EE3541" w:rsidP="008C5A4A">
      <w:pPr>
        <w:spacing w:line="240" w:lineRule="auto"/>
        <w:ind w:right="95"/>
        <w:rPr>
          <w:color w:val="000000" w:themeColor="text1"/>
          <w:lang w:val="en-US"/>
        </w:rPr>
      </w:pPr>
      <w:r w:rsidRPr="0097196A">
        <w:rPr>
          <w:color w:val="000000" w:themeColor="text1"/>
          <w:lang w:val="en-US"/>
        </w:rPr>
        <w:t>It is expected that this will not only increase use of the resource but</w:t>
      </w:r>
      <w:r w:rsidR="00955DF3">
        <w:rPr>
          <w:color w:val="000000" w:themeColor="text1"/>
          <w:lang w:val="en-US"/>
        </w:rPr>
        <w:t xml:space="preserve"> will have a secondary, deterrent </w:t>
      </w:r>
      <w:r w:rsidRPr="0097196A">
        <w:rPr>
          <w:color w:val="000000" w:themeColor="text1"/>
          <w:lang w:val="en-US"/>
        </w:rPr>
        <w:t xml:space="preserve">effect on provider </w:t>
      </w:r>
      <w:proofErr w:type="spellStart"/>
      <w:r w:rsidRPr="0097196A">
        <w:rPr>
          <w:color w:val="000000" w:themeColor="text1"/>
          <w:lang w:val="en-US"/>
        </w:rPr>
        <w:t>behaviour</w:t>
      </w:r>
      <w:proofErr w:type="spellEnd"/>
      <w:r w:rsidRPr="0097196A">
        <w:rPr>
          <w:color w:val="000000" w:themeColor="text1"/>
          <w:lang w:val="en-US"/>
        </w:rPr>
        <w:t>.</w:t>
      </w:r>
      <w:r>
        <w:rPr>
          <w:color w:val="000000" w:themeColor="text1"/>
          <w:lang w:val="en-US"/>
        </w:rPr>
        <w:t xml:space="preserve"> </w:t>
      </w:r>
      <w:bookmarkStart w:id="66" w:name="_Toc20739784"/>
    </w:p>
    <w:p w14:paraId="4EF03186" w14:textId="1A0CBF53" w:rsidR="00EE3541" w:rsidRPr="009F0991" w:rsidRDefault="00BD30B6" w:rsidP="00BD30B6">
      <w:pPr>
        <w:pStyle w:val="Heading2"/>
        <w:spacing w:line="240" w:lineRule="auto"/>
        <w:ind w:right="95"/>
      </w:pPr>
      <w:bookmarkStart w:id="67" w:name="_Toc25843692"/>
      <w:r>
        <w:t xml:space="preserve">4.3 </w:t>
      </w:r>
      <w:r w:rsidR="005F3F33">
        <w:t>R</w:t>
      </w:r>
      <w:r w:rsidR="00EE3541">
        <w:t>aising the profile of Explanatory Notes</w:t>
      </w:r>
      <w:bookmarkEnd w:id="66"/>
      <w:bookmarkEnd w:id="67"/>
      <w:r w:rsidR="00EE3541">
        <w:t xml:space="preserve"> </w:t>
      </w:r>
      <w:r w:rsidR="00EE3541" w:rsidRPr="00B65F18">
        <w:t xml:space="preserve"> </w:t>
      </w:r>
    </w:p>
    <w:p w14:paraId="11EAF9CC" w14:textId="08C0A525" w:rsidR="00F83F35" w:rsidRDefault="00955DF3" w:rsidP="00F83F35">
      <w:pPr>
        <w:spacing w:line="240" w:lineRule="auto"/>
        <w:ind w:right="95"/>
      </w:pPr>
      <w:r w:rsidRPr="00955DF3">
        <w:t>The</w:t>
      </w:r>
      <w:r w:rsidR="00F83F35">
        <w:t xml:space="preserve"> Committee recommends no change to the legal status of Explanatory Notes within the MBS but recommends </w:t>
      </w:r>
      <w:r w:rsidR="00B34807">
        <w:t xml:space="preserve">that the Department undertake work to clarify the legal status of Explanatory Notes, possibly via </w:t>
      </w:r>
      <w:r w:rsidR="00F83F35">
        <w:t>inclusion of the following statement to the MBS preamble:</w:t>
      </w:r>
    </w:p>
    <w:p w14:paraId="7E7DB749" w14:textId="4468C3B2" w:rsidR="00F83F35" w:rsidRPr="009A08CA" w:rsidRDefault="00F83F35" w:rsidP="00F83F35">
      <w:pPr>
        <w:spacing w:line="240" w:lineRule="auto"/>
        <w:ind w:right="95"/>
        <w:rPr>
          <w:rFonts w:cstheme="minorHAnsi"/>
          <w:i/>
        </w:rPr>
      </w:pPr>
      <w:r w:rsidRPr="009A08CA">
        <w:rPr>
          <w:rFonts w:cstheme="minorHAnsi"/>
          <w:i/>
        </w:rPr>
        <w:t xml:space="preserve">Clinicians </w:t>
      </w:r>
      <w:r w:rsidRPr="009A08CA">
        <w:rPr>
          <w:rFonts w:cstheme="minorHAnsi"/>
          <w:b/>
          <w:i/>
        </w:rPr>
        <w:t>must</w:t>
      </w:r>
      <w:r w:rsidRPr="009A08CA">
        <w:rPr>
          <w:rFonts w:cstheme="minorHAnsi"/>
          <w:i/>
        </w:rPr>
        <w:t xml:space="preserve"> refer to an item’s </w:t>
      </w:r>
      <w:r>
        <w:rPr>
          <w:rFonts w:cstheme="minorHAnsi"/>
          <w:i/>
        </w:rPr>
        <w:t xml:space="preserve">associated </w:t>
      </w:r>
      <w:r w:rsidRPr="009A08CA">
        <w:rPr>
          <w:rFonts w:cstheme="minorHAnsi"/>
          <w:i/>
        </w:rPr>
        <w:t xml:space="preserve">Explanatory Notes when </w:t>
      </w:r>
      <w:proofErr w:type="gramStart"/>
      <w:r>
        <w:rPr>
          <w:rFonts w:cstheme="minorHAnsi"/>
          <w:i/>
        </w:rPr>
        <w:t>making a determination</w:t>
      </w:r>
      <w:proofErr w:type="gramEnd"/>
      <w:r>
        <w:rPr>
          <w:rFonts w:cstheme="minorHAnsi"/>
          <w:i/>
        </w:rPr>
        <w:t xml:space="preserve"> on the appropriate item to be claimed </w:t>
      </w:r>
      <w:r w:rsidRPr="00890E2E">
        <w:rPr>
          <w:rFonts w:cstheme="minorHAnsi"/>
          <w:i/>
        </w:rPr>
        <w:t>for a</w:t>
      </w:r>
      <w:r w:rsidR="008F734E" w:rsidRPr="00890E2E">
        <w:rPr>
          <w:rFonts w:cstheme="minorHAnsi"/>
          <w:i/>
        </w:rPr>
        <w:t xml:space="preserve"> service</w:t>
      </w:r>
      <w:r w:rsidR="00890E2E" w:rsidRPr="00890E2E">
        <w:rPr>
          <w:rFonts w:cstheme="minorHAnsi"/>
          <w:i/>
        </w:rPr>
        <w:t xml:space="preserve"> provided. </w:t>
      </w:r>
      <w:r w:rsidRPr="00890E2E">
        <w:rPr>
          <w:rFonts w:cstheme="minorHAnsi"/>
          <w:i/>
        </w:rPr>
        <w:t xml:space="preserve">Explanatory </w:t>
      </w:r>
      <w:r>
        <w:rPr>
          <w:rFonts w:cstheme="minorHAnsi"/>
          <w:i/>
        </w:rPr>
        <w:t>Notes contain important information on applicability</w:t>
      </w:r>
      <w:r w:rsidR="00890E2E">
        <w:rPr>
          <w:rFonts w:cstheme="minorHAnsi"/>
          <w:i/>
        </w:rPr>
        <w:t>.</w:t>
      </w:r>
    </w:p>
    <w:p w14:paraId="48F10759" w14:textId="77777777" w:rsidR="00F83F35" w:rsidRPr="00C76E7E" w:rsidRDefault="00F83F35" w:rsidP="00F83F35">
      <w:pPr>
        <w:spacing w:line="240" w:lineRule="auto"/>
        <w:ind w:right="95"/>
      </w:pPr>
      <w:r>
        <w:lastRenderedPageBreak/>
        <w:t xml:space="preserve">In a policy context the Committee is aware also that Explanatory Notes are </w:t>
      </w:r>
      <w:r w:rsidRPr="00C76E7E">
        <w:t>considered by clinicians to repres</w:t>
      </w:r>
      <w:r>
        <w:t>ent the policy position of the D</w:t>
      </w:r>
      <w:r w:rsidRPr="00C76E7E">
        <w:t xml:space="preserve">epartment </w:t>
      </w:r>
      <w:r>
        <w:t xml:space="preserve">and therefore </w:t>
      </w:r>
      <w:r w:rsidRPr="00C76E7E">
        <w:t xml:space="preserve">carry a degree of evidentiary weight and context to the intent of the MBS item. </w:t>
      </w:r>
    </w:p>
    <w:p w14:paraId="1B938F47" w14:textId="77777777" w:rsidR="00077483" w:rsidRPr="005E4212" w:rsidRDefault="00077483" w:rsidP="00077483">
      <w:pPr>
        <w:pStyle w:val="IntenseQuote"/>
        <w:spacing w:line="240" w:lineRule="auto"/>
        <w:ind w:left="426" w:right="662" w:firstLine="0"/>
        <w:jc w:val="center"/>
      </w:pPr>
      <w:r>
        <w:t xml:space="preserve">Clinicians need to be made aware of the legal value of Explanatory Notes </w:t>
      </w:r>
    </w:p>
    <w:p w14:paraId="2525522F" w14:textId="010C739A" w:rsidR="00955DF3" w:rsidRDefault="00F83F35" w:rsidP="008C5A4A">
      <w:pPr>
        <w:spacing w:line="240" w:lineRule="auto"/>
        <w:ind w:right="95"/>
      </w:pPr>
      <w:r>
        <w:t xml:space="preserve">The </w:t>
      </w:r>
      <w:r w:rsidRPr="00C76E7E">
        <w:t xml:space="preserve">Committee </w:t>
      </w:r>
      <w:r>
        <w:t xml:space="preserve">makes this recommendation to ensure that clinicians take into consideration </w:t>
      </w:r>
      <w:r w:rsidRPr="00C76E7E">
        <w:t xml:space="preserve">pertinent information contained in an Explanatory Note </w:t>
      </w:r>
      <w:r>
        <w:t xml:space="preserve">when claiming </w:t>
      </w:r>
      <w:r w:rsidR="00955DF3">
        <w:t>for a</w:t>
      </w:r>
      <w:r w:rsidR="008F734E">
        <w:t xml:space="preserve"> </w:t>
      </w:r>
      <w:r w:rsidR="008F734E" w:rsidRPr="007F39CA">
        <w:t>service</w:t>
      </w:r>
      <w:r w:rsidR="007F39CA" w:rsidRPr="007F39CA">
        <w:t xml:space="preserve"> provided</w:t>
      </w:r>
      <w:r w:rsidR="00955DF3" w:rsidRPr="007F39CA">
        <w:t xml:space="preserve"> </w:t>
      </w:r>
      <w:r w:rsidR="00955DF3">
        <w:t xml:space="preserve">and are made aware of the use of Explanatory Notes in compliance activity. </w:t>
      </w:r>
      <w:r w:rsidRPr="00C76E7E">
        <w:t xml:space="preserve"> </w:t>
      </w:r>
    </w:p>
    <w:p w14:paraId="5394374F" w14:textId="2FFE2195" w:rsidR="00B34807" w:rsidRPr="00B65F18" w:rsidRDefault="00B34807" w:rsidP="00B34807">
      <w:pPr>
        <w:pStyle w:val="Heading2"/>
        <w:spacing w:line="240" w:lineRule="auto"/>
        <w:ind w:right="95"/>
      </w:pPr>
      <w:bookmarkStart w:id="68" w:name="_Toc25843693"/>
      <w:r>
        <w:t>4.4 Ineligible services – improving clarity</w:t>
      </w:r>
      <w:bookmarkEnd w:id="68"/>
      <w:r>
        <w:t xml:space="preserve"> </w:t>
      </w:r>
    </w:p>
    <w:p w14:paraId="781AAD09" w14:textId="77777777" w:rsidR="00B34807" w:rsidRDefault="00B34807" w:rsidP="00B34807">
      <w:pPr>
        <w:spacing w:line="240" w:lineRule="auto"/>
        <w:ind w:right="95"/>
      </w:pPr>
      <w:r>
        <w:t xml:space="preserve">Seeking to </w:t>
      </w:r>
      <w:r w:rsidRPr="00843028">
        <w:t>ra</w:t>
      </w:r>
      <w:r>
        <w:t xml:space="preserve">tionalise and modernise the MBS, at its meeting of 12 August 2018 the Committee sought Taskforce views on removal of the current ineligible services list, proposing to replace the list with a </w:t>
      </w:r>
      <w:r w:rsidRPr="00843028">
        <w:t>set of principles and rules, used to govern the eligibility or non</w:t>
      </w:r>
      <w:r w:rsidRPr="00843028">
        <w:noBreakHyphen/>
        <w:t>eligibility of services.</w:t>
      </w:r>
    </w:p>
    <w:p w14:paraId="326D1C38" w14:textId="77777777" w:rsidR="00B34807" w:rsidRDefault="00B34807" w:rsidP="00B34807">
      <w:pPr>
        <w:spacing w:line="240" w:lineRule="auto"/>
        <w:ind w:right="95"/>
      </w:pPr>
      <w:r>
        <w:t xml:space="preserve">The Committee advised that use of a proscriptive list was impracticable, in that the MBS ineligible services list had failed to keep pace with ongoing change in a modern health care sector. One such example can be found in the replacement of the Pap test with the more effective Cervical Screening Test, which, due to a time lag in legislative change, resulted in the Cervical Screening Test being temporarily ineligible under the MBS. </w:t>
      </w:r>
    </w:p>
    <w:p w14:paraId="1EE06431" w14:textId="77777777" w:rsidR="00B34807" w:rsidRDefault="00B34807" w:rsidP="00B34807">
      <w:pPr>
        <w:spacing w:line="240" w:lineRule="auto"/>
        <w:ind w:right="95"/>
      </w:pPr>
      <w:r w:rsidRPr="00A05775">
        <w:t xml:space="preserve">The Committee also </w:t>
      </w:r>
      <w:r>
        <w:t xml:space="preserve">advised that significant </w:t>
      </w:r>
      <w:r w:rsidRPr="00A05775">
        <w:t xml:space="preserve">simplification of the existing </w:t>
      </w:r>
      <w:r>
        <w:t xml:space="preserve">ineligible services list could be achieved by including a statement that </w:t>
      </w:r>
      <w:r w:rsidRPr="00A548A2">
        <w:rPr>
          <w:i/>
        </w:rPr>
        <w:t>if a service does not have an associated MBS item it can be deemed as not supported by the MBS and is therefore ineligible</w:t>
      </w:r>
      <w:r>
        <w:rPr>
          <w:i/>
        </w:rPr>
        <w:t xml:space="preserve"> for payment</w:t>
      </w:r>
      <w:r w:rsidRPr="00A05775">
        <w:t xml:space="preserve">. </w:t>
      </w:r>
    </w:p>
    <w:p w14:paraId="21706918" w14:textId="77777777" w:rsidR="00B34807" w:rsidRPr="00843028" w:rsidRDefault="00B34807" w:rsidP="00B34807">
      <w:pPr>
        <w:spacing w:line="240" w:lineRule="auto"/>
        <w:ind w:right="95"/>
      </w:pPr>
      <w:r>
        <w:t xml:space="preserve">During discussion of the advice, it was agreed that an exclusion list should be retained, to ensure that a service was not able to attract an MBS benefit on a consultation basis but that the current list requires review. One such example is current exclusion of testing of fitness to undergo physical training, vocational activities or weight reduction programs, which have the potential to positively impact the obesity epidemic. </w:t>
      </w:r>
    </w:p>
    <w:p w14:paraId="707C8785" w14:textId="77777777" w:rsidR="00B34807" w:rsidRDefault="00B34807" w:rsidP="00B34807">
      <w:pPr>
        <w:spacing w:line="240" w:lineRule="auto"/>
        <w:ind w:right="95"/>
      </w:pPr>
      <w:r>
        <w:t>The Committee recommends that the Department undertakes a comprehensive review of the MBS content related to excluded, eligible and ineligible services. The Committee provides the following principles and excluded items for consideration in this review.</w:t>
      </w:r>
    </w:p>
    <w:p w14:paraId="7467F64B" w14:textId="77777777" w:rsidR="00B34807" w:rsidRPr="00843028" w:rsidRDefault="00B34807" w:rsidP="00B34807">
      <w:pPr>
        <w:autoSpaceDE w:val="0"/>
        <w:autoSpaceDN w:val="0"/>
        <w:adjustRightInd w:val="0"/>
        <w:spacing w:after="120"/>
        <w:rPr>
          <w:rFonts w:cs="Calibri"/>
          <w:i/>
        </w:rPr>
      </w:pPr>
      <w:r>
        <w:rPr>
          <w:rFonts w:cs="Calibri"/>
          <w:i/>
        </w:rPr>
        <w:t>T</w:t>
      </w:r>
      <w:r w:rsidRPr="00843028">
        <w:rPr>
          <w:rFonts w:cs="Calibri"/>
          <w:i/>
        </w:rPr>
        <w:t>he MBS should support health professional services which are:</w:t>
      </w:r>
    </w:p>
    <w:p w14:paraId="53609A8C" w14:textId="77777777" w:rsidR="00B34807" w:rsidRPr="00843028" w:rsidRDefault="00B34807" w:rsidP="00B34807">
      <w:pPr>
        <w:pStyle w:val="ListParagraph"/>
        <w:numPr>
          <w:ilvl w:val="0"/>
          <w:numId w:val="38"/>
        </w:numPr>
        <w:autoSpaceDE w:val="0"/>
        <w:autoSpaceDN w:val="0"/>
        <w:adjustRightInd w:val="0"/>
        <w:spacing w:before="0" w:after="120" w:line="240" w:lineRule="auto"/>
        <w:ind w:left="714" w:hanging="357"/>
        <w:contextualSpacing w:val="0"/>
        <w:rPr>
          <w:rFonts w:cs="Calibri"/>
          <w:i/>
        </w:rPr>
      </w:pPr>
      <w:r w:rsidRPr="00843028">
        <w:rPr>
          <w:rFonts w:cs="Calibri"/>
          <w:i/>
        </w:rPr>
        <w:t>Clinically relevant</w:t>
      </w:r>
      <w:r>
        <w:rPr>
          <w:rStyle w:val="FootnoteReference"/>
          <w:rFonts w:cs="Calibri"/>
          <w:i/>
        </w:rPr>
        <w:footnoteReference w:id="7"/>
      </w:r>
      <w:r w:rsidRPr="00843028">
        <w:rPr>
          <w:rFonts w:cs="Calibri"/>
          <w:i/>
        </w:rPr>
        <w:t>. These are consultations, diagnostics and procedures whose dominant purpose is the management of a clinical condition, and which are likely to provide health benefit and conform to contemporary professional standards.</w:t>
      </w:r>
    </w:p>
    <w:p w14:paraId="3C15DE14" w14:textId="77777777" w:rsidR="00B34807" w:rsidRPr="00843028" w:rsidRDefault="00B34807" w:rsidP="00B34807">
      <w:pPr>
        <w:pStyle w:val="ListParagraph"/>
        <w:numPr>
          <w:ilvl w:val="0"/>
          <w:numId w:val="38"/>
        </w:numPr>
        <w:autoSpaceDE w:val="0"/>
        <w:autoSpaceDN w:val="0"/>
        <w:adjustRightInd w:val="0"/>
        <w:spacing w:before="0" w:after="120" w:line="240" w:lineRule="auto"/>
        <w:contextualSpacing w:val="0"/>
        <w:rPr>
          <w:rFonts w:cs="Calibri"/>
          <w:i/>
        </w:rPr>
      </w:pPr>
      <w:r w:rsidRPr="00843028">
        <w:rPr>
          <w:rFonts w:cs="Calibri"/>
          <w:i/>
        </w:rPr>
        <w:t xml:space="preserve">Preventative. These are a core component of primary care and the appropriate delivery of these services through the MBS should be encouraged. However, services provided to asymptomatic patients (and </w:t>
      </w:r>
      <w:proofErr w:type="gramStart"/>
      <w:r w:rsidRPr="00843028">
        <w:rPr>
          <w:rFonts w:cs="Calibri"/>
          <w:i/>
        </w:rPr>
        <w:t>in particular diagnostic</w:t>
      </w:r>
      <w:proofErr w:type="gramEnd"/>
      <w:r w:rsidRPr="00843028">
        <w:rPr>
          <w:rFonts w:cs="Calibri"/>
          <w:i/>
        </w:rPr>
        <w:t xml:space="preserve"> services) should only be MBS funded when supported by evidence or supported by the general body of peers.</w:t>
      </w:r>
    </w:p>
    <w:p w14:paraId="2DF56A5A" w14:textId="77777777" w:rsidR="00B34807" w:rsidRPr="00843028" w:rsidRDefault="00B34807" w:rsidP="00B34807">
      <w:pPr>
        <w:pStyle w:val="ListParagraph"/>
        <w:numPr>
          <w:ilvl w:val="0"/>
          <w:numId w:val="38"/>
        </w:numPr>
        <w:autoSpaceDE w:val="0"/>
        <w:autoSpaceDN w:val="0"/>
        <w:adjustRightInd w:val="0"/>
        <w:spacing w:before="0" w:after="120" w:line="240" w:lineRule="auto"/>
        <w:ind w:left="714" w:hanging="357"/>
        <w:contextualSpacing w:val="0"/>
        <w:rPr>
          <w:rFonts w:cs="Calibri"/>
          <w:i/>
        </w:rPr>
      </w:pPr>
      <w:r w:rsidRPr="00843028">
        <w:rPr>
          <w:rFonts w:cs="Calibri"/>
          <w:i/>
        </w:rPr>
        <w:lastRenderedPageBreak/>
        <w:t>Safe. Novel health professional services and technologies should only be MBS funded if they meet contemporary standards for safety, effectiveness and cost effectiveness as determined by the Medical Services Advisory Committee.</w:t>
      </w:r>
    </w:p>
    <w:p w14:paraId="3460B45C" w14:textId="0A756B9A" w:rsidR="00B34807" w:rsidRPr="00B34807" w:rsidRDefault="00B34807" w:rsidP="00B34807">
      <w:pPr>
        <w:pStyle w:val="ListParagraph"/>
        <w:numPr>
          <w:ilvl w:val="0"/>
          <w:numId w:val="38"/>
        </w:numPr>
        <w:autoSpaceDE w:val="0"/>
        <w:autoSpaceDN w:val="0"/>
        <w:adjustRightInd w:val="0"/>
        <w:spacing w:before="0" w:after="0" w:line="240" w:lineRule="auto"/>
        <w:ind w:left="714" w:hanging="357"/>
        <w:rPr>
          <w:rFonts w:cs="Calibri"/>
          <w:i/>
        </w:rPr>
      </w:pPr>
      <w:r w:rsidRPr="00843028">
        <w:rPr>
          <w:rFonts w:cs="Calibri"/>
          <w:i/>
        </w:rPr>
        <w:t xml:space="preserve">Beneficial for the wider community. Medical examinations or tests which may not have direct benefit to the </w:t>
      </w:r>
      <w:proofErr w:type="gramStart"/>
      <w:r w:rsidRPr="00843028">
        <w:rPr>
          <w:rFonts w:cs="Calibri"/>
          <w:i/>
        </w:rPr>
        <w:t>patient, but</w:t>
      </w:r>
      <w:proofErr w:type="gramEnd"/>
      <w:r w:rsidRPr="00843028">
        <w:rPr>
          <w:rFonts w:cs="Calibri"/>
          <w:i/>
        </w:rPr>
        <w:t xml:space="preserve"> have potential flow-on safety or public health benefits to the wider community should be funded through the MBS.</w:t>
      </w:r>
    </w:p>
    <w:p w14:paraId="7CF406F5" w14:textId="77777777" w:rsidR="00B34807" w:rsidRPr="00B34807" w:rsidRDefault="00B34807" w:rsidP="00B34807">
      <w:pPr>
        <w:autoSpaceDE w:val="0"/>
        <w:autoSpaceDN w:val="0"/>
        <w:adjustRightInd w:val="0"/>
        <w:spacing w:before="120" w:after="0"/>
        <w:rPr>
          <w:rFonts w:cs="Calibri"/>
          <w:i/>
        </w:rPr>
      </w:pPr>
      <w:r w:rsidRPr="00B34807">
        <w:rPr>
          <w:rFonts w:cs="Calibri"/>
          <w:i/>
        </w:rPr>
        <w:t>The following are excluded services:</w:t>
      </w:r>
    </w:p>
    <w:p w14:paraId="38BBE788" w14:textId="77777777" w:rsidR="00B34807" w:rsidRPr="00B34807" w:rsidRDefault="00B34807" w:rsidP="00B34807">
      <w:pPr>
        <w:pStyle w:val="ListParagraph"/>
        <w:numPr>
          <w:ilvl w:val="1"/>
          <w:numId w:val="15"/>
        </w:numPr>
        <w:spacing w:before="0" w:after="0" w:line="240" w:lineRule="auto"/>
        <w:ind w:left="709" w:right="95" w:hanging="441"/>
        <w:rPr>
          <w:i/>
        </w:rPr>
      </w:pPr>
      <w:r w:rsidRPr="00B34807">
        <w:rPr>
          <w:i/>
        </w:rPr>
        <w:t>Telephone consultations.</w:t>
      </w:r>
    </w:p>
    <w:p w14:paraId="1BAE1012" w14:textId="77777777" w:rsidR="00B34807" w:rsidRPr="00B34807" w:rsidRDefault="00B34807" w:rsidP="00B34807">
      <w:pPr>
        <w:pStyle w:val="ListParagraph"/>
        <w:numPr>
          <w:ilvl w:val="1"/>
          <w:numId w:val="15"/>
        </w:numPr>
        <w:spacing w:before="0" w:after="0" w:line="240" w:lineRule="auto"/>
        <w:ind w:left="709" w:right="95" w:hanging="441"/>
        <w:rPr>
          <w:i/>
        </w:rPr>
      </w:pPr>
      <w:r w:rsidRPr="00B34807">
        <w:rPr>
          <w:i/>
        </w:rPr>
        <w:t>Issue of repeat prescriptions when the patient does not attend the surgery in person.</w:t>
      </w:r>
    </w:p>
    <w:p w14:paraId="7FAB36D6" w14:textId="77777777" w:rsidR="00B34807" w:rsidRPr="00B34807" w:rsidRDefault="00B34807" w:rsidP="00B34807">
      <w:pPr>
        <w:pStyle w:val="ListParagraph"/>
        <w:numPr>
          <w:ilvl w:val="1"/>
          <w:numId w:val="15"/>
        </w:numPr>
        <w:spacing w:before="0" w:after="0" w:line="240" w:lineRule="auto"/>
        <w:ind w:left="709" w:right="95" w:hanging="441"/>
        <w:rPr>
          <w:i/>
        </w:rPr>
      </w:pPr>
      <w:r w:rsidRPr="00B34807">
        <w:rPr>
          <w:i/>
        </w:rPr>
        <w:t>Group attendances (unless otherwise specified in the item, such as items 170, 171, 172, 342, 344 and 346).</w:t>
      </w:r>
    </w:p>
    <w:p w14:paraId="6663A7B3" w14:textId="77777777" w:rsidR="00B34807" w:rsidRPr="00B34807" w:rsidRDefault="00B34807" w:rsidP="00B34807">
      <w:pPr>
        <w:pStyle w:val="ListParagraph"/>
        <w:numPr>
          <w:ilvl w:val="1"/>
          <w:numId w:val="15"/>
        </w:numPr>
        <w:spacing w:before="0" w:after="0" w:line="240" w:lineRule="auto"/>
        <w:ind w:left="709" w:right="95" w:hanging="441"/>
        <w:rPr>
          <w:i/>
        </w:rPr>
      </w:pPr>
      <w:r w:rsidRPr="00B34807">
        <w:rPr>
          <w:i/>
        </w:rPr>
        <w:t>Non-therapeutic cosmetic surgery.</w:t>
      </w:r>
    </w:p>
    <w:p w14:paraId="182576E4" w14:textId="77777777" w:rsidR="00B34807" w:rsidRPr="00B34807" w:rsidRDefault="00B34807" w:rsidP="00B34807">
      <w:pPr>
        <w:pStyle w:val="ListParagraph"/>
        <w:numPr>
          <w:ilvl w:val="1"/>
          <w:numId w:val="15"/>
        </w:numPr>
        <w:spacing w:before="0" w:after="0" w:line="240" w:lineRule="auto"/>
        <w:ind w:left="709" w:right="95" w:hanging="441"/>
        <w:rPr>
          <w:i/>
        </w:rPr>
      </w:pPr>
      <w:r w:rsidRPr="00B34807">
        <w:rPr>
          <w:i/>
        </w:rPr>
        <w:t>Euthanasia and any service directly related to the procedure.  However, services rendered for counselling/assessment about euthanasia will attract benefits.</w:t>
      </w:r>
    </w:p>
    <w:p w14:paraId="704EBBC7" w14:textId="77777777" w:rsidR="00B34807" w:rsidRPr="00B34807" w:rsidRDefault="00B34807" w:rsidP="00B34807">
      <w:pPr>
        <w:pStyle w:val="ListParagraph"/>
        <w:numPr>
          <w:ilvl w:val="1"/>
          <w:numId w:val="15"/>
        </w:numPr>
        <w:spacing w:before="0" w:after="0" w:line="240" w:lineRule="auto"/>
        <w:ind w:left="709" w:right="95" w:hanging="441"/>
        <w:rPr>
          <w:i/>
        </w:rPr>
      </w:pPr>
      <w:r w:rsidRPr="00B34807">
        <w:rPr>
          <w:i/>
        </w:rPr>
        <w:t xml:space="preserve">A service that is a pre-employment screening service other than where it is a medical or </w:t>
      </w:r>
      <w:proofErr w:type="spellStart"/>
      <w:r w:rsidRPr="00B34807">
        <w:rPr>
          <w:i/>
        </w:rPr>
        <w:t>optometrical</w:t>
      </w:r>
      <w:proofErr w:type="spellEnd"/>
      <w:r w:rsidRPr="00B34807">
        <w:rPr>
          <w:i/>
        </w:rPr>
        <w:t xml:space="preserve"> examination provided to a person who is an unemployed person (as defined by the </w:t>
      </w:r>
      <w:r w:rsidRPr="00B34807">
        <w:t>Social Security Act 1991</w:t>
      </w:r>
      <w:r w:rsidRPr="00B34807">
        <w:rPr>
          <w:i/>
        </w:rPr>
        <w:t>), as the request of a prospective employer.</w:t>
      </w:r>
    </w:p>
    <w:p w14:paraId="1786AEEA" w14:textId="77777777" w:rsidR="00B34807" w:rsidRPr="00B34807" w:rsidRDefault="00B34807" w:rsidP="00B34807">
      <w:pPr>
        <w:pStyle w:val="ListParagraph"/>
        <w:numPr>
          <w:ilvl w:val="1"/>
          <w:numId w:val="15"/>
        </w:numPr>
        <w:spacing w:before="0" w:after="0" w:line="240" w:lineRule="auto"/>
        <w:ind w:left="709" w:right="95" w:hanging="441"/>
        <w:rPr>
          <w:i/>
        </w:rPr>
      </w:pPr>
      <w:r w:rsidRPr="00B34807">
        <w:rPr>
          <w:i/>
        </w:rPr>
        <w:t>Compulsory examinations and tests to obtain a flying or commercial driving or other licences other than age or health related medical examinations to obtain or renew a licence to drive a private motor vehicle.</w:t>
      </w:r>
    </w:p>
    <w:p w14:paraId="24F116F5" w14:textId="77777777" w:rsidR="00B34807" w:rsidRPr="00B34807" w:rsidRDefault="00B34807" w:rsidP="00B34807">
      <w:pPr>
        <w:pStyle w:val="ListParagraph"/>
        <w:numPr>
          <w:ilvl w:val="1"/>
          <w:numId w:val="15"/>
        </w:numPr>
        <w:spacing w:before="0" w:after="0" w:line="240" w:lineRule="auto"/>
        <w:ind w:left="709" w:right="95" w:hanging="441"/>
        <w:rPr>
          <w:i/>
        </w:rPr>
      </w:pPr>
      <w:r w:rsidRPr="00B34807">
        <w:rPr>
          <w:i/>
        </w:rPr>
        <w:t>Services for the purposes of legal proceedings.</w:t>
      </w:r>
    </w:p>
    <w:p w14:paraId="500A8793" w14:textId="77777777" w:rsidR="00B34807" w:rsidRPr="00B34807" w:rsidRDefault="00B34807" w:rsidP="00B34807">
      <w:pPr>
        <w:pStyle w:val="ListParagraph"/>
        <w:numPr>
          <w:ilvl w:val="1"/>
          <w:numId w:val="15"/>
        </w:numPr>
        <w:spacing w:before="0" w:after="0" w:line="240" w:lineRule="auto"/>
        <w:ind w:left="709" w:right="95" w:hanging="441"/>
        <w:rPr>
          <w:i/>
        </w:rPr>
      </w:pPr>
      <w:r w:rsidRPr="00B34807">
        <w:rPr>
          <w:i/>
        </w:rPr>
        <w:t>Services rendered to a doctor's dependants.</w:t>
      </w:r>
    </w:p>
    <w:p w14:paraId="3EFFF2B0" w14:textId="77777777" w:rsidR="00B34807" w:rsidRPr="00B34807" w:rsidRDefault="00B34807" w:rsidP="00B34807">
      <w:pPr>
        <w:pStyle w:val="ListParagraph"/>
        <w:numPr>
          <w:ilvl w:val="1"/>
          <w:numId w:val="15"/>
        </w:numPr>
        <w:spacing w:before="0" w:after="0" w:line="240" w:lineRule="auto"/>
        <w:ind w:left="709" w:right="95" w:hanging="441"/>
        <w:rPr>
          <w:i/>
        </w:rPr>
      </w:pPr>
      <w:r w:rsidRPr="00B34807">
        <w:rPr>
          <w:i/>
        </w:rPr>
        <w:t>Counselling of relatives that does not occur at the time of patient attendance.</w:t>
      </w:r>
    </w:p>
    <w:p w14:paraId="7C0E0D12" w14:textId="77777777" w:rsidR="00B34807" w:rsidRPr="00B34807" w:rsidRDefault="00B34807" w:rsidP="00B34807">
      <w:pPr>
        <w:pStyle w:val="ListParagraph"/>
        <w:numPr>
          <w:ilvl w:val="1"/>
          <w:numId w:val="15"/>
        </w:numPr>
        <w:spacing w:before="0" w:after="0" w:line="240" w:lineRule="auto"/>
        <w:ind w:left="709" w:right="95" w:hanging="441"/>
        <w:rPr>
          <w:i/>
        </w:rPr>
      </w:pPr>
      <w:r w:rsidRPr="00B34807">
        <w:rPr>
          <w:i/>
        </w:rPr>
        <w:t>Recording clinical notes or writing referrals other than at the time of attendance.</w:t>
      </w:r>
    </w:p>
    <w:p w14:paraId="42186227" w14:textId="77777777" w:rsidR="00B34807" w:rsidRPr="00B34807" w:rsidRDefault="00B34807" w:rsidP="00B34807">
      <w:pPr>
        <w:pStyle w:val="ListParagraph"/>
        <w:numPr>
          <w:ilvl w:val="1"/>
          <w:numId w:val="15"/>
        </w:numPr>
        <w:spacing w:before="0" w:after="0" w:line="240" w:lineRule="auto"/>
        <w:ind w:left="709" w:right="95" w:hanging="441"/>
        <w:rPr>
          <w:i/>
        </w:rPr>
      </w:pPr>
      <w:r w:rsidRPr="00B34807">
        <w:rPr>
          <w:i/>
        </w:rPr>
        <w:t xml:space="preserve">“Never Events” – when a clinician provides a service that that results in the patient receiving the correct procedure on an incorrect site; receiving an incorrect procedure; or retaining a surgical instrument the clinician must not levy a claim to the MBS or the patient for the service. A claim may be made to the MBS, by a second clinician, when undertaking a procedure necessary to correct error from the primary service. </w:t>
      </w:r>
    </w:p>
    <w:p w14:paraId="39837468" w14:textId="14DF2857" w:rsidR="00DF724C" w:rsidRPr="009F0991" w:rsidRDefault="00B34807" w:rsidP="00BD30B6">
      <w:pPr>
        <w:pStyle w:val="Heading2"/>
        <w:spacing w:line="240" w:lineRule="auto"/>
        <w:ind w:right="95"/>
      </w:pPr>
      <w:bookmarkStart w:id="69" w:name="_Toc25843694"/>
      <w:r>
        <w:t>4.5</w:t>
      </w:r>
      <w:r w:rsidR="00BD30B6">
        <w:t xml:space="preserve"> </w:t>
      </w:r>
      <w:r w:rsidR="001857CC">
        <w:t>I</w:t>
      </w:r>
      <w:r w:rsidR="00487A33">
        <w:t xml:space="preserve">mplementing </w:t>
      </w:r>
      <w:r w:rsidR="00DF724C">
        <w:t>Taskforce endorsed principles</w:t>
      </w:r>
      <w:bookmarkEnd w:id="69"/>
    </w:p>
    <w:p w14:paraId="0492AB23" w14:textId="6DE2DBEB" w:rsidR="0068597F" w:rsidRDefault="00955DF3" w:rsidP="00DF724C">
      <w:pPr>
        <w:spacing w:after="120" w:line="240" w:lineRule="auto"/>
        <w:ind w:right="95"/>
        <w:rPr>
          <w:color w:val="222222"/>
          <w:shd w:val="clear" w:color="auto" w:fill="FFFFFF"/>
        </w:rPr>
      </w:pPr>
      <w:r>
        <w:rPr>
          <w:color w:val="222222"/>
          <w:shd w:val="clear" w:color="auto" w:fill="FFFFFF"/>
        </w:rPr>
        <w:t xml:space="preserve">The Committee has presented several </w:t>
      </w:r>
      <w:r w:rsidR="0068597F">
        <w:rPr>
          <w:color w:val="222222"/>
          <w:shd w:val="clear" w:color="auto" w:fill="FFFFFF"/>
        </w:rPr>
        <w:t xml:space="preserve">principles </w:t>
      </w:r>
      <w:r>
        <w:rPr>
          <w:color w:val="222222"/>
          <w:shd w:val="clear" w:color="auto" w:fill="FFFFFF"/>
        </w:rPr>
        <w:t xml:space="preserve">to the </w:t>
      </w:r>
      <w:r w:rsidR="0068597F">
        <w:rPr>
          <w:color w:val="222222"/>
          <w:shd w:val="clear" w:color="auto" w:fill="FFFFFF"/>
        </w:rPr>
        <w:t xml:space="preserve">Taskforce </w:t>
      </w:r>
      <w:r>
        <w:rPr>
          <w:color w:val="222222"/>
          <w:shd w:val="clear" w:color="auto" w:fill="FFFFFF"/>
        </w:rPr>
        <w:t>that have received formal endorsement. The Committee re</w:t>
      </w:r>
      <w:r w:rsidR="001857CC">
        <w:rPr>
          <w:color w:val="222222"/>
          <w:shd w:val="clear" w:color="auto" w:fill="FFFFFF"/>
        </w:rPr>
        <w:t xml:space="preserve">commends that, in line with its </w:t>
      </w:r>
      <w:r>
        <w:rPr>
          <w:color w:val="222222"/>
          <w:shd w:val="clear" w:color="auto" w:fill="FFFFFF"/>
        </w:rPr>
        <w:t xml:space="preserve">Terms of Reference, that the Taskforce </w:t>
      </w:r>
      <w:r w:rsidR="001857CC">
        <w:rPr>
          <w:color w:val="222222"/>
          <w:shd w:val="clear" w:color="auto" w:fill="FFFFFF"/>
        </w:rPr>
        <w:t xml:space="preserve">recommends to </w:t>
      </w:r>
      <w:r>
        <w:rPr>
          <w:color w:val="222222"/>
          <w:shd w:val="clear" w:color="auto" w:fill="FFFFFF"/>
        </w:rPr>
        <w:t xml:space="preserve">the Minister that these principles should be enacted, within the </w:t>
      </w:r>
      <w:r w:rsidR="0068597F">
        <w:rPr>
          <w:color w:val="222222"/>
          <w:shd w:val="clear" w:color="auto" w:fill="FFFFFF"/>
        </w:rPr>
        <w:t xml:space="preserve">Department’s program of work. </w:t>
      </w:r>
    </w:p>
    <w:p w14:paraId="7A48A486" w14:textId="77777777" w:rsidR="00DF724C" w:rsidRDefault="00DF724C" w:rsidP="00DF724C">
      <w:pPr>
        <w:spacing w:after="120" w:line="240" w:lineRule="auto"/>
        <w:ind w:right="95"/>
      </w:pPr>
      <w:r w:rsidRPr="00847662">
        <w:rPr>
          <w:b/>
          <w:u w:val="single"/>
        </w:rPr>
        <w:t>Bilateral surgery:</w:t>
      </w:r>
      <w:r>
        <w:t xml:space="preserve"> at the Taskforce meeting of 12 August 2019 the Taskforce endorsed the Committee’s proposal to incentivise best practice healthcare by encouraging evidence</w:t>
      </w:r>
      <w:r>
        <w:noBreakHyphen/>
        <w:t xml:space="preserve">based bilateral surgery. </w:t>
      </w:r>
    </w:p>
    <w:p w14:paraId="4FDCA3C9" w14:textId="77777777" w:rsidR="00DF724C" w:rsidRPr="00847662" w:rsidRDefault="00DF724C" w:rsidP="00DF724C">
      <w:pPr>
        <w:spacing w:after="120" w:line="240" w:lineRule="auto"/>
        <w:ind w:right="95"/>
      </w:pPr>
      <w:r>
        <w:t xml:space="preserve">Bilateral surgery is preferred </w:t>
      </w:r>
      <w:r w:rsidRPr="00847662">
        <w:t xml:space="preserve">in </w:t>
      </w:r>
      <w:proofErr w:type="gramStart"/>
      <w:r w:rsidRPr="00847662">
        <w:t>a number of</w:t>
      </w:r>
      <w:proofErr w:type="gramEnd"/>
      <w:r w:rsidRPr="00847662">
        <w:t xml:space="preserve"> situations, e.g. in the treatment of varicose veins. </w:t>
      </w:r>
      <w:r>
        <w:t>However, under the MBS Multiple Operation Rule</w:t>
      </w:r>
      <w:r>
        <w:rPr>
          <w:rStyle w:val="FootnoteReference"/>
        </w:rPr>
        <w:footnoteReference w:id="8"/>
      </w:r>
      <w:r w:rsidRPr="00847662">
        <w:t>, bilateral surgery is paid as follows:</w:t>
      </w:r>
    </w:p>
    <w:p w14:paraId="5E8440A4" w14:textId="77777777" w:rsidR="00DF724C" w:rsidRPr="00847662" w:rsidRDefault="00DF724C" w:rsidP="00C93614">
      <w:pPr>
        <w:pStyle w:val="ListParagraph"/>
        <w:numPr>
          <w:ilvl w:val="1"/>
          <w:numId w:val="15"/>
        </w:numPr>
        <w:spacing w:before="0" w:after="0" w:line="240" w:lineRule="auto"/>
        <w:ind w:left="709" w:right="95" w:hanging="441"/>
      </w:pPr>
      <w:r w:rsidRPr="00847662">
        <w:t>100% for the item with the greatest Schedule fee; plus</w:t>
      </w:r>
    </w:p>
    <w:p w14:paraId="12B0BFA1" w14:textId="77777777" w:rsidR="00DF724C" w:rsidRPr="00847662" w:rsidRDefault="00DF724C" w:rsidP="00C93614">
      <w:pPr>
        <w:pStyle w:val="ListParagraph"/>
        <w:numPr>
          <w:ilvl w:val="1"/>
          <w:numId w:val="15"/>
        </w:numPr>
        <w:spacing w:before="0" w:after="0" w:line="240" w:lineRule="auto"/>
        <w:ind w:left="709" w:right="95" w:hanging="441"/>
      </w:pPr>
      <w:r w:rsidRPr="00847662">
        <w:t>50% for the item with the next greatest Schedule fee.</w:t>
      </w:r>
    </w:p>
    <w:p w14:paraId="3793C5E4" w14:textId="77777777" w:rsidR="004F7304" w:rsidRDefault="00DF724C" w:rsidP="00DF724C">
      <w:pPr>
        <w:spacing w:after="120" w:line="240" w:lineRule="auto"/>
        <w:ind w:right="95"/>
      </w:pPr>
      <w:r w:rsidRPr="00847662">
        <w:lastRenderedPageBreak/>
        <w:t>When two or more operations performed on the one occasion have Schedule fees which are equal, one of these amounts shall be treated as being greater than the other. Therefore, when performing identical bilateral surgery, the clinician is entitled to 150% of the total fee for the two procedures.</w:t>
      </w:r>
      <w:r w:rsidR="006904F7">
        <w:t xml:space="preserve"> </w:t>
      </w:r>
    </w:p>
    <w:p w14:paraId="2DE45EB8" w14:textId="0A353DE2" w:rsidR="00DF724C" w:rsidRPr="00847662" w:rsidRDefault="006904F7" w:rsidP="00DF724C">
      <w:pPr>
        <w:spacing w:after="120" w:line="240" w:lineRule="auto"/>
        <w:ind w:right="95"/>
      </w:pPr>
      <w:r>
        <w:t xml:space="preserve">The Committee recommends </w:t>
      </w:r>
      <w:r w:rsidR="002E2BB0">
        <w:t xml:space="preserve">an </w:t>
      </w:r>
      <w:r w:rsidR="00DF724C" w:rsidRPr="00847662">
        <w:t xml:space="preserve">increase in bilateral surgery fees from 150% to 175%, being 100% of the fee payable for the first side and 75% of the total fee payable for the second side. </w:t>
      </w:r>
    </w:p>
    <w:p w14:paraId="2D129754" w14:textId="77777777" w:rsidR="00DF724C" w:rsidRPr="00847662" w:rsidRDefault="00DF724C" w:rsidP="00DF724C">
      <w:pPr>
        <w:spacing w:after="120" w:line="240" w:lineRule="auto"/>
        <w:ind w:right="95"/>
      </w:pPr>
      <w:r w:rsidRPr="00847662">
        <w:t xml:space="preserve">The Committee feels that, as there is no significant difference between aftercare for either a unilateral or bilateral procedure that an increase to 175% would adequately remunerate for any necessary aftercare service provided. </w:t>
      </w:r>
    </w:p>
    <w:p w14:paraId="3D444D3A" w14:textId="77777777" w:rsidR="00DF724C" w:rsidRPr="00847662" w:rsidRDefault="00DF724C" w:rsidP="00DF724C">
      <w:pPr>
        <w:spacing w:after="120" w:line="240" w:lineRule="auto"/>
        <w:ind w:right="95"/>
      </w:pPr>
      <w:r w:rsidRPr="00847662">
        <w:t xml:space="preserve">The Orthopaedics Clinical Committee (OCC) </w:t>
      </w:r>
      <w:proofErr w:type="gramStart"/>
      <w:r w:rsidRPr="00847662">
        <w:t>made reference</w:t>
      </w:r>
      <w:proofErr w:type="gramEnd"/>
      <w:r w:rsidRPr="00847662">
        <w:t xml:space="preserve"> to incentivising bilateral surgery in recommendation 28 of their report dated 2017. The OCC recommended a split of an existing MBS item to two new items, one for unilateral </w:t>
      </w:r>
      <w:proofErr w:type="spellStart"/>
      <w:r w:rsidRPr="00847662">
        <w:t>unicompartmental</w:t>
      </w:r>
      <w:proofErr w:type="spellEnd"/>
      <w:r w:rsidRPr="00847662">
        <w:t xml:space="preserve"> arthroplasty and one for bilateral. The OCC recommended that the fee for the bilateral procedure be set at 175% of the fee for a unilateral procedure.</w:t>
      </w:r>
    </w:p>
    <w:p w14:paraId="00539080" w14:textId="77777777" w:rsidR="00DF724C" w:rsidRPr="00847662" w:rsidRDefault="00DF724C" w:rsidP="00DF724C">
      <w:pPr>
        <w:spacing w:after="120" w:line="240" w:lineRule="auto"/>
        <w:ind w:right="95"/>
      </w:pPr>
      <w:r w:rsidRPr="00847662">
        <w:t xml:space="preserve">The rationale for this change was to ensure the MBS included an item for simultaneous bilateral procedures, to reduce the incentive for surgeons to perform two separate operations over different days. </w:t>
      </w:r>
    </w:p>
    <w:p w14:paraId="4E57F175" w14:textId="77777777" w:rsidR="006904F7" w:rsidRPr="0089342A" w:rsidRDefault="006904F7" w:rsidP="006904F7">
      <w:pPr>
        <w:pStyle w:val="IntenseQuote"/>
        <w:spacing w:line="240" w:lineRule="auto"/>
        <w:ind w:left="426" w:right="662" w:firstLine="0"/>
        <w:jc w:val="center"/>
      </w:pPr>
      <w:r>
        <w:t>Patients deserve an MBS that incentivises best practice and pays for procedures that support improved patient outcomes</w:t>
      </w:r>
    </w:p>
    <w:p w14:paraId="65FC879A" w14:textId="4EF41114" w:rsidR="00DF724C" w:rsidRDefault="00DF724C" w:rsidP="00DF724C">
      <w:pPr>
        <w:spacing w:after="120" w:line="240" w:lineRule="auto"/>
        <w:ind w:right="95"/>
        <w:rPr>
          <w:rFonts w:cstheme="minorHAnsi"/>
        </w:rPr>
      </w:pPr>
      <w:r>
        <w:rPr>
          <w:b/>
          <w:u w:val="single"/>
        </w:rPr>
        <w:t>Two surgeon o</w:t>
      </w:r>
      <w:r w:rsidRPr="00D85630">
        <w:rPr>
          <w:b/>
          <w:u w:val="single"/>
        </w:rPr>
        <w:t>perations</w:t>
      </w:r>
      <w:r>
        <w:rPr>
          <w:b/>
          <w:u w:val="single"/>
        </w:rPr>
        <w:t>:</w:t>
      </w:r>
      <w:r w:rsidR="008225AF">
        <w:rPr>
          <w:rFonts w:cstheme="minorHAnsi"/>
        </w:rPr>
        <w:t xml:space="preserve"> at the Taskforce meeting of 12 August 2019, the Taskforce endorsed the </w:t>
      </w:r>
      <w:r>
        <w:rPr>
          <w:rFonts w:cstheme="minorHAnsi"/>
        </w:rPr>
        <w:t>Co</w:t>
      </w:r>
      <w:r w:rsidR="008225AF">
        <w:rPr>
          <w:rFonts w:cstheme="minorHAnsi"/>
        </w:rPr>
        <w:t xml:space="preserve">mmittee’s recommendation to </w:t>
      </w:r>
      <w:r>
        <w:rPr>
          <w:rFonts w:cstheme="minorHAnsi"/>
        </w:rPr>
        <w:t xml:space="preserve">equitably remunerate surgeons when </w:t>
      </w:r>
      <w:r w:rsidRPr="005D308E">
        <w:rPr>
          <w:rFonts w:cstheme="minorHAnsi"/>
        </w:rPr>
        <w:t xml:space="preserve">it is best practice to have two surgeons </w:t>
      </w:r>
      <w:r>
        <w:rPr>
          <w:rFonts w:cstheme="minorHAnsi"/>
        </w:rPr>
        <w:t xml:space="preserve">in attendance, to perform a single procedure. </w:t>
      </w:r>
      <w:r w:rsidR="008225AF">
        <w:rPr>
          <w:rFonts w:cstheme="minorHAnsi"/>
        </w:rPr>
        <w:t xml:space="preserve">The associated </w:t>
      </w:r>
      <w:r>
        <w:rPr>
          <w:rFonts w:cstheme="minorHAnsi"/>
        </w:rPr>
        <w:t>principle</w:t>
      </w:r>
      <w:r w:rsidR="008225AF">
        <w:rPr>
          <w:rFonts w:cstheme="minorHAnsi"/>
        </w:rPr>
        <w:t xml:space="preserve"> is as follows</w:t>
      </w:r>
      <w:r>
        <w:rPr>
          <w:rFonts w:cstheme="minorHAnsi"/>
        </w:rPr>
        <w:t xml:space="preserve">: </w:t>
      </w:r>
    </w:p>
    <w:p w14:paraId="23EAFC15" w14:textId="77777777" w:rsidR="00DF724C" w:rsidRDefault="00DF724C" w:rsidP="00DF724C">
      <w:pPr>
        <w:spacing w:line="240" w:lineRule="auto"/>
        <w:ind w:right="95"/>
        <w:rPr>
          <w:rFonts w:cstheme="minorHAnsi"/>
          <w:i/>
        </w:rPr>
      </w:pPr>
      <w:r w:rsidRPr="005D308E">
        <w:rPr>
          <w:rFonts w:cstheme="minorHAnsi"/>
          <w:i/>
        </w:rPr>
        <w:t xml:space="preserve">When a clinical committee deems that best practice for a specific procedure requires attendance by two surgeons from the </w:t>
      </w:r>
      <w:r w:rsidRPr="001446B7">
        <w:rPr>
          <w:rFonts w:cstheme="minorHAnsi"/>
          <w:i/>
        </w:rPr>
        <w:t>same speciality</w:t>
      </w:r>
      <w:r w:rsidRPr="005D308E">
        <w:rPr>
          <w:rFonts w:cstheme="minorHAnsi"/>
          <w:i/>
        </w:rPr>
        <w:t xml:space="preserve">, each surgeon may submit a separate claim to Medicare for the procedure performed. The multiple operation rule will not apply when two surgeons perform the procedure, each surgeon will be remunerated at 100% of the MBS fee claimed. </w:t>
      </w:r>
    </w:p>
    <w:p w14:paraId="08D58301" w14:textId="77777777" w:rsidR="00DF724C" w:rsidRPr="005D308E" w:rsidRDefault="00DF724C" w:rsidP="006904F7">
      <w:pPr>
        <w:spacing w:before="0" w:line="240" w:lineRule="auto"/>
        <w:ind w:right="96"/>
        <w:rPr>
          <w:rFonts w:cstheme="minorHAnsi"/>
          <w:i/>
        </w:rPr>
      </w:pPr>
      <w:r w:rsidRPr="005D308E">
        <w:rPr>
          <w:rFonts w:cstheme="minorHAnsi"/>
          <w:i/>
        </w:rPr>
        <w:t xml:space="preserve">If the procedure is performed by a single </w:t>
      </w:r>
      <w:proofErr w:type="gramStart"/>
      <w:r w:rsidRPr="005D308E">
        <w:rPr>
          <w:rFonts w:cstheme="minorHAnsi"/>
          <w:i/>
        </w:rPr>
        <w:t>surgeon</w:t>
      </w:r>
      <w:proofErr w:type="gramEnd"/>
      <w:r w:rsidRPr="005D308E">
        <w:rPr>
          <w:rFonts w:cstheme="minorHAnsi"/>
          <w:i/>
        </w:rPr>
        <w:t xml:space="preserve"> the fee paid to the single surgeon will not be greater than the higher fee of the two surgeons. The item number descriptor must indicate that the </w:t>
      </w:r>
      <w:proofErr w:type="gramStart"/>
      <w:r w:rsidRPr="005D308E">
        <w:rPr>
          <w:rFonts w:cstheme="minorHAnsi"/>
          <w:i/>
        </w:rPr>
        <w:t>two surgeon</w:t>
      </w:r>
      <w:proofErr w:type="gramEnd"/>
      <w:r w:rsidRPr="005D308E">
        <w:rPr>
          <w:rFonts w:cstheme="minorHAnsi"/>
          <w:i/>
        </w:rPr>
        <w:t xml:space="preserve"> rule applies, otherwise the second surgeon is regarded as an assistant.</w:t>
      </w:r>
    </w:p>
    <w:p w14:paraId="2F3BCC1A" w14:textId="6D7A3FB8" w:rsidR="00B35B49" w:rsidRPr="006904F7" w:rsidRDefault="00DF724C" w:rsidP="006904F7">
      <w:pPr>
        <w:spacing w:before="0" w:line="240" w:lineRule="auto"/>
        <w:ind w:right="96"/>
        <w:rPr>
          <w:rFonts w:cstheme="minorHAnsi"/>
          <w:i/>
        </w:rPr>
      </w:pPr>
      <w:r w:rsidRPr="005D308E">
        <w:rPr>
          <w:rFonts w:cstheme="minorHAnsi"/>
          <w:i/>
        </w:rPr>
        <w:t xml:space="preserve">If it is clinically appropriate for two procedures to be performed simultaneously by two surgeons from </w:t>
      </w:r>
      <w:r w:rsidRPr="001446B7">
        <w:rPr>
          <w:rFonts w:cstheme="minorHAnsi"/>
          <w:i/>
        </w:rPr>
        <w:t>differing specialities</w:t>
      </w:r>
      <w:r w:rsidRPr="005D308E">
        <w:rPr>
          <w:rFonts w:cstheme="minorHAnsi"/>
          <w:i/>
        </w:rPr>
        <w:t>, each surgeon may submit a separate claim to Medicare for the procedure they have performed. The multiple operation rule will not apply, each surgeon will be remunerated at 100% of the MBS fee claimed.</w:t>
      </w:r>
    </w:p>
    <w:p w14:paraId="1753C203" w14:textId="7BF0971C" w:rsidR="003B03E4" w:rsidRPr="003B03E4" w:rsidRDefault="003B03E4" w:rsidP="003B03E4">
      <w:pPr>
        <w:spacing w:line="240" w:lineRule="auto"/>
        <w:ind w:right="95"/>
        <w:rPr>
          <w:bCs/>
        </w:rPr>
      </w:pPr>
      <w:r>
        <w:rPr>
          <w:b/>
          <w:bCs/>
          <w:u w:val="single"/>
        </w:rPr>
        <w:t>“</w:t>
      </w:r>
      <w:r w:rsidR="006904F7">
        <w:rPr>
          <w:b/>
          <w:bCs/>
          <w:u w:val="single"/>
        </w:rPr>
        <w:t>Figurehead billing</w:t>
      </w:r>
      <w:r>
        <w:rPr>
          <w:b/>
          <w:bCs/>
          <w:u w:val="single"/>
        </w:rPr>
        <w:t>”</w:t>
      </w:r>
      <w:r w:rsidR="006904F7">
        <w:rPr>
          <w:rStyle w:val="FootnoteReference"/>
          <w:b/>
          <w:bCs/>
          <w:u w:val="single"/>
        </w:rPr>
        <w:footnoteReference w:id="9"/>
      </w:r>
      <w:r w:rsidR="00DF724C" w:rsidRPr="003E149B">
        <w:rPr>
          <w:b/>
          <w:bCs/>
          <w:u w:val="single"/>
        </w:rPr>
        <w:t>:</w:t>
      </w:r>
      <w:r w:rsidR="00DF724C">
        <w:rPr>
          <w:bCs/>
        </w:rPr>
        <w:t xml:space="preserve"> </w:t>
      </w:r>
      <w:r>
        <w:rPr>
          <w:bCs/>
        </w:rPr>
        <w:t xml:space="preserve">every healthcare practitioner eligible to </w:t>
      </w:r>
      <w:r w:rsidRPr="003B03E4">
        <w:rPr>
          <w:bCs/>
        </w:rPr>
        <w:t>levy a claim to the MBS for a service provi</w:t>
      </w:r>
      <w:r w:rsidR="0077033C">
        <w:rPr>
          <w:bCs/>
        </w:rPr>
        <w:t>ded has a provider number. The Committee has concerns that there</w:t>
      </w:r>
      <w:r w:rsidRPr="003B03E4">
        <w:rPr>
          <w:bCs/>
        </w:rPr>
        <w:t xml:space="preserve"> are situations where a </w:t>
      </w:r>
      <w:r w:rsidRPr="003B03E4">
        <w:rPr>
          <w:bCs/>
        </w:rPr>
        <w:lastRenderedPageBreak/>
        <w:t>provider’s number is used by a third party, often a corporate entity, to create an MBS claim. This is termed “Figurehead” billing.</w:t>
      </w:r>
    </w:p>
    <w:p w14:paraId="24C298C5" w14:textId="087CB43A" w:rsidR="003B03E4" w:rsidRDefault="0077033C" w:rsidP="00DF724C">
      <w:pPr>
        <w:spacing w:line="240" w:lineRule="auto"/>
        <w:ind w:right="95"/>
        <w:rPr>
          <w:bCs/>
        </w:rPr>
      </w:pPr>
      <w:r>
        <w:rPr>
          <w:bCs/>
        </w:rPr>
        <w:t>A</w:t>
      </w:r>
      <w:r w:rsidR="006904F7">
        <w:rPr>
          <w:bCs/>
        </w:rPr>
        <w:t xml:space="preserve">t the Taskforce meeting of 12 August 2019, the Taskforce endorsed the Committee’s recommendation to prohibit non-compliant figurehead billing, </w:t>
      </w:r>
      <w:r w:rsidR="00DF724C">
        <w:rPr>
          <w:bCs/>
        </w:rPr>
        <w:t xml:space="preserve">to protect the integrity of claims to Medicare, made against an individual’s provider number.  </w:t>
      </w:r>
    </w:p>
    <w:p w14:paraId="76874E08" w14:textId="72AC7A2E" w:rsidR="00DF724C" w:rsidRDefault="006904F7" w:rsidP="00DF724C">
      <w:pPr>
        <w:spacing w:line="240" w:lineRule="auto"/>
        <w:ind w:right="95"/>
        <w:rPr>
          <w:bCs/>
        </w:rPr>
      </w:pPr>
      <w:r>
        <w:rPr>
          <w:bCs/>
        </w:rPr>
        <w:t xml:space="preserve">The associated principle is as follows: </w:t>
      </w:r>
    </w:p>
    <w:p w14:paraId="2F59230B" w14:textId="5CCEDA19" w:rsidR="00DF724C" w:rsidRPr="00DD48C7" w:rsidRDefault="00DF724C" w:rsidP="006904F7">
      <w:pPr>
        <w:spacing w:before="0" w:after="0" w:line="240" w:lineRule="auto"/>
        <w:ind w:right="96"/>
        <w:rPr>
          <w:rFonts w:cstheme="minorHAnsi"/>
          <w:i/>
          <w:szCs w:val="22"/>
        </w:rPr>
      </w:pPr>
      <w:r w:rsidRPr="00DD48C7">
        <w:rPr>
          <w:rFonts w:cstheme="minorHAnsi"/>
          <w:i/>
          <w:szCs w:val="22"/>
        </w:rPr>
        <w:t xml:space="preserve">Noting that figurehead billing arrangements for Pathology and Diagnostic Imaging, in the </w:t>
      </w:r>
      <w:r w:rsidRPr="006904F7">
        <w:rPr>
          <w:rFonts w:cstheme="minorHAnsi"/>
          <w:szCs w:val="22"/>
        </w:rPr>
        <w:t>Health Insurance Regulations 2018</w:t>
      </w:r>
      <w:r w:rsidRPr="00DD48C7">
        <w:rPr>
          <w:rFonts w:cstheme="minorHAnsi"/>
          <w:i/>
          <w:szCs w:val="22"/>
        </w:rPr>
        <w:t xml:space="preserve"> remain unaffected,</w:t>
      </w:r>
      <w:r w:rsidR="006904F7">
        <w:rPr>
          <w:rFonts w:cstheme="minorHAnsi"/>
          <w:i/>
          <w:szCs w:val="22"/>
        </w:rPr>
        <w:t xml:space="preserve"> other billing by a third party</w:t>
      </w:r>
      <w:r w:rsidRPr="00DD48C7">
        <w:rPr>
          <w:rFonts w:cstheme="minorHAnsi"/>
          <w:i/>
          <w:szCs w:val="22"/>
        </w:rPr>
        <w:t xml:space="preserve"> using a practitioner’s provider number is permissible </w:t>
      </w:r>
      <w:r w:rsidR="006904F7">
        <w:rPr>
          <w:rFonts w:cstheme="minorHAnsi"/>
          <w:i/>
          <w:szCs w:val="22"/>
        </w:rPr>
        <w:t>only if</w:t>
      </w:r>
      <w:r w:rsidRPr="00DD48C7">
        <w:rPr>
          <w:rFonts w:cstheme="minorHAnsi"/>
          <w:i/>
          <w:szCs w:val="22"/>
        </w:rPr>
        <w:t>:</w:t>
      </w:r>
    </w:p>
    <w:p w14:paraId="09A231D2" w14:textId="3551A696" w:rsidR="00DF724C" w:rsidRPr="00C93614" w:rsidRDefault="00DF724C" w:rsidP="00C93614">
      <w:pPr>
        <w:pStyle w:val="ListParagraph"/>
        <w:numPr>
          <w:ilvl w:val="0"/>
          <w:numId w:val="34"/>
        </w:numPr>
        <w:spacing w:before="0" w:after="0" w:line="240" w:lineRule="auto"/>
        <w:ind w:right="96"/>
        <w:rPr>
          <w:rFonts w:cstheme="minorHAnsi"/>
          <w:i/>
        </w:rPr>
      </w:pPr>
      <w:r w:rsidRPr="00C93614">
        <w:rPr>
          <w:rFonts w:cstheme="minorHAnsi"/>
          <w:i/>
        </w:rPr>
        <w:t xml:space="preserve">the service is provided by the practitioner whose provider number was used in the </w:t>
      </w:r>
      <w:proofErr w:type="gramStart"/>
      <w:r w:rsidRPr="00C93614">
        <w:rPr>
          <w:rFonts w:cstheme="minorHAnsi"/>
          <w:i/>
        </w:rPr>
        <w:t>in</w:t>
      </w:r>
      <w:r w:rsidR="006904F7" w:rsidRPr="00C93614">
        <w:rPr>
          <w:rFonts w:cstheme="minorHAnsi"/>
          <w:i/>
        </w:rPr>
        <w:t>voice;</w:t>
      </w:r>
      <w:proofErr w:type="gramEnd"/>
      <w:r w:rsidR="006904F7" w:rsidRPr="00C93614">
        <w:rPr>
          <w:rFonts w:cstheme="minorHAnsi"/>
          <w:i/>
        </w:rPr>
        <w:t xml:space="preserve"> </w:t>
      </w:r>
    </w:p>
    <w:p w14:paraId="2E5DEA15" w14:textId="10FE046F" w:rsidR="00DF724C" w:rsidRPr="00C93614" w:rsidRDefault="00DF724C" w:rsidP="00C93614">
      <w:pPr>
        <w:pStyle w:val="ListParagraph"/>
        <w:numPr>
          <w:ilvl w:val="0"/>
          <w:numId w:val="34"/>
        </w:numPr>
        <w:spacing w:before="0" w:after="0" w:line="240" w:lineRule="auto"/>
        <w:ind w:right="96"/>
        <w:rPr>
          <w:rFonts w:cstheme="minorHAnsi"/>
          <w:i/>
        </w:rPr>
      </w:pPr>
      <w:r w:rsidRPr="00C93614">
        <w:rPr>
          <w:rFonts w:cstheme="minorHAnsi"/>
          <w:i/>
        </w:rPr>
        <w:t>the service provided meets the elements of the</w:t>
      </w:r>
      <w:r w:rsidR="006904F7" w:rsidRPr="00C93614">
        <w:rPr>
          <w:rFonts w:cstheme="minorHAnsi"/>
          <w:i/>
        </w:rPr>
        <w:t xml:space="preserve"> MBS item number </w:t>
      </w:r>
      <w:proofErr w:type="gramStart"/>
      <w:r w:rsidR="006904F7" w:rsidRPr="00C93614">
        <w:rPr>
          <w:rFonts w:cstheme="minorHAnsi"/>
          <w:i/>
        </w:rPr>
        <w:t>descriptor;</w:t>
      </w:r>
      <w:proofErr w:type="gramEnd"/>
    </w:p>
    <w:p w14:paraId="63E9E239" w14:textId="79375C3D" w:rsidR="00DF724C" w:rsidRPr="00C93614" w:rsidRDefault="00DF724C" w:rsidP="00C93614">
      <w:pPr>
        <w:pStyle w:val="ListParagraph"/>
        <w:numPr>
          <w:ilvl w:val="0"/>
          <w:numId w:val="34"/>
        </w:numPr>
        <w:spacing w:before="0" w:after="0" w:line="240" w:lineRule="auto"/>
        <w:ind w:right="96"/>
        <w:rPr>
          <w:rFonts w:cstheme="minorHAnsi"/>
          <w:i/>
        </w:rPr>
      </w:pPr>
      <w:r w:rsidRPr="00C93614">
        <w:rPr>
          <w:rFonts w:cstheme="minorHAnsi"/>
          <w:i/>
        </w:rPr>
        <w:t>the practitioner has pro</w:t>
      </w:r>
      <w:r w:rsidR="006904F7" w:rsidRPr="00C93614">
        <w:rPr>
          <w:rFonts w:cstheme="minorHAnsi"/>
          <w:i/>
        </w:rPr>
        <w:t>vided express consent for his/</w:t>
      </w:r>
      <w:r w:rsidRPr="00C93614">
        <w:rPr>
          <w:rFonts w:cstheme="minorHAnsi"/>
          <w:i/>
        </w:rPr>
        <w:t>her provider number to be used by the third party.</w:t>
      </w:r>
    </w:p>
    <w:p w14:paraId="1E988032" w14:textId="77777777" w:rsidR="00DF724C" w:rsidRPr="00847DD4" w:rsidRDefault="00DF724C" w:rsidP="006904F7">
      <w:pPr>
        <w:spacing w:before="0" w:after="0" w:line="240" w:lineRule="auto"/>
        <w:ind w:right="96"/>
        <w:rPr>
          <w:i/>
        </w:rPr>
      </w:pPr>
      <w:proofErr w:type="gramStart"/>
      <w:r w:rsidRPr="00DD48C7">
        <w:rPr>
          <w:rFonts w:cstheme="minorHAnsi"/>
          <w:i/>
          <w:szCs w:val="22"/>
        </w:rPr>
        <w:t>In the event that</w:t>
      </w:r>
      <w:proofErr w:type="gramEnd"/>
      <w:r w:rsidRPr="00DD48C7">
        <w:rPr>
          <w:rFonts w:cstheme="minorHAnsi"/>
          <w:i/>
          <w:szCs w:val="22"/>
        </w:rPr>
        <w:t xml:space="preserve"> the billing is found to be incorrect, both the practitioner and the third party have responsibility.</w:t>
      </w:r>
      <w:r w:rsidRPr="00DD48C7">
        <w:rPr>
          <w:rFonts w:cstheme="minorHAnsi"/>
          <w:i/>
          <w:szCs w:val="22"/>
        </w:rPr>
        <w:tab/>
      </w:r>
      <w:r w:rsidRPr="00DD48C7">
        <w:rPr>
          <w:rFonts w:cstheme="minorHAnsi"/>
          <w:i/>
          <w:szCs w:val="22"/>
        </w:rPr>
        <w:tab/>
      </w:r>
      <w:r w:rsidRPr="00DD48C7">
        <w:rPr>
          <w:rFonts w:cstheme="minorHAnsi"/>
          <w:i/>
          <w:szCs w:val="22"/>
        </w:rPr>
        <w:tab/>
      </w:r>
      <w:r w:rsidRPr="00D169C3">
        <w:rPr>
          <w:rFonts w:ascii="Arial" w:hAnsi="Arial" w:cs="Arial"/>
          <w:i/>
        </w:rPr>
        <w:tab/>
      </w:r>
      <w:r w:rsidRPr="00D169C3">
        <w:rPr>
          <w:rFonts w:ascii="Arial" w:hAnsi="Arial" w:cs="Arial"/>
          <w:i/>
        </w:rPr>
        <w:tab/>
      </w:r>
    </w:p>
    <w:p w14:paraId="117E5E65" w14:textId="5D4295BA" w:rsidR="00DF724C" w:rsidRPr="003E149B" w:rsidRDefault="006904F7" w:rsidP="00DF724C">
      <w:pPr>
        <w:spacing w:line="240" w:lineRule="auto"/>
        <w:ind w:right="95"/>
        <w:rPr>
          <w:bCs/>
        </w:rPr>
      </w:pPr>
      <w:r>
        <w:rPr>
          <w:bCs/>
        </w:rPr>
        <w:t>The p</w:t>
      </w:r>
      <w:r w:rsidR="00DF724C" w:rsidRPr="003E149B">
        <w:rPr>
          <w:bCs/>
        </w:rPr>
        <w:t>ractice of figurehead billing, although widely practiced, is non-compliant with MBS provisions and is at odds with professional standards.</w:t>
      </w:r>
    </w:p>
    <w:p w14:paraId="37F7F8CC" w14:textId="77777777" w:rsidR="00DF724C" w:rsidRPr="003E149B" w:rsidRDefault="00DF724C" w:rsidP="00DF724C">
      <w:pPr>
        <w:spacing w:line="240" w:lineRule="auto"/>
        <w:ind w:right="95"/>
        <w:rPr>
          <w:color w:val="000000" w:themeColor="text1"/>
          <w:lang w:val="en-US"/>
        </w:rPr>
      </w:pPr>
      <w:r w:rsidRPr="003E149B">
        <w:rPr>
          <w:color w:val="000000" w:themeColor="text1"/>
          <w:lang w:val="en-US"/>
        </w:rPr>
        <w:t xml:space="preserve">Aside from exceptions for some pathology services and certain services provided for and on behalf of medical practitioners, Medicare regulations require that the practitioner rendering the service must be the practitioner submitting a claim to Medicare.  </w:t>
      </w:r>
    </w:p>
    <w:p w14:paraId="33CF5E1F" w14:textId="77777777" w:rsidR="006904F7" w:rsidRPr="00742BF2" w:rsidRDefault="006904F7" w:rsidP="006904F7">
      <w:pPr>
        <w:pStyle w:val="IntenseQuote"/>
        <w:spacing w:line="240" w:lineRule="auto"/>
        <w:ind w:left="426" w:right="662" w:firstLine="0"/>
        <w:jc w:val="center"/>
      </w:pPr>
      <w:r>
        <w:t>There is a need to increase provider accountability regarding claims to Medicare using their provider number</w:t>
      </w:r>
    </w:p>
    <w:p w14:paraId="7AF72210" w14:textId="3C761903" w:rsidR="006904F7" w:rsidRPr="008C5A4A" w:rsidRDefault="006904F7" w:rsidP="008C5A4A">
      <w:pPr>
        <w:spacing w:line="240" w:lineRule="auto"/>
        <w:ind w:right="95"/>
        <w:rPr>
          <w:color w:val="000000" w:themeColor="text1"/>
          <w:lang w:val="en-US"/>
        </w:rPr>
      </w:pPr>
      <w:r>
        <w:rPr>
          <w:color w:val="000000" w:themeColor="text1"/>
          <w:lang w:val="en-US"/>
        </w:rPr>
        <w:t xml:space="preserve">In addition to implementing the principle, the </w:t>
      </w:r>
      <w:r w:rsidR="00DF724C">
        <w:rPr>
          <w:color w:val="000000" w:themeColor="text1"/>
          <w:lang w:val="en-US"/>
        </w:rPr>
        <w:t xml:space="preserve">Committee seeks wide publication of the penalties associated with figurehead billing (that </w:t>
      </w:r>
      <w:r w:rsidR="00DF724C" w:rsidRPr="003E149B">
        <w:rPr>
          <w:color w:val="000000" w:themeColor="text1"/>
          <w:lang w:val="en-US"/>
        </w:rPr>
        <w:t>Medicare benefits paid as a result of a false or misleading statement, whether intentional or merely factually incorrect, can be recovered as a debt from the</w:t>
      </w:r>
      <w:r w:rsidR="00DF724C">
        <w:rPr>
          <w:color w:val="000000" w:themeColor="text1"/>
          <w:lang w:val="en-US"/>
        </w:rPr>
        <w:t xml:space="preserve"> person who made the statement) and investigation of more severe penalties for proven episodes. </w:t>
      </w:r>
      <w:r w:rsidR="00DF724C" w:rsidRPr="003E149B">
        <w:rPr>
          <w:color w:val="000000" w:themeColor="text1"/>
          <w:lang w:val="en-US"/>
        </w:rPr>
        <w:t xml:space="preserve"> </w:t>
      </w:r>
    </w:p>
    <w:p w14:paraId="6A9ADEAC" w14:textId="4E7B4752" w:rsidR="00B34807" w:rsidRDefault="00B34807" w:rsidP="00B34807">
      <w:pPr>
        <w:pStyle w:val="Heading2"/>
        <w:spacing w:line="240" w:lineRule="auto"/>
        <w:ind w:right="95"/>
      </w:pPr>
      <w:bookmarkStart w:id="70" w:name="_Toc25843695"/>
      <w:r>
        <w:t>4.6 Referrals – evidencing clinical need</w:t>
      </w:r>
      <w:bookmarkEnd w:id="70"/>
      <w:r>
        <w:t xml:space="preserve">  </w:t>
      </w:r>
    </w:p>
    <w:p w14:paraId="525D5D2D" w14:textId="77777777" w:rsidR="00B34807" w:rsidRPr="00487A33" w:rsidRDefault="00B34807" w:rsidP="00B34807">
      <w:pPr>
        <w:spacing w:line="240" w:lineRule="auto"/>
        <w:ind w:right="95"/>
        <w:rPr>
          <w:bCs/>
        </w:rPr>
      </w:pPr>
      <w:r>
        <w:rPr>
          <w:bCs/>
        </w:rPr>
        <w:t xml:space="preserve">The Committee is concerned that increasing use of online referral services has the potential to damage the GP’s stewardship role and poses a risk to patient safety by effecting sustainability of the healthcare system. </w:t>
      </w:r>
    </w:p>
    <w:p w14:paraId="62CC6861" w14:textId="77777777" w:rsidR="00B34807" w:rsidRPr="00A4177F" w:rsidRDefault="00B34807" w:rsidP="00B34807">
      <w:pPr>
        <w:pStyle w:val="IntenseQuote"/>
        <w:spacing w:line="240" w:lineRule="auto"/>
        <w:ind w:left="426" w:right="662" w:firstLine="0"/>
        <w:jc w:val="center"/>
      </w:pPr>
      <w:r>
        <w:t xml:space="preserve">There is a need to guard against models that fragment patient care and limit the value of the GP as the care coordinator </w:t>
      </w:r>
    </w:p>
    <w:p w14:paraId="56CD33B1" w14:textId="77777777" w:rsidR="00B34807" w:rsidRPr="006F4672" w:rsidRDefault="00B34807" w:rsidP="00B34807">
      <w:pPr>
        <w:spacing w:line="240" w:lineRule="auto"/>
        <w:ind w:right="95"/>
        <w:rPr>
          <w:bCs/>
        </w:rPr>
      </w:pPr>
      <w:r w:rsidRPr="006F4672">
        <w:rPr>
          <w:bCs/>
        </w:rPr>
        <w:t>The Committee recommends that the Taskforce implement the following principle, to limit acceptance of referrals that circumnavigate GP involvement, as follows:</w:t>
      </w:r>
    </w:p>
    <w:p w14:paraId="19450111" w14:textId="77777777" w:rsidR="00B34807" w:rsidRPr="006F4672" w:rsidRDefault="00B34807" w:rsidP="00B34807">
      <w:pPr>
        <w:spacing w:line="240" w:lineRule="auto"/>
        <w:ind w:right="95"/>
        <w:rPr>
          <w:bCs/>
          <w:i/>
        </w:rPr>
      </w:pPr>
      <w:r w:rsidRPr="006F4672">
        <w:rPr>
          <w:bCs/>
          <w:i/>
        </w:rPr>
        <w:t>A referral must be provided by the patient’s usual GP or a GP working in the same practice as the patient's usual GP with access to the patient's history. If the referring GP does not have access to the person’s medical history then a personal attendance that includes appropriate history and examination is required for the initiation of a referral.</w:t>
      </w:r>
    </w:p>
    <w:p w14:paraId="0746B502" w14:textId="77777777" w:rsidR="00B34807" w:rsidRPr="000664A1" w:rsidRDefault="00B34807" w:rsidP="00B34807">
      <w:pPr>
        <w:spacing w:line="240" w:lineRule="auto"/>
        <w:ind w:right="95"/>
        <w:rPr>
          <w:bCs/>
        </w:rPr>
      </w:pPr>
      <w:r w:rsidRPr="006F4672">
        <w:rPr>
          <w:bCs/>
        </w:rPr>
        <w:lastRenderedPageBreak/>
        <w:t xml:space="preserve">This recommendation applies initially to specialist referrals but could be equally applied to </w:t>
      </w:r>
      <w:r w:rsidRPr="006F4672">
        <w:t>pathology (and other diagnostic) requests</w:t>
      </w:r>
      <w:r w:rsidRPr="006F4672">
        <w:rPr>
          <w:bCs/>
        </w:rPr>
        <w:t>.</w:t>
      </w:r>
    </w:p>
    <w:p w14:paraId="7DEAE3DA" w14:textId="0B4C24E9" w:rsidR="00DF724C" w:rsidRPr="008F734E" w:rsidRDefault="00B34807" w:rsidP="00BD30B6">
      <w:pPr>
        <w:pStyle w:val="Heading2"/>
        <w:spacing w:line="240" w:lineRule="auto"/>
        <w:ind w:right="95"/>
        <w:rPr>
          <w:color w:val="FF0000"/>
        </w:rPr>
      </w:pPr>
      <w:bookmarkStart w:id="71" w:name="_Toc25843696"/>
      <w:r>
        <w:t>4.7</w:t>
      </w:r>
      <w:r w:rsidR="00BD30B6">
        <w:t xml:space="preserve"> </w:t>
      </w:r>
      <w:r w:rsidR="009770D2">
        <w:t>“Never E</w:t>
      </w:r>
      <w:r w:rsidR="009510D9">
        <w:t>vents</w:t>
      </w:r>
      <w:r w:rsidR="009770D2">
        <w:t>”</w:t>
      </w:r>
      <w:r w:rsidR="00DF724C">
        <w:t xml:space="preserve"> – protecting patients </w:t>
      </w:r>
      <w:r w:rsidR="008F734E" w:rsidRPr="00EC11A7">
        <w:t>from errors during surgery</w:t>
      </w:r>
      <w:bookmarkEnd w:id="71"/>
    </w:p>
    <w:p w14:paraId="31562671" w14:textId="64420562" w:rsidR="00C267C0" w:rsidRPr="0030097E" w:rsidRDefault="00C267C0" w:rsidP="00C267C0">
      <w:pPr>
        <w:spacing w:line="240" w:lineRule="auto"/>
        <w:ind w:right="95"/>
        <w:rPr>
          <w:color w:val="000000" w:themeColor="text1"/>
          <w:lang w:val="en-US"/>
        </w:rPr>
      </w:pPr>
      <w:r w:rsidRPr="0030097E">
        <w:rPr>
          <w:color w:val="000000" w:themeColor="text1"/>
          <w:lang w:val="en-US"/>
        </w:rPr>
        <w:t xml:space="preserve">Although </w:t>
      </w:r>
      <w:r w:rsidR="009770D2">
        <w:rPr>
          <w:color w:val="000000" w:themeColor="text1"/>
          <w:lang w:val="en-US"/>
        </w:rPr>
        <w:t xml:space="preserve">“never events” </w:t>
      </w:r>
      <w:r w:rsidR="00BB30B8">
        <w:rPr>
          <w:color w:val="000000" w:themeColor="text1"/>
          <w:lang w:val="en-US"/>
        </w:rPr>
        <w:t>during surgery</w:t>
      </w:r>
      <w:r>
        <w:rPr>
          <w:color w:val="000000" w:themeColor="text1"/>
          <w:lang w:val="en-US"/>
        </w:rPr>
        <w:t xml:space="preserve"> </w:t>
      </w:r>
      <w:r w:rsidR="009510D9">
        <w:rPr>
          <w:color w:val="000000" w:themeColor="text1"/>
          <w:lang w:val="en-US"/>
        </w:rPr>
        <w:t xml:space="preserve">are </w:t>
      </w:r>
      <w:r>
        <w:rPr>
          <w:color w:val="000000" w:themeColor="text1"/>
          <w:lang w:val="en-US"/>
        </w:rPr>
        <w:t xml:space="preserve">known to be </w:t>
      </w:r>
      <w:r w:rsidRPr="0030097E">
        <w:rPr>
          <w:color w:val="000000" w:themeColor="text1"/>
          <w:lang w:val="en-US"/>
        </w:rPr>
        <w:t xml:space="preserve">relatively rare in Australia’s </w:t>
      </w:r>
      <w:proofErr w:type="gramStart"/>
      <w:r w:rsidRPr="0030097E">
        <w:rPr>
          <w:color w:val="000000" w:themeColor="text1"/>
          <w:lang w:val="en-US"/>
        </w:rPr>
        <w:t>high quality</w:t>
      </w:r>
      <w:proofErr w:type="gramEnd"/>
      <w:r w:rsidRPr="0030097E">
        <w:rPr>
          <w:color w:val="000000" w:themeColor="text1"/>
          <w:lang w:val="en-US"/>
        </w:rPr>
        <w:t xml:space="preserve"> medical sector, the Committee wishes to </w:t>
      </w:r>
      <w:proofErr w:type="spellStart"/>
      <w:r w:rsidRPr="0030097E">
        <w:rPr>
          <w:color w:val="000000" w:themeColor="text1"/>
          <w:lang w:val="en-US"/>
        </w:rPr>
        <w:t>formalise</w:t>
      </w:r>
      <w:proofErr w:type="spellEnd"/>
      <w:r w:rsidRPr="0030097E">
        <w:rPr>
          <w:color w:val="000000" w:themeColor="text1"/>
          <w:lang w:val="en-US"/>
        </w:rPr>
        <w:t xml:space="preserve"> a position on eligibility of claims made to the MBS </w:t>
      </w:r>
      <w:r w:rsidR="009510D9">
        <w:rPr>
          <w:color w:val="000000" w:themeColor="text1"/>
          <w:lang w:val="en-US"/>
        </w:rPr>
        <w:t>in these instances</w:t>
      </w:r>
      <w:r>
        <w:rPr>
          <w:color w:val="000000" w:themeColor="text1"/>
          <w:lang w:val="en-US"/>
        </w:rPr>
        <w:t>.</w:t>
      </w:r>
      <w:r w:rsidRPr="0030097E">
        <w:rPr>
          <w:color w:val="000000" w:themeColor="text1"/>
          <w:lang w:val="en-US"/>
        </w:rPr>
        <w:t xml:space="preserve"> </w:t>
      </w:r>
    </w:p>
    <w:p w14:paraId="37342D6A" w14:textId="1CF7BEE1" w:rsidR="00DF724C" w:rsidRPr="006F4672" w:rsidRDefault="006904F7" w:rsidP="00DF724C">
      <w:pPr>
        <w:spacing w:line="240" w:lineRule="auto"/>
        <w:ind w:right="95"/>
        <w:rPr>
          <w:color w:val="000000" w:themeColor="text1"/>
          <w:lang w:val="en-US"/>
        </w:rPr>
      </w:pPr>
      <w:r w:rsidRPr="006F4672">
        <w:rPr>
          <w:color w:val="000000" w:themeColor="text1"/>
          <w:lang w:val="en-US"/>
        </w:rPr>
        <w:t>The</w:t>
      </w:r>
      <w:r w:rsidR="00DF724C" w:rsidRPr="006F4672">
        <w:rPr>
          <w:color w:val="000000" w:themeColor="text1"/>
          <w:lang w:val="en-US"/>
        </w:rPr>
        <w:t xml:space="preserve"> Committee recommends that the MBS contains explicit reference to </w:t>
      </w:r>
      <w:r w:rsidR="009770D2" w:rsidRPr="006F4672">
        <w:rPr>
          <w:color w:val="000000" w:themeColor="text1"/>
          <w:lang w:val="en-US"/>
        </w:rPr>
        <w:t xml:space="preserve">“never events” </w:t>
      </w:r>
      <w:r w:rsidR="00DF724C" w:rsidRPr="006F4672">
        <w:rPr>
          <w:color w:val="000000" w:themeColor="text1"/>
          <w:lang w:val="en-US"/>
        </w:rPr>
        <w:t xml:space="preserve">by including the following item in the </w:t>
      </w:r>
      <w:r w:rsidR="00DF724C" w:rsidRPr="006F4672">
        <w:rPr>
          <w:i/>
          <w:color w:val="000000" w:themeColor="text1"/>
          <w:lang w:val="en-US"/>
        </w:rPr>
        <w:t>services specifically excluded from MBS funding</w:t>
      </w:r>
      <w:r w:rsidR="00DF724C" w:rsidRPr="006F4672">
        <w:rPr>
          <w:color w:val="000000" w:themeColor="text1"/>
          <w:lang w:val="en-US"/>
        </w:rPr>
        <w:t xml:space="preserve"> list</w:t>
      </w:r>
      <w:r w:rsidR="00913E45" w:rsidRPr="006F4672">
        <w:rPr>
          <w:color w:val="000000" w:themeColor="text1"/>
          <w:lang w:val="en-US"/>
        </w:rPr>
        <w:t xml:space="preserve"> (see item 4.6 below)</w:t>
      </w:r>
      <w:r w:rsidR="00DF724C" w:rsidRPr="006F4672">
        <w:rPr>
          <w:color w:val="000000" w:themeColor="text1"/>
          <w:lang w:val="en-US"/>
        </w:rPr>
        <w:t>:</w:t>
      </w:r>
    </w:p>
    <w:p w14:paraId="67BF01DD" w14:textId="305582A6" w:rsidR="00DF724C" w:rsidRPr="009770D2" w:rsidRDefault="009770D2" w:rsidP="009770D2">
      <w:pPr>
        <w:spacing w:before="240" w:after="0" w:line="240" w:lineRule="auto"/>
        <w:ind w:right="96"/>
        <w:rPr>
          <w:rFonts w:cstheme="minorHAnsi"/>
          <w:i/>
          <w:szCs w:val="22"/>
        </w:rPr>
      </w:pPr>
      <w:r w:rsidRPr="006F4672">
        <w:rPr>
          <w:rFonts w:cstheme="minorHAnsi"/>
          <w:i/>
          <w:szCs w:val="22"/>
        </w:rPr>
        <w:t xml:space="preserve">“Never Events” – when a </w:t>
      </w:r>
      <w:r w:rsidR="00C267C0" w:rsidRPr="006F4672">
        <w:rPr>
          <w:rFonts w:cstheme="minorHAnsi"/>
          <w:i/>
          <w:szCs w:val="22"/>
        </w:rPr>
        <w:t xml:space="preserve">clinician </w:t>
      </w:r>
      <w:r w:rsidRPr="006F4672">
        <w:rPr>
          <w:rFonts w:cstheme="minorHAnsi"/>
          <w:i/>
          <w:szCs w:val="22"/>
        </w:rPr>
        <w:t xml:space="preserve">provides a service that </w:t>
      </w:r>
      <w:r w:rsidR="00C267C0" w:rsidRPr="006F4672">
        <w:rPr>
          <w:rFonts w:cstheme="minorHAnsi"/>
          <w:i/>
          <w:szCs w:val="22"/>
        </w:rPr>
        <w:t xml:space="preserve">that </w:t>
      </w:r>
      <w:r w:rsidRPr="006F4672">
        <w:rPr>
          <w:rFonts w:cstheme="minorHAnsi"/>
          <w:i/>
          <w:szCs w:val="22"/>
        </w:rPr>
        <w:t xml:space="preserve">results in the patient receiving </w:t>
      </w:r>
      <w:r w:rsidR="00487A33" w:rsidRPr="006F4672">
        <w:rPr>
          <w:rFonts w:cstheme="minorHAnsi"/>
          <w:i/>
          <w:szCs w:val="22"/>
        </w:rPr>
        <w:t xml:space="preserve">the correct </w:t>
      </w:r>
      <w:r w:rsidR="00DF724C" w:rsidRPr="006F4672">
        <w:rPr>
          <w:rFonts w:cstheme="minorHAnsi"/>
          <w:i/>
          <w:szCs w:val="22"/>
        </w:rPr>
        <w:t>procedure</w:t>
      </w:r>
      <w:r w:rsidR="00487A33" w:rsidRPr="006F4672">
        <w:rPr>
          <w:rFonts w:cstheme="minorHAnsi"/>
          <w:i/>
          <w:szCs w:val="22"/>
        </w:rPr>
        <w:t xml:space="preserve"> on an incorrect site</w:t>
      </w:r>
      <w:r w:rsidR="00DF724C" w:rsidRPr="006F4672">
        <w:rPr>
          <w:rFonts w:cstheme="minorHAnsi"/>
          <w:i/>
          <w:szCs w:val="22"/>
        </w:rPr>
        <w:t xml:space="preserve">; </w:t>
      </w:r>
      <w:r w:rsidRPr="006F4672">
        <w:rPr>
          <w:rFonts w:cstheme="minorHAnsi"/>
          <w:i/>
          <w:szCs w:val="22"/>
        </w:rPr>
        <w:t xml:space="preserve">receiving an incorrect </w:t>
      </w:r>
      <w:r w:rsidR="00487A33" w:rsidRPr="006F4672">
        <w:rPr>
          <w:rFonts w:cstheme="minorHAnsi"/>
          <w:i/>
          <w:szCs w:val="22"/>
        </w:rPr>
        <w:t xml:space="preserve">procedure; </w:t>
      </w:r>
      <w:r w:rsidRPr="006F4672">
        <w:rPr>
          <w:rFonts w:cstheme="minorHAnsi"/>
          <w:i/>
          <w:szCs w:val="22"/>
        </w:rPr>
        <w:t xml:space="preserve">or retaining </w:t>
      </w:r>
      <w:r w:rsidR="00487A33" w:rsidRPr="006F4672">
        <w:rPr>
          <w:rFonts w:cstheme="minorHAnsi"/>
          <w:i/>
          <w:szCs w:val="22"/>
        </w:rPr>
        <w:t>a surgica</w:t>
      </w:r>
      <w:r w:rsidR="008F734E" w:rsidRPr="006F4672">
        <w:rPr>
          <w:rFonts w:cstheme="minorHAnsi"/>
          <w:i/>
          <w:szCs w:val="22"/>
        </w:rPr>
        <w:t xml:space="preserve">l instrument </w:t>
      </w:r>
      <w:r w:rsidRPr="006F4672">
        <w:rPr>
          <w:rFonts w:cstheme="minorHAnsi"/>
          <w:i/>
          <w:szCs w:val="22"/>
        </w:rPr>
        <w:t xml:space="preserve">the clinician </w:t>
      </w:r>
      <w:r w:rsidRPr="006F4672">
        <w:rPr>
          <w:rFonts w:cstheme="minorHAnsi"/>
          <w:b/>
          <w:i/>
          <w:szCs w:val="22"/>
        </w:rPr>
        <w:t>must not</w:t>
      </w:r>
      <w:r w:rsidRPr="006F4672">
        <w:rPr>
          <w:rFonts w:cstheme="minorHAnsi"/>
          <w:i/>
          <w:szCs w:val="22"/>
        </w:rPr>
        <w:t xml:space="preserve"> levy a claim to the MBS or the patient for the service. </w:t>
      </w:r>
      <w:r w:rsidR="00487A33" w:rsidRPr="006F4672">
        <w:rPr>
          <w:rFonts w:cstheme="minorHAnsi"/>
          <w:i/>
          <w:szCs w:val="22"/>
        </w:rPr>
        <w:t>A claim may be made to the MBS, by a second clinician</w:t>
      </w:r>
      <w:r w:rsidRPr="006F4672">
        <w:rPr>
          <w:rFonts w:cstheme="minorHAnsi"/>
          <w:i/>
          <w:szCs w:val="22"/>
        </w:rPr>
        <w:t>,</w:t>
      </w:r>
      <w:r w:rsidR="00487A33" w:rsidRPr="006F4672">
        <w:rPr>
          <w:rFonts w:cstheme="minorHAnsi"/>
          <w:i/>
          <w:szCs w:val="22"/>
        </w:rPr>
        <w:t xml:space="preserve"> when undertaking a procedure necessary to correct error from the primary </w:t>
      </w:r>
      <w:r w:rsidRPr="006F4672">
        <w:rPr>
          <w:rFonts w:cstheme="minorHAnsi"/>
          <w:i/>
          <w:szCs w:val="22"/>
        </w:rPr>
        <w:t>service</w:t>
      </w:r>
      <w:r w:rsidR="00487A33" w:rsidRPr="006F4672">
        <w:rPr>
          <w:rFonts w:cstheme="minorHAnsi"/>
          <w:i/>
          <w:szCs w:val="22"/>
        </w:rPr>
        <w:t>.</w:t>
      </w:r>
      <w:r w:rsidR="00487A33" w:rsidRPr="009770D2">
        <w:rPr>
          <w:rFonts w:cstheme="minorHAnsi"/>
          <w:i/>
          <w:szCs w:val="22"/>
        </w:rPr>
        <w:t xml:space="preserve"> </w:t>
      </w:r>
    </w:p>
    <w:p w14:paraId="25B76AA1" w14:textId="77777777" w:rsidR="00DF724C" w:rsidRPr="00A4060A" w:rsidRDefault="00DF724C" w:rsidP="00DF724C">
      <w:pPr>
        <w:pStyle w:val="IntenseQuote"/>
        <w:spacing w:line="240" w:lineRule="auto"/>
        <w:ind w:left="426" w:right="662" w:firstLine="0"/>
        <w:jc w:val="center"/>
      </w:pPr>
      <w:r>
        <w:t>The MBS should never be used to pay for a clinician’s error</w:t>
      </w:r>
    </w:p>
    <w:p w14:paraId="79FF1CD1" w14:textId="5E631E4D" w:rsidR="00C267C0" w:rsidRDefault="00DF724C" w:rsidP="00C267C0">
      <w:pPr>
        <w:spacing w:line="240" w:lineRule="auto"/>
        <w:ind w:right="95"/>
      </w:pPr>
      <w:r>
        <w:rPr>
          <w:color w:val="000000" w:themeColor="text1"/>
          <w:lang w:val="en-US"/>
        </w:rPr>
        <w:t>In</w:t>
      </w:r>
      <w:r w:rsidRPr="0030097E">
        <w:rPr>
          <w:color w:val="000000" w:themeColor="text1"/>
          <w:lang w:val="en-US"/>
        </w:rPr>
        <w:t xml:space="preserve"> making this recommendation the Committee acknowledges that</w:t>
      </w:r>
      <w:r w:rsidR="00C267C0">
        <w:rPr>
          <w:color w:val="000000" w:themeColor="text1"/>
          <w:lang w:val="en-US"/>
        </w:rPr>
        <w:t xml:space="preserve"> </w:t>
      </w:r>
      <w:r w:rsidRPr="00BD56B2">
        <w:t xml:space="preserve">patients affected by </w:t>
      </w:r>
      <w:r w:rsidR="009510D9">
        <w:t xml:space="preserve">never events </w:t>
      </w:r>
      <w:r w:rsidR="00487A33">
        <w:t xml:space="preserve">have </w:t>
      </w:r>
      <w:r w:rsidRPr="00BD56B2">
        <w:t>continued access to existing complaint and redress avenues, including through hospitals, Australian Health Practitioner Regulation Agency (AHPRA), an</w:t>
      </w:r>
      <w:r w:rsidR="004F7304">
        <w:t xml:space="preserve">d the criminal and civil courts. In </w:t>
      </w:r>
      <w:r w:rsidRPr="00BD56B2">
        <w:t xml:space="preserve">more </w:t>
      </w:r>
      <w:r w:rsidR="00C267C0">
        <w:t xml:space="preserve">unfortunate events, </w:t>
      </w:r>
      <w:r w:rsidR="004F7304">
        <w:t xml:space="preserve">the patient’s family has access to </w:t>
      </w:r>
      <w:r w:rsidR="00C267C0">
        <w:t>the coroner.</w:t>
      </w:r>
    </w:p>
    <w:p w14:paraId="00F59D4F" w14:textId="6B69C724" w:rsidR="008F734E" w:rsidRPr="006F4672" w:rsidRDefault="00B34807" w:rsidP="008F734E">
      <w:pPr>
        <w:pStyle w:val="Heading2"/>
        <w:spacing w:line="240" w:lineRule="auto"/>
        <w:ind w:right="95"/>
      </w:pPr>
      <w:bookmarkStart w:id="72" w:name="_Toc25843697"/>
      <w:r>
        <w:t>4.8</w:t>
      </w:r>
      <w:r w:rsidR="008F734E" w:rsidRPr="00EC11A7">
        <w:t xml:space="preserve"> Unexpected </w:t>
      </w:r>
      <w:r w:rsidR="00334600" w:rsidRPr="00EC11A7">
        <w:t xml:space="preserve">Events – </w:t>
      </w:r>
      <w:r w:rsidR="00334600" w:rsidRPr="006F4672">
        <w:t>restricting opportunistic claiming</w:t>
      </w:r>
      <w:bookmarkEnd w:id="72"/>
      <w:r w:rsidR="00334600" w:rsidRPr="006F4672">
        <w:t xml:space="preserve"> </w:t>
      </w:r>
    </w:p>
    <w:p w14:paraId="1F572959" w14:textId="77777777" w:rsidR="007F527C" w:rsidRPr="006F4672" w:rsidRDefault="00334600" w:rsidP="00334600">
      <w:pPr>
        <w:spacing w:line="240" w:lineRule="auto"/>
        <w:ind w:right="95"/>
      </w:pPr>
      <w:r w:rsidRPr="006F4672">
        <w:rPr>
          <w:lang w:val="en-US"/>
        </w:rPr>
        <w:t xml:space="preserve">The Committee seeks to </w:t>
      </w:r>
      <w:proofErr w:type="spellStart"/>
      <w:r w:rsidRPr="006F4672">
        <w:rPr>
          <w:lang w:val="en-US"/>
        </w:rPr>
        <w:t>operationalise</w:t>
      </w:r>
      <w:proofErr w:type="spellEnd"/>
      <w:r w:rsidRPr="006F4672">
        <w:rPr>
          <w:lang w:val="en-US"/>
        </w:rPr>
        <w:t xml:space="preserve"> the principle of the complete medical service by restricting a clinician’s ability to claim MBS items to correct </w:t>
      </w:r>
      <w:r w:rsidRPr="006F4672">
        <w:t xml:space="preserve">any unexpected, yet standard, event during surgery. </w:t>
      </w:r>
    </w:p>
    <w:p w14:paraId="6961A525" w14:textId="08BEEB57" w:rsidR="00334600" w:rsidRDefault="00334600" w:rsidP="00334600">
      <w:pPr>
        <w:spacing w:line="240" w:lineRule="auto"/>
        <w:ind w:right="95"/>
        <w:rPr>
          <w:lang w:val="en-US"/>
        </w:rPr>
      </w:pPr>
      <w:r w:rsidRPr="006F4672">
        <w:t xml:space="preserve">In practice, if a clinician, when performing a service encounters an unusual or unexpected event during the planned </w:t>
      </w:r>
      <w:r w:rsidRPr="006F4672">
        <w:rPr>
          <w:lang w:val="en-US"/>
        </w:rPr>
        <w:t>procedure, that does not require attendance by a clinician of another specialty and does not alter the intent of the procedure, they are not entitled to make a claim to the MBS for the procedure necessitated to correct the unusual event. In this instance only the primary, intended, procedure is claimable.</w:t>
      </w:r>
      <w:r w:rsidRPr="006943F5">
        <w:rPr>
          <w:lang w:val="en-US"/>
        </w:rPr>
        <w:t xml:space="preserve"> </w:t>
      </w:r>
    </w:p>
    <w:p w14:paraId="7B649735" w14:textId="4B27DBB3" w:rsidR="00FC5B3A" w:rsidRPr="00B34807" w:rsidRDefault="007F527C" w:rsidP="00B34807">
      <w:pPr>
        <w:spacing w:line="240" w:lineRule="auto"/>
        <w:ind w:right="95"/>
        <w:rPr>
          <w:lang w:val="en-US"/>
        </w:rPr>
      </w:pPr>
      <w:r>
        <w:rPr>
          <w:lang w:val="en-US"/>
        </w:rPr>
        <w:t>The</w:t>
      </w:r>
      <w:r w:rsidR="00B84B94" w:rsidRPr="00334600">
        <w:rPr>
          <w:lang w:val="en-US"/>
        </w:rPr>
        <w:t xml:space="preserve"> Committee seeks to re</w:t>
      </w:r>
      <w:r w:rsidR="00F80837" w:rsidRPr="00334600">
        <w:rPr>
          <w:lang w:val="en-US"/>
        </w:rPr>
        <w:t xml:space="preserve">strict the ability to claim an additional MBS item in relation to unexpected pathology discovered during a procedure that requires an amendment to the intended procedure. This is particularly pertinent when the unexpected pathology is created by the performance of the intended procedure itself. </w:t>
      </w:r>
    </w:p>
    <w:p w14:paraId="7C7F0F52" w14:textId="77777777" w:rsidR="00B34807" w:rsidRDefault="00B34807">
      <w:pPr>
        <w:spacing w:before="0" w:after="0" w:line="240" w:lineRule="auto"/>
        <w:rPr>
          <w:rFonts w:eastAsiaTheme="minorHAnsi" w:cs="Arial"/>
          <w:b/>
          <w:bCs/>
          <w:color w:val="01653F"/>
          <w:kern w:val="32"/>
          <w:sz w:val="32"/>
          <w:szCs w:val="28"/>
          <w:lang w:val="en-US" w:eastAsia="en-US"/>
        </w:rPr>
      </w:pPr>
      <w:r>
        <w:br w:type="page"/>
      </w:r>
    </w:p>
    <w:p w14:paraId="39E12FD5" w14:textId="65CD4F04" w:rsidR="00DF724C" w:rsidRDefault="00B34807" w:rsidP="00B34807">
      <w:pPr>
        <w:pStyle w:val="Heading1"/>
        <w:spacing w:line="240" w:lineRule="auto"/>
        <w:ind w:right="95"/>
      </w:pPr>
      <w:bookmarkStart w:id="73" w:name="_Toc25843698"/>
      <w:r>
        <w:lastRenderedPageBreak/>
        <w:t xml:space="preserve">5. </w:t>
      </w:r>
      <w:r w:rsidR="00DF724C">
        <w:t>Considerations for future MBS Review activity</w:t>
      </w:r>
      <w:bookmarkEnd w:id="73"/>
    </w:p>
    <w:p w14:paraId="6F2111B0" w14:textId="5E723AA8" w:rsidR="00BD56B2" w:rsidRPr="009F0991" w:rsidRDefault="00BD30B6" w:rsidP="00BD30B6">
      <w:pPr>
        <w:pStyle w:val="Heading2"/>
        <w:spacing w:line="240" w:lineRule="auto"/>
        <w:ind w:right="95"/>
      </w:pPr>
      <w:bookmarkStart w:id="74" w:name="_Toc25843699"/>
      <w:r>
        <w:t xml:space="preserve">5.1 </w:t>
      </w:r>
      <w:r w:rsidR="00E9276B">
        <w:t>Remunerating for s</w:t>
      </w:r>
      <w:r w:rsidR="00847662">
        <w:t>urgery</w:t>
      </w:r>
      <w:r w:rsidR="00BD56B2">
        <w:t xml:space="preserve"> – </w:t>
      </w:r>
      <w:r w:rsidR="00DF724C">
        <w:t>is there a better way to pay?</w:t>
      </w:r>
      <w:bookmarkEnd w:id="74"/>
      <w:r w:rsidR="00DF724C">
        <w:t xml:space="preserve"> </w:t>
      </w:r>
    </w:p>
    <w:p w14:paraId="37357268" w14:textId="6F89D57A" w:rsidR="00F95B9C" w:rsidRPr="00F95B9C" w:rsidRDefault="004F7304" w:rsidP="002058BC">
      <w:pPr>
        <w:spacing w:after="120" w:line="240" w:lineRule="auto"/>
        <w:ind w:right="95"/>
        <w:rPr>
          <w:color w:val="222222"/>
          <w:shd w:val="clear" w:color="auto" w:fill="FFFFFF"/>
        </w:rPr>
      </w:pPr>
      <w:r w:rsidRPr="004F7304">
        <w:t>The</w:t>
      </w:r>
      <w:r w:rsidR="001F4D78">
        <w:t xml:space="preserve"> </w:t>
      </w:r>
      <w:r w:rsidR="001F4D78" w:rsidRPr="00F95B9C">
        <w:rPr>
          <w:color w:val="222222"/>
          <w:shd w:val="clear" w:color="auto" w:fill="FFFFFF"/>
        </w:rPr>
        <w:t>Committee recommends</w:t>
      </w:r>
      <w:r w:rsidR="00072E7D">
        <w:rPr>
          <w:color w:val="222222"/>
          <w:shd w:val="clear" w:color="auto" w:fill="FFFFFF"/>
        </w:rPr>
        <w:t xml:space="preserve"> </w:t>
      </w:r>
      <w:r w:rsidR="000664A1">
        <w:rPr>
          <w:color w:val="222222"/>
          <w:shd w:val="clear" w:color="auto" w:fill="FFFFFF"/>
        </w:rPr>
        <w:t xml:space="preserve">that any future MBS Review undertake </w:t>
      </w:r>
      <w:r w:rsidR="00072E7D">
        <w:rPr>
          <w:color w:val="222222"/>
          <w:shd w:val="clear" w:color="auto" w:fill="FFFFFF"/>
        </w:rPr>
        <w:t>further</w:t>
      </w:r>
      <w:r w:rsidR="00F95B9C" w:rsidRPr="00F95B9C">
        <w:rPr>
          <w:color w:val="222222"/>
          <w:shd w:val="clear" w:color="auto" w:fill="FFFFFF"/>
        </w:rPr>
        <w:t xml:space="preserve"> investigation</w:t>
      </w:r>
      <w:r w:rsidR="00F95B9C">
        <w:rPr>
          <w:color w:val="222222"/>
          <w:shd w:val="clear" w:color="auto" w:fill="FFFFFF"/>
        </w:rPr>
        <w:t xml:space="preserve"> into the payment of </w:t>
      </w:r>
      <w:r w:rsidR="00BD56B2">
        <w:rPr>
          <w:color w:val="222222"/>
          <w:shd w:val="clear" w:color="auto" w:fill="FFFFFF"/>
        </w:rPr>
        <w:t>items within the T8 section</w:t>
      </w:r>
      <w:r w:rsidR="00072E7D">
        <w:rPr>
          <w:color w:val="222222"/>
          <w:shd w:val="clear" w:color="auto" w:fill="FFFFFF"/>
        </w:rPr>
        <w:t xml:space="preserve"> </w:t>
      </w:r>
      <w:r w:rsidR="00F95B9C" w:rsidRPr="00F95B9C">
        <w:rPr>
          <w:color w:val="222222"/>
          <w:shd w:val="clear" w:color="auto" w:fill="FFFFFF"/>
        </w:rPr>
        <w:t xml:space="preserve">seeking to determine if there is a more appropriate, safe and </w:t>
      </w:r>
      <w:r w:rsidR="00D847CA">
        <w:rPr>
          <w:color w:val="222222"/>
          <w:shd w:val="clear" w:color="auto" w:fill="FFFFFF"/>
        </w:rPr>
        <w:t xml:space="preserve">financially </w:t>
      </w:r>
      <w:r w:rsidR="00F95B9C" w:rsidRPr="00F95B9C">
        <w:rPr>
          <w:color w:val="222222"/>
          <w:shd w:val="clear" w:color="auto" w:fill="FFFFFF"/>
        </w:rPr>
        <w:t>sustainable model.</w:t>
      </w:r>
    </w:p>
    <w:p w14:paraId="5868836C" w14:textId="08F120B2" w:rsidR="001F4D78" w:rsidRPr="0089342A" w:rsidRDefault="00052D13" w:rsidP="002058BC">
      <w:pPr>
        <w:pStyle w:val="IntenseQuote"/>
        <w:spacing w:line="240" w:lineRule="auto"/>
        <w:ind w:left="426" w:right="662" w:firstLine="0"/>
        <w:jc w:val="center"/>
      </w:pPr>
      <w:r>
        <w:t xml:space="preserve">Is there a better, more sustainable </w:t>
      </w:r>
      <w:r w:rsidR="00F95B9C">
        <w:t xml:space="preserve">way </w:t>
      </w:r>
      <w:r w:rsidR="002133E5">
        <w:t>to fund T8 items?</w:t>
      </w:r>
    </w:p>
    <w:p w14:paraId="2462C280" w14:textId="3473F491" w:rsidR="00072E7D" w:rsidRPr="00072E7D" w:rsidRDefault="00072E7D" w:rsidP="002058BC">
      <w:pPr>
        <w:spacing w:line="240" w:lineRule="auto"/>
        <w:ind w:right="95"/>
      </w:pPr>
      <w:r w:rsidRPr="00072E7D">
        <w:rPr>
          <w:b/>
          <w:u w:val="single"/>
        </w:rPr>
        <w:t>Time</w:t>
      </w:r>
      <w:r w:rsidRPr="00072E7D">
        <w:rPr>
          <w:b/>
          <w:u w:val="single"/>
        </w:rPr>
        <w:noBreakHyphen/>
        <w:t>based surgery:</w:t>
      </w:r>
      <w:r>
        <w:t xml:space="preserve"> </w:t>
      </w:r>
      <w:r w:rsidRPr="00072E7D">
        <w:t>presently</w:t>
      </w:r>
      <w:r>
        <w:t>,</w:t>
      </w:r>
      <w:r w:rsidRPr="00072E7D">
        <w:t xml:space="preserve"> when a new procedure is added to the MBS it is subject to a defensible, replicable, evidence-based process. However, there are currently over 2,500 discrete MBS items in the T8 </w:t>
      </w:r>
      <w:proofErr w:type="gramStart"/>
      <w:r w:rsidRPr="00072E7D">
        <w:t>group</w:t>
      </w:r>
      <w:proofErr w:type="gramEnd"/>
      <w:r w:rsidRPr="00072E7D">
        <w:t xml:space="preserve"> and it is unclear how many of these items were created without objective rigour. </w:t>
      </w:r>
    </w:p>
    <w:p w14:paraId="7BCC6616" w14:textId="6FDC2846" w:rsidR="00072E7D" w:rsidRPr="00072E7D" w:rsidRDefault="00072E7D" w:rsidP="002058BC">
      <w:pPr>
        <w:spacing w:line="240" w:lineRule="auto"/>
        <w:ind w:right="95"/>
      </w:pPr>
      <w:r w:rsidRPr="00072E7D">
        <w:t>Given new technology and techniques have simplified previous</w:t>
      </w:r>
      <w:r w:rsidR="00BA1174">
        <w:t>ly</w:t>
      </w:r>
      <w:r w:rsidRPr="00072E7D">
        <w:t xml:space="preserve"> complex and </w:t>
      </w:r>
      <w:proofErr w:type="gramStart"/>
      <w:r w:rsidRPr="00072E7D">
        <w:t>time consuming</w:t>
      </w:r>
      <w:proofErr w:type="gramEnd"/>
      <w:r w:rsidRPr="00072E7D">
        <w:t xml:space="preserve"> operations, the Committee is seeking to modernise the fee structure for T8 procedures and is investigating options to deliver a fair, simple and replicable way of remunerating surgeons, into the future. </w:t>
      </w:r>
    </w:p>
    <w:p w14:paraId="6B756608" w14:textId="7A2339BC" w:rsidR="00072E7D" w:rsidRPr="00072E7D" w:rsidRDefault="00072E7D" w:rsidP="002058BC">
      <w:pPr>
        <w:spacing w:line="240" w:lineRule="auto"/>
        <w:ind w:right="95"/>
      </w:pPr>
      <w:r w:rsidRPr="00072E7D">
        <w:t>One possible option is the use of ‘time based’ remuneration. This model would track the time taken to perform specific procedures across Australia</w:t>
      </w:r>
      <w:r>
        <w:rPr>
          <w:rStyle w:val="FootnoteReference"/>
        </w:rPr>
        <w:footnoteReference w:id="10"/>
      </w:r>
      <w:r w:rsidR="009770D2">
        <w:t xml:space="preserve">; calculate the average, or median, </w:t>
      </w:r>
      <w:r w:rsidRPr="00072E7D">
        <w:t xml:space="preserve">time taken and apply an hourly rate accordingly. </w:t>
      </w:r>
    </w:p>
    <w:p w14:paraId="11D82D7B" w14:textId="77777777" w:rsidR="00072E7D" w:rsidRPr="00072E7D" w:rsidRDefault="00072E7D" w:rsidP="002058BC">
      <w:pPr>
        <w:spacing w:line="240" w:lineRule="auto"/>
        <w:ind w:right="95"/>
      </w:pPr>
      <w:r w:rsidRPr="00072E7D">
        <w:t>The Committee is aware that private hospitals already gather data on operating theatre usage and there is a possibility that the data can be obtained through the Australian Private Hospital Association. Public hospital data would not be used in the calculation.</w:t>
      </w:r>
    </w:p>
    <w:p w14:paraId="2ADE0E7D" w14:textId="0EE3C5CA" w:rsidR="00F95B9C" w:rsidRDefault="00072E7D" w:rsidP="002058BC">
      <w:pPr>
        <w:spacing w:after="120" w:line="240" w:lineRule="auto"/>
        <w:ind w:right="95"/>
      </w:pPr>
      <w:r>
        <w:rPr>
          <w:b/>
          <w:u w:val="single"/>
        </w:rPr>
        <w:t>Aftercare:</w:t>
      </w:r>
      <w:r w:rsidR="001F4D78">
        <w:rPr>
          <w:b/>
        </w:rPr>
        <w:t xml:space="preserve"> </w:t>
      </w:r>
      <w:r w:rsidR="00F95B9C">
        <w:t xml:space="preserve">in order to increase taxpayer value for money, the Committee has previously investigated options for payment of aftercare. </w:t>
      </w:r>
    </w:p>
    <w:p w14:paraId="054600DC" w14:textId="35F51CEA" w:rsidR="00F95B9C" w:rsidRDefault="00F95B9C" w:rsidP="002058BC">
      <w:pPr>
        <w:spacing w:before="120" w:line="240" w:lineRule="auto"/>
        <w:ind w:right="95"/>
        <w:rPr>
          <w:rFonts w:ascii="Calibri" w:hAnsi="Calibri" w:cs="Calibri"/>
        </w:rPr>
      </w:pPr>
      <w:r w:rsidRPr="006D0AD3">
        <w:rPr>
          <w:rFonts w:ascii="Calibri" w:hAnsi="Calibri" w:cs="Calibri"/>
        </w:rPr>
        <w:t xml:space="preserve">On 1 November 2017, the Committee’s recommendation to remove restrictions on the claiming of aftercare services was implemented by Government. From this date </w:t>
      </w:r>
      <w:r>
        <w:rPr>
          <w:rFonts w:ascii="Calibri" w:hAnsi="Calibri" w:cs="Calibri"/>
        </w:rPr>
        <w:t xml:space="preserve">GPs </w:t>
      </w:r>
      <w:r w:rsidRPr="006D0AD3">
        <w:rPr>
          <w:rFonts w:ascii="Calibri" w:hAnsi="Calibri" w:cs="Calibri"/>
        </w:rPr>
        <w:t>have been able to claim an MBS fee for the provision of aftercare services.</w:t>
      </w:r>
    </w:p>
    <w:p w14:paraId="7208DBBA" w14:textId="3799ADC7" w:rsidR="00F95B9C" w:rsidRDefault="00F95B9C" w:rsidP="002058BC">
      <w:pPr>
        <w:spacing w:before="120" w:line="240" w:lineRule="auto"/>
        <w:ind w:right="95"/>
      </w:pPr>
      <w:r>
        <w:t xml:space="preserve">At present there is no ability to track how often aftercare is delivered when a patient </w:t>
      </w:r>
      <w:r w:rsidR="00D847CA">
        <w:t xml:space="preserve">presents to their GP. Many T8 items were created in the 1970s, with the payment of aftercare ‘built in’ as a component of the fee for the surgical procedure. There is some general acceptance that the split was based on a 75/25% ratio. </w:t>
      </w:r>
      <w:proofErr w:type="gramStart"/>
      <w:r w:rsidR="00D847CA">
        <w:t>However</w:t>
      </w:r>
      <w:proofErr w:type="gramEnd"/>
      <w:r w:rsidR="00D847CA">
        <w:t xml:space="preserve"> the Department advises that historical information is not available to confirm this. </w:t>
      </w:r>
    </w:p>
    <w:p w14:paraId="1DAC7267" w14:textId="1276C1EC" w:rsidR="00D847CA" w:rsidRDefault="00D847CA" w:rsidP="002058BC">
      <w:pPr>
        <w:spacing w:before="120" w:line="240" w:lineRule="auto"/>
        <w:ind w:right="95"/>
      </w:pPr>
      <w:r>
        <w:t xml:space="preserve">Given that T8 expenditure </w:t>
      </w:r>
      <w:r w:rsidR="00BA1174">
        <w:t>is approximately</w:t>
      </w:r>
      <w:r>
        <w:t xml:space="preserve"> $2billion per year, the payment of aftercare can be estimated as being approximately $500</w:t>
      </w:r>
      <w:r w:rsidR="00BA1174">
        <w:t xml:space="preserve"> </w:t>
      </w:r>
      <w:r>
        <w:t xml:space="preserve">million per year. As the Committee is aware that some surgeons routinely ‘outsource’ provision of aftercare to an alternative clinician this </w:t>
      </w:r>
      <w:r w:rsidR="00BA1174">
        <w:t xml:space="preserve">gives rise to </w:t>
      </w:r>
      <w:r>
        <w:t xml:space="preserve">significant concerns over taxpayer value for money. </w:t>
      </w:r>
    </w:p>
    <w:p w14:paraId="3ED6CEB3" w14:textId="38032311" w:rsidR="002133E5" w:rsidRDefault="00F95B9C" w:rsidP="00FC5B3A">
      <w:pPr>
        <w:spacing w:before="120" w:line="240" w:lineRule="auto"/>
        <w:ind w:right="95"/>
      </w:pPr>
      <w:r>
        <w:lastRenderedPageBreak/>
        <w:t xml:space="preserve">There is </w:t>
      </w:r>
      <w:r w:rsidR="00F47CB3">
        <w:t xml:space="preserve">an option to create a dedicated MBS item for delivery of aftercare, as this would provide some </w:t>
      </w:r>
      <w:proofErr w:type="gramStart"/>
      <w:r>
        <w:t>data</w:t>
      </w:r>
      <w:proofErr w:type="gramEnd"/>
      <w:r>
        <w:t xml:space="preserve"> </w:t>
      </w:r>
      <w:r w:rsidR="00D847CA">
        <w:t xml:space="preserve">but </w:t>
      </w:r>
      <w:r w:rsidR="00F47CB3">
        <w:t xml:space="preserve">this would need to be contextualised, likely through </w:t>
      </w:r>
      <w:r w:rsidR="00D847CA">
        <w:t xml:space="preserve">consultation with </w:t>
      </w:r>
      <w:r w:rsidR="00F47CB3">
        <w:t>all surgical craft groups.</w:t>
      </w:r>
    </w:p>
    <w:p w14:paraId="6B6526C1" w14:textId="7F621E7F" w:rsidR="008F6C92" w:rsidRPr="00FC5B3A" w:rsidRDefault="008F6C92" w:rsidP="008F6C92">
      <w:pPr>
        <w:spacing w:before="120" w:line="240" w:lineRule="auto"/>
        <w:ind w:right="95"/>
      </w:pPr>
      <w:r w:rsidRPr="00CC045D">
        <w:t>An alternative would be to make changes to aftercare contingent upon the introduction of timed specialist consultations.</w:t>
      </w:r>
    </w:p>
    <w:p w14:paraId="1F8DE5EC" w14:textId="0A57725D" w:rsidR="001929A8" w:rsidRPr="00527A02" w:rsidRDefault="00BD30B6" w:rsidP="00BD30B6">
      <w:pPr>
        <w:pStyle w:val="Heading2"/>
        <w:spacing w:line="240" w:lineRule="auto"/>
        <w:ind w:right="95"/>
      </w:pPr>
      <w:bookmarkStart w:id="75" w:name="_Toc25843700"/>
      <w:bookmarkStart w:id="76" w:name="_Toc11320346"/>
      <w:bookmarkEnd w:id="37"/>
      <w:r>
        <w:t xml:space="preserve">5.2 </w:t>
      </w:r>
      <w:r w:rsidR="00B24260">
        <w:t>Future h</w:t>
      </w:r>
      <w:r w:rsidR="00FB088C">
        <w:t xml:space="preserve">ealth system design – </w:t>
      </w:r>
      <w:r w:rsidR="009F4D9A">
        <w:t>valuing the consumer</w:t>
      </w:r>
      <w:bookmarkEnd w:id="75"/>
      <w:r w:rsidR="009F4D9A">
        <w:t xml:space="preserve"> </w:t>
      </w:r>
    </w:p>
    <w:p w14:paraId="62425670" w14:textId="7BECEA34" w:rsidR="00231A34" w:rsidRPr="00F95B9C" w:rsidRDefault="004F7304" w:rsidP="00231A34">
      <w:pPr>
        <w:spacing w:after="120" w:line="240" w:lineRule="auto"/>
        <w:ind w:right="95"/>
        <w:rPr>
          <w:color w:val="222222"/>
          <w:shd w:val="clear" w:color="auto" w:fill="FFFFFF"/>
        </w:rPr>
      </w:pPr>
      <w:r w:rsidRPr="004F7304">
        <w:t>The</w:t>
      </w:r>
      <w:r w:rsidR="00231A34">
        <w:t xml:space="preserve"> </w:t>
      </w:r>
      <w:r w:rsidR="00231A34" w:rsidRPr="00F95B9C">
        <w:rPr>
          <w:color w:val="222222"/>
          <w:shd w:val="clear" w:color="auto" w:fill="FFFFFF"/>
        </w:rPr>
        <w:t>Committee recommends</w:t>
      </w:r>
      <w:r w:rsidR="00231A34">
        <w:rPr>
          <w:color w:val="222222"/>
          <w:shd w:val="clear" w:color="auto" w:fill="FFFFFF"/>
        </w:rPr>
        <w:t xml:space="preserve"> that any future MBS Review </w:t>
      </w:r>
      <w:r w:rsidR="00210E82">
        <w:rPr>
          <w:color w:val="222222"/>
          <w:shd w:val="clear" w:color="auto" w:fill="FFFFFF"/>
        </w:rPr>
        <w:t xml:space="preserve">consider ways to actively include </w:t>
      </w:r>
      <w:r w:rsidR="00231A34">
        <w:rPr>
          <w:color w:val="222222"/>
          <w:shd w:val="clear" w:color="auto" w:fill="FFFFFF"/>
        </w:rPr>
        <w:t xml:space="preserve">the consumer in review activities. </w:t>
      </w:r>
    </w:p>
    <w:p w14:paraId="21BA5E29" w14:textId="77777777" w:rsidR="001929A8" w:rsidRDefault="001929A8" w:rsidP="002058BC">
      <w:pPr>
        <w:spacing w:line="240" w:lineRule="auto"/>
        <w:ind w:right="95"/>
        <w:rPr>
          <w:lang w:val="en-US" w:eastAsia="en-US"/>
        </w:rPr>
      </w:pPr>
      <w:r>
        <w:rPr>
          <w:lang w:val="en-US" w:eastAsia="en-US"/>
        </w:rPr>
        <w:t xml:space="preserve">It has been part of the Committee’s role to assist the Taskforce’s clinical committees by providing guidance on the design of proposed new MBS items where these arise from clinical committee recommendations. This guidance is intended to promote the internal coherence of individual items and overall consistency across committees. </w:t>
      </w:r>
    </w:p>
    <w:p w14:paraId="799C717B" w14:textId="2A20CECF" w:rsidR="00B24260" w:rsidRDefault="00B24260" w:rsidP="00B24260">
      <w:pPr>
        <w:spacing w:line="240" w:lineRule="auto"/>
        <w:ind w:right="95"/>
        <w:rPr>
          <w:lang w:val="en-US" w:eastAsia="en-US"/>
        </w:rPr>
      </w:pPr>
      <w:r>
        <w:rPr>
          <w:lang w:val="en-US" w:eastAsia="en-US"/>
        </w:rPr>
        <w:t>The Taskforce’s terms of reference</w:t>
      </w:r>
      <w:r>
        <w:rPr>
          <w:rStyle w:val="FootnoteReference"/>
          <w:lang w:val="en-US" w:eastAsia="en-US"/>
        </w:rPr>
        <w:footnoteReference w:id="11"/>
      </w:r>
      <w:r>
        <w:rPr>
          <w:lang w:val="en-US" w:eastAsia="en-US"/>
        </w:rPr>
        <w:t xml:space="preserve"> include the following commitment: </w:t>
      </w:r>
      <w:r w:rsidRPr="00B24260">
        <w:rPr>
          <w:i/>
          <w:lang w:val="en-US" w:eastAsia="en-US"/>
        </w:rPr>
        <w:t>The Taskforce will</w:t>
      </w:r>
      <w:r>
        <w:rPr>
          <w:lang w:val="en-US" w:eastAsia="en-US"/>
        </w:rPr>
        <w:t xml:space="preserve"> </w:t>
      </w:r>
      <w:r w:rsidRPr="00B24260">
        <w:rPr>
          <w:i/>
          <w:lang w:val="en-US" w:eastAsia="en-US"/>
        </w:rPr>
        <w:t>engage with health consumers, medical professionals, peak bodies and other stakeholders to seek their views about appropriate review approaches and processes</w:t>
      </w:r>
      <w:r>
        <w:rPr>
          <w:i/>
          <w:lang w:val="en-US" w:eastAsia="en-US"/>
        </w:rPr>
        <w:t>.</w:t>
      </w:r>
    </w:p>
    <w:p w14:paraId="05D27280" w14:textId="5BE010E5" w:rsidR="00B24260" w:rsidRDefault="00B24260" w:rsidP="00B24260">
      <w:pPr>
        <w:spacing w:line="240" w:lineRule="auto"/>
        <w:ind w:right="95"/>
        <w:rPr>
          <w:lang w:val="en-US" w:eastAsia="en-US"/>
        </w:rPr>
      </w:pPr>
      <w:r>
        <w:rPr>
          <w:lang w:val="en-US" w:eastAsia="en-US"/>
        </w:rPr>
        <w:t xml:space="preserve">The Committee has been mindful of this commitment and has sought to provide support for the Taskforce in delivery of a </w:t>
      </w:r>
      <w:proofErr w:type="spellStart"/>
      <w:r>
        <w:rPr>
          <w:lang w:val="en-US" w:eastAsia="en-US"/>
        </w:rPr>
        <w:t>modernised</w:t>
      </w:r>
      <w:proofErr w:type="spellEnd"/>
      <w:r>
        <w:rPr>
          <w:lang w:val="en-US" w:eastAsia="en-US"/>
        </w:rPr>
        <w:t xml:space="preserve"> MBS that delivers benefit to current and potential patients and their </w:t>
      </w:r>
      <w:proofErr w:type="spellStart"/>
      <w:r>
        <w:rPr>
          <w:lang w:val="en-US" w:eastAsia="en-US"/>
        </w:rPr>
        <w:t>carers</w:t>
      </w:r>
      <w:proofErr w:type="spellEnd"/>
      <w:r>
        <w:rPr>
          <w:lang w:val="en-US" w:eastAsia="en-US"/>
        </w:rPr>
        <w:t xml:space="preserve">.  </w:t>
      </w:r>
    </w:p>
    <w:p w14:paraId="05BB130E" w14:textId="63AAEC6A" w:rsidR="001929A8" w:rsidRPr="001929A8" w:rsidRDefault="00B24260" w:rsidP="002058BC">
      <w:pPr>
        <w:spacing w:line="240" w:lineRule="auto"/>
        <w:ind w:right="95"/>
        <w:rPr>
          <w:lang w:val="en-US" w:eastAsia="en-US"/>
        </w:rPr>
      </w:pPr>
      <w:r>
        <w:rPr>
          <w:bCs/>
        </w:rPr>
        <w:t xml:space="preserve">As outlined at </w:t>
      </w:r>
      <w:r w:rsidRPr="00B24260">
        <w:rPr>
          <w:bCs/>
          <w:u w:val="single"/>
        </w:rPr>
        <w:t>Appendix B</w:t>
      </w:r>
      <w:r w:rsidR="001929A8">
        <w:rPr>
          <w:bCs/>
        </w:rPr>
        <w:t xml:space="preserve">, the Committee designed an Appropriate Use Criteria (AUC) methodology that was endorsed by the Taskforce in March 2016, and subsequently employed by clinical committees, to guide their deliberations regarding items under their review. </w:t>
      </w:r>
    </w:p>
    <w:p w14:paraId="74D6B07D" w14:textId="77777777" w:rsidR="001929A8" w:rsidRPr="008142CF" w:rsidRDefault="003751D5" w:rsidP="002058BC">
      <w:pPr>
        <w:pStyle w:val="IntenseQuote"/>
        <w:spacing w:line="240" w:lineRule="auto"/>
        <w:ind w:left="426" w:right="662" w:firstLine="0"/>
        <w:jc w:val="center"/>
      </w:pPr>
      <w:r>
        <w:t xml:space="preserve">Future MBS review activity needs to place emphasis on the consumer and include consumer perspectives and evidence in all </w:t>
      </w:r>
      <w:proofErr w:type="gramStart"/>
      <w:r>
        <w:t>decision making</w:t>
      </w:r>
      <w:proofErr w:type="gramEnd"/>
      <w:r>
        <w:t xml:space="preserve"> processes </w:t>
      </w:r>
    </w:p>
    <w:p w14:paraId="6B3D9249" w14:textId="09D5D410" w:rsidR="00322160" w:rsidRDefault="00322160" w:rsidP="002058BC">
      <w:pPr>
        <w:spacing w:line="240" w:lineRule="auto"/>
        <w:ind w:right="95"/>
        <w:rPr>
          <w:lang w:val="en-US" w:eastAsia="en-US"/>
        </w:rPr>
      </w:pPr>
      <w:r>
        <w:rPr>
          <w:bCs/>
        </w:rPr>
        <w:t xml:space="preserve">The Committee aligned the AUC developed for the Taskforce’s clinical committees, as closely as possible to best practice approaches but it </w:t>
      </w:r>
      <w:r>
        <w:rPr>
          <w:lang w:val="en-US" w:eastAsia="en-US"/>
        </w:rPr>
        <w:t>was unachievable, at that time, to incorporate consumer evidence and perspectives as standard</w:t>
      </w:r>
      <w:r w:rsidR="00F60AFD">
        <w:rPr>
          <w:lang w:val="en-US" w:eastAsia="en-US"/>
        </w:rPr>
        <w:t xml:space="preserve">. </w:t>
      </w:r>
    </w:p>
    <w:p w14:paraId="1868EB07" w14:textId="2E2EC15A" w:rsidR="00B24260" w:rsidRPr="00B24260" w:rsidRDefault="00F60AFD" w:rsidP="00B24260">
      <w:pPr>
        <w:spacing w:line="240" w:lineRule="auto"/>
        <w:ind w:right="95"/>
        <w:rPr>
          <w:bCs/>
        </w:rPr>
      </w:pPr>
      <w:r>
        <w:rPr>
          <w:lang w:val="en-US" w:eastAsia="en-US"/>
        </w:rPr>
        <w:t>To accommodate for this, the Taskforce’s Consumer Panel developed a set of Consumer Principles to be appli</w:t>
      </w:r>
      <w:r w:rsidR="00B24260">
        <w:rPr>
          <w:lang w:val="en-US" w:eastAsia="en-US"/>
        </w:rPr>
        <w:t xml:space="preserve">ed by each clinical committee in </w:t>
      </w:r>
      <w:r w:rsidR="00BA1174">
        <w:rPr>
          <w:lang w:val="en-US" w:eastAsia="en-US"/>
        </w:rPr>
        <w:t xml:space="preserve">its </w:t>
      </w:r>
      <w:r>
        <w:rPr>
          <w:lang w:val="en-US" w:eastAsia="en-US"/>
        </w:rPr>
        <w:t>deliberations and decision making</w:t>
      </w:r>
      <w:r w:rsidR="003751D5">
        <w:rPr>
          <w:lang w:val="en-US" w:eastAsia="en-US"/>
        </w:rPr>
        <w:t xml:space="preserve">. </w:t>
      </w:r>
      <w:r w:rsidR="00B24260" w:rsidRPr="00B24260">
        <w:rPr>
          <w:bCs/>
        </w:rPr>
        <w:t xml:space="preserve">Early adoption of the </w:t>
      </w:r>
      <w:r w:rsidR="00B24260">
        <w:rPr>
          <w:bCs/>
        </w:rPr>
        <w:t xml:space="preserve">principles helped to demonstrate a shared </w:t>
      </w:r>
      <w:r w:rsidR="00B24260" w:rsidRPr="00B24260">
        <w:rPr>
          <w:bCs/>
        </w:rPr>
        <w:t xml:space="preserve">understanding and acceptance </w:t>
      </w:r>
      <w:r w:rsidR="00B24260">
        <w:rPr>
          <w:bCs/>
        </w:rPr>
        <w:t xml:space="preserve">of consumer views and helped to ensure that </w:t>
      </w:r>
      <w:r w:rsidR="00B24260" w:rsidRPr="00B24260">
        <w:rPr>
          <w:bCs/>
        </w:rPr>
        <w:t xml:space="preserve">decisions were made by consensus and consumer perspectives were not merely an annotation to clinical decision-making. </w:t>
      </w:r>
    </w:p>
    <w:p w14:paraId="1321450C" w14:textId="17DBCC6E" w:rsidR="00322160" w:rsidRDefault="004F7304" w:rsidP="002058BC">
      <w:pPr>
        <w:spacing w:line="240" w:lineRule="auto"/>
        <w:ind w:right="95"/>
        <w:rPr>
          <w:lang w:val="en-US" w:eastAsia="en-US"/>
        </w:rPr>
      </w:pPr>
      <w:r w:rsidRPr="004F7304">
        <w:rPr>
          <w:lang w:val="en-US" w:eastAsia="en-US"/>
        </w:rPr>
        <w:t>The</w:t>
      </w:r>
      <w:r w:rsidR="00322160">
        <w:rPr>
          <w:lang w:val="en-US" w:eastAsia="en-US"/>
        </w:rPr>
        <w:t xml:space="preserve"> Committee recommends that any future MBS review activity enhance the AUC methodology employed in this MBS Review</w:t>
      </w:r>
      <w:r w:rsidR="00967941">
        <w:rPr>
          <w:lang w:val="en-US" w:eastAsia="en-US"/>
        </w:rPr>
        <w:t xml:space="preserve"> by</w:t>
      </w:r>
      <w:r w:rsidR="003751D5">
        <w:rPr>
          <w:lang w:val="en-US" w:eastAsia="en-US"/>
        </w:rPr>
        <w:t xml:space="preserve"> fully</w:t>
      </w:r>
      <w:r w:rsidR="00967941">
        <w:rPr>
          <w:lang w:val="en-US" w:eastAsia="en-US"/>
        </w:rPr>
        <w:t xml:space="preserve"> incorporating </w:t>
      </w:r>
      <w:r w:rsidR="00322160">
        <w:rPr>
          <w:lang w:val="en-US" w:eastAsia="en-US"/>
        </w:rPr>
        <w:t>consumer evidence and perspec</w:t>
      </w:r>
      <w:r w:rsidR="00967941">
        <w:rPr>
          <w:lang w:val="en-US" w:eastAsia="en-US"/>
        </w:rPr>
        <w:t xml:space="preserve">tives into all </w:t>
      </w:r>
      <w:proofErr w:type="gramStart"/>
      <w:r w:rsidR="00967941">
        <w:rPr>
          <w:lang w:val="en-US" w:eastAsia="en-US"/>
        </w:rPr>
        <w:t>decision making</w:t>
      </w:r>
      <w:proofErr w:type="gramEnd"/>
      <w:r w:rsidR="00967941">
        <w:rPr>
          <w:lang w:val="en-US" w:eastAsia="en-US"/>
        </w:rPr>
        <w:t xml:space="preserve"> processes and guidance. </w:t>
      </w:r>
    </w:p>
    <w:p w14:paraId="7E62A2E4" w14:textId="7CC39A60" w:rsidR="003751D5" w:rsidRPr="003751D5" w:rsidRDefault="004F7304" w:rsidP="002058BC">
      <w:pPr>
        <w:spacing w:line="240" w:lineRule="auto"/>
        <w:ind w:right="95"/>
        <w:rPr>
          <w:lang w:val="en-US" w:eastAsia="en-US"/>
        </w:rPr>
      </w:pPr>
      <w:r w:rsidRPr="004F7304">
        <w:rPr>
          <w:lang w:val="en-US" w:eastAsia="en-US"/>
        </w:rPr>
        <w:lastRenderedPageBreak/>
        <w:t>In</w:t>
      </w:r>
      <w:r w:rsidR="003751D5">
        <w:rPr>
          <w:lang w:val="en-US" w:eastAsia="en-US"/>
        </w:rPr>
        <w:t xml:space="preserve"> making this recommendation the Committee acknowledges </w:t>
      </w:r>
      <w:r w:rsidR="00A22DC1">
        <w:rPr>
          <w:lang w:val="en-US" w:eastAsia="en-US"/>
        </w:rPr>
        <w:t xml:space="preserve">the importance placed on acknowledging and incorporating consumer impact to all recommendations made to Government. The Committee also acknowledges </w:t>
      </w:r>
      <w:r w:rsidR="003751D5">
        <w:rPr>
          <w:lang w:val="en-US" w:eastAsia="en-US"/>
        </w:rPr>
        <w:t xml:space="preserve">the </w:t>
      </w:r>
      <w:r w:rsidR="003751D5" w:rsidRPr="003751D5">
        <w:rPr>
          <w:lang w:val="en-US" w:eastAsia="en-US"/>
        </w:rPr>
        <w:t>Consumer Panel</w:t>
      </w:r>
      <w:r w:rsidR="003751D5">
        <w:rPr>
          <w:lang w:val="en-US" w:eastAsia="en-US"/>
        </w:rPr>
        <w:t xml:space="preserve">’s </w:t>
      </w:r>
      <w:r w:rsidR="00A22DC1">
        <w:rPr>
          <w:lang w:val="en-US" w:eastAsia="en-US"/>
        </w:rPr>
        <w:t xml:space="preserve">expressed </w:t>
      </w:r>
      <w:r w:rsidR="003751D5">
        <w:rPr>
          <w:lang w:val="en-US" w:eastAsia="en-US"/>
        </w:rPr>
        <w:t xml:space="preserve">view that </w:t>
      </w:r>
      <w:r w:rsidR="003751D5" w:rsidRPr="003751D5">
        <w:rPr>
          <w:lang w:val="en-US" w:eastAsia="en-US"/>
        </w:rPr>
        <w:t xml:space="preserve">application of the </w:t>
      </w:r>
      <w:r w:rsidR="003751D5">
        <w:rPr>
          <w:lang w:val="en-US" w:eastAsia="en-US"/>
        </w:rPr>
        <w:t xml:space="preserve">Consumer </w:t>
      </w:r>
      <w:r w:rsidR="003751D5" w:rsidRPr="003751D5">
        <w:rPr>
          <w:lang w:val="en-US" w:eastAsia="en-US"/>
        </w:rPr>
        <w:t xml:space="preserve">Principles across all clinical committee outcomes </w:t>
      </w:r>
      <w:r w:rsidR="008E1649">
        <w:rPr>
          <w:lang w:val="en-US" w:eastAsia="en-US"/>
        </w:rPr>
        <w:t>was variable and the Committee supports the Consumer Panel’s wish to see</w:t>
      </w:r>
      <w:r w:rsidR="003751D5" w:rsidRPr="003751D5">
        <w:rPr>
          <w:lang w:val="en-US" w:eastAsia="en-US"/>
        </w:rPr>
        <w:t xml:space="preserve">: </w:t>
      </w:r>
    </w:p>
    <w:p w14:paraId="290FF440" w14:textId="77777777" w:rsidR="003751D5" w:rsidRPr="00C8060C" w:rsidRDefault="003751D5" w:rsidP="008C345B">
      <w:pPr>
        <w:pStyle w:val="PlainText"/>
        <w:numPr>
          <w:ilvl w:val="0"/>
          <w:numId w:val="17"/>
        </w:numPr>
        <w:ind w:left="360" w:right="95"/>
        <w:rPr>
          <w:szCs w:val="22"/>
        </w:rPr>
      </w:pPr>
      <w:r w:rsidRPr="00D61268">
        <w:rPr>
          <w:szCs w:val="22"/>
        </w:rPr>
        <w:t xml:space="preserve">Further development of consumer principles to include principles related to reporting, disclosure, transparency and regulatory oversight as well as communication and informed (financial) consent. </w:t>
      </w:r>
      <w:r w:rsidRPr="00D61268">
        <w:rPr>
          <w:i/>
          <w:szCs w:val="22"/>
        </w:rPr>
        <w:t>For example:</w:t>
      </w:r>
    </w:p>
    <w:p w14:paraId="6419F29F" w14:textId="77777777" w:rsidR="003751D5" w:rsidRPr="00BD56B2" w:rsidRDefault="003751D5" w:rsidP="008C345B">
      <w:pPr>
        <w:pStyle w:val="ListParagraph"/>
        <w:numPr>
          <w:ilvl w:val="1"/>
          <w:numId w:val="15"/>
        </w:numPr>
        <w:spacing w:before="0" w:after="0" w:line="240" w:lineRule="auto"/>
        <w:ind w:left="709" w:right="95" w:hanging="441"/>
      </w:pPr>
      <w:r w:rsidRPr="00BD56B2">
        <w:t>Not every health service has a consumer cost reimbursement via the MBS</w:t>
      </w:r>
    </w:p>
    <w:p w14:paraId="527DA084" w14:textId="77777777" w:rsidR="003751D5" w:rsidRPr="00BD56B2" w:rsidRDefault="003751D5" w:rsidP="008C345B">
      <w:pPr>
        <w:pStyle w:val="ListParagraph"/>
        <w:numPr>
          <w:ilvl w:val="1"/>
          <w:numId w:val="15"/>
        </w:numPr>
        <w:spacing w:before="0" w:after="0" w:line="240" w:lineRule="auto"/>
        <w:ind w:left="709" w:right="95" w:hanging="441"/>
      </w:pPr>
      <w:r w:rsidRPr="00BD56B2">
        <w:t>Practitioners that exploit the MBS are reported to the regulatory authority</w:t>
      </w:r>
    </w:p>
    <w:p w14:paraId="3883D13A" w14:textId="77777777" w:rsidR="003751D5" w:rsidRPr="00BD56B2" w:rsidRDefault="003751D5" w:rsidP="008C345B">
      <w:pPr>
        <w:pStyle w:val="ListParagraph"/>
        <w:numPr>
          <w:ilvl w:val="1"/>
          <w:numId w:val="15"/>
        </w:numPr>
        <w:spacing w:before="0" w:after="0" w:line="240" w:lineRule="auto"/>
        <w:ind w:left="709" w:right="95" w:hanging="441"/>
      </w:pPr>
      <w:r w:rsidRPr="00BD56B2">
        <w:t>Simplicity where possible in the MBS supports professional conduct – and identification and management of alleged unprofessional conduct.</w:t>
      </w:r>
    </w:p>
    <w:p w14:paraId="33FE7FC7" w14:textId="77777777" w:rsidR="003751D5" w:rsidRPr="003751D5" w:rsidRDefault="003751D5" w:rsidP="008C345B">
      <w:pPr>
        <w:pStyle w:val="PlainText"/>
        <w:numPr>
          <w:ilvl w:val="0"/>
          <w:numId w:val="17"/>
        </w:numPr>
        <w:ind w:left="360" w:right="95"/>
      </w:pPr>
      <w:r w:rsidRPr="00D61268">
        <w:t>Genuine, structured and supported cons</w:t>
      </w:r>
      <w:r>
        <w:t xml:space="preserve">umer feedback in Review reports, to ensure inherent clinician </w:t>
      </w:r>
      <w:r w:rsidRPr="00D61268">
        <w:t xml:space="preserve">conflicts </w:t>
      </w:r>
      <w:r>
        <w:t xml:space="preserve">of interest </w:t>
      </w:r>
      <w:r w:rsidRPr="00D61268">
        <w:t>have been successfully managed as well as to ensure the recommendations work in the best interests of the consumers to whom the reimbursements will be paid.</w:t>
      </w:r>
    </w:p>
    <w:p w14:paraId="19367E28" w14:textId="77777777" w:rsidR="002A376F" w:rsidRDefault="002A376F">
      <w:pPr>
        <w:spacing w:before="0" w:after="0" w:line="240" w:lineRule="auto"/>
      </w:pPr>
    </w:p>
    <w:p w14:paraId="66BEDD43" w14:textId="6D5CB91D" w:rsidR="00DF724C" w:rsidRDefault="00DF724C">
      <w:pPr>
        <w:spacing w:before="0" w:after="0" w:line="240" w:lineRule="auto"/>
        <w:rPr>
          <w:rFonts w:eastAsiaTheme="minorHAnsi" w:cs="Arial"/>
          <w:b/>
          <w:bCs/>
          <w:iCs/>
          <w:color w:val="01653F"/>
          <w:sz w:val="26"/>
          <w:szCs w:val="22"/>
          <w:lang w:val="en-US" w:eastAsia="en-US"/>
        </w:rPr>
      </w:pPr>
      <w:r>
        <w:br w:type="page"/>
      </w:r>
    </w:p>
    <w:p w14:paraId="0857D9C7" w14:textId="174FAD7A" w:rsidR="00A559CC" w:rsidRDefault="000664A1" w:rsidP="00873D10">
      <w:pPr>
        <w:pStyle w:val="Heading1"/>
        <w:spacing w:line="240" w:lineRule="auto"/>
        <w:ind w:left="720" w:right="95"/>
        <w:jc w:val="right"/>
      </w:pPr>
      <w:bookmarkStart w:id="77" w:name="_Toc25843701"/>
      <w:r>
        <w:lastRenderedPageBreak/>
        <w:t>Appendix A</w:t>
      </w:r>
      <w:bookmarkEnd w:id="77"/>
    </w:p>
    <w:p w14:paraId="090808FB" w14:textId="32BB812E" w:rsidR="00A559CC" w:rsidRPr="00873D10" w:rsidRDefault="00A559CC" w:rsidP="00873D10">
      <w:pPr>
        <w:pStyle w:val="Heading1"/>
        <w:spacing w:line="240" w:lineRule="auto"/>
        <w:ind w:left="720" w:right="95"/>
      </w:pPr>
      <w:bookmarkStart w:id="78" w:name="_Toc25843702"/>
      <w:r w:rsidRPr="00873D10">
        <w:t>Principles and Rules Committee</w:t>
      </w:r>
      <w:r w:rsidR="006C6B2F" w:rsidRPr="00873D10">
        <w:t xml:space="preserve"> </w:t>
      </w:r>
      <w:r w:rsidRPr="00873D10">
        <w:t xml:space="preserve">first report </w:t>
      </w:r>
      <w:r w:rsidR="006C6B2F" w:rsidRPr="00873D10">
        <w:t>(2016)</w:t>
      </w:r>
      <w:bookmarkEnd w:id="78"/>
      <w:r w:rsidR="006C6B2F" w:rsidRPr="00873D10">
        <w:t xml:space="preserve"> </w:t>
      </w:r>
    </w:p>
    <w:p w14:paraId="144D4028" w14:textId="51B7C0AA" w:rsidR="00A559CC" w:rsidRDefault="00A559CC" w:rsidP="009826A3">
      <w:pPr>
        <w:spacing w:line="240" w:lineRule="auto"/>
        <w:ind w:right="-613"/>
        <w:rPr>
          <w:rFonts w:eastAsiaTheme="minorHAnsi"/>
        </w:rPr>
      </w:pPr>
      <w:r>
        <w:rPr>
          <w:rFonts w:eastAsiaTheme="minorHAnsi"/>
        </w:rPr>
        <w:t>The Committee’s first report was released for public consultation in August 2016. The finalised report provided six recommendations to Government, three of which were implemented in full on 1 November 2017 and three of which</w:t>
      </w:r>
      <w:r w:rsidR="00873D10">
        <w:rPr>
          <w:rFonts w:eastAsiaTheme="minorHAnsi"/>
        </w:rPr>
        <w:t xml:space="preserve"> (at the time of writing)</w:t>
      </w:r>
      <w:r>
        <w:rPr>
          <w:rFonts w:eastAsiaTheme="minorHAnsi"/>
        </w:rPr>
        <w:t xml:space="preserve"> are pending </w:t>
      </w:r>
      <w:r w:rsidR="00873D10">
        <w:rPr>
          <w:rFonts w:eastAsiaTheme="minorHAnsi"/>
        </w:rPr>
        <w:t xml:space="preserve">Government </w:t>
      </w:r>
      <w:r>
        <w:rPr>
          <w:rFonts w:eastAsiaTheme="minorHAnsi"/>
        </w:rPr>
        <w:t>decision.</w:t>
      </w:r>
    </w:p>
    <w:p w14:paraId="6FE32BA1" w14:textId="0ED69C65" w:rsidR="00A559CC" w:rsidRDefault="006772DE" w:rsidP="00B35B49">
      <w:pPr>
        <w:spacing w:before="0" w:line="240" w:lineRule="auto"/>
        <w:ind w:right="-612"/>
      </w:pPr>
      <w:r w:rsidRPr="006772DE">
        <w:rPr>
          <w:rFonts w:eastAsiaTheme="minorHAnsi"/>
          <w:b/>
        </w:rPr>
        <w:t>Recommendation</w:t>
      </w:r>
      <w:r w:rsidR="00A559CC" w:rsidRPr="006772DE">
        <w:rPr>
          <w:rFonts w:eastAsiaTheme="minorHAnsi"/>
          <w:b/>
        </w:rPr>
        <w:t xml:space="preserve"> 1:</w:t>
      </w:r>
      <w:r w:rsidR="00A559CC">
        <w:rPr>
          <w:rFonts w:eastAsiaTheme="minorHAnsi"/>
        </w:rPr>
        <w:t xml:space="preserve"> </w:t>
      </w:r>
      <w:r w:rsidR="00A559CC">
        <w:t xml:space="preserve">introduce </w:t>
      </w:r>
      <w:r w:rsidR="00A559CC" w:rsidRPr="009457A0">
        <w:t>mandatory health provider education and assessment on MBS rules and procedures to assist providers with appropriate billing of MBS s</w:t>
      </w:r>
      <w:r w:rsidR="00A559CC">
        <w:t>ervices.</w:t>
      </w:r>
    </w:p>
    <w:p w14:paraId="790DB340" w14:textId="196E8916" w:rsidR="00A559CC" w:rsidRDefault="009826A3" w:rsidP="00820C89">
      <w:pPr>
        <w:spacing w:before="0" w:line="240" w:lineRule="auto"/>
        <w:ind w:right="-613" w:firstLine="720"/>
        <w:rPr>
          <w:rFonts w:eastAsiaTheme="minorHAnsi"/>
        </w:rPr>
      </w:pPr>
      <w:r>
        <w:rPr>
          <w:b/>
        </w:rPr>
        <w:t>Action taken</w:t>
      </w:r>
      <w:r w:rsidR="00A559CC" w:rsidRPr="006772DE">
        <w:rPr>
          <w:b/>
        </w:rPr>
        <w:t>:</w:t>
      </w:r>
      <w:r w:rsidR="00A559CC">
        <w:t xml:space="preserve"> </w:t>
      </w:r>
      <w:r>
        <w:t xml:space="preserve">no action taken, Government decision pending. </w:t>
      </w:r>
    </w:p>
    <w:p w14:paraId="6E41E601" w14:textId="30529B34" w:rsidR="00A559CC" w:rsidRDefault="006772DE" w:rsidP="00B35B49">
      <w:pPr>
        <w:spacing w:before="120" w:line="240" w:lineRule="auto"/>
        <w:ind w:right="-612"/>
      </w:pPr>
      <w:r w:rsidRPr="006772DE">
        <w:rPr>
          <w:rFonts w:eastAsiaTheme="minorHAnsi"/>
          <w:b/>
        </w:rPr>
        <w:t xml:space="preserve">Recommendation </w:t>
      </w:r>
      <w:r w:rsidR="009826A3">
        <w:rPr>
          <w:rFonts w:eastAsiaTheme="minorHAnsi"/>
          <w:b/>
        </w:rPr>
        <w:t>2</w:t>
      </w:r>
      <w:r w:rsidRPr="006772DE">
        <w:rPr>
          <w:rFonts w:eastAsiaTheme="minorHAnsi"/>
          <w:b/>
        </w:rPr>
        <w:t>:</w:t>
      </w:r>
      <w:r w:rsidR="00A559CC" w:rsidRPr="00B97E9F">
        <w:rPr>
          <w:rFonts w:eastAsiaTheme="minorHAnsi"/>
        </w:rPr>
        <w:t xml:space="preserve"> </w:t>
      </w:r>
      <w:r w:rsidR="00A559CC">
        <w:t>provide clarification on</w:t>
      </w:r>
      <w:r w:rsidR="00A559CC" w:rsidRPr="00F25214">
        <w:t xml:space="preserve"> the appropriate claiming of initial and subsequent specialist and consultant physician attendance items within a single course of treatment.</w:t>
      </w:r>
    </w:p>
    <w:p w14:paraId="71219C70" w14:textId="719057DA" w:rsidR="00A559CC" w:rsidRPr="009A7568" w:rsidRDefault="006772DE" w:rsidP="00820C89">
      <w:pPr>
        <w:spacing w:before="0" w:line="240" w:lineRule="auto"/>
        <w:ind w:right="-613" w:firstLine="720"/>
        <w:rPr>
          <w:rFonts w:eastAsiaTheme="minorHAnsi"/>
        </w:rPr>
      </w:pPr>
      <w:r>
        <w:rPr>
          <w:b/>
        </w:rPr>
        <w:t>Action taken</w:t>
      </w:r>
      <w:r w:rsidR="00A559CC" w:rsidRPr="006772DE">
        <w:rPr>
          <w:b/>
        </w:rPr>
        <w:t>:</w:t>
      </w:r>
      <w:r w:rsidR="00A559CC">
        <w:t xml:space="preserve"> </w:t>
      </w:r>
      <w:r w:rsidR="009826A3">
        <w:rPr>
          <w:rFonts w:eastAsiaTheme="minorHAnsi"/>
        </w:rPr>
        <w:t>no action taken, Government decision pending</w:t>
      </w:r>
      <w:r w:rsidR="00A559CC" w:rsidRPr="00F25214">
        <w:rPr>
          <w:rFonts w:eastAsiaTheme="minorHAnsi"/>
        </w:rPr>
        <w:t>.</w:t>
      </w:r>
    </w:p>
    <w:p w14:paraId="317B5A11" w14:textId="1AA22E32" w:rsidR="00A559CC" w:rsidRDefault="006772DE" w:rsidP="00B35B49">
      <w:pPr>
        <w:spacing w:before="120" w:line="240" w:lineRule="auto"/>
        <w:ind w:right="-612"/>
      </w:pPr>
      <w:r w:rsidRPr="006772DE">
        <w:rPr>
          <w:rFonts w:eastAsiaTheme="minorHAnsi"/>
          <w:b/>
        </w:rPr>
        <w:t>R</w:t>
      </w:r>
      <w:r w:rsidR="009826A3">
        <w:rPr>
          <w:rFonts w:eastAsiaTheme="minorHAnsi"/>
          <w:b/>
        </w:rPr>
        <w:t>ecommendation 3</w:t>
      </w:r>
      <w:r w:rsidRPr="006772DE">
        <w:rPr>
          <w:rFonts w:eastAsiaTheme="minorHAnsi"/>
          <w:b/>
        </w:rPr>
        <w:t>:</w:t>
      </w:r>
      <w:r w:rsidR="00A559CC" w:rsidRPr="00B97E9F">
        <w:rPr>
          <w:rFonts w:eastAsiaTheme="minorHAnsi"/>
        </w:rPr>
        <w:t xml:space="preserve"> </w:t>
      </w:r>
      <w:r w:rsidR="00A559CC">
        <w:t xml:space="preserve">remove </w:t>
      </w:r>
      <w:r w:rsidR="00A559CC" w:rsidRPr="009457A0">
        <w:t>the differential fee structure for the 34 remaining MBS items with different Schedule fees depending on whether the service is performed b</w:t>
      </w:r>
      <w:r w:rsidR="000C6434">
        <w:t>y a General P</w:t>
      </w:r>
      <w:r w:rsidR="00A559CC" w:rsidRPr="009457A0">
        <w:t>ractitioner or specialist (the ‘G&amp;S’ items) and setting a single MBS fee at the current specialist rate.</w:t>
      </w:r>
    </w:p>
    <w:p w14:paraId="643B0EDF" w14:textId="3A33AB5A" w:rsidR="00A559CC" w:rsidRPr="00FA00F9" w:rsidRDefault="006772DE" w:rsidP="00820C89">
      <w:pPr>
        <w:shd w:val="clear" w:color="auto" w:fill="FFFFFF" w:themeFill="background1"/>
        <w:spacing w:before="0" w:after="120" w:line="240" w:lineRule="auto"/>
        <w:ind w:left="720" w:right="-613"/>
      </w:pPr>
      <w:r>
        <w:rPr>
          <w:rFonts w:eastAsiaTheme="minorHAnsi"/>
          <w:b/>
        </w:rPr>
        <w:t>Action taken</w:t>
      </w:r>
      <w:r w:rsidR="00A559CC" w:rsidRPr="006772DE">
        <w:rPr>
          <w:rFonts w:eastAsiaTheme="minorHAnsi"/>
          <w:b/>
        </w:rPr>
        <w:t>:</w:t>
      </w:r>
      <w:r w:rsidR="00A559CC" w:rsidRPr="00B97E9F">
        <w:rPr>
          <w:rFonts w:eastAsiaTheme="minorHAnsi"/>
        </w:rPr>
        <w:t xml:space="preserve"> Implemented in full, as recommended by the Committee on 1 November 2017. MBS benefits paid for these minor procedures when performed by GPs were increased so that patients receive the same level of MBS benefit regardless of whether a specialist or GP performs the procedure.</w:t>
      </w:r>
      <w:r w:rsidR="00A559CC">
        <w:rPr>
          <w:rFonts w:eastAsiaTheme="minorHAnsi"/>
        </w:rPr>
        <w:t xml:space="preserve"> </w:t>
      </w:r>
      <w:r w:rsidR="00A559CC">
        <w:t>The</w:t>
      </w:r>
      <w:r w:rsidR="00A559CC" w:rsidRPr="004B6ACA">
        <w:t xml:space="preserve"> </w:t>
      </w:r>
      <w:r w:rsidR="00AA0BD3">
        <w:t xml:space="preserve">change benefitted consumers by providing a fairer system, with the reimbursement paid dependent on the procedure, rather than the practitioner performing the procedure. </w:t>
      </w:r>
      <w:r w:rsidR="000D24D2">
        <w:t xml:space="preserve">The change also delivered greater consumer choice by equalising the reimbursement across provider groups. </w:t>
      </w:r>
    </w:p>
    <w:p w14:paraId="48B672E7" w14:textId="3FC92C88" w:rsidR="00A559CC" w:rsidRDefault="006772DE" w:rsidP="00B35B49">
      <w:pPr>
        <w:spacing w:before="120" w:line="240" w:lineRule="auto"/>
        <w:ind w:right="-612"/>
      </w:pPr>
      <w:r w:rsidRPr="006772DE">
        <w:rPr>
          <w:rFonts w:eastAsiaTheme="minorHAnsi"/>
          <w:b/>
        </w:rPr>
        <w:t>R</w:t>
      </w:r>
      <w:r w:rsidR="009826A3">
        <w:rPr>
          <w:rFonts w:eastAsiaTheme="minorHAnsi"/>
          <w:b/>
        </w:rPr>
        <w:t>ecommendation 4</w:t>
      </w:r>
      <w:r w:rsidRPr="006772DE">
        <w:rPr>
          <w:rFonts w:eastAsiaTheme="minorHAnsi"/>
          <w:b/>
        </w:rPr>
        <w:t>:</w:t>
      </w:r>
      <w:r w:rsidR="00A559CC" w:rsidRPr="00B97E9F">
        <w:rPr>
          <w:rFonts w:eastAsiaTheme="minorHAnsi"/>
        </w:rPr>
        <w:t xml:space="preserve"> </w:t>
      </w:r>
      <w:r w:rsidR="00A559CC">
        <w:t>prohibit the claiming of specialist and consultant physician subsequent attendance items with</w:t>
      </w:r>
      <w:r w:rsidR="000D24D2">
        <w:t xml:space="preserve"> certain pre-planned procedures.</w:t>
      </w:r>
    </w:p>
    <w:p w14:paraId="1A62E55B" w14:textId="7330E415" w:rsidR="00A559CC" w:rsidRDefault="009826A3" w:rsidP="00820C89">
      <w:pPr>
        <w:spacing w:before="0" w:line="240" w:lineRule="auto"/>
        <w:ind w:left="720" w:right="-613"/>
        <w:rPr>
          <w:rFonts w:eastAsiaTheme="minorHAnsi"/>
        </w:rPr>
      </w:pPr>
      <w:r>
        <w:rPr>
          <w:rFonts w:eastAsiaTheme="minorHAnsi"/>
          <w:b/>
        </w:rPr>
        <w:t xml:space="preserve">Action </w:t>
      </w:r>
      <w:proofErr w:type="gramStart"/>
      <w:r>
        <w:rPr>
          <w:rFonts w:eastAsiaTheme="minorHAnsi"/>
          <w:b/>
        </w:rPr>
        <w:t>taken</w:t>
      </w:r>
      <w:r w:rsidR="00A559CC" w:rsidRPr="009826A3">
        <w:rPr>
          <w:rFonts w:eastAsiaTheme="minorHAnsi"/>
          <w:b/>
        </w:rPr>
        <w:t>:</w:t>
      </w:r>
      <w:proofErr w:type="gramEnd"/>
      <w:r w:rsidR="00A559CC" w:rsidRPr="00B97E9F">
        <w:rPr>
          <w:rFonts w:eastAsiaTheme="minorHAnsi"/>
        </w:rPr>
        <w:t xml:space="preserve"> </w:t>
      </w:r>
      <w:r w:rsidR="00A559CC">
        <w:rPr>
          <w:rFonts w:eastAsiaTheme="minorHAnsi"/>
        </w:rPr>
        <w:t>implemented on 1 November 2017, with modifications to the recommendation made by the Committee. T</w:t>
      </w:r>
      <w:r w:rsidR="000D24D2">
        <w:rPr>
          <w:rFonts w:eastAsiaTheme="minorHAnsi"/>
        </w:rPr>
        <w:t xml:space="preserve">he change prohibited </w:t>
      </w:r>
      <w:r w:rsidR="00A559CC">
        <w:rPr>
          <w:rFonts w:eastAsiaTheme="minorHAnsi"/>
        </w:rPr>
        <w:t>the co</w:t>
      </w:r>
      <w:r w:rsidR="00A559CC">
        <w:rPr>
          <w:rFonts w:eastAsiaTheme="minorHAnsi"/>
        </w:rPr>
        <w:noBreakHyphen/>
        <w:t xml:space="preserve">claiming of subsequent attendance items with any item in Group T8 of the MBS, if the Group T8 item has a schedule fee of equal to or greater than $300, and if the same items are provided by the same practitioner on the same day. The $300 threshold was specifically chosen as a proxy for complexity, recognising that procedures above this level are more likely to be the primary purpose of the episode. </w:t>
      </w:r>
    </w:p>
    <w:p w14:paraId="5F059AF0" w14:textId="40F68E8D" w:rsidR="00A559CC" w:rsidRDefault="000D24D2" w:rsidP="00820C89">
      <w:pPr>
        <w:spacing w:before="0" w:line="240" w:lineRule="auto"/>
        <w:ind w:left="720" w:right="-613"/>
        <w:rPr>
          <w:rFonts w:eastAsiaTheme="minorHAnsi"/>
        </w:rPr>
      </w:pPr>
      <w:r>
        <w:rPr>
          <w:rFonts w:eastAsiaTheme="minorHAnsi"/>
        </w:rPr>
        <w:t>This change reinforced</w:t>
      </w:r>
      <w:r w:rsidR="00A559CC">
        <w:rPr>
          <w:rFonts w:eastAsiaTheme="minorHAnsi"/>
        </w:rPr>
        <w:t xml:space="preserve"> Medicare’s universality by ensuring that patients receive the same MBS benefits for the same service, and that the amount of benefit is not dependent on the practitioner’s discretion to bill a consultation item as an adjunct to the primary procedure. Patients who genuinely require an unscheduled procedure, for example an emergency operation following a consultation on the same day, are not affected.</w:t>
      </w:r>
    </w:p>
    <w:p w14:paraId="7515E2F1" w14:textId="5159CA2F" w:rsidR="00A559CC" w:rsidRPr="00EF56E1" w:rsidRDefault="006772DE" w:rsidP="00B35B49">
      <w:pPr>
        <w:spacing w:before="120" w:line="240" w:lineRule="auto"/>
        <w:ind w:right="-612"/>
        <w:rPr>
          <w:rFonts w:eastAsiaTheme="minorHAnsi"/>
        </w:rPr>
      </w:pPr>
      <w:r w:rsidRPr="006772DE">
        <w:rPr>
          <w:rFonts w:eastAsiaTheme="minorHAnsi"/>
          <w:b/>
        </w:rPr>
        <w:t>R</w:t>
      </w:r>
      <w:r w:rsidR="009826A3">
        <w:rPr>
          <w:rFonts w:eastAsiaTheme="minorHAnsi"/>
          <w:b/>
        </w:rPr>
        <w:t>ecommendation 5</w:t>
      </w:r>
      <w:r w:rsidRPr="006772DE">
        <w:rPr>
          <w:rFonts w:eastAsiaTheme="minorHAnsi"/>
          <w:b/>
        </w:rPr>
        <w:t>:</w:t>
      </w:r>
      <w:r w:rsidR="00A559CC" w:rsidRPr="00EF56E1">
        <w:rPr>
          <w:rFonts w:eastAsiaTheme="minorHAnsi"/>
        </w:rPr>
        <w:t xml:space="preserve"> remove current restrictions on the claiming of aftercare services. </w:t>
      </w:r>
    </w:p>
    <w:p w14:paraId="2347FD02" w14:textId="77777777" w:rsidR="0002432B" w:rsidRDefault="009826A3" w:rsidP="00820C89">
      <w:pPr>
        <w:spacing w:before="0" w:line="240" w:lineRule="auto"/>
        <w:ind w:left="720" w:right="-613"/>
        <w:rPr>
          <w:rFonts w:eastAsiaTheme="minorHAnsi"/>
        </w:rPr>
      </w:pPr>
      <w:r>
        <w:rPr>
          <w:rFonts w:eastAsiaTheme="minorHAnsi"/>
          <w:b/>
        </w:rPr>
        <w:t xml:space="preserve">Action </w:t>
      </w:r>
      <w:proofErr w:type="gramStart"/>
      <w:r>
        <w:rPr>
          <w:rFonts w:eastAsiaTheme="minorHAnsi"/>
          <w:b/>
        </w:rPr>
        <w:t>taken</w:t>
      </w:r>
      <w:r w:rsidR="00A559CC" w:rsidRPr="009826A3">
        <w:rPr>
          <w:rFonts w:eastAsiaTheme="minorHAnsi"/>
          <w:b/>
        </w:rPr>
        <w:t>:</w:t>
      </w:r>
      <w:proofErr w:type="gramEnd"/>
      <w:r w:rsidR="00A559CC" w:rsidRPr="00EF56E1">
        <w:rPr>
          <w:rFonts w:eastAsiaTheme="minorHAnsi"/>
        </w:rPr>
        <w:t xml:space="preserve"> implemented</w:t>
      </w:r>
      <w:r w:rsidR="000D24D2">
        <w:rPr>
          <w:rFonts w:eastAsiaTheme="minorHAnsi"/>
        </w:rPr>
        <w:t xml:space="preserve"> on 1 November 2017, </w:t>
      </w:r>
      <w:r w:rsidR="00A559CC" w:rsidRPr="00EF56E1">
        <w:rPr>
          <w:rFonts w:eastAsiaTheme="minorHAnsi"/>
        </w:rPr>
        <w:t>with modifications to the recommendation made by the Committee.</w:t>
      </w:r>
      <w:r w:rsidR="00A559CC">
        <w:rPr>
          <w:rFonts w:eastAsiaTheme="minorHAnsi"/>
        </w:rPr>
        <w:t xml:space="preserve"> </w:t>
      </w:r>
      <w:r w:rsidR="00A559CC" w:rsidRPr="00EF56E1">
        <w:rPr>
          <w:rFonts w:eastAsiaTheme="minorHAnsi"/>
        </w:rPr>
        <w:t xml:space="preserve">The </w:t>
      </w:r>
      <w:r w:rsidR="000D24D2">
        <w:rPr>
          <w:rFonts w:eastAsiaTheme="minorHAnsi"/>
        </w:rPr>
        <w:t xml:space="preserve">change removed a restriction that prevented GPs making claims to the MBS for the </w:t>
      </w:r>
      <w:r w:rsidR="0002432B">
        <w:rPr>
          <w:rFonts w:eastAsiaTheme="minorHAnsi"/>
        </w:rPr>
        <w:t xml:space="preserve">provision of aftercare. </w:t>
      </w:r>
    </w:p>
    <w:p w14:paraId="63B03E1F" w14:textId="216794F9" w:rsidR="00A559CC" w:rsidRPr="00EF56E1" w:rsidRDefault="0002432B" w:rsidP="00820C89">
      <w:pPr>
        <w:spacing w:before="0" w:line="240" w:lineRule="auto"/>
        <w:ind w:left="720" w:right="-613"/>
        <w:rPr>
          <w:rFonts w:eastAsiaTheme="minorHAnsi"/>
        </w:rPr>
      </w:pPr>
      <w:r>
        <w:rPr>
          <w:rFonts w:eastAsiaTheme="minorHAnsi"/>
        </w:rPr>
        <w:t xml:space="preserve">The change benefitted GPs, by reducing administrative burden. Prior to the change GPs providing aftercare services were required to provide evidence to the Department of Human Services that the service was outside of the patient’s aftercare period. Patients also benefitted through improved access to aftercare service, particularly important in </w:t>
      </w:r>
      <w:r w:rsidR="00A559CC" w:rsidRPr="00EF56E1">
        <w:rPr>
          <w:rFonts w:eastAsiaTheme="minorHAnsi"/>
        </w:rPr>
        <w:t xml:space="preserve">rural areas or locations where it </w:t>
      </w:r>
      <w:r w:rsidR="000D24D2">
        <w:rPr>
          <w:rFonts w:eastAsiaTheme="minorHAnsi"/>
        </w:rPr>
        <w:t xml:space="preserve">was </w:t>
      </w:r>
      <w:r w:rsidR="00A559CC" w:rsidRPr="00EF56E1">
        <w:rPr>
          <w:rFonts w:eastAsiaTheme="minorHAnsi"/>
        </w:rPr>
        <w:t xml:space="preserve">difficult for patients to access ongoing specialist post-operative care. </w:t>
      </w:r>
    </w:p>
    <w:p w14:paraId="2FB9F91E" w14:textId="36225694" w:rsidR="00A559CC" w:rsidRPr="00EF56E1" w:rsidRDefault="009826A3" w:rsidP="00B35B49">
      <w:pPr>
        <w:spacing w:before="120" w:line="240" w:lineRule="auto"/>
        <w:ind w:right="-612"/>
        <w:rPr>
          <w:rFonts w:eastAsiaTheme="minorHAnsi"/>
        </w:rPr>
      </w:pPr>
      <w:r w:rsidRPr="009826A3">
        <w:rPr>
          <w:rFonts w:eastAsiaTheme="minorHAnsi"/>
          <w:b/>
        </w:rPr>
        <w:t>Recommen</w:t>
      </w:r>
      <w:r w:rsidR="00AA0BD3">
        <w:rPr>
          <w:rFonts w:eastAsiaTheme="minorHAnsi"/>
          <w:b/>
        </w:rPr>
        <w:t>dation 6</w:t>
      </w:r>
      <w:r w:rsidRPr="009826A3">
        <w:rPr>
          <w:rFonts w:eastAsiaTheme="minorHAnsi"/>
          <w:b/>
        </w:rPr>
        <w:t>:</w:t>
      </w:r>
      <w:r w:rsidR="00A559CC" w:rsidRPr="00EF56E1">
        <w:rPr>
          <w:rFonts w:eastAsiaTheme="minorHAnsi"/>
        </w:rPr>
        <w:t xml:space="preserve"> </w:t>
      </w:r>
      <w:r w:rsidR="00A559CC">
        <w:rPr>
          <w:rFonts w:eastAsiaTheme="minorHAnsi"/>
        </w:rPr>
        <w:t>maintain the existing three-month time limit on specialist</w:t>
      </w:r>
      <w:r w:rsidR="00A559CC">
        <w:rPr>
          <w:rFonts w:eastAsiaTheme="minorHAnsi"/>
        </w:rPr>
        <w:noBreakHyphen/>
        <w:t>to</w:t>
      </w:r>
      <w:r w:rsidR="00A559CC">
        <w:rPr>
          <w:rFonts w:eastAsiaTheme="minorHAnsi"/>
        </w:rPr>
        <w:noBreakHyphen/>
        <w:t xml:space="preserve">specialist referrals. </w:t>
      </w:r>
    </w:p>
    <w:p w14:paraId="5995624D" w14:textId="08A59D30" w:rsidR="00A559CC" w:rsidRPr="009826A3" w:rsidRDefault="00A559CC" w:rsidP="00820C89">
      <w:pPr>
        <w:spacing w:before="0" w:line="240" w:lineRule="auto"/>
        <w:ind w:right="-613" w:firstLine="720"/>
        <w:rPr>
          <w:rFonts w:eastAsiaTheme="minorHAnsi"/>
          <w:u w:val="single"/>
        </w:rPr>
      </w:pPr>
      <w:r w:rsidRPr="009826A3">
        <w:rPr>
          <w:rFonts w:eastAsiaTheme="minorHAnsi"/>
          <w:b/>
        </w:rPr>
        <w:t xml:space="preserve">Action taken </w:t>
      </w:r>
      <w:r w:rsidR="009826A3">
        <w:rPr>
          <w:rFonts w:eastAsiaTheme="minorHAnsi"/>
        </w:rPr>
        <w:t>no action taken, Government decision pending</w:t>
      </w:r>
      <w:r>
        <w:rPr>
          <w:rFonts w:eastAsiaTheme="minorHAnsi"/>
        </w:rPr>
        <w:t xml:space="preserve">. </w:t>
      </w:r>
      <w:r>
        <w:br w:type="page"/>
      </w:r>
    </w:p>
    <w:p w14:paraId="76EB48A9" w14:textId="6BB69776" w:rsidR="006A746D" w:rsidRPr="00064F75" w:rsidRDefault="000664A1" w:rsidP="00873D10">
      <w:pPr>
        <w:pStyle w:val="Heading1"/>
        <w:spacing w:line="240" w:lineRule="auto"/>
        <w:ind w:left="720" w:right="95"/>
        <w:jc w:val="right"/>
      </w:pPr>
      <w:bookmarkStart w:id="79" w:name="_Toc20404288"/>
      <w:bookmarkStart w:id="80" w:name="_Toc25843703"/>
      <w:bookmarkEnd w:id="76"/>
      <w:r>
        <w:lastRenderedPageBreak/>
        <w:t>Appendix B</w:t>
      </w:r>
      <w:bookmarkEnd w:id="79"/>
      <w:bookmarkEnd w:id="80"/>
    </w:p>
    <w:p w14:paraId="3B4F84E3" w14:textId="77777777" w:rsidR="006A746D" w:rsidRPr="00873D10" w:rsidRDefault="002F2475" w:rsidP="00873D10">
      <w:pPr>
        <w:pStyle w:val="Heading1"/>
        <w:spacing w:line="240" w:lineRule="auto"/>
        <w:ind w:left="720" w:right="95"/>
      </w:pPr>
      <w:bookmarkStart w:id="81" w:name="_Toc25843704"/>
      <w:r w:rsidRPr="00E9276B">
        <w:t xml:space="preserve">Guidance provided </w:t>
      </w:r>
      <w:r w:rsidR="00827230" w:rsidRPr="00E9276B">
        <w:t>by the Principles and Rules Committee</w:t>
      </w:r>
      <w:bookmarkEnd w:id="81"/>
      <w:r w:rsidR="00064F75" w:rsidRPr="00873D10">
        <w:t xml:space="preserve"> </w:t>
      </w:r>
    </w:p>
    <w:p w14:paraId="33C1B751" w14:textId="095EB863" w:rsidR="00A71D20" w:rsidRPr="00E9276B" w:rsidRDefault="002F2475" w:rsidP="00E9276B">
      <w:pPr>
        <w:spacing w:line="240" w:lineRule="auto"/>
        <w:rPr>
          <w:rFonts w:eastAsiaTheme="minorHAnsi"/>
        </w:rPr>
      </w:pPr>
      <w:r w:rsidRPr="00E9276B">
        <w:rPr>
          <w:rFonts w:eastAsiaTheme="minorHAnsi"/>
        </w:rPr>
        <w:t>Over the MBS Review the</w:t>
      </w:r>
      <w:r w:rsidR="0023786B" w:rsidRPr="00E9276B">
        <w:rPr>
          <w:rFonts w:eastAsiaTheme="minorHAnsi"/>
        </w:rPr>
        <w:t xml:space="preserve"> Principles and Rules Committee</w:t>
      </w:r>
      <w:r w:rsidR="00E9276B">
        <w:rPr>
          <w:rFonts w:eastAsiaTheme="minorHAnsi"/>
        </w:rPr>
        <w:t xml:space="preserve"> (the Committee) </w:t>
      </w:r>
      <w:r w:rsidRPr="00E9276B">
        <w:rPr>
          <w:rFonts w:eastAsiaTheme="minorHAnsi"/>
        </w:rPr>
        <w:t xml:space="preserve">has provided guidance for all clinical committees for use in the review of their MBS items. The matters outlined below were endorsed by the </w:t>
      </w:r>
      <w:r w:rsidR="00191EED" w:rsidRPr="00E9276B">
        <w:rPr>
          <w:rFonts w:eastAsiaTheme="minorHAnsi"/>
        </w:rPr>
        <w:t xml:space="preserve">MBS Review </w:t>
      </w:r>
      <w:r w:rsidRPr="00E9276B">
        <w:rPr>
          <w:rFonts w:eastAsiaTheme="minorHAnsi"/>
        </w:rPr>
        <w:t xml:space="preserve">Taskforce </w:t>
      </w:r>
      <w:r w:rsidR="00191EED" w:rsidRPr="00E9276B">
        <w:rPr>
          <w:rFonts w:eastAsiaTheme="minorHAnsi"/>
        </w:rPr>
        <w:t xml:space="preserve">(the Taskforce) </w:t>
      </w:r>
      <w:r w:rsidRPr="00E9276B">
        <w:rPr>
          <w:rFonts w:eastAsiaTheme="minorHAnsi"/>
        </w:rPr>
        <w:t xml:space="preserve">and have been set out in this report to </w:t>
      </w:r>
      <w:r w:rsidR="00A71D20" w:rsidRPr="00E9276B">
        <w:rPr>
          <w:rFonts w:eastAsiaTheme="minorHAnsi"/>
        </w:rPr>
        <w:t>provide transparency over internal MBS Review decisions</w:t>
      </w:r>
      <w:r w:rsidRPr="00E9276B">
        <w:rPr>
          <w:rFonts w:eastAsiaTheme="minorHAnsi"/>
        </w:rPr>
        <w:t>.</w:t>
      </w:r>
      <w:r w:rsidR="000664A1">
        <w:rPr>
          <w:rFonts w:eastAsiaTheme="minorHAnsi"/>
        </w:rPr>
        <w:t xml:space="preserve"> </w:t>
      </w:r>
      <w:r w:rsidR="00A71D20" w:rsidRPr="00E9276B">
        <w:rPr>
          <w:rFonts w:eastAsiaTheme="minorHAnsi"/>
        </w:rPr>
        <w:t xml:space="preserve">The language and data used reflect the point in time at which the relevant work was undertaken. </w:t>
      </w:r>
    </w:p>
    <w:p w14:paraId="29A270C6" w14:textId="3E617523" w:rsidR="00E379FD" w:rsidRPr="00E9276B" w:rsidRDefault="00B24260" w:rsidP="00E9276B">
      <w:pPr>
        <w:pStyle w:val="Heading2"/>
        <w:spacing w:line="240" w:lineRule="auto"/>
        <w:ind w:right="95"/>
      </w:pPr>
      <w:bookmarkStart w:id="82" w:name="_Toc25843705"/>
      <w:r>
        <w:t>B</w:t>
      </w:r>
      <w:r w:rsidR="00A71D20" w:rsidRPr="00E9276B">
        <w:t xml:space="preserve">.1 </w:t>
      </w:r>
      <w:r w:rsidR="00A90B0D" w:rsidRPr="00E9276B">
        <w:t>Appropriate Use Criteria</w:t>
      </w:r>
      <w:bookmarkEnd w:id="82"/>
      <w:r w:rsidR="00D86747" w:rsidRPr="00E9276B">
        <w:t xml:space="preserve"> </w:t>
      </w:r>
    </w:p>
    <w:p w14:paraId="7469D132" w14:textId="275CCBA1" w:rsidR="005717B1" w:rsidRPr="00E9276B" w:rsidRDefault="0023786B" w:rsidP="00E9276B">
      <w:pPr>
        <w:spacing w:line="240" w:lineRule="auto"/>
        <w:rPr>
          <w:rFonts w:eastAsiaTheme="minorHAnsi"/>
        </w:rPr>
      </w:pPr>
      <w:r w:rsidRPr="00E9276B">
        <w:rPr>
          <w:rFonts w:eastAsiaTheme="minorHAnsi"/>
        </w:rPr>
        <w:t xml:space="preserve">Following on from </w:t>
      </w:r>
      <w:r w:rsidR="00E379FD" w:rsidRPr="00E9276B">
        <w:rPr>
          <w:rFonts w:eastAsiaTheme="minorHAnsi"/>
        </w:rPr>
        <w:t xml:space="preserve">the first tranche of </w:t>
      </w:r>
      <w:r w:rsidRPr="00E9276B">
        <w:rPr>
          <w:rFonts w:eastAsiaTheme="minorHAnsi"/>
        </w:rPr>
        <w:t>MBS Review clinical committee deliberations</w:t>
      </w:r>
      <w:r w:rsidR="00E379FD" w:rsidRPr="00E9276B">
        <w:rPr>
          <w:rFonts w:eastAsiaTheme="minorHAnsi"/>
        </w:rPr>
        <w:t xml:space="preserve">, </w:t>
      </w:r>
      <w:r w:rsidR="00E9276B">
        <w:rPr>
          <w:rFonts w:eastAsiaTheme="minorHAnsi"/>
        </w:rPr>
        <w:t>the Committee</w:t>
      </w:r>
      <w:r w:rsidRPr="00E9276B">
        <w:rPr>
          <w:rFonts w:eastAsiaTheme="minorHAnsi"/>
        </w:rPr>
        <w:t xml:space="preserve"> </w:t>
      </w:r>
      <w:r w:rsidR="005717B1" w:rsidRPr="00E9276B">
        <w:rPr>
          <w:rFonts w:eastAsiaTheme="minorHAnsi"/>
        </w:rPr>
        <w:t xml:space="preserve">explored options to set a path for Taskforce clinical committee deliberations and decisions regarding the design or revision of </w:t>
      </w:r>
      <w:r w:rsidR="00E379FD" w:rsidRPr="00E9276B">
        <w:rPr>
          <w:rFonts w:eastAsiaTheme="minorHAnsi"/>
        </w:rPr>
        <w:t xml:space="preserve">MBS items. </w:t>
      </w:r>
      <w:r w:rsidR="005717B1" w:rsidRPr="00E9276B">
        <w:rPr>
          <w:rFonts w:eastAsiaTheme="minorHAnsi"/>
        </w:rPr>
        <w:t>The Committee was also eager to ensure individual clinical committee judgements were formally documented in a format that carefully articulate any decisions reached</w:t>
      </w:r>
      <w:r w:rsidR="002717DB" w:rsidRPr="00E9276B">
        <w:rPr>
          <w:rFonts w:eastAsiaTheme="minorHAnsi"/>
        </w:rPr>
        <w:t xml:space="preserve"> with rigour that</w:t>
      </w:r>
      <w:r w:rsidR="005717B1" w:rsidRPr="00E9276B">
        <w:rPr>
          <w:rFonts w:eastAsiaTheme="minorHAnsi"/>
        </w:rPr>
        <w:t xml:space="preserve"> could be revisited in any future review activity.</w:t>
      </w:r>
    </w:p>
    <w:p w14:paraId="1A8B60A7" w14:textId="77777777" w:rsidR="00180F5E" w:rsidRPr="00E9276B" w:rsidRDefault="00180F5E" w:rsidP="00E9276B">
      <w:pPr>
        <w:spacing w:line="240" w:lineRule="auto"/>
        <w:rPr>
          <w:rFonts w:eastAsiaTheme="minorHAnsi"/>
        </w:rPr>
      </w:pPr>
      <w:r w:rsidRPr="00E9276B">
        <w:rPr>
          <w:rFonts w:eastAsiaTheme="minorHAnsi"/>
        </w:rPr>
        <w:t xml:space="preserve">In order to ensure the MBS Review applied best practice, the </w:t>
      </w:r>
      <w:r w:rsidR="00613D40" w:rsidRPr="00E9276B">
        <w:rPr>
          <w:rFonts w:eastAsiaTheme="minorHAnsi"/>
        </w:rPr>
        <w:t xml:space="preserve">Committee </w:t>
      </w:r>
      <w:r w:rsidR="00395044" w:rsidRPr="00E9276B">
        <w:rPr>
          <w:rFonts w:eastAsiaTheme="minorHAnsi"/>
        </w:rPr>
        <w:t xml:space="preserve">was committed to the design and application of a standardised framework, </w:t>
      </w:r>
      <w:r w:rsidR="005717B1" w:rsidRPr="00E9276B">
        <w:rPr>
          <w:rFonts w:eastAsiaTheme="minorHAnsi"/>
        </w:rPr>
        <w:t xml:space="preserve">to guide committees through a replicable process, resulting in a </w:t>
      </w:r>
      <w:r w:rsidRPr="00E9276B">
        <w:rPr>
          <w:rFonts w:eastAsiaTheme="minorHAnsi"/>
        </w:rPr>
        <w:t>quality, evidence-based review (where necessary)</w:t>
      </w:r>
      <w:r w:rsidR="005717B1" w:rsidRPr="00E9276B">
        <w:rPr>
          <w:rFonts w:eastAsiaTheme="minorHAnsi"/>
        </w:rPr>
        <w:t xml:space="preserve">. </w:t>
      </w:r>
      <w:r w:rsidR="00395044" w:rsidRPr="00E9276B">
        <w:rPr>
          <w:rFonts w:eastAsiaTheme="minorHAnsi"/>
        </w:rPr>
        <w:t>The Committee was confident that a</w:t>
      </w:r>
      <w:r w:rsidR="005717B1" w:rsidRPr="00E9276B">
        <w:rPr>
          <w:rFonts w:eastAsiaTheme="minorHAnsi"/>
        </w:rPr>
        <w:t xml:space="preserve">pplication of </w:t>
      </w:r>
      <w:r w:rsidR="00395044" w:rsidRPr="00E9276B">
        <w:rPr>
          <w:rFonts w:eastAsiaTheme="minorHAnsi"/>
        </w:rPr>
        <w:t xml:space="preserve">a </w:t>
      </w:r>
      <w:r w:rsidR="005717B1" w:rsidRPr="00E9276B">
        <w:rPr>
          <w:rFonts w:eastAsiaTheme="minorHAnsi"/>
        </w:rPr>
        <w:t xml:space="preserve">framework would provide the Taskforce with assurance that clinical committee recommendations, to be submitted to Government were based on solid </w:t>
      </w:r>
      <w:r w:rsidRPr="00E9276B">
        <w:rPr>
          <w:rFonts w:eastAsiaTheme="minorHAnsi"/>
        </w:rPr>
        <w:t xml:space="preserve">evidence. </w:t>
      </w:r>
    </w:p>
    <w:p w14:paraId="735D1950" w14:textId="4C4C1F17" w:rsidR="00180F5E" w:rsidRPr="00E9276B" w:rsidRDefault="00927E16" w:rsidP="00E9276B">
      <w:pPr>
        <w:spacing w:line="240" w:lineRule="auto"/>
        <w:rPr>
          <w:rFonts w:eastAsiaTheme="minorHAnsi"/>
        </w:rPr>
      </w:pPr>
      <w:r w:rsidRPr="00E9276B">
        <w:rPr>
          <w:rFonts w:eastAsiaTheme="minorHAnsi"/>
        </w:rPr>
        <w:t xml:space="preserve">There is significant variation in the content of item descriptors in the MBS, as would be expected with a large register that has evolved over time. To address this variability in the current review and into the future, the </w:t>
      </w:r>
      <w:r w:rsidR="00180F5E" w:rsidRPr="00E9276B">
        <w:rPr>
          <w:rFonts w:eastAsiaTheme="minorHAnsi"/>
        </w:rPr>
        <w:t xml:space="preserve">Committee </w:t>
      </w:r>
      <w:r w:rsidRPr="00E9276B">
        <w:rPr>
          <w:rFonts w:eastAsiaTheme="minorHAnsi"/>
        </w:rPr>
        <w:t xml:space="preserve">explored the viability of applying </w:t>
      </w:r>
      <w:r w:rsidR="00613D40" w:rsidRPr="00E9276B">
        <w:rPr>
          <w:rFonts w:eastAsiaTheme="minorHAnsi"/>
        </w:rPr>
        <w:t>Appropriate Use Criteria (AUC)</w:t>
      </w:r>
      <w:r w:rsidR="00B17666" w:rsidRPr="00E9276B">
        <w:rPr>
          <w:rFonts w:eastAsiaTheme="minorHAnsi"/>
        </w:rPr>
        <w:t xml:space="preserve"> to </w:t>
      </w:r>
      <w:r w:rsidRPr="00E9276B">
        <w:rPr>
          <w:rFonts w:eastAsiaTheme="minorHAnsi"/>
        </w:rPr>
        <w:t>the design of new MBS items and revision of existing item descriptors</w:t>
      </w:r>
      <w:r w:rsidR="00613D40" w:rsidRPr="00E9276B">
        <w:rPr>
          <w:rFonts w:eastAsiaTheme="minorHAnsi"/>
        </w:rPr>
        <w:t xml:space="preserve">. AUC specify when it is appropriate to perform </w:t>
      </w:r>
      <w:r w:rsidR="00180F5E" w:rsidRPr="00E9276B">
        <w:rPr>
          <w:rFonts w:eastAsiaTheme="minorHAnsi"/>
        </w:rPr>
        <w:t xml:space="preserve">a medical procedure or service, with </w:t>
      </w:r>
      <w:r w:rsidR="00613D40" w:rsidRPr="00E9276B">
        <w:rPr>
          <w:rFonts w:eastAsiaTheme="minorHAnsi"/>
        </w:rPr>
        <w:t xml:space="preserve">"appropriate" </w:t>
      </w:r>
      <w:r w:rsidR="00180F5E" w:rsidRPr="00E9276B">
        <w:rPr>
          <w:rFonts w:eastAsiaTheme="minorHAnsi"/>
        </w:rPr>
        <w:t xml:space="preserve">being a </w:t>
      </w:r>
      <w:r w:rsidR="00613D40" w:rsidRPr="00E9276B">
        <w:rPr>
          <w:rFonts w:eastAsiaTheme="minorHAnsi"/>
        </w:rPr>
        <w:t xml:space="preserve">procedure for which the expected health benefits exceed the expected health risks by a wide margin. </w:t>
      </w:r>
      <w:r w:rsidR="00180F5E" w:rsidRPr="00E9276B">
        <w:rPr>
          <w:rFonts w:eastAsiaTheme="minorHAnsi"/>
        </w:rPr>
        <w:t xml:space="preserve">Being aware that </w:t>
      </w:r>
      <w:r w:rsidR="00613D40" w:rsidRPr="00E9276B">
        <w:rPr>
          <w:rFonts w:eastAsiaTheme="minorHAnsi"/>
        </w:rPr>
        <w:t xml:space="preserve">AUC </w:t>
      </w:r>
      <w:r w:rsidR="00180F5E" w:rsidRPr="00E9276B">
        <w:rPr>
          <w:rFonts w:eastAsiaTheme="minorHAnsi"/>
        </w:rPr>
        <w:t xml:space="preserve">are ideally </w:t>
      </w:r>
      <w:r w:rsidR="00613D40" w:rsidRPr="00E9276B">
        <w:rPr>
          <w:rFonts w:eastAsiaTheme="minorHAnsi"/>
        </w:rPr>
        <w:t>evidence-based</w:t>
      </w:r>
      <w:r w:rsidR="00180F5E" w:rsidRPr="00E9276B">
        <w:rPr>
          <w:rFonts w:eastAsiaTheme="minorHAnsi"/>
        </w:rPr>
        <w:t xml:space="preserve">, the Committee recognised that, in the </w:t>
      </w:r>
      <w:r w:rsidR="00613D40" w:rsidRPr="00E9276B">
        <w:rPr>
          <w:rFonts w:eastAsiaTheme="minorHAnsi"/>
        </w:rPr>
        <w:t xml:space="preserve">absence of sufficient evidence, </w:t>
      </w:r>
      <w:r w:rsidR="00180F5E" w:rsidRPr="00E9276B">
        <w:rPr>
          <w:rFonts w:eastAsiaTheme="minorHAnsi"/>
        </w:rPr>
        <w:t xml:space="preserve">‘appropriate’ </w:t>
      </w:r>
      <w:r w:rsidR="00613D40" w:rsidRPr="00E9276B">
        <w:rPr>
          <w:rFonts w:eastAsiaTheme="minorHAnsi"/>
        </w:rPr>
        <w:t xml:space="preserve">may be derived from a consensus of expert opinion. </w:t>
      </w:r>
    </w:p>
    <w:p w14:paraId="55A0F797" w14:textId="0FCCD1EA" w:rsidR="00A04B57" w:rsidRPr="00E9276B" w:rsidRDefault="00E70D23" w:rsidP="00E9276B">
      <w:pPr>
        <w:spacing w:line="240" w:lineRule="auto"/>
        <w:rPr>
          <w:rFonts w:eastAsiaTheme="minorHAnsi"/>
        </w:rPr>
      </w:pPr>
      <w:r w:rsidRPr="00E9276B">
        <w:rPr>
          <w:rFonts w:eastAsiaTheme="minorHAnsi"/>
        </w:rPr>
        <w:t xml:space="preserve">In early 2016, the Committee commissioned a paper from the Menzies Centre for Health Policy at the University of Sydney. </w:t>
      </w:r>
      <w:r w:rsidR="00A04B57" w:rsidRPr="00E9276B">
        <w:rPr>
          <w:rFonts w:eastAsiaTheme="minorHAnsi"/>
        </w:rPr>
        <w:t>The paper set out in detail when AUC is appropriate and when AUC is unachievable, for example in the absence of reliable evid</w:t>
      </w:r>
      <w:r w:rsidR="00861C10" w:rsidRPr="00E9276B">
        <w:rPr>
          <w:rFonts w:eastAsiaTheme="minorHAnsi"/>
        </w:rPr>
        <w:t xml:space="preserve">ence of a procedure’s efficacy and also outlined the opportunity to align MBS Review activity with the Medical Services Advisory Council’s (MSAC) best practice use of AUC. </w:t>
      </w:r>
      <w:r w:rsidR="00A04B57" w:rsidRPr="00E9276B">
        <w:rPr>
          <w:rFonts w:eastAsiaTheme="minorHAnsi"/>
        </w:rPr>
        <w:t xml:space="preserve">The paper provided the Committee with a proposed approach </w:t>
      </w:r>
      <w:r w:rsidR="00191EED" w:rsidRPr="00E9276B">
        <w:rPr>
          <w:rFonts w:eastAsiaTheme="minorHAnsi"/>
        </w:rPr>
        <w:t>for the</w:t>
      </w:r>
      <w:r w:rsidR="00861C10" w:rsidRPr="00E9276B">
        <w:rPr>
          <w:rFonts w:eastAsiaTheme="minorHAnsi"/>
        </w:rPr>
        <w:t xml:space="preserve"> adoption of AUC to the Review and </w:t>
      </w:r>
      <w:r w:rsidR="000E3816" w:rsidRPr="00E9276B">
        <w:rPr>
          <w:rFonts w:eastAsiaTheme="minorHAnsi"/>
        </w:rPr>
        <w:t>recommended</w:t>
      </w:r>
      <w:r w:rsidR="00861C10" w:rsidRPr="00E9276B">
        <w:rPr>
          <w:rFonts w:eastAsiaTheme="minorHAnsi"/>
        </w:rPr>
        <w:t xml:space="preserve"> the use of the flowchart below</w:t>
      </w:r>
      <w:r w:rsidR="00820C89">
        <w:rPr>
          <w:rFonts w:eastAsiaTheme="minorHAnsi"/>
        </w:rPr>
        <w:t xml:space="preserve"> </w:t>
      </w:r>
      <w:r w:rsidR="00861C10" w:rsidRPr="00E9276B">
        <w:rPr>
          <w:rFonts w:eastAsiaTheme="minorHAnsi"/>
        </w:rPr>
        <w:t xml:space="preserve">to assist with triaging of items, indicating which items might be best suited to follow an evidence-review path, plus or minus AUC incorporation in MBS item ‘hard rules’ (item descriptors) and ‘soft rules’ (explanatory notes). </w:t>
      </w:r>
    </w:p>
    <w:p w14:paraId="3E58C43E" w14:textId="2913324C" w:rsidR="00877C80" w:rsidRDefault="00861C10" w:rsidP="00E9276B">
      <w:pPr>
        <w:spacing w:line="240" w:lineRule="auto"/>
        <w:rPr>
          <w:rFonts w:eastAsiaTheme="minorHAnsi"/>
        </w:rPr>
      </w:pPr>
      <w:r w:rsidRPr="00E9276B">
        <w:rPr>
          <w:rFonts w:eastAsiaTheme="minorHAnsi"/>
        </w:rPr>
        <w:t xml:space="preserve">On 8 February 2016, the </w:t>
      </w:r>
      <w:r w:rsidR="00E70D23" w:rsidRPr="00E9276B">
        <w:rPr>
          <w:rFonts w:eastAsiaTheme="minorHAnsi"/>
        </w:rPr>
        <w:t xml:space="preserve">Committee </w:t>
      </w:r>
      <w:r w:rsidRPr="00E9276B">
        <w:rPr>
          <w:rFonts w:eastAsiaTheme="minorHAnsi"/>
        </w:rPr>
        <w:t>agreed to present the paper to the Taskforce for discussion and provide the paper to MS</w:t>
      </w:r>
      <w:r w:rsidRPr="00990EF8">
        <w:rPr>
          <w:rFonts w:eastAsiaTheme="minorHAnsi"/>
        </w:rPr>
        <w:t xml:space="preserve">AC for comment. At its meeting of </w:t>
      </w:r>
      <w:proofErr w:type="gramStart"/>
      <w:r w:rsidRPr="00990EF8">
        <w:rPr>
          <w:rFonts w:eastAsiaTheme="minorHAnsi"/>
        </w:rPr>
        <w:t>1 March 2016</w:t>
      </w:r>
      <w:proofErr w:type="gramEnd"/>
      <w:r w:rsidRPr="00990EF8">
        <w:rPr>
          <w:rFonts w:eastAsiaTheme="minorHAnsi"/>
        </w:rPr>
        <w:t xml:space="preserve"> the Taskforce agreed to </w:t>
      </w:r>
      <w:r w:rsidR="000E3816" w:rsidRPr="00990EF8">
        <w:rPr>
          <w:rFonts w:eastAsiaTheme="minorHAnsi"/>
        </w:rPr>
        <w:t xml:space="preserve">trial </w:t>
      </w:r>
      <w:r w:rsidRPr="00990EF8">
        <w:rPr>
          <w:rFonts w:eastAsiaTheme="minorHAnsi"/>
        </w:rPr>
        <w:t>an AUC approach. Second tranche clinical committees were then pr</w:t>
      </w:r>
      <w:r w:rsidR="00B41E28" w:rsidRPr="00990EF8">
        <w:rPr>
          <w:rFonts w:eastAsiaTheme="minorHAnsi"/>
        </w:rPr>
        <w:t xml:space="preserve">ovided with a standard template that included the flowchart </w:t>
      </w:r>
      <w:r w:rsidR="00820C89" w:rsidRPr="00990EF8">
        <w:rPr>
          <w:rFonts w:eastAsiaTheme="minorHAnsi"/>
        </w:rPr>
        <w:t xml:space="preserve">below </w:t>
      </w:r>
      <w:r w:rsidR="00B41E28" w:rsidRPr="00E9276B">
        <w:rPr>
          <w:rFonts w:eastAsiaTheme="minorHAnsi"/>
        </w:rPr>
        <w:t>and supporting forms posing questions about the item/s under consideration to focus and guide committee deliberations</w:t>
      </w:r>
      <w:r w:rsidR="00D45260" w:rsidRPr="00E9276B">
        <w:rPr>
          <w:rFonts w:eastAsiaTheme="minorHAnsi"/>
        </w:rPr>
        <w:t xml:space="preserve">. </w:t>
      </w:r>
    </w:p>
    <w:p w14:paraId="169BB710" w14:textId="79E76D4B" w:rsidR="006F5933" w:rsidRPr="00E9276B" w:rsidRDefault="00B41E28" w:rsidP="00E9276B">
      <w:pPr>
        <w:spacing w:line="240" w:lineRule="auto"/>
        <w:rPr>
          <w:rFonts w:eastAsiaTheme="minorHAnsi"/>
        </w:rPr>
      </w:pPr>
      <w:r w:rsidRPr="00E9276B">
        <w:rPr>
          <w:rFonts w:eastAsiaTheme="minorHAnsi"/>
        </w:rPr>
        <w:t>A list of options for clinical committees to consider when making recommendations for amendments to MBS items was also provided.</w:t>
      </w:r>
      <w:r w:rsidR="006F5933" w:rsidRPr="00E9276B">
        <w:rPr>
          <w:rFonts w:eastAsiaTheme="minorHAnsi"/>
        </w:rPr>
        <w:t xml:space="preserve"> </w:t>
      </w:r>
    </w:p>
    <w:p w14:paraId="6ECA98A2" w14:textId="77777777" w:rsidR="00D80480" w:rsidRPr="00E9276B" w:rsidRDefault="00B41E28" w:rsidP="00E9276B">
      <w:pPr>
        <w:spacing w:line="240" w:lineRule="auto"/>
        <w:rPr>
          <w:rFonts w:eastAsiaTheme="minorHAnsi"/>
        </w:rPr>
      </w:pPr>
      <w:r w:rsidRPr="00E9276B">
        <w:rPr>
          <w:rFonts w:eastAsiaTheme="minorHAnsi"/>
        </w:rPr>
        <w:lastRenderedPageBreak/>
        <w:t xml:space="preserve">Application of the methodology ensured </w:t>
      </w:r>
      <w:r w:rsidR="00D80480" w:rsidRPr="00E9276B">
        <w:rPr>
          <w:rFonts w:eastAsiaTheme="minorHAnsi"/>
        </w:rPr>
        <w:t xml:space="preserve">that each clinical committee was guided to undertake </w:t>
      </w:r>
      <w:r w:rsidRPr="00E9276B">
        <w:rPr>
          <w:rFonts w:eastAsiaTheme="minorHAnsi"/>
        </w:rPr>
        <w:t>evidence-based review (where necessary</w:t>
      </w:r>
      <w:proofErr w:type="gramStart"/>
      <w:r w:rsidRPr="00E9276B">
        <w:rPr>
          <w:rFonts w:eastAsiaTheme="minorHAnsi"/>
        </w:rPr>
        <w:t>), and</w:t>
      </w:r>
      <w:proofErr w:type="gramEnd"/>
      <w:r w:rsidRPr="00E9276B">
        <w:rPr>
          <w:rFonts w:eastAsiaTheme="minorHAnsi"/>
        </w:rPr>
        <w:t xml:space="preserve"> used evidence to carefully articulate AUC-based revisions to existing and novel MBS item descriptors. </w:t>
      </w:r>
    </w:p>
    <w:p w14:paraId="6D4E650D" w14:textId="77777777" w:rsidR="00D80480" w:rsidRPr="00E9276B" w:rsidRDefault="00D80480" w:rsidP="00E9276B">
      <w:pPr>
        <w:spacing w:line="240" w:lineRule="auto"/>
        <w:rPr>
          <w:rFonts w:eastAsiaTheme="minorHAnsi"/>
        </w:rPr>
      </w:pPr>
      <w:r w:rsidRPr="00E9276B">
        <w:rPr>
          <w:rFonts w:eastAsiaTheme="minorHAnsi"/>
        </w:rPr>
        <w:t xml:space="preserve">In terms of outcomes of the entire MBS Review process, the Committee felt that this standardised approach to clinical committee operation would produce </w:t>
      </w:r>
      <w:r w:rsidR="00B41E28" w:rsidRPr="00E9276B">
        <w:rPr>
          <w:rFonts w:eastAsiaTheme="minorHAnsi"/>
        </w:rPr>
        <w:t xml:space="preserve">detailed </w:t>
      </w:r>
      <w:r w:rsidRPr="00E9276B">
        <w:rPr>
          <w:rFonts w:eastAsiaTheme="minorHAnsi"/>
        </w:rPr>
        <w:t xml:space="preserve">information on </w:t>
      </w:r>
      <w:r w:rsidR="00B41E28" w:rsidRPr="00E9276B">
        <w:rPr>
          <w:rFonts w:eastAsiaTheme="minorHAnsi"/>
        </w:rPr>
        <w:t xml:space="preserve">clinical deliberations and judgements of </w:t>
      </w:r>
      <w:r w:rsidRPr="00E9276B">
        <w:rPr>
          <w:rFonts w:eastAsiaTheme="minorHAnsi"/>
        </w:rPr>
        <w:t>each individual clinical committee. It was hoped that this documentation would:</w:t>
      </w:r>
    </w:p>
    <w:p w14:paraId="73879AA2" w14:textId="77777777" w:rsidR="00D80480" w:rsidRPr="00E9276B" w:rsidRDefault="00B41E28" w:rsidP="008C345B">
      <w:pPr>
        <w:pStyle w:val="ListParagraph"/>
        <w:numPr>
          <w:ilvl w:val="1"/>
          <w:numId w:val="15"/>
        </w:numPr>
        <w:spacing w:before="0" w:after="0" w:line="240" w:lineRule="auto"/>
        <w:ind w:left="709" w:right="95" w:hanging="441"/>
      </w:pPr>
      <w:r w:rsidRPr="00E9276B">
        <w:t>support clinical committees’ evidence</w:t>
      </w:r>
      <w:r w:rsidRPr="00E9276B">
        <w:noBreakHyphen/>
      </w:r>
      <w:r w:rsidR="00D80480" w:rsidRPr="00E9276B">
        <w:t xml:space="preserve">based review of MBS </w:t>
      </w:r>
      <w:proofErr w:type="gramStart"/>
      <w:r w:rsidR="00D80480" w:rsidRPr="00E9276B">
        <w:t>items;</w:t>
      </w:r>
      <w:proofErr w:type="gramEnd"/>
    </w:p>
    <w:p w14:paraId="34441CE2" w14:textId="77777777" w:rsidR="00D80480" w:rsidRPr="00E9276B" w:rsidRDefault="00B41E28" w:rsidP="008C345B">
      <w:pPr>
        <w:pStyle w:val="ListParagraph"/>
        <w:numPr>
          <w:ilvl w:val="1"/>
          <w:numId w:val="15"/>
        </w:numPr>
        <w:spacing w:before="0" w:after="0" w:line="240" w:lineRule="auto"/>
        <w:ind w:left="709" w:right="95" w:hanging="441"/>
      </w:pPr>
      <w:r w:rsidRPr="00E9276B">
        <w:t xml:space="preserve">provide a basis for further revision of decisions </w:t>
      </w:r>
      <w:proofErr w:type="gramStart"/>
      <w:r w:rsidRPr="00E9276B">
        <w:t>made</w:t>
      </w:r>
      <w:r w:rsidR="00D80480" w:rsidRPr="00E9276B">
        <w:t>;</w:t>
      </w:r>
      <w:proofErr w:type="gramEnd"/>
    </w:p>
    <w:p w14:paraId="3414D076" w14:textId="77777777" w:rsidR="00D80480" w:rsidRPr="00E9276B" w:rsidRDefault="00D80480" w:rsidP="008C345B">
      <w:pPr>
        <w:pStyle w:val="ListParagraph"/>
        <w:numPr>
          <w:ilvl w:val="1"/>
          <w:numId w:val="15"/>
        </w:numPr>
        <w:spacing w:before="0" w:after="0" w:line="240" w:lineRule="auto"/>
        <w:ind w:left="709" w:right="95" w:hanging="441"/>
      </w:pPr>
      <w:r w:rsidRPr="00E9276B">
        <w:t>provide the Taskforce with assurance that clinical committee recommendations were based on sound deliberations; and</w:t>
      </w:r>
    </w:p>
    <w:p w14:paraId="1D8E07DA" w14:textId="77777777" w:rsidR="00B41E28" w:rsidRPr="00E9276B" w:rsidRDefault="00D80480" w:rsidP="008C345B">
      <w:pPr>
        <w:pStyle w:val="ListParagraph"/>
        <w:numPr>
          <w:ilvl w:val="1"/>
          <w:numId w:val="15"/>
        </w:numPr>
        <w:spacing w:before="0" w:after="0" w:line="240" w:lineRule="auto"/>
        <w:ind w:left="709" w:right="95" w:hanging="441"/>
      </w:pPr>
      <w:r w:rsidRPr="00E9276B">
        <w:t xml:space="preserve">provide a reference point for any future MBS Review activity. </w:t>
      </w:r>
    </w:p>
    <w:p w14:paraId="605DA183" w14:textId="58C4B6D9" w:rsidR="00B41E28" w:rsidRPr="00E9276B" w:rsidRDefault="00D80480" w:rsidP="00E9276B">
      <w:pPr>
        <w:spacing w:line="240" w:lineRule="auto"/>
        <w:rPr>
          <w:rFonts w:eastAsiaTheme="minorHAnsi"/>
        </w:rPr>
      </w:pPr>
      <w:r w:rsidRPr="00E9276B">
        <w:rPr>
          <w:rFonts w:eastAsiaTheme="minorHAnsi"/>
        </w:rPr>
        <w:t>The Taskforce’s Consumer Panel raised concerns that this methodology did not incorporate, to an acceptable level, consumer views and perspectives in decision making processes. The Comm</w:t>
      </w:r>
      <w:r w:rsidR="00820C89">
        <w:rPr>
          <w:rFonts w:eastAsiaTheme="minorHAnsi"/>
        </w:rPr>
        <w:t xml:space="preserve">ittee acknowledges this concern and has acknowledged a need for refinement to the model, in the body of this report. </w:t>
      </w:r>
      <w:bookmarkStart w:id="83" w:name="_Toc521674878"/>
    </w:p>
    <w:p w14:paraId="030A0386" w14:textId="3B7464F0" w:rsidR="00E379FD" w:rsidRPr="00720B8D" w:rsidRDefault="00E379FD" w:rsidP="00E379FD">
      <w:pPr>
        <w:pStyle w:val="Caption"/>
        <w:spacing w:after="240"/>
      </w:pPr>
      <w:r w:rsidRPr="00720B8D">
        <w:t>Flow chart for triaging which items might be best suited to follow an evidence-review path, plus or minus AUC formulation in to hard and soft rules (item descriptors and explanatory notes)</w:t>
      </w:r>
      <w:bookmarkEnd w:id="83"/>
    </w:p>
    <w:p w14:paraId="3235D27E" w14:textId="6159B7B6" w:rsidR="00E379FD" w:rsidRPr="00AA7264" w:rsidRDefault="00D669E2" w:rsidP="00E379FD">
      <w:pPr>
        <w:spacing w:after="160" w:line="259" w:lineRule="auto"/>
        <w:rPr>
          <w:rFonts w:ascii="Calibri" w:eastAsia="Calibri" w:hAnsi="Calibri"/>
          <w:color w:val="000000"/>
          <w:szCs w:val="22"/>
        </w:rPr>
      </w:pPr>
      <w:r>
        <w:rPr>
          <w:rFonts w:ascii="Calibri" w:eastAsia="Calibri" w:hAnsi="Calibri"/>
          <w:noProof/>
          <w:color w:val="000000"/>
          <w:szCs w:val="22"/>
        </w:rPr>
        <mc:AlternateContent>
          <mc:Choice Requires="wpg">
            <w:drawing>
              <wp:inline distT="0" distB="0" distL="0" distR="0" wp14:anchorId="49E9ACCA" wp14:editId="071E731F">
                <wp:extent cx="4344785" cy="5050675"/>
                <wp:effectExtent l="0" t="0" r="17780" b="17145"/>
                <wp:docPr id="11" name="Group 11" descr="Flow chart for triaging which items might be best suited to follow an evidence-review path, plus or minus AUC formulation in to hard and soft rules."/>
                <wp:cNvGraphicFramePr/>
                <a:graphic xmlns:a="http://schemas.openxmlformats.org/drawingml/2006/main">
                  <a:graphicData uri="http://schemas.microsoft.com/office/word/2010/wordprocessingGroup">
                    <wpg:wgp>
                      <wpg:cNvGrpSpPr/>
                      <wpg:grpSpPr>
                        <a:xfrm>
                          <a:off x="0" y="0"/>
                          <a:ext cx="4344785" cy="5050675"/>
                          <a:chOff x="0" y="0"/>
                          <a:chExt cx="4344785" cy="5050675"/>
                        </a:xfrm>
                      </wpg:grpSpPr>
                      <wpg:grpSp>
                        <wpg:cNvPr id="7" name="Group 7"/>
                        <wpg:cNvGrpSpPr/>
                        <wpg:grpSpPr>
                          <a:xfrm>
                            <a:off x="0" y="0"/>
                            <a:ext cx="4344785" cy="5050675"/>
                            <a:chOff x="0" y="0"/>
                            <a:chExt cx="4344785" cy="5050675"/>
                          </a:xfrm>
                        </wpg:grpSpPr>
                        <wps:wsp>
                          <wps:cNvPr id="5" name="Text Box 5"/>
                          <wps:cNvSpPr txBox="1">
                            <a:spLocks/>
                          </wps:cNvSpPr>
                          <wps:spPr>
                            <a:xfrm>
                              <a:off x="1288472" y="0"/>
                              <a:ext cx="1868170" cy="410210"/>
                            </a:xfrm>
                            <a:prstGeom prst="rect">
                              <a:avLst/>
                            </a:prstGeom>
                            <a:solidFill>
                              <a:sysClr val="window" lastClr="FFFFFF"/>
                            </a:solidFill>
                            <a:ln w="6350">
                              <a:solidFill>
                                <a:prstClr val="black"/>
                              </a:solidFill>
                            </a:ln>
                            <a:effectLst/>
                          </wps:spPr>
                          <wps:txbx>
                            <w:txbxContent>
                              <w:p w14:paraId="246EB398" w14:textId="77777777" w:rsidR="009E44A7" w:rsidRPr="001B0AB1" w:rsidRDefault="009E44A7" w:rsidP="00E379FD">
                                <w:pPr>
                                  <w:pStyle w:val="NoSpacing1"/>
                                  <w:jc w:val="center"/>
                                  <w:rPr>
                                    <w:sz w:val="18"/>
                                    <w:szCs w:val="18"/>
                                  </w:rPr>
                                </w:pPr>
                                <w:r w:rsidRPr="001B0AB1">
                                  <w:rPr>
                                    <w:sz w:val="18"/>
                                    <w:szCs w:val="18"/>
                                  </w:rPr>
                                  <w:t>M</w:t>
                                </w:r>
                                <w:r>
                                  <w:rPr>
                                    <w:sz w:val="18"/>
                                    <w:szCs w:val="18"/>
                                  </w:rPr>
                                  <w:t>BS item or c</w:t>
                                </w:r>
                                <w:r w:rsidRPr="001B0AB1">
                                  <w:rPr>
                                    <w:sz w:val="18"/>
                                    <w:szCs w:val="18"/>
                                  </w:rPr>
                                  <w:t xml:space="preserve">luster of </w:t>
                                </w:r>
                                <w:r>
                                  <w:rPr>
                                    <w:sz w:val="18"/>
                                    <w:szCs w:val="18"/>
                                  </w:rPr>
                                  <w:t>i</w:t>
                                </w:r>
                                <w:r w:rsidRPr="001B0AB1">
                                  <w:rPr>
                                    <w:sz w:val="18"/>
                                    <w:szCs w:val="18"/>
                                  </w:rPr>
                                  <w:t>tems</w:t>
                                </w:r>
                              </w:p>
                              <w:p w14:paraId="45EC9746" w14:textId="77777777" w:rsidR="009E44A7" w:rsidRPr="001B0AB1" w:rsidRDefault="009E44A7" w:rsidP="00E379FD">
                                <w:pPr>
                                  <w:pStyle w:val="NoSpacing1"/>
                                  <w:jc w:val="center"/>
                                  <w:rPr>
                                    <w:sz w:val="18"/>
                                    <w:szCs w:val="18"/>
                                  </w:rPr>
                                </w:pPr>
                                <w:r w:rsidRPr="001B0AB1">
                                  <w:rPr>
                                    <w:sz w:val="18"/>
                                    <w:szCs w:val="18"/>
                                  </w:rPr>
                                  <w:t xml:space="preserve">(Template </w:t>
                                </w:r>
                                <w:r>
                                  <w:rPr>
                                    <w:sz w:val="18"/>
                                    <w:szCs w:val="18"/>
                                  </w:rPr>
                                  <w:t>step 1</w:t>
                                </w:r>
                                <w:r w:rsidRPr="001B0AB1">
                                  <w:rPr>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a:spLocks/>
                          </wps:cNvSpPr>
                          <wps:spPr>
                            <a:xfrm>
                              <a:off x="51954" y="3543300"/>
                              <a:ext cx="1551940" cy="739140"/>
                            </a:xfrm>
                            <a:prstGeom prst="rect">
                              <a:avLst/>
                            </a:prstGeom>
                            <a:solidFill>
                              <a:sysClr val="window" lastClr="FFFFFF"/>
                            </a:solidFill>
                            <a:ln w="6350">
                              <a:solidFill>
                                <a:prstClr val="black"/>
                              </a:solidFill>
                            </a:ln>
                            <a:effectLst/>
                          </wps:spPr>
                          <wps:txbx>
                            <w:txbxContent>
                              <w:p w14:paraId="59E60C60" w14:textId="77777777" w:rsidR="009E44A7" w:rsidRPr="000439B5" w:rsidRDefault="009E44A7" w:rsidP="00E379FD">
                                <w:pPr>
                                  <w:pStyle w:val="NoSpacing1"/>
                                  <w:jc w:val="center"/>
                                  <w:rPr>
                                    <w:sz w:val="18"/>
                                    <w:szCs w:val="18"/>
                                  </w:rPr>
                                </w:pPr>
                                <w:r w:rsidRPr="000439B5">
                                  <w:rPr>
                                    <w:sz w:val="18"/>
                                    <w:szCs w:val="18"/>
                                  </w:rPr>
                                  <w:t>P</w:t>
                                </w:r>
                                <w:r>
                                  <w:rPr>
                                    <w:sz w:val="18"/>
                                    <w:szCs w:val="18"/>
                                  </w:rPr>
                                  <w:t>ragmatic a</w:t>
                                </w:r>
                                <w:r w:rsidRPr="000439B5">
                                  <w:rPr>
                                    <w:sz w:val="18"/>
                                    <w:szCs w:val="18"/>
                                  </w:rPr>
                                  <w:t>pproach:</w:t>
                                </w:r>
                              </w:p>
                              <w:p w14:paraId="6975B064" w14:textId="77777777" w:rsidR="009E44A7" w:rsidRPr="000439B5" w:rsidRDefault="009E44A7" w:rsidP="00E379FD">
                                <w:pPr>
                                  <w:pStyle w:val="NoSpacing1"/>
                                  <w:jc w:val="center"/>
                                  <w:rPr>
                                    <w:sz w:val="18"/>
                                    <w:szCs w:val="18"/>
                                  </w:rPr>
                                </w:pPr>
                                <w:r>
                                  <w:rPr>
                                    <w:sz w:val="18"/>
                                    <w:szCs w:val="18"/>
                                  </w:rPr>
                                  <w:t>consensus, clinical j</w:t>
                                </w:r>
                                <w:r w:rsidRPr="000439B5">
                                  <w:rPr>
                                    <w:sz w:val="18"/>
                                    <w:szCs w:val="18"/>
                                  </w:rPr>
                                  <w:t>udgement</w:t>
                                </w:r>
                              </w:p>
                              <w:p w14:paraId="62FCCD49" w14:textId="77777777" w:rsidR="009E44A7" w:rsidRPr="00AA7264" w:rsidRDefault="009E44A7" w:rsidP="00E379FD">
                                <w:pPr>
                                  <w:spacing w:before="0" w:line="240" w:lineRule="auto"/>
                                  <w:jc w:val="center"/>
                                  <w:rPr>
                                    <w:rFonts w:ascii="Calibri" w:hAnsi="Calibri"/>
                                    <w:sz w:val="18"/>
                                  </w:rPr>
                                </w:pPr>
                                <w:r>
                                  <w:rPr>
                                    <w:rFonts w:ascii="Calibri" w:hAnsi="Calibri"/>
                                    <w:sz w:val="18"/>
                                  </w:rPr>
                                  <w:t>(Template s</w:t>
                                </w:r>
                                <w:r w:rsidRPr="00AA7264">
                                  <w:rPr>
                                    <w:rFonts w:ascii="Calibri" w:hAnsi="Calibri"/>
                                    <w:sz w:val="18"/>
                                  </w:rPr>
                                  <w:t>tep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a:spLocks/>
                          </wps:cNvSpPr>
                          <wps:spPr>
                            <a:xfrm>
                              <a:off x="2535381" y="1537855"/>
                              <a:ext cx="1777665" cy="1015365"/>
                            </a:xfrm>
                            <a:prstGeom prst="rect">
                              <a:avLst/>
                            </a:prstGeom>
                            <a:solidFill>
                              <a:sysClr val="window" lastClr="FFFFFF"/>
                            </a:solidFill>
                            <a:ln w="6350">
                              <a:solidFill>
                                <a:prstClr val="black"/>
                              </a:solidFill>
                            </a:ln>
                            <a:effectLst/>
                          </wps:spPr>
                          <wps:txbx>
                            <w:txbxContent>
                              <w:p w14:paraId="149603ED" w14:textId="77777777" w:rsidR="009E44A7" w:rsidRPr="00AA7264" w:rsidRDefault="009E44A7" w:rsidP="00E379FD">
                                <w:pPr>
                                  <w:spacing w:before="120" w:after="0" w:line="240" w:lineRule="auto"/>
                                  <w:jc w:val="center"/>
                                  <w:rPr>
                                    <w:rFonts w:ascii="Calibri" w:hAnsi="Calibri"/>
                                    <w:sz w:val="18"/>
                                  </w:rPr>
                                </w:pPr>
                                <w:r>
                                  <w:rPr>
                                    <w:rFonts w:ascii="Calibri" w:hAnsi="Calibri"/>
                                    <w:sz w:val="18"/>
                                  </w:rPr>
                                  <w:t>Evidence r</w:t>
                                </w:r>
                                <w:r w:rsidRPr="00AA7264">
                                  <w:rPr>
                                    <w:rFonts w:ascii="Calibri" w:hAnsi="Calibri"/>
                                    <w:sz w:val="18"/>
                                  </w:rPr>
                                  <w:t>eview:</w:t>
                                </w:r>
                              </w:p>
                              <w:p w14:paraId="5A215EFB" w14:textId="77777777" w:rsidR="009E44A7" w:rsidRPr="00AA7264" w:rsidRDefault="009E44A7" w:rsidP="00E379FD">
                                <w:pPr>
                                  <w:spacing w:before="0" w:after="0" w:line="240" w:lineRule="auto"/>
                                  <w:jc w:val="center"/>
                                  <w:rPr>
                                    <w:rFonts w:ascii="Calibri" w:hAnsi="Calibri"/>
                                    <w:sz w:val="18"/>
                                  </w:rPr>
                                </w:pPr>
                                <w:r>
                                  <w:rPr>
                                    <w:rFonts w:ascii="Calibri" w:hAnsi="Calibri"/>
                                    <w:sz w:val="18"/>
                                  </w:rPr>
                                  <w:t>Document rationale for r</w:t>
                                </w:r>
                                <w:r w:rsidRPr="00AA7264">
                                  <w:rPr>
                                    <w:rFonts w:ascii="Calibri" w:hAnsi="Calibri"/>
                                    <w:sz w:val="18"/>
                                  </w:rPr>
                                  <w:t xml:space="preserve">eview </w:t>
                                </w:r>
                                <w:r>
                                  <w:rPr>
                                    <w:rFonts w:ascii="Calibri" w:hAnsi="Calibri"/>
                                    <w:sz w:val="18"/>
                                  </w:rPr>
                                  <w:t>r</w:t>
                                </w:r>
                                <w:r w:rsidRPr="00AA7264">
                                  <w:rPr>
                                    <w:rFonts w:ascii="Calibri" w:hAnsi="Calibri"/>
                                    <w:sz w:val="18"/>
                                  </w:rPr>
                                  <w:t>equirements based on flags present and state of current evidence</w:t>
                                </w:r>
                              </w:p>
                              <w:p w14:paraId="4D45B2C0" w14:textId="77777777" w:rsidR="009E44A7" w:rsidRPr="00AA7264" w:rsidRDefault="009E44A7" w:rsidP="00E379FD">
                                <w:pPr>
                                  <w:spacing w:before="0"/>
                                  <w:jc w:val="center"/>
                                  <w:rPr>
                                    <w:rFonts w:ascii="Calibri" w:hAnsi="Calibri"/>
                                    <w:sz w:val="18"/>
                                  </w:rPr>
                                </w:pPr>
                                <w:r>
                                  <w:rPr>
                                    <w:rFonts w:ascii="Calibri" w:hAnsi="Calibri"/>
                                    <w:sz w:val="18"/>
                                  </w:rPr>
                                  <w:t>(Template s</w:t>
                                </w:r>
                                <w:r w:rsidRPr="00AA7264">
                                  <w:rPr>
                                    <w:rFonts w:ascii="Calibri" w:hAnsi="Calibri"/>
                                    <w:sz w:val="18"/>
                                  </w:rPr>
                                  <w:t>tep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a:spLocks/>
                          </wps:cNvSpPr>
                          <wps:spPr>
                            <a:xfrm>
                              <a:off x="187036" y="4395355"/>
                              <a:ext cx="3424555" cy="655320"/>
                            </a:xfrm>
                            <a:prstGeom prst="rect">
                              <a:avLst/>
                            </a:prstGeom>
                            <a:solidFill>
                              <a:sysClr val="window" lastClr="FFFFFF"/>
                            </a:solidFill>
                            <a:ln w="6350">
                              <a:solidFill>
                                <a:prstClr val="black"/>
                              </a:solidFill>
                            </a:ln>
                            <a:effectLst/>
                          </wps:spPr>
                          <wps:txbx>
                            <w:txbxContent>
                              <w:p w14:paraId="1D13D2ED" w14:textId="77777777" w:rsidR="009E44A7" w:rsidRPr="000439B5" w:rsidRDefault="009E44A7" w:rsidP="00E379FD">
                                <w:pPr>
                                  <w:pStyle w:val="NoSpacing1"/>
                                  <w:spacing w:before="120"/>
                                  <w:jc w:val="center"/>
                                  <w:rPr>
                                    <w:sz w:val="18"/>
                                    <w:szCs w:val="18"/>
                                  </w:rPr>
                                </w:pPr>
                                <w:r>
                                  <w:rPr>
                                    <w:sz w:val="18"/>
                                    <w:szCs w:val="18"/>
                                  </w:rPr>
                                  <w:t>MBS item changes (any/all r</w:t>
                                </w:r>
                                <w:r w:rsidRPr="000439B5">
                                  <w:rPr>
                                    <w:sz w:val="18"/>
                                    <w:szCs w:val="18"/>
                                  </w:rPr>
                                  <w:t>elevant AUC incorporated)</w:t>
                                </w:r>
                                <w:r>
                                  <w:rPr>
                                    <w:sz w:val="18"/>
                                    <w:szCs w:val="18"/>
                                  </w:rPr>
                                  <w:t>—</w:t>
                                </w:r>
                              </w:p>
                              <w:p w14:paraId="1C8FA132" w14:textId="77777777" w:rsidR="009E44A7" w:rsidRPr="007A5BD7" w:rsidRDefault="009E44A7" w:rsidP="00E379FD">
                                <w:pPr>
                                  <w:pStyle w:val="NoSpacing1"/>
                                  <w:jc w:val="center"/>
                                  <w:rPr>
                                    <w:sz w:val="18"/>
                                    <w:szCs w:val="18"/>
                                  </w:rPr>
                                </w:pPr>
                                <w:r w:rsidRPr="000439B5">
                                  <w:rPr>
                                    <w:sz w:val="18"/>
                                    <w:szCs w:val="18"/>
                                  </w:rPr>
                                  <w:t>‘hard rules’ (item descriptors) and ‘soft rules’ (explanatory notes)</w:t>
                                </w:r>
                              </w:p>
                              <w:p w14:paraId="4D27BF80" w14:textId="77777777" w:rsidR="009E44A7" w:rsidRPr="00AA7264" w:rsidRDefault="009E44A7" w:rsidP="00E379FD">
                                <w:pPr>
                                  <w:spacing w:before="0" w:line="240" w:lineRule="auto"/>
                                  <w:jc w:val="center"/>
                                  <w:rPr>
                                    <w:rFonts w:ascii="Calibri" w:hAnsi="Calibri"/>
                                    <w:sz w:val="18"/>
                                  </w:rPr>
                                </w:pPr>
                                <w:r>
                                  <w:rPr>
                                    <w:rFonts w:ascii="Calibri" w:hAnsi="Calibri"/>
                                    <w:sz w:val="18"/>
                                  </w:rPr>
                                  <w:t>(Template s</w:t>
                                </w:r>
                                <w:r w:rsidRPr="00AA7264">
                                  <w:rPr>
                                    <w:rFonts w:ascii="Calibri" w:hAnsi="Calibri"/>
                                    <w:sz w:val="18"/>
                                  </w:rPr>
                                  <w:t>tep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a:spLocks/>
                          </wps:cNvSpPr>
                          <wps:spPr>
                            <a:xfrm>
                              <a:off x="166254" y="1756064"/>
                              <a:ext cx="1497330" cy="1389413"/>
                            </a:xfrm>
                            <a:prstGeom prst="rect">
                              <a:avLst/>
                            </a:prstGeom>
                            <a:solidFill>
                              <a:sysClr val="window" lastClr="FFFFFF"/>
                            </a:solidFill>
                            <a:ln w="6350">
                              <a:solidFill>
                                <a:prstClr val="black"/>
                              </a:solidFill>
                            </a:ln>
                            <a:effectLst/>
                          </wps:spPr>
                          <wps:txbx>
                            <w:txbxContent>
                              <w:p w14:paraId="10D3EAA1" w14:textId="77777777" w:rsidR="009E44A7" w:rsidRPr="00AA7264" w:rsidRDefault="009E44A7" w:rsidP="00E379FD">
                                <w:pPr>
                                  <w:spacing w:before="120" w:after="0" w:line="240" w:lineRule="auto"/>
                                  <w:jc w:val="center"/>
                                  <w:rPr>
                                    <w:rFonts w:ascii="Calibri" w:hAnsi="Calibri"/>
                                    <w:sz w:val="18"/>
                                  </w:rPr>
                                </w:pPr>
                                <w:r w:rsidRPr="00AA7264">
                                  <w:rPr>
                                    <w:rFonts w:ascii="Calibri" w:hAnsi="Calibri"/>
                                    <w:sz w:val="18"/>
                                  </w:rPr>
                                  <w:t>M</w:t>
                                </w:r>
                                <w:r>
                                  <w:rPr>
                                    <w:rFonts w:ascii="Calibri" w:hAnsi="Calibri"/>
                                    <w:sz w:val="18"/>
                                  </w:rPr>
                                  <w:t>inor amendments necessary; no evidence review required [provide j</w:t>
                                </w:r>
                                <w:r w:rsidRPr="00AA7264">
                                  <w:rPr>
                                    <w:rFonts w:ascii="Calibri" w:hAnsi="Calibri"/>
                                    <w:sz w:val="18"/>
                                  </w:rPr>
                                  <w:t>ustification]</w:t>
                                </w:r>
                              </w:p>
                              <w:p w14:paraId="2CDCCC99" w14:textId="77777777" w:rsidR="009E44A7" w:rsidRPr="00AA7264" w:rsidRDefault="009E44A7" w:rsidP="00E379FD">
                                <w:pPr>
                                  <w:spacing w:before="0" w:after="0" w:line="240" w:lineRule="auto"/>
                                  <w:jc w:val="center"/>
                                  <w:rPr>
                                    <w:rFonts w:ascii="Calibri" w:hAnsi="Calibri"/>
                                    <w:sz w:val="18"/>
                                  </w:rPr>
                                </w:pPr>
                                <w:r>
                                  <w:rPr>
                                    <w:rFonts w:ascii="Calibri" w:hAnsi="Calibri"/>
                                    <w:sz w:val="18"/>
                                  </w:rPr>
                                  <w:t>o</w:t>
                                </w:r>
                                <w:r w:rsidRPr="00AA7264">
                                  <w:rPr>
                                    <w:rFonts w:ascii="Calibri" w:hAnsi="Calibri"/>
                                    <w:sz w:val="18"/>
                                  </w:rPr>
                                  <w:t>r</w:t>
                                </w:r>
                              </w:p>
                              <w:p w14:paraId="2DA1E692" w14:textId="77777777" w:rsidR="009E44A7" w:rsidRPr="00AA7264" w:rsidRDefault="009E44A7" w:rsidP="00E379FD">
                                <w:pPr>
                                  <w:spacing w:before="0" w:after="0" w:line="240" w:lineRule="auto"/>
                                  <w:jc w:val="center"/>
                                  <w:rPr>
                                    <w:rFonts w:ascii="Calibri" w:hAnsi="Calibri"/>
                                    <w:sz w:val="18"/>
                                  </w:rPr>
                                </w:pPr>
                                <w:r>
                                  <w:rPr>
                                    <w:rFonts w:ascii="Calibri" w:hAnsi="Calibri"/>
                                    <w:sz w:val="18"/>
                                  </w:rPr>
                                  <w:t>principally a rule-based i</w:t>
                                </w:r>
                                <w:r w:rsidRPr="00AA7264">
                                  <w:rPr>
                                    <w:rFonts w:ascii="Calibri" w:hAnsi="Calibri"/>
                                    <w:sz w:val="18"/>
                                  </w:rPr>
                                  <w:t>ssue (e.g. co-claiming)</w:t>
                                </w:r>
                              </w:p>
                              <w:p w14:paraId="3717327A" w14:textId="77777777" w:rsidR="009E44A7" w:rsidRPr="00AA7264" w:rsidRDefault="009E44A7" w:rsidP="00E379FD">
                                <w:pPr>
                                  <w:spacing w:before="0"/>
                                  <w:jc w:val="center"/>
                                  <w:rPr>
                                    <w:rFonts w:ascii="Calibri" w:hAnsi="Calibri"/>
                                    <w:sz w:val="18"/>
                                  </w:rPr>
                                </w:pPr>
                                <w:r>
                                  <w:rPr>
                                    <w:rFonts w:ascii="Calibri" w:hAnsi="Calibri"/>
                                    <w:sz w:val="18"/>
                                  </w:rPr>
                                  <w:t>(Template s</w:t>
                                </w:r>
                                <w:r w:rsidRPr="00AA7264">
                                  <w:rPr>
                                    <w:rFonts w:ascii="Calibri" w:hAnsi="Calibri"/>
                                    <w:sz w:val="18"/>
                                  </w:rPr>
                                  <w:t>tep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a:spLocks/>
                          </wps:cNvSpPr>
                          <wps:spPr>
                            <a:xfrm>
                              <a:off x="0" y="550719"/>
                              <a:ext cx="4324350" cy="876300"/>
                            </a:xfrm>
                            <a:prstGeom prst="rect">
                              <a:avLst/>
                            </a:prstGeom>
                            <a:solidFill>
                              <a:sysClr val="window" lastClr="FFFFFF"/>
                            </a:solidFill>
                            <a:ln w="6350">
                              <a:solidFill>
                                <a:prstClr val="black"/>
                              </a:solidFill>
                            </a:ln>
                            <a:effectLst/>
                          </wps:spPr>
                          <wps:txbx>
                            <w:txbxContent>
                              <w:p w14:paraId="254BEC25" w14:textId="77777777" w:rsidR="009E44A7" w:rsidRPr="00AA7264" w:rsidRDefault="009E44A7" w:rsidP="00E379FD">
                                <w:pPr>
                                  <w:spacing w:before="120" w:after="0" w:line="240" w:lineRule="auto"/>
                                  <w:jc w:val="center"/>
                                  <w:rPr>
                                    <w:rFonts w:ascii="Calibri" w:hAnsi="Calibri"/>
                                    <w:sz w:val="18"/>
                                  </w:rPr>
                                </w:pPr>
                                <w:r w:rsidRPr="00AA7264">
                                  <w:rPr>
                                    <w:rFonts w:ascii="Calibri" w:hAnsi="Calibri"/>
                                    <w:sz w:val="18"/>
                                  </w:rPr>
                                  <w:t>F</w:t>
                                </w:r>
                                <w:r>
                                  <w:rPr>
                                    <w:rFonts w:ascii="Calibri" w:hAnsi="Calibri"/>
                                    <w:sz w:val="18"/>
                                  </w:rPr>
                                  <w:t>lags to warrant comprehensive review—for example: high-volume/cost service; geographic/temporal variation in use; identified safety c</w:t>
                                </w:r>
                                <w:r w:rsidRPr="00AA7264">
                                  <w:rPr>
                                    <w:rFonts w:ascii="Calibri" w:hAnsi="Calibri"/>
                                    <w:sz w:val="18"/>
                                  </w:rPr>
                                  <w:t>oncern</w:t>
                                </w:r>
                                <w:r>
                                  <w:rPr>
                                    <w:rFonts w:ascii="Calibri" w:hAnsi="Calibri"/>
                                    <w:sz w:val="18"/>
                                  </w:rPr>
                                  <w:t>s; good safety evidence; d</w:t>
                                </w:r>
                                <w:r w:rsidRPr="00AA7264">
                                  <w:rPr>
                                    <w:rFonts w:ascii="Calibri" w:hAnsi="Calibri"/>
                                    <w:sz w:val="18"/>
                                  </w:rPr>
                                  <w:t xml:space="preserve">elivery </w:t>
                                </w:r>
                                <w:r>
                                  <w:rPr>
                                    <w:rFonts w:ascii="Calibri" w:hAnsi="Calibri"/>
                                    <w:sz w:val="18"/>
                                  </w:rPr>
                                  <w:t>Irregularity (place/provider); suspected indication creep.</w:t>
                                </w:r>
                              </w:p>
                              <w:p w14:paraId="6CAF0E79" w14:textId="77777777" w:rsidR="009E44A7" w:rsidRPr="00AA7264" w:rsidRDefault="009E44A7" w:rsidP="00E379FD">
                                <w:pPr>
                                  <w:spacing w:before="0"/>
                                  <w:jc w:val="center"/>
                                  <w:rPr>
                                    <w:rFonts w:ascii="Calibri" w:hAnsi="Calibri"/>
                                    <w:sz w:val="18"/>
                                  </w:rPr>
                                </w:pPr>
                                <w:r w:rsidRPr="00AA7264">
                                  <w:rPr>
                                    <w:rFonts w:ascii="Calibri" w:hAnsi="Calibri"/>
                                    <w:sz w:val="18"/>
                                  </w:rPr>
                                  <w:t>(Template Step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a:spLocks/>
                          </wps:cNvSpPr>
                          <wps:spPr>
                            <a:xfrm>
                              <a:off x="2161309" y="2795155"/>
                              <a:ext cx="1080135" cy="638175"/>
                            </a:xfrm>
                            <a:prstGeom prst="rect">
                              <a:avLst/>
                            </a:prstGeom>
                            <a:solidFill>
                              <a:sysClr val="window" lastClr="FFFFFF"/>
                            </a:solidFill>
                            <a:ln w="6350">
                              <a:solidFill>
                                <a:prstClr val="black"/>
                              </a:solidFill>
                            </a:ln>
                            <a:effectLst/>
                          </wps:spPr>
                          <wps:txbx>
                            <w:txbxContent>
                              <w:p w14:paraId="408C353A" w14:textId="77777777" w:rsidR="009E44A7" w:rsidRPr="00AA7264" w:rsidRDefault="009E44A7" w:rsidP="00E379FD">
                                <w:pPr>
                                  <w:spacing w:before="120" w:after="0" w:line="240" w:lineRule="auto"/>
                                  <w:jc w:val="center"/>
                                  <w:rPr>
                                    <w:rFonts w:ascii="Calibri" w:hAnsi="Calibri"/>
                                    <w:sz w:val="18"/>
                                  </w:rPr>
                                </w:pPr>
                                <w:r w:rsidRPr="00AA7264">
                                  <w:rPr>
                                    <w:rFonts w:ascii="Calibri" w:hAnsi="Calibri"/>
                                    <w:sz w:val="18"/>
                                  </w:rPr>
                                  <w:t>R</w:t>
                                </w:r>
                                <w:r>
                                  <w:rPr>
                                    <w:rFonts w:ascii="Calibri" w:hAnsi="Calibri"/>
                                    <w:sz w:val="18"/>
                                  </w:rPr>
                                  <w:t>apid review; costing a</w:t>
                                </w:r>
                                <w:r w:rsidRPr="00AA7264">
                                  <w:rPr>
                                    <w:rFonts w:ascii="Calibri" w:hAnsi="Calibri"/>
                                    <w:sz w:val="18"/>
                                  </w:rPr>
                                  <w:t xml:space="preserve">nalysis </w:t>
                                </w:r>
                              </w:p>
                              <w:p w14:paraId="5DE2C35E" w14:textId="77777777" w:rsidR="009E44A7" w:rsidRPr="00AA7264" w:rsidRDefault="009E44A7" w:rsidP="00E379FD">
                                <w:pPr>
                                  <w:spacing w:before="0" w:line="240" w:lineRule="auto"/>
                                  <w:jc w:val="center"/>
                                  <w:rPr>
                                    <w:rFonts w:ascii="Calibri" w:hAnsi="Calibri"/>
                                    <w:sz w:val="18"/>
                                  </w:rPr>
                                </w:pPr>
                                <w:r>
                                  <w:rPr>
                                    <w:rFonts w:ascii="Calibri" w:hAnsi="Calibri"/>
                                    <w:sz w:val="18"/>
                                  </w:rPr>
                                  <w:t>(Template s</w:t>
                                </w:r>
                                <w:r w:rsidRPr="00AA7264">
                                  <w:rPr>
                                    <w:rFonts w:ascii="Calibri" w:hAnsi="Calibri"/>
                                    <w:sz w:val="18"/>
                                  </w:rPr>
                                  <w:t>tep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a:spLocks/>
                          </wps:cNvSpPr>
                          <wps:spPr>
                            <a:xfrm>
                              <a:off x="3262745" y="2795155"/>
                              <a:ext cx="1082040" cy="638175"/>
                            </a:xfrm>
                            <a:prstGeom prst="rect">
                              <a:avLst/>
                            </a:prstGeom>
                            <a:solidFill>
                              <a:sysClr val="window" lastClr="FFFFFF"/>
                            </a:solidFill>
                            <a:ln w="6350">
                              <a:solidFill>
                                <a:prstClr val="black"/>
                              </a:solidFill>
                            </a:ln>
                            <a:effectLst/>
                          </wps:spPr>
                          <wps:txbx>
                            <w:txbxContent>
                              <w:p w14:paraId="11ED8448" w14:textId="77777777" w:rsidR="009E44A7" w:rsidRPr="00AA7264" w:rsidRDefault="009E44A7" w:rsidP="00E379FD">
                                <w:pPr>
                                  <w:spacing w:after="0" w:line="240" w:lineRule="auto"/>
                                  <w:jc w:val="center"/>
                                  <w:rPr>
                                    <w:rFonts w:ascii="Calibri" w:hAnsi="Calibri"/>
                                    <w:sz w:val="18"/>
                                  </w:rPr>
                                </w:pPr>
                                <w:r w:rsidRPr="00AA7264">
                                  <w:rPr>
                                    <w:rFonts w:ascii="Calibri" w:hAnsi="Calibri"/>
                                    <w:sz w:val="18"/>
                                  </w:rPr>
                                  <w:t xml:space="preserve">Full HTA </w:t>
                                </w:r>
                              </w:p>
                              <w:p w14:paraId="5FF88809" w14:textId="77777777" w:rsidR="009E44A7" w:rsidRPr="00AA7264" w:rsidRDefault="009E44A7" w:rsidP="00E379FD">
                                <w:pPr>
                                  <w:spacing w:before="0" w:line="240" w:lineRule="auto"/>
                                  <w:jc w:val="center"/>
                                  <w:rPr>
                                    <w:rFonts w:ascii="Calibri" w:hAnsi="Calibri"/>
                                    <w:sz w:val="18"/>
                                  </w:rPr>
                                </w:pPr>
                                <w:r>
                                  <w:rPr>
                                    <w:rFonts w:ascii="Calibri" w:hAnsi="Calibri"/>
                                    <w:sz w:val="18"/>
                                  </w:rPr>
                                  <w:t>(Template s</w:t>
                                </w:r>
                                <w:r w:rsidRPr="00AA7264">
                                  <w:rPr>
                                    <w:rFonts w:ascii="Calibri" w:hAnsi="Calibri"/>
                                    <w:sz w:val="18"/>
                                  </w:rPr>
                                  <w:t>tep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a:spLocks/>
                          </wps:cNvSpPr>
                          <wps:spPr>
                            <a:xfrm>
                              <a:off x="1818409" y="3636819"/>
                              <a:ext cx="2454275" cy="643890"/>
                            </a:xfrm>
                            <a:prstGeom prst="rect">
                              <a:avLst/>
                            </a:prstGeom>
                            <a:solidFill>
                              <a:sysClr val="window" lastClr="FFFFFF"/>
                            </a:solidFill>
                            <a:ln w="6350">
                              <a:solidFill>
                                <a:prstClr val="black"/>
                              </a:solidFill>
                            </a:ln>
                            <a:effectLst/>
                          </wps:spPr>
                          <wps:txbx>
                            <w:txbxContent>
                              <w:p w14:paraId="49D02F40" w14:textId="77777777" w:rsidR="009E44A7" w:rsidRPr="000439B5" w:rsidRDefault="009E44A7" w:rsidP="00E379FD">
                                <w:pPr>
                                  <w:pStyle w:val="NoSpacing1"/>
                                  <w:jc w:val="center"/>
                                  <w:rPr>
                                    <w:sz w:val="18"/>
                                  </w:rPr>
                                </w:pPr>
                                <w:r w:rsidRPr="000439B5">
                                  <w:rPr>
                                    <w:sz w:val="18"/>
                                  </w:rPr>
                                  <w:t>D</w:t>
                                </w:r>
                                <w:r>
                                  <w:rPr>
                                    <w:sz w:val="18"/>
                                  </w:rPr>
                                  <w:t>escribe relevant AUC</w:t>
                                </w:r>
                                <w:r w:rsidRPr="000439B5">
                                  <w:rPr>
                                    <w:sz w:val="18"/>
                                  </w:rPr>
                                  <w:t xml:space="preserve"> (appropriate AND inappropriate indications, populations, frequencies, operators etc</w:t>
                                </w:r>
                                <w:r>
                                  <w:rPr>
                                    <w:sz w:val="18"/>
                                  </w:rPr>
                                  <w:t>.</w:t>
                                </w:r>
                                <w:r w:rsidRPr="000439B5">
                                  <w:rPr>
                                    <w:sz w:val="18"/>
                                  </w:rPr>
                                  <w:t>)</w:t>
                                </w:r>
                              </w:p>
                              <w:p w14:paraId="52B175B4" w14:textId="77777777" w:rsidR="009E44A7" w:rsidRPr="000439B5" w:rsidRDefault="009E44A7" w:rsidP="00E379FD">
                                <w:pPr>
                                  <w:pStyle w:val="NoSpacing1"/>
                                  <w:jc w:val="center"/>
                                  <w:rPr>
                                    <w:sz w:val="18"/>
                                  </w:rPr>
                                </w:pPr>
                                <w:r>
                                  <w:rPr>
                                    <w:sz w:val="18"/>
                                  </w:rPr>
                                  <w:t>(Template st</w:t>
                                </w:r>
                                <w:r w:rsidRPr="000439B5">
                                  <w:rPr>
                                    <w:sz w:val="18"/>
                                  </w:rPr>
                                  <w:t>ep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 name="Group 10"/>
                        <wpg:cNvGrpSpPr/>
                        <wpg:grpSpPr>
                          <a:xfrm>
                            <a:off x="944880" y="404949"/>
                            <a:ext cx="3287123" cy="4353197"/>
                            <a:chOff x="0" y="0"/>
                            <a:chExt cx="3287123" cy="4353197"/>
                          </a:xfrm>
                        </wpg:grpSpPr>
                        <wps:wsp>
                          <wps:cNvPr id="15" name="Straight Arrow Connector 15">
                            <a:extLst>
                              <a:ext uri="{C183D7F6-B498-43B3-948B-1728B52AA6E4}">
                                <adec:decorative xmlns:adec="http://schemas.microsoft.com/office/drawing/2017/decorative" val="1"/>
                              </a:ext>
                            </a:extLst>
                          </wps:cNvPr>
                          <wps:cNvCnPr>
                            <a:cxnSpLocks/>
                          </wps:cNvCnPr>
                          <wps:spPr>
                            <a:xfrm>
                              <a:off x="2690949" y="3024051"/>
                              <a:ext cx="0" cy="175895"/>
                            </a:xfrm>
                            <a:prstGeom prst="straightConnector1">
                              <a:avLst/>
                            </a:prstGeom>
                            <a:noFill/>
                            <a:ln w="6350" cap="flat" cmpd="sng" algn="ctr">
                              <a:solidFill>
                                <a:sysClr val="windowText" lastClr="000000"/>
                              </a:solidFill>
                              <a:prstDash val="solid"/>
                              <a:miter lim="800000"/>
                              <a:tailEnd type="triangle"/>
                            </a:ln>
                            <a:effectLst/>
                          </wps:spPr>
                          <wps:bodyPr/>
                        </wps:wsp>
                        <wps:wsp>
                          <wps:cNvPr id="18" name="Straight Arrow Connector 18">
                            <a:extLst>
                              <a:ext uri="{C183D7F6-B498-43B3-948B-1728B52AA6E4}">
                                <adec:decorative xmlns:adec="http://schemas.microsoft.com/office/drawing/2017/decorative" val="1"/>
                              </a:ext>
                            </a:extLst>
                          </wps:cNvPr>
                          <wps:cNvCnPr>
                            <a:cxnSpLocks/>
                          </wps:cNvCnPr>
                          <wps:spPr>
                            <a:xfrm>
                              <a:off x="2690949" y="2148840"/>
                              <a:ext cx="0" cy="225425"/>
                            </a:xfrm>
                            <a:prstGeom prst="straightConnector1">
                              <a:avLst/>
                            </a:prstGeom>
                            <a:noFill/>
                            <a:ln w="6350" cap="flat" cmpd="sng" algn="ctr">
                              <a:solidFill>
                                <a:sysClr val="windowText" lastClr="000000"/>
                              </a:solidFill>
                              <a:prstDash val="solid"/>
                              <a:miter lim="800000"/>
                              <a:tailEnd type="triangle"/>
                            </a:ln>
                            <a:effectLst/>
                          </wps:spPr>
                          <wps:bodyPr/>
                        </wps:wsp>
                        <wps:wsp>
                          <wps:cNvPr id="29" name="Straight Arrow Connector 29">
                            <a:extLst>
                              <a:ext uri="{C183D7F6-B498-43B3-948B-1728B52AA6E4}">
                                <adec:decorative xmlns:adec="http://schemas.microsoft.com/office/drawing/2017/decorative" val="1"/>
                              </a:ext>
                            </a:extLst>
                          </wps:cNvPr>
                          <wps:cNvCnPr>
                            <a:cxnSpLocks/>
                          </wps:cNvCnPr>
                          <wps:spPr>
                            <a:xfrm>
                              <a:off x="661852" y="3479074"/>
                              <a:ext cx="216176" cy="0"/>
                            </a:xfrm>
                            <a:prstGeom prst="straightConnector1">
                              <a:avLst/>
                            </a:prstGeom>
                            <a:noFill/>
                            <a:ln w="6350" cap="flat" cmpd="sng" algn="ctr">
                              <a:solidFill>
                                <a:sysClr val="windowText" lastClr="000000"/>
                              </a:solidFill>
                              <a:prstDash val="solid"/>
                              <a:miter lim="800000"/>
                              <a:tailEnd type="triangle"/>
                            </a:ln>
                            <a:effectLst/>
                          </wps:spPr>
                          <wps:bodyPr/>
                        </wps:wsp>
                        <wps:wsp>
                          <wps:cNvPr id="31" name="Straight Arrow Connector 31">
                            <a:extLst>
                              <a:ext uri="{C183D7F6-B498-43B3-948B-1728B52AA6E4}">
                                <adec:decorative xmlns:adec="http://schemas.microsoft.com/office/drawing/2017/decorative" val="1"/>
                              </a:ext>
                            </a:extLst>
                          </wps:cNvPr>
                          <wps:cNvCnPr>
                            <a:cxnSpLocks/>
                          </wps:cNvCnPr>
                          <wps:spPr>
                            <a:xfrm>
                              <a:off x="1913709" y="3024051"/>
                              <a:ext cx="0" cy="175895"/>
                            </a:xfrm>
                            <a:prstGeom prst="straightConnector1">
                              <a:avLst/>
                            </a:prstGeom>
                            <a:noFill/>
                            <a:ln w="6350" cap="flat" cmpd="sng" algn="ctr">
                              <a:solidFill>
                                <a:sysClr val="windowText" lastClr="000000"/>
                              </a:solidFill>
                              <a:prstDash val="solid"/>
                              <a:miter lim="800000"/>
                              <a:tailEnd type="triangle"/>
                            </a:ln>
                            <a:effectLst/>
                          </wps:spPr>
                          <wps:bodyPr/>
                        </wps:wsp>
                        <wps:wsp>
                          <wps:cNvPr id="16" name="Straight Arrow Connector 16">
                            <a:extLst>
                              <a:ext uri="{C183D7F6-B498-43B3-948B-1728B52AA6E4}">
                                <adec:decorative xmlns:adec="http://schemas.microsoft.com/office/drawing/2017/decorative" val="1"/>
                              </a:ext>
                            </a:extLst>
                          </wps:cNvPr>
                          <wps:cNvCnPr>
                            <a:cxnSpLocks/>
                          </wps:cNvCnPr>
                          <wps:spPr>
                            <a:xfrm>
                              <a:off x="1286692" y="0"/>
                              <a:ext cx="0" cy="135255"/>
                            </a:xfrm>
                            <a:prstGeom prst="straightConnector1">
                              <a:avLst/>
                            </a:prstGeom>
                            <a:noFill/>
                            <a:ln w="6350" cap="flat" cmpd="sng" algn="ctr">
                              <a:solidFill>
                                <a:sysClr val="windowText" lastClr="000000"/>
                              </a:solidFill>
                              <a:prstDash val="solid"/>
                              <a:miter lim="800000"/>
                              <a:tailEnd type="triangle"/>
                            </a:ln>
                            <a:effectLst/>
                          </wps:spPr>
                          <wps:bodyPr/>
                        </wps:wsp>
                        <wps:wsp>
                          <wps:cNvPr id="28" name="Elbow Connector 28">
                            <a:extLst>
                              <a:ext uri="{C183D7F6-B498-43B3-948B-1728B52AA6E4}">
                                <adec:decorative xmlns:adec="http://schemas.microsoft.com/office/drawing/2017/decorative" val="1"/>
                              </a:ext>
                            </a:extLst>
                          </wps:cNvPr>
                          <wps:cNvCnPr>
                            <a:cxnSpLocks/>
                          </wps:cNvCnPr>
                          <wps:spPr>
                            <a:xfrm rot="10800000" flipV="1">
                              <a:off x="719546" y="1018903"/>
                              <a:ext cx="614680" cy="502920"/>
                            </a:xfrm>
                            <a:prstGeom prst="bentConnector3">
                              <a:avLst>
                                <a:gd name="adj1" fmla="val 50000"/>
                              </a:avLst>
                            </a:prstGeom>
                            <a:noFill/>
                            <a:ln w="6350" cap="flat" cmpd="sng" algn="ctr">
                              <a:solidFill>
                                <a:sysClr val="windowText" lastClr="000000"/>
                              </a:solidFill>
                              <a:prstDash val="solid"/>
                              <a:miter lim="800000"/>
                              <a:tailEnd type="triangle"/>
                            </a:ln>
                            <a:effectLst/>
                          </wps:spPr>
                          <wps:bodyPr/>
                        </wps:wsp>
                        <wps:wsp>
                          <wps:cNvPr id="33" name="Elbow Connector 33">
                            <a:extLst>
                              <a:ext uri="{C183D7F6-B498-43B3-948B-1728B52AA6E4}">
                                <adec:decorative xmlns:adec="http://schemas.microsoft.com/office/drawing/2017/decorative" val="1"/>
                              </a:ext>
                            </a:extLst>
                          </wps:cNvPr>
                          <wps:cNvCnPr>
                            <a:cxnSpLocks/>
                          </wps:cNvCnPr>
                          <wps:spPr>
                            <a:xfrm>
                              <a:off x="877389" y="1018903"/>
                              <a:ext cx="638355" cy="502921"/>
                            </a:xfrm>
                            <a:prstGeom prst="bentConnector3">
                              <a:avLst>
                                <a:gd name="adj1" fmla="val 50000"/>
                              </a:avLst>
                            </a:prstGeom>
                            <a:noFill/>
                            <a:ln w="6350" cap="flat" cmpd="sng" algn="ctr">
                              <a:solidFill>
                                <a:sysClr val="windowText" lastClr="000000"/>
                              </a:solidFill>
                              <a:prstDash val="solid"/>
                              <a:miter lim="800000"/>
                              <a:tailEnd type="triangle"/>
                            </a:ln>
                            <a:effectLst/>
                          </wps:spPr>
                          <wps:bodyPr/>
                        </wps:wsp>
                        <wps:wsp>
                          <wps:cNvPr id="37" name="Straight Arrow Connector 37">
                            <a:extLst>
                              <a:ext uri="{C183D7F6-B498-43B3-948B-1728B52AA6E4}">
                                <adec:decorative xmlns:adec="http://schemas.microsoft.com/office/drawing/2017/decorative" val="1"/>
                              </a:ext>
                            </a:extLst>
                          </wps:cNvPr>
                          <wps:cNvCnPr>
                            <a:cxnSpLocks/>
                          </wps:cNvCnPr>
                          <wps:spPr>
                            <a:xfrm>
                              <a:off x="1913709" y="2142309"/>
                              <a:ext cx="0" cy="228193"/>
                            </a:xfrm>
                            <a:prstGeom prst="straightConnector1">
                              <a:avLst/>
                            </a:prstGeom>
                            <a:noFill/>
                            <a:ln w="6350" cap="flat" cmpd="sng" algn="ctr">
                              <a:solidFill>
                                <a:sysClr val="windowText" lastClr="000000"/>
                              </a:solidFill>
                              <a:prstDash val="solid"/>
                              <a:miter lim="800000"/>
                              <a:tailEnd type="triangle"/>
                            </a:ln>
                            <a:effectLst/>
                          </wps:spPr>
                          <wps:bodyPr/>
                        </wps:wsp>
                        <wps:wsp>
                          <wps:cNvPr id="4" name="Straight Arrow Connector 4">
                            <a:extLst>
                              <a:ext uri="{C183D7F6-B498-43B3-948B-1728B52AA6E4}">
                                <adec:decorative xmlns:adec="http://schemas.microsoft.com/office/drawing/2017/decorative" val="1"/>
                              </a:ext>
                            </a:extLst>
                          </wps:cNvPr>
                          <wps:cNvCnPr>
                            <a:cxnSpLocks/>
                          </wps:cNvCnPr>
                          <wps:spPr>
                            <a:xfrm>
                              <a:off x="0" y="2801983"/>
                              <a:ext cx="0" cy="240030"/>
                            </a:xfrm>
                            <a:prstGeom prst="straightConnector1">
                              <a:avLst/>
                            </a:prstGeom>
                            <a:noFill/>
                            <a:ln w="6350" cap="flat" cmpd="sng" algn="ctr">
                              <a:solidFill>
                                <a:sysClr val="windowText" lastClr="000000"/>
                              </a:solidFill>
                              <a:prstDash val="solid"/>
                              <a:miter lim="800000"/>
                              <a:tailEnd type="triangle"/>
                            </a:ln>
                            <a:effectLst/>
                          </wps:spPr>
                          <wps:bodyPr/>
                        </wps:wsp>
                        <wps:wsp>
                          <wps:cNvPr id="6" name="Elbow Connector 6">
                            <a:extLst>
                              <a:ext uri="{C183D7F6-B498-43B3-948B-1728B52AA6E4}">
                                <adec:decorative xmlns:adec="http://schemas.microsoft.com/office/drawing/2017/decorative" val="1"/>
                              </a:ext>
                            </a:extLst>
                          </wps:cNvPr>
                          <wps:cNvCnPr>
                            <a:cxnSpLocks/>
                          </wps:cNvCnPr>
                          <wps:spPr>
                            <a:xfrm rot="10800000" flipV="1">
                              <a:off x="2672443" y="3873137"/>
                              <a:ext cx="614680" cy="480060"/>
                            </a:xfrm>
                            <a:prstGeom prst="bentConnector3">
                              <a:avLst>
                                <a:gd name="adj1" fmla="val 50000"/>
                              </a:avLst>
                            </a:prstGeom>
                            <a:noFill/>
                            <a:ln w="6350" cap="flat" cmpd="sng" algn="ctr">
                              <a:solidFill>
                                <a:sysClr val="windowText" lastClr="000000"/>
                              </a:solidFill>
                              <a:prstDash val="solid"/>
                              <a:miter lim="800000"/>
                              <a:tailEnd type="triangle"/>
                            </a:ln>
                            <a:effectLst/>
                          </wps:spPr>
                          <wps:bodyPr/>
                        </wps:wsp>
                        <wps:wsp>
                          <wps:cNvPr id="23" name="Text Box 23"/>
                          <wps:cNvSpPr txBox="1">
                            <a:spLocks/>
                          </wps:cNvSpPr>
                          <wps:spPr>
                            <a:xfrm>
                              <a:off x="348343" y="1129937"/>
                              <a:ext cx="676910" cy="219075"/>
                            </a:xfrm>
                            <a:prstGeom prst="rect">
                              <a:avLst/>
                            </a:prstGeom>
                            <a:solidFill>
                              <a:sysClr val="window" lastClr="FFFFFF"/>
                            </a:solidFill>
                            <a:ln w="6350">
                              <a:noFill/>
                            </a:ln>
                            <a:effectLst/>
                          </wps:spPr>
                          <wps:txbx>
                            <w:txbxContent>
                              <w:p w14:paraId="6E4AE39A" w14:textId="77777777" w:rsidR="009E44A7" w:rsidRPr="00AA7264" w:rsidRDefault="009E44A7" w:rsidP="00E379FD">
                                <w:pPr>
                                  <w:spacing w:before="0" w:after="0" w:line="240" w:lineRule="auto"/>
                                  <w:rPr>
                                    <w:rFonts w:ascii="Calibri" w:hAnsi="Calibri"/>
                                    <w:sz w:val="18"/>
                                  </w:rPr>
                                </w:pPr>
                                <w:r>
                                  <w:rPr>
                                    <w:rFonts w:ascii="Calibri" w:hAnsi="Calibri"/>
                                    <w:sz w:val="18"/>
                                  </w:rPr>
                                  <w:t>No/l</w:t>
                                </w:r>
                                <w:r w:rsidRPr="00AA7264">
                                  <w:rPr>
                                    <w:rFonts w:ascii="Calibri" w:hAnsi="Calibri"/>
                                    <w:sz w:val="18"/>
                                  </w:rPr>
                                  <w:t>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49E9ACCA" id="Group 11" o:spid="_x0000_s1027" alt="Flow chart for triaging which items might be best suited to follow an evidence-review path, plus or minus AUC formulation in to hard and soft rules." style="width:342.1pt;height:397.7pt;mso-position-horizontal-relative:char;mso-position-vertical-relative:line" coordsize="43447,50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r22wcAAFw+AAAOAAAAZHJzL2Uyb0RvYy54bWzsW9uO2zYQfS/QfyD03MbiRTcjTrDdXFAg&#10;SAIkbZ+5kmyr0a2UvPb263tI3bxyXLddJ83uahE4kkhR1PCcmeHM6OnzXZaS61hVSZEvLPrEtkic&#10;h0WU5KuF9cvHVz/6FqlqmUcyLfJ4Yd3ElfX82fffPd2W85gV6yKNYkUwSF7Nt+XCWtd1OZ/NqnAd&#10;Z7J6UpRxjsZloTJZ41StZpGSW4yepTNm2+5sW6ioVEUYVxWuvmgarWdm/OUyDut3y2UV1yRdWJhb&#10;bX6V+b3Sv7NnT+V8pWS5TsJ2GvI/zCKTSY6H9kO9kLUkG5UcDJUloSqqYlk/CYtsViyXSRibd8Db&#10;UHv0Nq9VsSnNu6zm21XZiwmiHcnpPw8bvr1+r0gSYe2oRXKZYY3MY4k+j+IqhLBepcWWhGupaoKV&#10;ILVK5ArCJlsIbU2SOs4qkiWrdU2uYvyralJtcDUidYEbUn23zEl8nUTARvyjwlG8JaWs1z+QMt1U&#10;BINmSY6Di18u9SOyTSprIIokuR4DT44wQkS04IjapHH1RK/ctlzN8QKvVfmhfK/aC6vmTC/Gbqky&#10;/T/ETHZmzW/6NY93NQlxUXAhPN+xSIg2x3Zs13MaVIRrQOfgvnD98sSds+7BMz2/fjr9ST/vVvDe&#10;bbl79/DNwN1qgGd1N3h+WMsyNqiv9Oq2UsIKNej8qFfup2JHzDJtS9NJrz+pd7gMIBsiVuWbIvxU&#10;ARRYhr6Pln01r9D7M/igzPeFxyxyiBLquz71oEA0SgS1GTWqo19qOS9VVb+Oi4zog4WloHnMPOT1&#10;m6rWsxi66EdXRZpEr5I0NSc31WWqyLWEkoJui4qtRVJZ1bgI8pk/DQoMceu2NCfbheVyx27eeH9I&#10;PYt+zKtUhp8OR8B4aa6fHxtF2c5zEJA+qndXu0Y9NLCs5ldFdANhq6LRpVUZvkrwsDeY73upoDwh&#10;JRiE+h1+lqD+wiraI4usC/Xn567r/gANWi2yhTJeWNUfG6liiOHnHHAKqBBae5sT4XgMJ2q/5Wq/&#10;Jd9klwVECQWG2ZlD3b9Ou8OlKrLfYDcu9FPRJPMQz15YdXd4WeMMDVBFYXxxYY6hr6Gx3uQfyrDD&#10;mBbyx91vUpXtqtfA5tuiA7Ccjxa/6aslnhcXm7pYJgYZWs6NVFuwgkwNUL84q2CdR6zyu3UG9c7C&#10;KocGjjCc4o7g3G5tbqd/qYMOenE1szyOlX5szAo6iU/MekDMCg6Y1a/zuZjFHO5wH1oOzKEOhxfT&#10;ei49tzzPc93Wt6E2+uCkMSSda/TQzZaYyPUAzRblB+zCJSBbm9Jz0Yv6ns1dwy7BA3BtxC4umHBw&#10;0Vgu13E4vJLHRS5sEVuZT6brAZmuQ3Kdn1uuy1qvkHqOa7tGT2Mn0u6tqQg8+IoNtyj3A9Hw+xFt&#10;uHqZT9x6QNxiCC+Mdly4dGbLBd7AJXQc26PG6Rx4JTgTOl5gbJbvue127BHRqhf2RKsHRCvgfEyr&#10;BvrndAgZdSm38SSQi3mBg9CFZu7ALmr7NuWdR4itWRNKfkTsaoPXXTxrihICHfc/SsiwCxobLffc&#10;Roszl3kC5PkbdjG7ixS6j5FdfWx2sl0PyHZxRMdH7MKlM7uE1Ke+aG0XdzmyWSPPELEMwWCvmmiG&#10;wJbr0UUzzAsPyZjJeH1p4zUkyJucuMmVN4dD4heZ1pYebV1Cu0z/KvUfCOH7zbZI2CIQI/Bz5nuU&#10;Ie5h0ruIqtPAeDJyfqoI4Nidvc83vKPOOWt0ffGkHgWLG4XyoVbS1GVcKIUijMsiz5GXRrUFugwK&#10;5jJv0uHhDsnNcda8adTzPpI1Z25ga4Fqu81tJmzHRAUHr7jdbcIZ9oMT6YeqnW8/0SaXP0qj6jR7&#10;k0TVCXTjge+lwkmo88dLFJBgObMyQi45XyGxm65QoBTW6jBXXh2k33WNwV4K3jZ/WmJY1lspeO3b&#10;vZDVusndmybdTc4z1L8okibZwvL7u+W8lkn6EoUs9U2JQhtdSJOv0rgd+WQyvjH7ehotjr4WoPo0&#10;8XFA9b4JmHs+QDEK3jYZ4QNAMUQQ2QSo+wgo1m/XjwIKXQB0jfM7A8p1qe80ZT1ceIHtjYLNel/v&#10;YYujlf8Jp2dSUKDh8Wqh/0tB8b528Sie0OVceKIB5V7nS08WL3qIFq+PeBwFFN2PgNzN4qHw0HWD&#10;zxYeds4Td1gTbewdy6GesC0+m3TTN6mbWO88vUyvbjnhaLmTSmo2qDrorP9QrZgm5a9dbWJb84wM&#10;kCOaIgYUAGFTb9KKgy/lUuHqjZG2fY7NglM1DFdxXvfeOR8qXLXPu4rabYeMfodCXmYpqkFR1Eoc&#10;Mz/tt7YlkeaoKz2aXHm9JfxKrjzvk/tjNKLlTmjUy9iCzvc8xI/MjvDzoOO+rqYZQGds83HNNoGu&#10;q5q9n/tH3n/icNSaosu50LfvnmH/yHTKDmMPOq9Vd4whCGpAfxx5k039Jm1qHzE/iqf9APrdnDOg&#10;RWekkNkN/JHx7IAkbBu1So19O1JYOwHpmwRS7+aPreEdnft/4pox12NCwB7rwKnvcWwqb+upfd9M&#10;wMlzT2BsMpP320zqBMQoEYhLg1k8y+c4XPi8BR2lLAgOQOe5gU656A0BowiWnYiw/g8fuuVFG/eH&#10;3T4ZM+8/YOsZPSXPv07yfMh8mYSF+YTZbPzaz631N9L756bX8FH4s78AAAD//wMAUEsDBBQABgAI&#10;AAAAIQCRvyti3gAAAAUBAAAPAAAAZHJzL2Rvd25yZXYueG1sTI9Ba8JAEIXvQv/DMoXedBOr1qbZ&#10;iEjrSQrVQultzI5JMDsbsmsS/323XtrLwOM93vsmXQ2mFh21rrKsIJ5EIIhzqysuFHwe3sZLEM4j&#10;a6wtk4IrOVhld6MUE217/qBu7wsRStglqKD0vkmkdHlJBt3ENsTBO9nWoA+yLaRusQ/lppbTKFpI&#10;gxWHhRIb2pSUn/cXo2DbY79+jF+73fm0uX4f5u9fu5iUergf1i8gPA3+Lwy/+AEdssB0tBfWTtQK&#10;wiP+doO3WM6mII4Knp7nM5BZKv/TZz8AAAD//wMAUEsBAi0AFAAGAAgAAAAhALaDOJL+AAAA4QEA&#10;ABMAAAAAAAAAAAAAAAAAAAAAAFtDb250ZW50X1R5cGVzXS54bWxQSwECLQAUAAYACAAAACEAOP0h&#10;/9YAAACUAQAACwAAAAAAAAAAAAAAAAAvAQAAX3JlbHMvLnJlbHNQSwECLQAUAAYACAAAACEAeYia&#10;9tsHAABcPgAADgAAAAAAAAAAAAAAAAAuAgAAZHJzL2Uyb0RvYy54bWxQSwECLQAUAAYACAAAACEA&#10;kb8rYt4AAAAFAQAADwAAAAAAAAAAAAAAAAA1CgAAZHJzL2Rvd25yZXYueG1sUEsFBgAAAAAEAAQA&#10;8wAAAEALAAAAAA==&#10;">
                <v:group id="Group 7" o:spid="_x0000_s1028" style="position:absolute;width:43447;height:50506" coordsize="43447,50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5" o:spid="_x0000_s1029" type="#_x0000_t202" style="position:absolute;left:12884;width:18682;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ovBwwAAANoAAAAPAAAAZHJzL2Rvd25yZXYueG1sRI9Pi8Iw&#10;FMTvC36H8ARvmqq4aNcoKoh6WvwDy97eNs+2tHkpTaz12xtB2OMwM79h5svWlKKh2uWWFQwHEQji&#10;xOqcUwWX87Y/BeE8ssbSMil4kIPlovMxx1jbOx+pOflUBAi7GBVk3lexlC7JyKAb2Io4eFdbG/RB&#10;1qnUNd4D3JRyFEWf0mDOYSHDijYZJcXpZhSsvg9/e5eMr40uNrT7WVfF7HeiVK/brr5AeGr9f/jd&#10;3msFE3hdCTdALp4AAAD//wMAUEsBAi0AFAAGAAgAAAAhANvh9svuAAAAhQEAABMAAAAAAAAAAAAA&#10;AAAAAAAAAFtDb250ZW50X1R5cGVzXS54bWxQSwECLQAUAAYACAAAACEAWvQsW78AAAAVAQAACwAA&#10;AAAAAAAAAAAAAAAfAQAAX3JlbHMvLnJlbHNQSwECLQAUAAYACAAAACEAo3aLwcMAAADaAAAADwAA&#10;AAAAAAAAAAAAAAAHAgAAZHJzL2Rvd25yZXYueG1sUEsFBgAAAAADAAMAtwAAAPcCAAAAAA==&#10;" fillcolor="window" strokeweight=".5pt">
                    <v:path arrowok="t"/>
                    <v:textbox>
                      <w:txbxContent>
                        <w:p w14:paraId="246EB398" w14:textId="77777777" w:rsidR="009E44A7" w:rsidRPr="001B0AB1" w:rsidRDefault="009E44A7" w:rsidP="00E379FD">
                          <w:pPr>
                            <w:pStyle w:val="NoSpacing1"/>
                            <w:jc w:val="center"/>
                            <w:rPr>
                              <w:sz w:val="18"/>
                              <w:szCs w:val="18"/>
                            </w:rPr>
                          </w:pPr>
                          <w:r w:rsidRPr="001B0AB1">
                            <w:rPr>
                              <w:sz w:val="18"/>
                              <w:szCs w:val="18"/>
                            </w:rPr>
                            <w:t>M</w:t>
                          </w:r>
                          <w:r>
                            <w:rPr>
                              <w:sz w:val="18"/>
                              <w:szCs w:val="18"/>
                            </w:rPr>
                            <w:t>BS item or c</w:t>
                          </w:r>
                          <w:r w:rsidRPr="001B0AB1">
                            <w:rPr>
                              <w:sz w:val="18"/>
                              <w:szCs w:val="18"/>
                            </w:rPr>
                            <w:t xml:space="preserve">luster of </w:t>
                          </w:r>
                          <w:r>
                            <w:rPr>
                              <w:sz w:val="18"/>
                              <w:szCs w:val="18"/>
                            </w:rPr>
                            <w:t>i</w:t>
                          </w:r>
                          <w:r w:rsidRPr="001B0AB1">
                            <w:rPr>
                              <w:sz w:val="18"/>
                              <w:szCs w:val="18"/>
                            </w:rPr>
                            <w:t>tems</w:t>
                          </w:r>
                        </w:p>
                        <w:p w14:paraId="45EC9746" w14:textId="77777777" w:rsidR="009E44A7" w:rsidRPr="001B0AB1" w:rsidRDefault="009E44A7" w:rsidP="00E379FD">
                          <w:pPr>
                            <w:pStyle w:val="NoSpacing1"/>
                            <w:jc w:val="center"/>
                            <w:rPr>
                              <w:sz w:val="18"/>
                              <w:szCs w:val="18"/>
                            </w:rPr>
                          </w:pPr>
                          <w:r w:rsidRPr="001B0AB1">
                            <w:rPr>
                              <w:sz w:val="18"/>
                              <w:szCs w:val="18"/>
                            </w:rPr>
                            <w:t xml:space="preserve">(Template </w:t>
                          </w:r>
                          <w:r>
                            <w:rPr>
                              <w:sz w:val="18"/>
                              <w:szCs w:val="18"/>
                            </w:rPr>
                            <w:t>step 1</w:t>
                          </w:r>
                          <w:r w:rsidRPr="001B0AB1">
                            <w:rPr>
                              <w:sz w:val="18"/>
                              <w:szCs w:val="18"/>
                            </w:rPr>
                            <w:t>)</w:t>
                          </w:r>
                        </w:p>
                      </w:txbxContent>
                    </v:textbox>
                  </v:shape>
                  <v:shape id="Text Box 8" o:spid="_x0000_s1030" type="#_x0000_t202" style="position:absolute;left:519;top:35433;width:15519;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yRfwAAAANoAAAAPAAAAZHJzL2Rvd25yZXYueG1sRE9Ni8Iw&#10;EL0L/ocwwt401UXZ7RpFBVFPYndBvM02Y1vaTEoTa/335iB4fLzv+bIzlWipcYVlBeNRBII4tbrg&#10;TMHf73b4BcJ5ZI2VZVLwIAfLRb83x1jbO5+oTXwmQgi7GBXk3texlC7NyaAb2Zo4cFfbGPQBNpnU&#10;Dd5DuKnkJIpm0mDBoSHHmjY5pWVyMwpWx8P/3qWf11aXG9qd13X5fZkq9THoVj8gPHX+LX6591pB&#10;2BquhBsgF08AAAD//wMAUEsBAi0AFAAGAAgAAAAhANvh9svuAAAAhQEAABMAAAAAAAAAAAAAAAAA&#10;AAAAAFtDb250ZW50X1R5cGVzXS54bWxQSwECLQAUAAYACAAAACEAWvQsW78AAAAVAQAACwAAAAAA&#10;AAAAAAAAAAAfAQAAX3JlbHMvLnJlbHNQSwECLQAUAAYACAAAACEATXckX8AAAADaAAAADwAAAAAA&#10;AAAAAAAAAAAHAgAAZHJzL2Rvd25yZXYueG1sUEsFBgAAAAADAAMAtwAAAPQCAAAAAA==&#10;" fillcolor="window" strokeweight=".5pt">
                    <v:path arrowok="t"/>
                    <v:textbox>
                      <w:txbxContent>
                        <w:p w14:paraId="59E60C60" w14:textId="77777777" w:rsidR="009E44A7" w:rsidRPr="000439B5" w:rsidRDefault="009E44A7" w:rsidP="00E379FD">
                          <w:pPr>
                            <w:pStyle w:val="NoSpacing1"/>
                            <w:jc w:val="center"/>
                            <w:rPr>
                              <w:sz w:val="18"/>
                              <w:szCs w:val="18"/>
                            </w:rPr>
                          </w:pPr>
                          <w:r w:rsidRPr="000439B5">
                            <w:rPr>
                              <w:sz w:val="18"/>
                              <w:szCs w:val="18"/>
                            </w:rPr>
                            <w:t>P</w:t>
                          </w:r>
                          <w:r>
                            <w:rPr>
                              <w:sz w:val="18"/>
                              <w:szCs w:val="18"/>
                            </w:rPr>
                            <w:t>ragmatic a</w:t>
                          </w:r>
                          <w:r w:rsidRPr="000439B5">
                            <w:rPr>
                              <w:sz w:val="18"/>
                              <w:szCs w:val="18"/>
                            </w:rPr>
                            <w:t>pproach:</w:t>
                          </w:r>
                        </w:p>
                        <w:p w14:paraId="6975B064" w14:textId="77777777" w:rsidR="009E44A7" w:rsidRPr="000439B5" w:rsidRDefault="009E44A7" w:rsidP="00E379FD">
                          <w:pPr>
                            <w:pStyle w:val="NoSpacing1"/>
                            <w:jc w:val="center"/>
                            <w:rPr>
                              <w:sz w:val="18"/>
                              <w:szCs w:val="18"/>
                            </w:rPr>
                          </w:pPr>
                          <w:r>
                            <w:rPr>
                              <w:sz w:val="18"/>
                              <w:szCs w:val="18"/>
                            </w:rPr>
                            <w:t>consensus, clinical j</w:t>
                          </w:r>
                          <w:r w:rsidRPr="000439B5">
                            <w:rPr>
                              <w:sz w:val="18"/>
                              <w:szCs w:val="18"/>
                            </w:rPr>
                            <w:t>udgement</w:t>
                          </w:r>
                        </w:p>
                        <w:p w14:paraId="62FCCD49" w14:textId="77777777" w:rsidR="009E44A7" w:rsidRPr="00AA7264" w:rsidRDefault="009E44A7" w:rsidP="00E379FD">
                          <w:pPr>
                            <w:spacing w:before="0" w:line="240" w:lineRule="auto"/>
                            <w:jc w:val="center"/>
                            <w:rPr>
                              <w:rFonts w:ascii="Calibri" w:hAnsi="Calibri"/>
                              <w:sz w:val="18"/>
                            </w:rPr>
                          </w:pPr>
                          <w:r>
                            <w:rPr>
                              <w:rFonts w:ascii="Calibri" w:hAnsi="Calibri"/>
                              <w:sz w:val="18"/>
                            </w:rPr>
                            <w:t>(Template s</w:t>
                          </w:r>
                          <w:r w:rsidRPr="00AA7264">
                            <w:rPr>
                              <w:rFonts w:ascii="Calibri" w:hAnsi="Calibri"/>
                              <w:sz w:val="18"/>
                            </w:rPr>
                            <w:t>tep 4)</w:t>
                          </w:r>
                        </w:p>
                      </w:txbxContent>
                    </v:textbox>
                  </v:shape>
                  <v:shape id="Text Box 9" o:spid="_x0000_s1031" type="#_x0000_t202" style="position:absolute;left:25353;top:15378;width:17777;height:10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HExAAAANoAAAAPAAAAZHJzL2Rvd25yZXYueG1sRI9Ba8JA&#10;FITvQv/D8gq9NZsqSk1dQxREPYlpofT2mn0mIdm3IbuN6b/vCgWPw8x8w6zS0bRioN7VlhW8RDEI&#10;4sLqmksFH++751cQziNrbC2Tgl9ykK4fJitMtL3ymYbclyJA2CWooPK+S6R0RUUGXWQ74uBdbG/Q&#10;B9mXUvd4DXDTymkcL6TBmsNChR1tKyqa/McoyE7H74MrZpdBN1vaf266Zvk1V+rpcczeQHga/T38&#10;3z5oBUu4XQk3QK7/AAAA//8DAFBLAQItABQABgAIAAAAIQDb4fbL7gAAAIUBAAATAAAAAAAAAAAA&#10;AAAAAAAAAABbQ29udGVudF9UeXBlc10ueG1sUEsBAi0AFAAGAAgAAAAhAFr0LFu/AAAAFQEAAAsA&#10;AAAAAAAAAAAAAAAAHwEAAF9yZWxzLy5yZWxzUEsBAi0AFAAGAAgAAAAhACI7gcTEAAAA2gAAAA8A&#10;AAAAAAAAAAAAAAAABwIAAGRycy9kb3ducmV2LnhtbFBLBQYAAAAAAwADALcAAAD4AgAAAAA=&#10;" fillcolor="window" strokeweight=".5pt">
                    <v:path arrowok="t"/>
                    <v:textbox>
                      <w:txbxContent>
                        <w:p w14:paraId="149603ED" w14:textId="77777777" w:rsidR="009E44A7" w:rsidRPr="00AA7264" w:rsidRDefault="009E44A7" w:rsidP="00E379FD">
                          <w:pPr>
                            <w:spacing w:before="120" w:after="0" w:line="240" w:lineRule="auto"/>
                            <w:jc w:val="center"/>
                            <w:rPr>
                              <w:rFonts w:ascii="Calibri" w:hAnsi="Calibri"/>
                              <w:sz w:val="18"/>
                            </w:rPr>
                          </w:pPr>
                          <w:r>
                            <w:rPr>
                              <w:rFonts w:ascii="Calibri" w:hAnsi="Calibri"/>
                              <w:sz w:val="18"/>
                            </w:rPr>
                            <w:t>Evidence r</w:t>
                          </w:r>
                          <w:r w:rsidRPr="00AA7264">
                            <w:rPr>
                              <w:rFonts w:ascii="Calibri" w:hAnsi="Calibri"/>
                              <w:sz w:val="18"/>
                            </w:rPr>
                            <w:t>eview:</w:t>
                          </w:r>
                        </w:p>
                        <w:p w14:paraId="5A215EFB" w14:textId="77777777" w:rsidR="009E44A7" w:rsidRPr="00AA7264" w:rsidRDefault="009E44A7" w:rsidP="00E379FD">
                          <w:pPr>
                            <w:spacing w:before="0" w:after="0" w:line="240" w:lineRule="auto"/>
                            <w:jc w:val="center"/>
                            <w:rPr>
                              <w:rFonts w:ascii="Calibri" w:hAnsi="Calibri"/>
                              <w:sz w:val="18"/>
                            </w:rPr>
                          </w:pPr>
                          <w:r>
                            <w:rPr>
                              <w:rFonts w:ascii="Calibri" w:hAnsi="Calibri"/>
                              <w:sz w:val="18"/>
                            </w:rPr>
                            <w:t>Document rationale for r</w:t>
                          </w:r>
                          <w:r w:rsidRPr="00AA7264">
                            <w:rPr>
                              <w:rFonts w:ascii="Calibri" w:hAnsi="Calibri"/>
                              <w:sz w:val="18"/>
                            </w:rPr>
                            <w:t xml:space="preserve">eview </w:t>
                          </w:r>
                          <w:r>
                            <w:rPr>
                              <w:rFonts w:ascii="Calibri" w:hAnsi="Calibri"/>
                              <w:sz w:val="18"/>
                            </w:rPr>
                            <w:t>r</w:t>
                          </w:r>
                          <w:r w:rsidRPr="00AA7264">
                            <w:rPr>
                              <w:rFonts w:ascii="Calibri" w:hAnsi="Calibri"/>
                              <w:sz w:val="18"/>
                            </w:rPr>
                            <w:t>equirements based on flags present and state of current evidence</w:t>
                          </w:r>
                        </w:p>
                        <w:p w14:paraId="4D45B2C0" w14:textId="77777777" w:rsidR="009E44A7" w:rsidRPr="00AA7264" w:rsidRDefault="009E44A7" w:rsidP="00E379FD">
                          <w:pPr>
                            <w:spacing w:before="0"/>
                            <w:jc w:val="center"/>
                            <w:rPr>
                              <w:rFonts w:ascii="Calibri" w:hAnsi="Calibri"/>
                              <w:sz w:val="18"/>
                            </w:rPr>
                          </w:pPr>
                          <w:r>
                            <w:rPr>
                              <w:rFonts w:ascii="Calibri" w:hAnsi="Calibri"/>
                              <w:sz w:val="18"/>
                            </w:rPr>
                            <w:t>(Template s</w:t>
                          </w:r>
                          <w:r w:rsidRPr="00AA7264">
                            <w:rPr>
                              <w:rFonts w:ascii="Calibri" w:hAnsi="Calibri"/>
                              <w:sz w:val="18"/>
                            </w:rPr>
                            <w:t>tep 5)</w:t>
                          </w:r>
                        </w:p>
                      </w:txbxContent>
                    </v:textbox>
                  </v:shape>
                  <v:shape id="Text Box 13" o:spid="_x0000_s1032" type="#_x0000_t202" style="position:absolute;left:1870;top:43953;width:34245;height:6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J6wQAAANsAAAAPAAAAZHJzL2Rvd25yZXYueG1sRE9Ni8Iw&#10;EL0L/ocwwt40VVF2q1FUEN2T6C6It7EZ29JmUppsrf/eLAje5vE+Z75sTSkaql1uWcFwEIEgTqzO&#10;OVXw+7Ptf4JwHlljaZkUPMjBctHtzDHW9s5Hak4+FSGEXYwKMu+rWEqXZGTQDWxFHLibrQ36AOtU&#10;6hrvIdyUchRFU2kw59CQYUWbjJLi9GcUrA7f171LxrdGFxvanddV8XWZKPXRa1czEJ5a/xa/3Hsd&#10;5o/h/5dwgFw8AQAA//8DAFBLAQItABQABgAIAAAAIQDb4fbL7gAAAIUBAAATAAAAAAAAAAAAAAAA&#10;AAAAAABbQ29udGVudF9UeXBlc10ueG1sUEsBAi0AFAAGAAgAAAAhAFr0LFu/AAAAFQEAAAsAAAAA&#10;AAAAAAAAAAAAHwEAAF9yZWxzLy5yZWxzUEsBAi0AFAAGAAgAAAAhAPFZAnrBAAAA2wAAAA8AAAAA&#10;AAAAAAAAAAAABwIAAGRycy9kb3ducmV2LnhtbFBLBQYAAAAAAwADALcAAAD1AgAAAAA=&#10;" fillcolor="window" strokeweight=".5pt">
                    <v:path arrowok="t"/>
                    <v:textbox>
                      <w:txbxContent>
                        <w:p w14:paraId="1D13D2ED" w14:textId="77777777" w:rsidR="009E44A7" w:rsidRPr="000439B5" w:rsidRDefault="009E44A7" w:rsidP="00E379FD">
                          <w:pPr>
                            <w:pStyle w:val="NoSpacing1"/>
                            <w:spacing w:before="120"/>
                            <w:jc w:val="center"/>
                            <w:rPr>
                              <w:sz w:val="18"/>
                              <w:szCs w:val="18"/>
                            </w:rPr>
                          </w:pPr>
                          <w:r>
                            <w:rPr>
                              <w:sz w:val="18"/>
                              <w:szCs w:val="18"/>
                            </w:rPr>
                            <w:t>MBS item changes (any/all r</w:t>
                          </w:r>
                          <w:r w:rsidRPr="000439B5">
                            <w:rPr>
                              <w:sz w:val="18"/>
                              <w:szCs w:val="18"/>
                            </w:rPr>
                            <w:t>elevant AUC incorporated)</w:t>
                          </w:r>
                          <w:r>
                            <w:rPr>
                              <w:sz w:val="18"/>
                              <w:szCs w:val="18"/>
                            </w:rPr>
                            <w:t>—</w:t>
                          </w:r>
                        </w:p>
                        <w:p w14:paraId="1C8FA132" w14:textId="77777777" w:rsidR="009E44A7" w:rsidRPr="007A5BD7" w:rsidRDefault="009E44A7" w:rsidP="00E379FD">
                          <w:pPr>
                            <w:pStyle w:val="NoSpacing1"/>
                            <w:jc w:val="center"/>
                            <w:rPr>
                              <w:sz w:val="18"/>
                              <w:szCs w:val="18"/>
                            </w:rPr>
                          </w:pPr>
                          <w:r w:rsidRPr="000439B5">
                            <w:rPr>
                              <w:sz w:val="18"/>
                              <w:szCs w:val="18"/>
                            </w:rPr>
                            <w:t>‘hard rules’ (item descriptors) and ‘soft rules’ (explanatory notes)</w:t>
                          </w:r>
                        </w:p>
                        <w:p w14:paraId="4D27BF80" w14:textId="77777777" w:rsidR="009E44A7" w:rsidRPr="00AA7264" w:rsidRDefault="009E44A7" w:rsidP="00E379FD">
                          <w:pPr>
                            <w:spacing w:before="0" w:line="240" w:lineRule="auto"/>
                            <w:jc w:val="center"/>
                            <w:rPr>
                              <w:rFonts w:ascii="Calibri" w:hAnsi="Calibri"/>
                              <w:sz w:val="18"/>
                            </w:rPr>
                          </w:pPr>
                          <w:r>
                            <w:rPr>
                              <w:rFonts w:ascii="Calibri" w:hAnsi="Calibri"/>
                              <w:sz w:val="18"/>
                            </w:rPr>
                            <w:t>(Template s</w:t>
                          </w:r>
                          <w:r w:rsidRPr="00AA7264">
                            <w:rPr>
                              <w:rFonts w:ascii="Calibri" w:hAnsi="Calibri"/>
                              <w:sz w:val="18"/>
                            </w:rPr>
                            <w:t>tep 9)</w:t>
                          </w:r>
                        </w:p>
                      </w:txbxContent>
                    </v:textbox>
                  </v:shape>
                  <v:shape id="Text Box 3" o:spid="_x0000_s1033" type="#_x0000_t202" style="position:absolute;left:1662;top:17560;width:14973;height:13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7YuwwAAANoAAAAPAAAAZHJzL2Rvd25yZXYueG1sRI9Pi8Iw&#10;FMTvC36H8ARvmqq4aNcoKoh6WvwDy97eNs+2tHkpTaz12xtB2OMwM79h5svWlKKh2uWWFQwHEQji&#10;xOqcUwWX87Y/BeE8ssbSMil4kIPlovMxx1jbOx+pOflUBAi7GBVk3lexlC7JyKAb2Io4eFdbG/RB&#10;1qnUNd4D3JRyFEWf0mDOYSHDijYZJcXpZhSsvg9/e5eMr40uNrT7WVfF7HeiVK/brr5AeGr9f/jd&#10;3msFY3hdCTdALp4AAAD//wMAUEsBAi0AFAAGAAgAAAAhANvh9svuAAAAhQEAABMAAAAAAAAAAAAA&#10;AAAAAAAAAFtDb250ZW50X1R5cGVzXS54bWxQSwECLQAUAAYACAAAACEAWvQsW78AAAAVAQAACwAA&#10;AAAAAAAAAAAAAAAfAQAAX3JlbHMvLnJlbHNQSwECLQAUAAYACAAAACEAQ9O2LsMAAADaAAAADwAA&#10;AAAAAAAAAAAAAAAHAgAAZHJzL2Rvd25yZXYueG1sUEsFBgAAAAADAAMAtwAAAPcCAAAAAA==&#10;" fillcolor="window" strokeweight=".5pt">
                    <v:path arrowok="t"/>
                    <v:textbox>
                      <w:txbxContent>
                        <w:p w14:paraId="10D3EAA1" w14:textId="77777777" w:rsidR="009E44A7" w:rsidRPr="00AA7264" w:rsidRDefault="009E44A7" w:rsidP="00E379FD">
                          <w:pPr>
                            <w:spacing w:before="120" w:after="0" w:line="240" w:lineRule="auto"/>
                            <w:jc w:val="center"/>
                            <w:rPr>
                              <w:rFonts w:ascii="Calibri" w:hAnsi="Calibri"/>
                              <w:sz w:val="18"/>
                            </w:rPr>
                          </w:pPr>
                          <w:r w:rsidRPr="00AA7264">
                            <w:rPr>
                              <w:rFonts w:ascii="Calibri" w:hAnsi="Calibri"/>
                              <w:sz w:val="18"/>
                            </w:rPr>
                            <w:t>M</w:t>
                          </w:r>
                          <w:r>
                            <w:rPr>
                              <w:rFonts w:ascii="Calibri" w:hAnsi="Calibri"/>
                              <w:sz w:val="18"/>
                            </w:rPr>
                            <w:t>inor amendments necessary; no evidence review required [provide j</w:t>
                          </w:r>
                          <w:r w:rsidRPr="00AA7264">
                            <w:rPr>
                              <w:rFonts w:ascii="Calibri" w:hAnsi="Calibri"/>
                              <w:sz w:val="18"/>
                            </w:rPr>
                            <w:t>ustification]</w:t>
                          </w:r>
                        </w:p>
                        <w:p w14:paraId="2CDCCC99" w14:textId="77777777" w:rsidR="009E44A7" w:rsidRPr="00AA7264" w:rsidRDefault="009E44A7" w:rsidP="00E379FD">
                          <w:pPr>
                            <w:spacing w:before="0" w:after="0" w:line="240" w:lineRule="auto"/>
                            <w:jc w:val="center"/>
                            <w:rPr>
                              <w:rFonts w:ascii="Calibri" w:hAnsi="Calibri"/>
                              <w:sz w:val="18"/>
                            </w:rPr>
                          </w:pPr>
                          <w:r>
                            <w:rPr>
                              <w:rFonts w:ascii="Calibri" w:hAnsi="Calibri"/>
                              <w:sz w:val="18"/>
                            </w:rPr>
                            <w:t>o</w:t>
                          </w:r>
                          <w:r w:rsidRPr="00AA7264">
                            <w:rPr>
                              <w:rFonts w:ascii="Calibri" w:hAnsi="Calibri"/>
                              <w:sz w:val="18"/>
                            </w:rPr>
                            <w:t>r</w:t>
                          </w:r>
                        </w:p>
                        <w:p w14:paraId="2DA1E692" w14:textId="77777777" w:rsidR="009E44A7" w:rsidRPr="00AA7264" w:rsidRDefault="009E44A7" w:rsidP="00E379FD">
                          <w:pPr>
                            <w:spacing w:before="0" w:after="0" w:line="240" w:lineRule="auto"/>
                            <w:jc w:val="center"/>
                            <w:rPr>
                              <w:rFonts w:ascii="Calibri" w:hAnsi="Calibri"/>
                              <w:sz w:val="18"/>
                            </w:rPr>
                          </w:pPr>
                          <w:r>
                            <w:rPr>
                              <w:rFonts w:ascii="Calibri" w:hAnsi="Calibri"/>
                              <w:sz w:val="18"/>
                            </w:rPr>
                            <w:t>principally a rule-based i</w:t>
                          </w:r>
                          <w:r w:rsidRPr="00AA7264">
                            <w:rPr>
                              <w:rFonts w:ascii="Calibri" w:hAnsi="Calibri"/>
                              <w:sz w:val="18"/>
                            </w:rPr>
                            <w:t>ssue (e.g. co-claiming)</w:t>
                          </w:r>
                        </w:p>
                        <w:p w14:paraId="3717327A" w14:textId="77777777" w:rsidR="009E44A7" w:rsidRPr="00AA7264" w:rsidRDefault="009E44A7" w:rsidP="00E379FD">
                          <w:pPr>
                            <w:spacing w:before="0"/>
                            <w:jc w:val="center"/>
                            <w:rPr>
                              <w:rFonts w:ascii="Calibri" w:hAnsi="Calibri"/>
                              <w:sz w:val="18"/>
                            </w:rPr>
                          </w:pPr>
                          <w:r>
                            <w:rPr>
                              <w:rFonts w:ascii="Calibri" w:hAnsi="Calibri"/>
                              <w:sz w:val="18"/>
                            </w:rPr>
                            <w:t>(Template s</w:t>
                          </w:r>
                          <w:r w:rsidRPr="00AA7264">
                            <w:rPr>
                              <w:rFonts w:ascii="Calibri" w:hAnsi="Calibri"/>
                              <w:sz w:val="18"/>
                            </w:rPr>
                            <w:t>tep 3)</w:t>
                          </w:r>
                        </w:p>
                      </w:txbxContent>
                    </v:textbox>
                  </v:shape>
                  <v:shape id="Text Box 22" o:spid="_x0000_s1034" type="#_x0000_t202" style="position:absolute;top:5507;width:43243;height:8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W1cxAAAANsAAAAPAAAAZHJzL2Rvd25yZXYueG1sRI9Ba8JA&#10;FITvQv/D8gredNOI0qauYgXRnsS0IN5es88kJPs2ZNcY/71bEDwOM/MNM1/2phYdta60rOBtHIEg&#10;zqwuOVfw+7MZvYNwHlljbZkU3MjBcvEymGOi7ZUP1KU+FwHCLkEFhfdNIqXLCjLoxrYhDt7ZtgZ9&#10;kG0udYvXADe1jKNoJg2WHBYKbGhdUFalF6Ngtf/+27lscu50tabt8aupPk5TpYav/eoThKfeP8OP&#10;9k4riGP4/xJ+gFzcAQAA//8DAFBLAQItABQABgAIAAAAIQDb4fbL7gAAAIUBAAATAAAAAAAAAAAA&#10;AAAAAAAAAABbQ29udGVudF9UeXBlc10ueG1sUEsBAi0AFAAGAAgAAAAhAFr0LFu/AAAAFQEAAAsA&#10;AAAAAAAAAAAAAAAAHwEAAF9yZWxzLy5yZWxzUEsBAi0AFAAGAAgAAAAhAFB5bVzEAAAA2wAAAA8A&#10;AAAAAAAAAAAAAAAABwIAAGRycy9kb3ducmV2LnhtbFBLBQYAAAAAAwADALcAAAD4AgAAAAA=&#10;" fillcolor="window" strokeweight=".5pt">
                    <v:path arrowok="t"/>
                    <v:textbox>
                      <w:txbxContent>
                        <w:p w14:paraId="254BEC25" w14:textId="77777777" w:rsidR="009E44A7" w:rsidRPr="00AA7264" w:rsidRDefault="009E44A7" w:rsidP="00E379FD">
                          <w:pPr>
                            <w:spacing w:before="120" w:after="0" w:line="240" w:lineRule="auto"/>
                            <w:jc w:val="center"/>
                            <w:rPr>
                              <w:rFonts w:ascii="Calibri" w:hAnsi="Calibri"/>
                              <w:sz w:val="18"/>
                            </w:rPr>
                          </w:pPr>
                          <w:r w:rsidRPr="00AA7264">
                            <w:rPr>
                              <w:rFonts w:ascii="Calibri" w:hAnsi="Calibri"/>
                              <w:sz w:val="18"/>
                            </w:rPr>
                            <w:t>F</w:t>
                          </w:r>
                          <w:r>
                            <w:rPr>
                              <w:rFonts w:ascii="Calibri" w:hAnsi="Calibri"/>
                              <w:sz w:val="18"/>
                            </w:rPr>
                            <w:t>lags to warrant comprehensive review—for example: high-volume/cost service; geographic/temporal variation in use; identified safety c</w:t>
                          </w:r>
                          <w:r w:rsidRPr="00AA7264">
                            <w:rPr>
                              <w:rFonts w:ascii="Calibri" w:hAnsi="Calibri"/>
                              <w:sz w:val="18"/>
                            </w:rPr>
                            <w:t>oncern</w:t>
                          </w:r>
                          <w:r>
                            <w:rPr>
                              <w:rFonts w:ascii="Calibri" w:hAnsi="Calibri"/>
                              <w:sz w:val="18"/>
                            </w:rPr>
                            <w:t>s; good safety evidence; d</w:t>
                          </w:r>
                          <w:r w:rsidRPr="00AA7264">
                            <w:rPr>
                              <w:rFonts w:ascii="Calibri" w:hAnsi="Calibri"/>
                              <w:sz w:val="18"/>
                            </w:rPr>
                            <w:t xml:space="preserve">elivery </w:t>
                          </w:r>
                          <w:r>
                            <w:rPr>
                              <w:rFonts w:ascii="Calibri" w:hAnsi="Calibri"/>
                              <w:sz w:val="18"/>
                            </w:rPr>
                            <w:t>Irregularity (place/provider); suspected indication creep.</w:t>
                          </w:r>
                        </w:p>
                        <w:p w14:paraId="6CAF0E79" w14:textId="77777777" w:rsidR="009E44A7" w:rsidRPr="00AA7264" w:rsidRDefault="009E44A7" w:rsidP="00E379FD">
                          <w:pPr>
                            <w:spacing w:before="0"/>
                            <w:jc w:val="center"/>
                            <w:rPr>
                              <w:rFonts w:ascii="Calibri" w:hAnsi="Calibri"/>
                              <w:sz w:val="18"/>
                            </w:rPr>
                          </w:pPr>
                          <w:r w:rsidRPr="00AA7264">
                            <w:rPr>
                              <w:rFonts w:ascii="Calibri" w:hAnsi="Calibri"/>
                              <w:sz w:val="18"/>
                            </w:rPr>
                            <w:t>(Template Step 2)</w:t>
                          </w:r>
                        </w:p>
                      </w:txbxContent>
                    </v:textbox>
                  </v:shape>
                  <v:shape id="Text Box 19" o:spid="_x0000_s1035" type="#_x0000_t202" style="position:absolute;left:21613;top:27951;width:10801;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TWQwQAAANsAAAAPAAAAZHJzL2Rvd25yZXYueG1sRE9Ni8Iw&#10;EL0L+x/CLOxN01WUtWsUFUQ9ia4g3sZmbEubSWmytf57Iwje5vE+ZzJrTSkaql1uWcF3LwJBnFid&#10;c6rg+Lfq/oBwHlljaZkU3MnBbPrRmWCs7Y331Bx8KkIIuxgVZN5XsZQuycig69mKOHBXWxv0Adap&#10;1DXeQrgpZT+KRtJgzqEhw4qWGSXF4d8omO+2l41LBtdGF0tanxZVMT4Plfr6bOe/IDy1/i1+uTc6&#10;zB/D85dwgJw+AAAA//8DAFBLAQItABQABgAIAAAAIQDb4fbL7gAAAIUBAAATAAAAAAAAAAAAAAAA&#10;AAAAAABbQ29udGVudF9UeXBlc10ueG1sUEsBAi0AFAAGAAgAAAAhAFr0LFu/AAAAFQEAAAsAAAAA&#10;AAAAAAAAAAAAHwEAAF9yZWxzLy5yZWxzUEsBAi0AFAAGAAgAAAAhAJCxNZDBAAAA2wAAAA8AAAAA&#10;AAAAAAAAAAAABwIAAGRycy9kb3ducmV2LnhtbFBLBQYAAAAAAwADALcAAAD1AgAAAAA=&#10;" fillcolor="window" strokeweight=".5pt">
                    <v:path arrowok="t"/>
                    <v:textbox>
                      <w:txbxContent>
                        <w:p w14:paraId="408C353A" w14:textId="77777777" w:rsidR="009E44A7" w:rsidRPr="00AA7264" w:rsidRDefault="009E44A7" w:rsidP="00E379FD">
                          <w:pPr>
                            <w:spacing w:before="120" w:after="0" w:line="240" w:lineRule="auto"/>
                            <w:jc w:val="center"/>
                            <w:rPr>
                              <w:rFonts w:ascii="Calibri" w:hAnsi="Calibri"/>
                              <w:sz w:val="18"/>
                            </w:rPr>
                          </w:pPr>
                          <w:r w:rsidRPr="00AA7264">
                            <w:rPr>
                              <w:rFonts w:ascii="Calibri" w:hAnsi="Calibri"/>
                              <w:sz w:val="18"/>
                            </w:rPr>
                            <w:t>R</w:t>
                          </w:r>
                          <w:r>
                            <w:rPr>
                              <w:rFonts w:ascii="Calibri" w:hAnsi="Calibri"/>
                              <w:sz w:val="18"/>
                            </w:rPr>
                            <w:t>apid review; costing a</w:t>
                          </w:r>
                          <w:r w:rsidRPr="00AA7264">
                            <w:rPr>
                              <w:rFonts w:ascii="Calibri" w:hAnsi="Calibri"/>
                              <w:sz w:val="18"/>
                            </w:rPr>
                            <w:t xml:space="preserve">nalysis </w:t>
                          </w:r>
                        </w:p>
                        <w:p w14:paraId="5DE2C35E" w14:textId="77777777" w:rsidR="009E44A7" w:rsidRPr="00AA7264" w:rsidRDefault="009E44A7" w:rsidP="00E379FD">
                          <w:pPr>
                            <w:spacing w:before="0" w:line="240" w:lineRule="auto"/>
                            <w:jc w:val="center"/>
                            <w:rPr>
                              <w:rFonts w:ascii="Calibri" w:hAnsi="Calibri"/>
                              <w:sz w:val="18"/>
                            </w:rPr>
                          </w:pPr>
                          <w:r>
                            <w:rPr>
                              <w:rFonts w:ascii="Calibri" w:hAnsi="Calibri"/>
                              <w:sz w:val="18"/>
                            </w:rPr>
                            <w:t>(Template s</w:t>
                          </w:r>
                          <w:r w:rsidRPr="00AA7264">
                            <w:rPr>
                              <w:rFonts w:ascii="Calibri" w:hAnsi="Calibri"/>
                              <w:sz w:val="18"/>
                            </w:rPr>
                            <w:t>tep 6)</w:t>
                          </w:r>
                        </w:p>
                      </w:txbxContent>
                    </v:textbox>
                  </v:shape>
                  <v:shape id="Text Box 26" o:spid="_x0000_s1036" type="#_x0000_t202" style="position:absolute;left:32627;top:27951;width:10820;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mtfxQAAANsAAAAPAAAAZHJzL2Rvd25yZXYueG1sRI9Ba8JA&#10;FITvBf/D8oTedKOloY1uggpieiq1heLtmX0mIdm3IbvG9N93C0KPw8x8w6yz0bRioN7VlhUs5hEI&#10;4sLqmksFX5/72QsI55E1tpZJwQ85yNLJwxoTbW/8QcPRlyJA2CWooPK+S6R0RUUG3dx2xMG72N6g&#10;D7Ivpe7xFuCmlcsoiqXBmsNChR3tKiqa49Uo2Ly/nXNXPF0G3ezo8L3tmtfTs1KP03GzAuFp9P/h&#10;ezvXCpYx/H0JP0CmvwAAAP//AwBQSwECLQAUAAYACAAAACEA2+H2y+4AAACFAQAAEwAAAAAAAAAA&#10;AAAAAAAAAAAAW0NvbnRlbnRfVHlwZXNdLnhtbFBLAQItABQABgAIAAAAIQBa9CxbvwAAABUBAAAL&#10;AAAAAAAAAAAAAAAAAB8BAABfcmVscy8ucmVsc1BLAQItABQABgAIAAAAIQAvQmtfxQAAANsAAAAP&#10;AAAAAAAAAAAAAAAAAAcCAABkcnMvZG93bnJldi54bWxQSwUGAAAAAAMAAwC3AAAA+QIAAAAA&#10;" fillcolor="window" strokeweight=".5pt">
                    <v:path arrowok="t"/>
                    <v:textbox>
                      <w:txbxContent>
                        <w:p w14:paraId="11ED8448" w14:textId="77777777" w:rsidR="009E44A7" w:rsidRPr="00AA7264" w:rsidRDefault="009E44A7" w:rsidP="00E379FD">
                          <w:pPr>
                            <w:spacing w:after="0" w:line="240" w:lineRule="auto"/>
                            <w:jc w:val="center"/>
                            <w:rPr>
                              <w:rFonts w:ascii="Calibri" w:hAnsi="Calibri"/>
                              <w:sz w:val="18"/>
                            </w:rPr>
                          </w:pPr>
                          <w:r w:rsidRPr="00AA7264">
                            <w:rPr>
                              <w:rFonts w:ascii="Calibri" w:hAnsi="Calibri"/>
                              <w:sz w:val="18"/>
                            </w:rPr>
                            <w:t xml:space="preserve">Full HTA </w:t>
                          </w:r>
                        </w:p>
                        <w:p w14:paraId="5FF88809" w14:textId="77777777" w:rsidR="009E44A7" w:rsidRPr="00AA7264" w:rsidRDefault="009E44A7" w:rsidP="00E379FD">
                          <w:pPr>
                            <w:spacing w:before="0" w:line="240" w:lineRule="auto"/>
                            <w:jc w:val="center"/>
                            <w:rPr>
                              <w:rFonts w:ascii="Calibri" w:hAnsi="Calibri"/>
                              <w:sz w:val="18"/>
                            </w:rPr>
                          </w:pPr>
                          <w:r>
                            <w:rPr>
                              <w:rFonts w:ascii="Calibri" w:hAnsi="Calibri"/>
                              <w:sz w:val="18"/>
                            </w:rPr>
                            <w:t>(Template s</w:t>
                          </w:r>
                          <w:r w:rsidRPr="00AA7264">
                            <w:rPr>
                              <w:rFonts w:ascii="Calibri" w:hAnsi="Calibri"/>
                              <w:sz w:val="18"/>
                            </w:rPr>
                            <w:t>tep 7)</w:t>
                          </w:r>
                        </w:p>
                      </w:txbxContent>
                    </v:textbox>
                  </v:shape>
                  <v:shape id="Text Box 34" o:spid="_x0000_s1037" type="#_x0000_t202" style="position:absolute;left:18184;top:36368;width:24542;height:6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cZuxAAAANsAAAAPAAAAZHJzL2Rvd25yZXYueG1sRI9Pa8JA&#10;FMTvBb/D8gRvdeNfNLqKCqX2VKqCeHtmn0lI9m3IrjF++65Q6HGYmd8wy3VrStFQ7XLLCgb9CARx&#10;YnXOqYLT8eN9BsJ5ZI2lZVLwJAfrVedtibG2D/6h5uBTESDsYlSQeV/FUrokI4Oubyvi4N1sbdAH&#10;WadS1/gIcFPKYRRNpcGcw0KGFe0ySorD3SjYfH9d9y4Z3Rpd7OjzvK2K+WWiVK/bbhYgPLX+P/zX&#10;3msFozG8voQfIFe/AAAA//8DAFBLAQItABQABgAIAAAAIQDb4fbL7gAAAIUBAAATAAAAAAAAAAAA&#10;AAAAAAAAAABbQ29udGVudF9UeXBlc10ueG1sUEsBAi0AFAAGAAgAAAAhAFr0LFu/AAAAFQEAAAsA&#10;AAAAAAAAAAAAAAAAHwEAAF9yZWxzLy5yZWxzUEsBAi0AFAAGAAgAAAAhADUFxm7EAAAA2wAAAA8A&#10;AAAAAAAAAAAAAAAABwIAAGRycy9kb3ducmV2LnhtbFBLBQYAAAAAAwADALcAAAD4AgAAAAA=&#10;" fillcolor="window" strokeweight=".5pt">
                    <v:path arrowok="t"/>
                    <v:textbox>
                      <w:txbxContent>
                        <w:p w14:paraId="49D02F40" w14:textId="77777777" w:rsidR="009E44A7" w:rsidRPr="000439B5" w:rsidRDefault="009E44A7" w:rsidP="00E379FD">
                          <w:pPr>
                            <w:pStyle w:val="NoSpacing1"/>
                            <w:jc w:val="center"/>
                            <w:rPr>
                              <w:sz w:val="18"/>
                            </w:rPr>
                          </w:pPr>
                          <w:r w:rsidRPr="000439B5">
                            <w:rPr>
                              <w:sz w:val="18"/>
                            </w:rPr>
                            <w:t>D</w:t>
                          </w:r>
                          <w:r>
                            <w:rPr>
                              <w:sz w:val="18"/>
                            </w:rPr>
                            <w:t>escribe relevant AUC</w:t>
                          </w:r>
                          <w:r w:rsidRPr="000439B5">
                            <w:rPr>
                              <w:sz w:val="18"/>
                            </w:rPr>
                            <w:t xml:space="preserve"> (appropriate AND inappropriate indications, populations, frequencies, operators etc</w:t>
                          </w:r>
                          <w:r>
                            <w:rPr>
                              <w:sz w:val="18"/>
                            </w:rPr>
                            <w:t>.</w:t>
                          </w:r>
                          <w:r w:rsidRPr="000439B5">
                            <w:rPr>
                              <w:sz w:val="18"/>
                            </w:rPr>
                            <w:t>)</w:t>
                          </w:r>
                        </w:p>
                        <w:p w14:paraId="52B175B4" w14:textId="77777777" w:rsidR="009E44A7" w:rsidRPr="000439B5" w:rsidRDefault="009E44A7" w:rsidP="00E379FD">
                          <w:pPr>
                            <w:pStyle w:val="NoSpacing1"/>
                            <w:jc w:val="center"/>
                            <w:rPr>
                              <w:sz w:val="18"/>
                            </w:rPr>
                          </w:pPr>
                          <w:r>
                            <w:rPr>
                              <w:sz w:val="18"/>
                            </w:rPr>
                            <w:t>(Template st</w:t>
                          </w:r>
                          <w:r w:rsidRPr="000439B5">
                            <w:rPr>
                              <w:sz w:val="18"/>
                            </w:rPr>
                            <w:t>ep 8)</w:t>
                          </w:r>
                        </w:p>
                      </w:txbxContent>
                    </v:textbox>
                  </v:shape>
                </v:group>
                <v:group id="Group 10" o:spid="_x0000_s1038" style="position:absolute;left:9448;top:4049;width:32872;height:43532" coordsize="32871,43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type id="_x0000_t32" coordsize="21600,21600" o:spt="32" o:oned="t" path="m,l21600,21600e" filled="f">
                    <v:path arrowok="t" fillok="f" o:connecttype="none"/>
                    <o:lock v:ext="edit" shapetype="t"/>
                  </v:shapetype>
                  <v:shape id="Straight Arrow Connector 15" o:spid="_x0000_s1039" type="#_x0000_t32" alt="&quot;&quot;" style="position:absolute;left:26909;top:30240;width:0;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NuGwgAAANsAAAAPAAAAZHJzL2Rvd25yZXYueG1sRE9LawIx&#10;EL4X/A9hCr2Umm1LRVejiFrwUtSt4HXYzD7oZrJNoq7/3giCt/n4njOZdaYRJ3K+tqzgvZ+AIM6t&#10;rrlUsP/9fhuC8AFZY2OZFFzIw2zae5pgqu2Zd3TKQiliCPsUFVQhtKmUPq/IoO/bljhyhXUGQ4Su&#10;lNrhOYabRn4kyUAarDk2VNjSoqL8LzsaBbLcfZrDqugGP4UbLbevm/822yj18tzNxyACdeEhvrvX&#10;Os7/gtsv8QA5vQIAAP//AwBQSwECLQAUAAYACAAAACEA2+H2y+4AAACFAQAAEwAAAAAAAAAAAAAA&#10;AAAAAAAAW0NvbnRlbnRfVHlwZXNdLnhtbFBLAQItABQABgAIAAAAIQBa9CxbvwAAABUBAAALAAAA&#10;AAAAAAAAAAAAAB8BAABfcmVscy8ucmVsc1BLAQItABQABgAIAAAAIQD9uNuGwgAAANsAAAAPAAAA&#10;AAAAAAAAAAAAAAcCAABkcnMvZG93bnJldi54bWxQSwUGAAAAAAMAAwC3AAAA9gIAAAAA&#10;" strokecolor="windowText" strokeweight=".5pt">
                    <v:stroke endarrow="block" joinstyle="miter"/>
                    <o:lock v:ext="edit" shapetype="f"/>
                  </v:shape>
                  <v:shape id="Straight Arrow Connector 18" o:spid="_x0000_s1040" type="#_x0000_t32" alt="&quot;&quot;" style="position:absolute;left:26909;top:21488;width:0;height:22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XQYxQAAANsAAAAPAAAAZHJzL2Rvd25yZXYueG1sRI9PawJB&#10;DMXvBb/DkEIvpc5WQezWUaRV8CLqttBr2Mn+oTuZ7cxU129vDoXeEt7Le78sVoPr1JlCbD0beB5n&#10;oIhLb1uuDXx+bJ/moGJCtth5JgNXirBaju4WmFt/4ROdi1QrCeGYo4EmpT7XOpYNOYxj3xOLVvng&#10;MMkaam0DXiTcdXqSZTPtsGVpaLCnt4bK7+LXGdD1aeq+NtUw21fh5f34ePjpi4MxD/fD+hVUoiH9&#10;m/+ud1bwBVZ+kQH08gYAAP//AwBQSwECLQAUAAYACAAAACEA2+H2y+4AAACFAQAAEwAAAAAAAAAA&#10;AAAAAAAAAAAAW0NvbnRlbnRfVHlwZXNdLnhtbFBLAQItABQABgAIAAAAIQBa9CxbvwAAABUBAAAL&#10;AAAAAAAAAAAAAAAAAB8BAABfcmVscy8ucmVsc1BLAQItABQABgAIAAAAIQATuXQYxQAAANsAAAAP&#10;AAAAAAAAAAAAAAAAAAcCAABkcnMvZG93bnJldi54bWxQSwUGAAAAAAMAAwC3AAAA+QIAAAAA&#10;" strokecolor="windowText" strokeweight=".5pt">
                    <v:stroke endarrow="block" joinstyle="miter"/>
                    <o:lock v:ext="edit" shapetype="f"/>
                  </v:shape>
                  <v:shape id="Straight Arrow Connector 29" o:spid="_x0000_s1041" type="#_x0000_t32" alt="&quot;&quot;" style="position:absolute;left:6618;top:34790;width:21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Rs+xQAAANsAAAAPAAAAZHJzL2Rvd25yZXYueG1sRI9PawIx&#10;FMTvgt8hPKGXUrMqiG7NLmJb8FLUtdDrY/P2D25etkmq22/fFAoeh5n5DbPJB9OJKznfWlYwmyYg&#10;iEurW64VfJzfnlYgfEDW2FkmBT/kIc/Gow2m2t74RNci1CJC2KeooAmhT6X0ZUMG/dT2xNGrrDMY&#10;onS11A5vEW46OU+SpTTYclxosKddQ+Wl+DYKZH1amM/Xali+V279cnw8fPXFQamHybB9BhFoCPfw&#10;f3uvFczX8Pcl/gCZ/QIAAP//AwBQSwECLQAUAAYACAAAACEA2+H2y+4AAACFAQAAEwAAAAAAAAAA&#10;AAAAAAAAAAAAW0NvbnRlbnRfVHlwZXNdLnhtbFBLAQItABQABgAIAAAAIQBa9CxbvwAAABUBAAAL&#10;AAAAAAAAAAAAAAAAAB8BAABfcmVscy8ucmVsc1BLAQItABQABgAIAAAAIQCymRs+xQAAANsAAAAP&#10;AAAAAAAAAAAAAAAAAAcCAABkcnMvZG93bnJldi54bWxQSwUGAAAAAAMAAwC3AAAA+QIAAAAA&#10;" strokecolor="windowText" strokeweight=".5pt">
                    <v:stroke endarrow="block" joinstyle="miter"/>
                    <o:lock v:ext="edit" shapetype="f"/>
                  </v:shape>
                  <v:shape id="Straight Arrow Connector 31" o:spid="_x0000_s1042" type="#_x0000_t32" alt="&quot;&quot;" style="position:absolute;left:19137;top:30240;width:0;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oHlxAAAANsAAAAPAAAAZHJzL2Rvd25yZXYueG1sRI9bawIx&#10;FITfC/0P4RR8kZpVQezWKOIFfCnqWujrYXP2QjcnaxJ1/femIPRxmJlvmNmiM424kvO1ZQXDQQKC&#10;OLe65lLB92n7PgXhA7LGxjIpuJOHxfz1ZYaptjc+0jULpYgQ9ikqqEJoUyl9XpFBP7AtcfQK6wyG&#10;KF0ptcNbhJtGjpJkIg3WHBcqbGlVUf6bXYwCWR7H5mdTdJOvwn2sD/39uc32SvXeuuUniEBd+A8/&#10;2zutYDyEvy/xB8j5AwAA//8DAFBLAQItABQABgAIAAAAIQDb4fbL7gAAAIUBAAATAAAAAAAAAAAA&#10;AAAAAAAAAABbQ29udGVudF9UeXBlc10ueG1sUEsBAi0AFAAGAAgAAAAhAFr0LFu/AAAAFQEAAAsA&#10;AAAAAAAAAAAAAAAAHwEAAF9yZWxzLy5yZWxzUEsBAi0AFAAGAAgAAAAhAMk2geXEAAAA2wAAAA8A&#10;AAAAAAAAAAAAAAAABwIAAGRycy9kb3ducmV2LnhtbFBLBQYAAAAAAwADALcAAAD4AgAAAAA=&#10;" strokecolor="windowText" strokeweight=".5pt">
                    <v:stroke endarrow="block" joinstyle="miter"/>
                    <o:lock v:ext="edit" shapetype="f"/>
                  </v:shape>
                  <v:shape id="Straight Arrow Connector 16" o:spid="_x0000_s1043" type="#_x0000_t32" alt="&quot;&quot;" style="position:absolute;left:12866;width:0;height:13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XxwgAAANsAAAAPAAAAZHJzL2Rvd25yZXYueG1sRE9LawIx&#10;EL4X/A9hBC+lZrWw2NUoohZ6Kepa6HXYzD5wM1mTVNd/bwqF3ubje85i1ZtWXMn5xrKCyTgBQVxY&#10;3XCl4Ov0/jID4QOyxtYyKbiTh9Vy8LTATNsbH+mah0rEEPYZKqhD6DIpfVGTQT+2HXHkSusMhghd&#10;JbXDWww3rZwmSSoNNhwbauxoU1Nxzn+MAlkdX833ruzTz9K9bQ/P+0uX75UaDfv1HESgPvyL/9wf&#10;Os5P4feXeIBcPgAAAP//AwBQSwECLQAUAAYACAAAACEA2+H2y+4AAACFAQAAEwAAAAAAAAAAAAAA&#10;AAAAAAAAW0NvbnRlbnRfVHlwZXNdLnhtbFBLAQItABQABgAIAAAAIQBa9CxbvwAAABUBAAALAAAA&#10;AAAAAAAAAAAAAB8BAABfcmVscy8ucmVsc1BLAQItABQABgAIAAAAIQANakXxwgAAANsAAAAPAAAA&#10;AAAAAAAAAAAAAAcCAABkcnMvZG93bnJldi54bWxQSwUGAAAAAAMAAwC3AAAA9gIAAAAA&#10;" strokecolor="windowText" strokeweight=".5pt">
                    <v:stroke endarrow="block" joinstyle="miter"/>
                    <o:lock v:ext="edit" shapetype="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8" o:spid="_x0000_s1044" type="#_x0000_t34" alt="&quot;&quot;" style="position:absolute;left:7195;top:10189;width:6147;height:5029;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CQWwAAAANsAAAAPAAAAZHJzL2Rvd25yZXYueG1sRE/LisIw&#10;FN0P+A/hCm6GMVFBpGMUEQVfGx+LWV6aO221uSlNtPXvzUJweTjv6by1pXhQ7QvHGgZ9BYI4dabg&#10;TMPlvP6ZgPAB2WDpmDQ8ycN81vmaYmJcw0d6nEImYgj7BDXkIVSJlD7NyaLvu4o4cv+uthgirDNp&#10;amxiuC3lUKmxtFhwbMixomVO6e10txr4umuecrS7r/bbv+/jslHy4JXWvW67+AURqA0f8du9MRqG&#10;cWz8En+AnL0AAAD//wMAUEsBAi0AFAAGAAgAAAAhANvh9svuAAAAhQEAABMAAAAAAAAAAAAAAAAA&#10;AAAAAFtDb250ZW50X1R5cGVzXS54bWxQSwECLQAUAAYACAAAACEAWvQsW78AAAAVAQAACwAAAAAA&#10;AAAAAAAAAAAfAQAAX3JlbHMvLnJlbHNQSwECLQAUAAYACAAAACEA7ZQkFsAAAADbAAAADwAAAAAA&#10;AAAAAAAAAAAHAgAAZHJzL2Rvd25yZXYueG1sUEsFBgAAAAADAAMAtwAAAPQCAAAAAA==&#10;" strokecolor="windowText" strokeweight=".5pt">
                    <v:stroke endarrow="block"/>
                    <o:lock v:ext="edit" shapetype="f"/>
                  </v:shape>
                  <v:shape id="Elbow Connector 33" o:spid="_x0000_s1045" type="#_x0000_t34" alt="&quot;&quot;" style="position:absolute;left:8773;top:10189;width:6384;height:502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OmmxQAAANsAAAAPAAAAZHJzL2Rvd25yZXYueG1sRI9PawIx&#10;FMTvBb9DeEIvRbPVKroaRQTBk9Q/B4+PzXN3cfOyTaK79dMbodDjMDO/YebL1lTiTs6XlhV89hMQ&#10;xJnVJecKTsdNbwLCB2SNlWVS8EselovO2xxTbRve0/0QchEh7FNUUIRQp1L6rCCDvm9r4uhdrDMY&#10;onS51A6bCDeVHCTJWBosOS4UWNO6oOx6uBkFj93PeuPbZPr99bieR+7j0uQDqdR7t13NQARqw3/4&#10;r73VCoZDeH2JP0AungAAAP//AwBQSwECLQAUAAYACAAAACEA2+H2y+4AAACFAQAAEwAAAAAAAAAA&#10;AAAAAAAAAAAAW0NvbnRlbnRfVHlwZXNdLnhtbFBLAQItABQABgAIAAAAIQBa9CxbvwAAABUBAAAL&#10;AAAAAAAAAAAAAAAAAB8BAABfcmVscy8ucmVsc1BLAQItABQABgAIAAAAIQBl5OmmxQAAANsAAAAP&#10;AAAAAAAAAAAAAAAAAAcCAABkcnMvZG93bnJldi54bWxQSwUGAAAAAAMAAwC3AAAA+QIAAAAA&#10;" strokecolor="windowText" strokeweight=".5pt">
                    <v:stroke endarrow="block"/>
                    <o:lock v:ext="edit" shapetype="f"/>
                  </v:shape>
                  <v:shape id="Straight Arrow Connector 37" o:spid="_x0000_s1046" type="#_x0000_t32" alt="&quot;&quot;" style="position:absolute;left:19137;top:21423;width:0;height:2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7wKxQAAANsAAAAPAAAAZHJzL2Rvd25yZXYueG1sRI9PawIx&#10;FMTvBb9DeEIvUrNVsHVrlKIteBG7q+D1sXn7h25e1iTV9ds3BaHHYWZ+wyxWvWnFhZxvLCt4Hicg&#10;iAurG64UHA+fT68gfEDW2FomBTfysFoOHhaYanvljC55qESEsE9RQR1Cl0rpi5oM+rHtiKNXWmcw&#10;ROkqqR1eI9y0cpIkM2mw4bhQY0frmorv/McokFU2NaePsp/tSjfffI325y7fK/U47N/fQATqw3/4&#10;3t5qBdMX+PsSf4Bc/gIAAP//AwBQSwECLQAUAAYACAAAACEA2+H2y+4AAACFAQAAEwAAAAAAAAAA&#10;AAAAAAAAAAAAW0NvbnRlbnRfVHlwZXNdLnhtbFBLAQItABQABgAIAAAAIQBa9CxbvwAAABUBAAAL&#10;AAAAAAAAAAAAAAAAAB8BAABfcmVscy8ucmVsc1BLAQItABQABgAIAAAAIQApk7wKxQAAANsAAAAP&#10;AAAAAAAAAAAAAAAAAAcCAABkcnMvZG93bnJldi54bWxQSwUGAAAAAAMAAwC3AAAA+QIAAAAA&#10;" strokecolor="windowText" strokeweight=".5pt">
                    <v:stroke endarrow="block" joinstyle="miter"/>
                    <o:lock v:ext="edit" shapetype="f"/>
                  </v:shape>
                  <v:shape id="Straight Arrow Connector 4" o:spid="_x0000_s1047" type="#_x0000_t32" alt="&quot;&quot;" style="position:absolute;top:28019;width:0;height:24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PLSxQAAANoAAAAPAAAAZHJzL2Rvd25yZXYueG1sRI9bawIx&#10;FITfhf6HcARfRLNekLo1Smkr9EXsrkJfD5uzF9ycrEmq23/fFAp9HGbmG2az600rbuR8Y1nBbJqA&#10;IC6sbrhScD7tJ48gfEDW2FomBd/kYbd9GGww1fbOGd3yUIkIYZ+igjqELpXSFzUZ9FPbEUevtM5g&#10;iNJVUju8R7hp5TxJVtJgw3Ghxo5eaiou+ZdRIKtsYT7fyn51KN369WN8vHb5UanRsH9+AhGoD//h&#10;v/a7VrCE3yvxBsjtDwAAAP//AwBQSwECLQAUAAYACAAAACEA2+H2y+4AAACFAQAAEwAAAAAAAAAA&#10;AAAAAAAAAAAAW0NvbnRlbnRfVHlwZXNdLnhtbFBLAQItABQABgAIAAAAIQBa9CxbvwAAABUBAAAL&#10;AAAAAAAAAAAAAAAAAB8BAABfcmVscy8ucmVsc1BLAQItABQABgAIAAAAIQDUgPLSxQAAANoAAAAP&#10;AAAAAAAAAAAAAAAAAAcCAABkcnMvZG93bnJldi54bWxQSwUGAAAAAAMAAwC3AAAA+QIAAAAA&#10;" strokecolor="windowText" strokeweight=".5pt">
                    <v:stroke endarrow="block" joinstyle="miter"/>
                    <o:lock v:ext="edit" shapetype="f"/>
                  </v:shape>
                  <v:shape id="Elbow Connector 6" o:spid="_x0000_s1048" type="#_x0000_t34" alt="&quot;&quot;" style="position:absolute;left:26724;top:38731;width:6147;height:480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PLCwwAAANoAAAAPAAAAZHJzL2Rvd25yZXYueG1sRI/Ni8Iw&#10;FMTvgv9DeIIXWZNVEOkaRcQFP/bix2GPj+ZtW21eShNt/e+NsOBxmJnfMLNFa0txp9oXjjV8DhUI&#10;4tSZgjMN59P3xxSED8gGS8ek4UEeFvNuZ4aJcQ0f6H4MmYgQ9glqyEOoEil9mpNFP3QVcfT+XG0x&#10;RFln0tTYRLgt5UipibRYcFzIsaJVTun1eLMa+LJrHnK8u63329/BYdUo+eOV1v1eu/wCEagN7/B/&#10;e2M0TOB1Jd4AOX8CAAD//wMAUEsBAi0AFAAGAAgAAAAhANvh9svuAAAAhQEAABMAAAAAAAAAAAAA&#10;AAAAAAAAAFtDb250ZW50X1R5cGVzXS54bWxQSwECLQAUAAYACAAAACEAWvQsW78AAAAVAQAACwAA&#10;AAAAAAAAAAAAAAAfAQAAX3JlbHMvLnJlbHNQSwECLQAUAAYACAAAACEAswDywsMAAADaAAAADwAA&#10;AAAAAAAAAAAAAAAHAgAAZHJzL2Rvd25yZXYueG1sUEsFBgAAAAADAAMAtwAAAPcCAAAAAA==&#10;" strokecolor="windowText" strokeweight=".5pt">
                    <v:stroke endarrow="block"/>
                    <o:lock v:ext="edit" shapetype="f"/>
                  </v:shape>
                  <v:shape id="Text Box 23" o:spid="_x0000_s1049" type="#_x0000_t202" style="position:absolute;left:3483;top:11299;width:6769;height:2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uwxQAAANsAAAAPAAAAZHJzL2Rvd25yZXYueG1sRI9Ba8JA&#10;FITvhf6H5RV6q5taEImuItJShQZrFLw+ss8kmn0bdrcm+uu7BaHHYWa+Yabz3jTiQs7XlhW8DhIQ&#10;xIXVNZcK9ruPlzEIH5A1NpZJwZU8zGePD1NMte14S5c8lCJC2KeooAqhTaX0RUUG/cC2xNE7Wmcw&#10;ROlKqR12EW4aOUySkTRYc1yosKVlRcU5/zEKDl3+6Tbr9em7XWW3zS3Pvug9U+r5qV9MQATqw3/4&#10;3l5pBcM3+PsSf4Cc/QIAAP//AwBQSwECLQAUAAYACAAAACEA2+H2y+4AAACFAQAAEwAAAAAAAAAA&#10;AAAAAAAAAAAAW0NvbnRlbnRfVHlwZXNdLnhtbFBLAQItABQABgAIAAAAIQBa9CxbvwAAABUBAAAL&#10;AAAAAAAAAAAAAAAAAB8BAABfcmVscy8ucmVsc1BLAQItABQABgAIAAAAIQDlaHuwxQAAANsAAAAP&#10;AAAAAAAAAAAAAAAAAAcCAABkcnMvZG93bnJldi54bWxQSwUGAAAAAAMAAwC3AAAA+QIAAAAA&#10;" fillcolor="window" stroked="f" strokeweight=".5pt">
                    <v:textbox>
                      <w:txbxContent>
                        <w:p w14:paraId="6E4AE39A" w14:textId="77777777" w:rsidR="009E44A7" w:rsidRPr="00AA7264" w:rsidRDefault="009E44A7" w:rsidP="00E379FD">
                          <w:pPr>
                            <w:spacing w:before="0" w:after="0" w:line="240" w:lineRule="auto"/>
                            <w:rPr>
                              <w:rFonts w:ascii="Calibri" w:hAnsi="Calibri"/>
                              <w:sz w:val="18"/>
                            </w:rPr>
                          </w:pPr>
                          <w:r>
                            <w:rPr>
                              <w:rFonts w:ascii="Calibri" w:hAnsi="Calibri"/>
                              <w:sz w:val="18"/>
                            </w:rPr>
                            <w:t>No/l</w:t>
                          </w:r>
                          <w:r w:rsidRPr="00AA7264">
                            <w:rPr>
                              <w:rFonts w:ascii="Calibri" w:hAnsi="Calibri"/>
                              <w:sz w:val="18"/>
                            </w:rPr>
                            <w:t>ow</w:t>
                          </w:r>
                        </w:p>
                      </w:txbxContent>
                    </v:textbox>
                  </v:shape>
                </v:group>
                <w10:anchorlock/>
              </v:group>
            </w:pict>
          </mc:Fallback>
        </mc:AlternateContent>
      </w:r>
      <w:r w:rsidR="00E379FD" w:rsidRPr="00AA7264">
        <w:rPr>
          <w:rFonts w:ascii="Calibri" w:eastAsia="Calibri" w:hAnsi="Calibri"/>
          <w:color w:val="000000"/>
          <w:szCs w:val="22"/>
        </w:rPr>
        <w:tab/>
      </w:r>
    </w:p>
    <w:p w14:paraId="55A12D2D" w14:textId="4E3D8C85" w:rsidR="005F7C2B" w:rsidRPr="00E9276B" w:rsidRDefault="00B24260" w:rsidP="00E9276B">
      <w:pPr>
        <w:pStyle w:val="Heading2"/>
        <w:spacing w:line="240" w:lineRule="auto"/>
        <w:ind w:right="95"/>
      </w:pPr>
      <w:bookmarkStart w:id="84" w:name="_Toc25843706"/>
      <w:r>
        <w:lastRenderedPageBreak/>
        <w:t>B</w:t>
      </w:r>
      <w:r w:rsidR="005F7C2B" w:rsidRPr="00E9276B">
        <w:t>.2 Design of MBS items for surgical services</w:t>
      </w:r>
      <w:bookmarkEnd w:id="84"/>
    </w:p>
    <w:p w14:paraId="2A280657" w14:textId="77777777" w:rsidR="003D6C4A" w:rsidRPr="00E9276B" w:rsidRDefault="006F5933" w:rsidP="00E9276B">
      <w:pPr>
        <w:spacing w:line="240" w:lineRule="auto"/>
        <w:rPr>
          <w:rFonts w:eastAsiaTheme="minorHAnsi"/>
        </w:rPr>
      </w:pPr>
      <w:r w:rsidRPr="00E9276B">
        <w:rPr>
          <w:rFonts w:eastAsiaTheme="minorHAnsi"/>
        </w:rPr>
        <w:t xml:space="preserve">This advice builds upon the framework introduced above in item A.1 and refers directly to the review of MBS items for surgical services. </w:t>
      </w:r>
      <w:r w:rsidR="003D6C4A" w:rsidRPr="00E9276B">
        <w:rPr>
          <w:rFonts w:eastAsiaTheme="minorHAnsi"/>
        </w:rPr>
        <w:t xml:space="preserve">Surgical services account for a very high proportion of MBS items but a relatively low proportion of overall services and MBS expenditure. In 2015–16, </w:t>
      </w:r>
      <w:r w:rsidRPr="00E9276B">
        <w:rPr>
          <w:rFonts w:eastAsiaTheme="minorHAnsi"/>
        </w:rPr>
        <w:t xml:space="preserve">surgical </w:t>
      </w:r>
      <w:r w:rsidR="003D6C4A" w:rsidRPr="00E9276B">
        <w:rPr>
          <w:rFonts w:eastAsiaTheme="minorHAnsi"/>
        </w:rPr>
        <w:t>services (excluding consultations) accounted for approximately $1.7 billion of the overall MBS spend of $21 billion. Orthopaedic procedures are covered under 580 items (more than 10% of all items) but account for only $190 million (about 1 per cent) of expenditure.</w:t>
      </w:r>
    </w:p>
    <w:p w14:paraId="5C87F63E" w14:textId="77777777" w:rsidR="005C6C7E" w:rsidRPr="00E9276B" w:rsidRDefault="006F5933" w:rsidP="00E9276B">
      <w:pPr>
        <w:spacing w:line="240" w:lineRule="auto"/>
        <w:rPr>
          <w:rFonts w:eastAsiaTheme="minorHAnsi"/>
        </w:rPr>
      </w:pPr>
      <w:r w:rsidRPr="00E9276B">
        <w:rPr>
          <w:rFonts w:eastAsiaTheme="minorHAnsi"/>
        </w:rPr>
        <w:t>As outlined in A.1 above, early clinical committee review of surgical items produced variable outcomes, leading to the introduction of a guidance framework for second tranche committees. This s</w:t>
      </w:r>
      <w:r w:rsidR="00DD0DA6" w:rsidRPr="00E9276B">
        <w:rPr>
          <w:rFonts w:eastAsiaTheme="minorHAnsi"/>
        </w:rPr>
        <w:t xml:space="preserve">tandardisation was found to be essential for the review of </w:t>
      </w:r>
      <w:r w:rsidRPr="00E9276B">
        <w:rPr>
          <w:rFonts w:eastAsiaTheme="minorHAnsi"/>
        </w:rPr>
        <w:t>surgical items</w:t>
      </w:r>
      <w:r w:rsidR="00DD0DA6" w:rsidRPr="00E9276B">
        <w:rPr>
          <w:rFonts w:eastAsiaTheme="minorHAnsi"/>
        </w:rPr>
        <w:t xml:space="preserve">, given the </w:t>
      </w:r>
      <w:r w:rsidR="003D6C4A" w:rsidRPr="00E9276B">
        <w:rPr>
          <w:rFonts w:eastAsiaTheme="minorHAnsi"/>
        </w:rPr>
        <w:t>sheer volume of items and widespread variation in</w:t>
      </w:r>
      <w:r w:rsidR="00DD0DA6" w:rsidRPr="00E9276B">
        <w:rPr>
          <w:rFonts w:eastAsiaTheme="minorHAnsi"/>
        </w:rPr>
        <w:t xml:space="preserve"> the use of them by surgeons. In addition to this, as the MBS has evolved over an extended time period, the Committee acknowledged that the MBS contained an </w:t>
      </w:r>
      <w:r w:rsidR="005C6C7E" w:rsidRPr="00E9276B">
        <w:rPr>
          <w:rFonts w:eastAsiaTheme="minorHAnsi"/>
        </w:rPr>
        <w:t>unknown number of long</w:t>
      </w:r>
      <w:r w:rsidR="005C6C7E" w:rsidRPr="00E9276B">
        <w:rPr>
          <w:rFonts w:eastAsiaTheme="minorHAnsi"/>
        </w:rPr>
        <w:noBreakHyphen/>
      </w:r>
      <w:r w:rsidR="003D6C4A" w:rsidRPr="00E9276B">
        <w:rPr>
          <w:rFonts w:eastAsiaTheme="minorHAnsi"/>
        </w:rPr>
        <w:t xml:space="preserve">standing and well-established surgical services </w:t>
      </w:r>
      <w:r w:rsidR="00DD0DA6" w:rsidRPr="00E9276B">
        <w:rPr>
          <w:rFonts w:eastAsiaTheme="minorHAnsi"/>
        </w:rPr>
        <w:t xml:space="preserve">with </w:t>
      </w:r>
      <w:r w:rsidR="003D6C4A" w:rsidRPr="00E9276B">
        <w:rPr>
          <w:rFonts w:eastAsiaTheme="minorHAnsi"/>
        </w:rPr>
        <w:t xml:space="preserve">little or no clinical trial evidence to support their use. </w:t>
      </w:r>
    </w:p>
    <w:p w14:paraId="66FEA307" w14:textId="77777777" w:rsidR="003D6C4A" w:rsidRPr="00E9276B" w:rsidRDefault="005C6C7E" w:rsidP="00E9276B">
      <w:pPr>
        <w:spacing w:line="240" w:lineRule="auto"/>
        <w:rPr>
          <w:rFonts w:eastAsiaTheme="minorHAnsi"/>
        </w:rPr>
      </w:pPr>
      <w:r w:rsidRPr="00E9276B">
        <w:rPr>
          <w:rFonts w:eastAsiaTheme="minorHAnsi"/>
        </w:rPr>
        <w:t xml:space="preserve">When </w:t>
      </w:r>
      <w:r w:rsidR="003D6C4A" w:rsidRPr="00E9276B">
        <w:rPr>
          <w:rFonts w:eastAsiaTheme="minorHAnsi"/>
        </w:rPr>
        <w:t xml:space="preserve">reviewing the MBS, surgical </w:t>
      </w:r>
      <w:r w:rsidRPr="00E9276B">
        <w:rPr>
          <w:rFonts w:eastAsiaTheme="minorHAnsi"/>
        </w:rPr>
        <w:t xml:space="preserve">clinical </w:t>
      </w:r>
      <w:r w:rsidR="003D6C4A" w:rsidRPr="00E9276B">
        <w:rPr>
          <w:rFonts w:eastAsiaTheme="minorHAnsi"/>
        </w:rPr>
        <w:t xml:space="preserve">committees </w:t>
      </w:r>
      <w:r w:rsidRPr="00E9276B">
        <w:rPr>
          <w:rFonts w:eastAsiaTheme="minorHAnsi"/>
        </w:rPr>
        <w:t xml:space="preserve">were </w:t>
      </w:r>
      <w:r w:rsidR="003D6C4A" w:rsidRPr="00E9276B">
        <w:rPr>
          <w:rFonts w:eastAsiaTheme="minorHAnsi"/>
        </w:rPr>
        <w:t>asked to critically evaluate MBS data a</w:t>
      </w:r>
      <w:r w:rsidRPr="00E9276B">
        <w:rPr>
          <w:rFonts w:eastAsiaTheme="minorHAnsi"/>
        </w:rPr>
        <w:t xml:space="preserve">nd other available evidence and, </w:t>
      </w:r>
      <w:r w:rsidR="003D6C4A" w:rsidRPr="00E9276B">
        <w:rPr>
          <w:rFonts w:eastAsiaTheme="minorHAnsi"/>
        </w:rPr>
        <w:t xml:space="preserve">where there is evidence to suggest variation in use of items that is detrimental to patients (clinically or financially), </w:t>
      </w:r>
      <w:r w:rsidRPr="00E9276B">
        <w:rPr>
          <w:rFonts w:eastAsiaTheme="minorHAnsi"/>
        </w:rPr>
        <w:t xml:space="preserve">they should identify </w:t>
      </w:r>
      <w:r w:rsidR="003D6C4A" w:rsidRPr="00E9276B">
        <w:rPr>
          <w:rFonts w:eastAsiaTheme="minorHAnsi"/>
        </w:rPr>
        <w:t xml:space="preserve">potential remedies. </w:t>
      </w:r>
      <w:r w:rsidRPr="00E9276B">
        <w:rPr>
          <w:rFonts w:eastAsiaTheme="minorHAnsi"/>
        </w:rPr>
        <w:t xml:space="preserve">Also, where </w:t>
      </w:r>
      <w:r w:rsidR="003D6C4A" w:rsidRPr="00E9276B">
        <w:rPr>
          <w:rFonts w:eastAsiaTheme="minorHAnsi"/>
        </w:rPr>
        <w:t>clinical issues are identified, inclusion of appropriate use criteria into item descriptors or explanatory notes should be considered.</w:t>
      </w:r>
    </w:p>
    <w:p w14:paraId="51C14312" w14:textId="7F7137F7" w:rsidR="003D6C4A" w:rsidRPr="00E9276B" w:rsidRDefault="003D6C4A" w:rsidP="00E9276B">
      <w:pPr>
        <w:spacing w:line="240" w:lineRule="auto"/>
        <w:rPr>
          <w:rFonts w:eastAsiaTheme="minorHAnsi"/>
        </w:rPr>
      </w:pPr>
      <w:r w:rsidRPr="00E9276B">
        <w:rPr>
          <w:rFonts w:eastAsiaTheme="minorHAnsi"/>
        </w:rPr>
        <w:t xml:space="preserve">Change to MBS items </w:t>
      </w:r>
      <w:r w:rsidR="008117D4" w:rsidRPr="00E9276B">
        <w:rPr>
          <w:rFonts w:eastAsiaTheme="minorHAnsi"/>
        </w:rPr>
        <w:t xml:space="preserve">could be </w:t>
      </w:r>
      <w:r w:rsidRPr="00E9276B">
        <w:rPr>
          <w:rFonts w:eastAsiaTheme="minorHAnsi"/>
        </w:rPr>
        <w:t xml:space="preserve">recommended </w:t>
      </w:r>
      <w:r w:rsidR="008117D4" w:rsidRPr="00E9276B">
        <w:rPr>
          <w:rFonts w:eastAsiaTheme="minorHAnsi"/>
        </w:rPr>
        <w:t xml:space="preserve">independently of any clinical reason for change, if the </w:t>
      </w:r>
      <w:r w:rsidR="000E3816" w:rsidRPr="00E9276B">
        <w:rPr>
          <w:rFonts w:eastAsiaTheme="minorHAnsi"/>
        </w:rPr>
        <w:t>amendment</w:t>
      </w:r>
      <w:r w:rsidR="008117D4" w:rsidRPr="00E9276B">
        <w:rPr>
          <w:rFonts w:eastAsiaTheme="minorHAnsi"/>
        </w:rPr>
        <w:t xml:space="preserve"> was identified </w:t>
      </w:r>
      <w:proofErr w:type="gramStart"/>
      <w:r w:rsidRPr="00E9276B">
        <w:rPr>
          <w:rFonts w:eastAsiaTheme="minorHAnsi"/>
        </w:rPr>
        <w:t>as a means to</w:t>
      </w:r>
      <w:proofErr w:type="gramEnd"/>
      <w:r w:rsidRPr="00E9276B">
        <w:rPr>
          <w:rFonts w:eastAsiaTheme="minorHAnsi"/>
        </w:rPr>
        <w:t xml:space="preserve"> modernise the MBS</w:t>
      </w:r>
      <w:r w:rsidR="008117D4" w:rsidRPr="00E9276B">
        <w:rPr>
          <w:rFonts w:eastAsiaTheme="minorHAnsi"/>
        </w:rPr>
        <w:t xml:space="preserve">. However, clinical committees were informed that </w:t>
      </w:r>
      <w:r w:rsidRPr="00E9276B">
        <w:rPr>
          <w:rFonts w:eastAsiaTheme="minorHAnsi"/>
        </w:rPr>
        <w:t>large structural redesign of the MBS</w:t>
      </w:r>
      <w:r w:rsidR="008117D4" w:rsidRPr="00E9276B">
        <w:rPr>
          <w:rFonts w:eastAsiaTheme="minorHAnsi"/>
        </w:rPr>
        <w:t xml:space="preserve"> would need to be </w:t>
      </w:r>
      <w:r w:rsidRPr="00E9276B">
        <w:rPr>
          <w:rFonts w:eastAsiaTheme="minorHAnsi"/>
        </w:rPr>
        <w:t xml:space="preserve">justified and a case made to the Taskforce about the need for major </w:t>
      </w:r>
      <w:r w:rsidR="000E3816">
        <w:rPr>
          <w:rFonts w:eastAsiaTheme="minorHAnsi"/>
        </w:rPr>
        <w:t>re</w:t>
      </w:r>
      <w:r w:rsidR="00820C89">
        <w:rPr>
          <w:rFonts w:eastAsiaTheme="minorHAnsi"/>
        </w:rPr>
        <w:t xml:space="preserve">design </w:t>
      </w:r>
      <w:r w:rsidRPr="00E9276B">
        <w:rPr>
          <w:rFonts w:eastAsiaTheme="minorHAnsi"/>
        </w:rPr>
        <w:t>or minor cha</w:t>
      </w:r>
      <w:r w:rsidR="008117D4" w:rsidRPr="00E9276B">
        <w:rPr>
          <w:rFonts w:eastAsiaTheme="minorHAnsi"/>
        </w:rPr>
        <w:t xml:space="preserve">nges to large numbers of items, based on </w:t>
      </w:r>
      <w:r w:rsidRPr="00E9276B">
        <w:rPr>
          <w:rFonts w:eastAsiaTheme="minorHAnsi"/>
        </w:rPr>
        <w:t>demonstrable clinical benefit to patients, reduced variation in billing and/or enh</w:t>
      </w:r>
      <w:r w:rsidR="008117D4" w:rsidRPr="00E9276B">
        <w:rPr>
          <w:rFonts w:eastAsiaTheme="minorHAnsi"/>
        </w:rPr>
        <w:t xml:space="preserve">anced compliance. This information would be necessary for the Taskforce to </w:t>
      </w:r>
      <w:r w:rsidRPr="00E9276B">
        <w:rPr>
          <w:rFonts w:eastAsiaTheme="minorHAnsi"/>
        </w:rPr>
        <w:t>determine whether the m</w:t>
      </w:r>
      <w:r w:rsidR="008117D4" w:rsidRPr="00E9276B">
        <w:rPr>
          <w:rFonts w:eastAsiaTheme="minorHAnsi"/>
        </w:rPr>
        <w:t xml:space="preserve">agnitude of the change would provide </w:t>
      </w:r>
      <w:r w:rsidRPr="00E9276B">
        <w:rPr>
          <w:rFonts w:eastAsiaTheme="minorHAnsi"/>
        </w:rPr>
        <w:t xml:space="preserve">sufficient overall benefit to justify the use of resources to effect the </w:t>
      </w:r>
      <w:r w:rsidR="00820C89">
        <w:rPr>
          <w:rFonts w:eastAsiaTheme="minorHAnsi"/>
        </w:rPr>
        <w:t>change</w:t>
      </w:r>
      <w:r w:rsidRPr="00E9276B">
        <w:rPr>
          <w:rFonts w:eastAsiaTheme="minorHAnsi"/>
        </w:rPr>
        <w:t>.</w:t>
      </w:r>
    </w:p>
    <w:p w14:paraId="7E36E938" w14:textId="61CA07E6" w:rsidR="008117D4" w:rsidRPr="006F5706" w:rsidRDefault="008117D4" w:rsidP="00E9276B">
      <w:pPr>
        <w:spacing w:line="240" w:lineRule="auto"/>
        <w:rPr>
          <w:rFonts w:eastAsiaTheme="minorHAnsi"/>
          <w:b/>
          <w:color w:val="FF0000"/>
        </w:rPr>
      </w:pPr>
      <w:r w:rsidRPr="00E9276B">
        <w:rPr>
          <w:rFonts w:eastAsiaTheme="minorHAnsi"/>
        </w:rPr>
        <w:t xml:space="preserve">The Committee deliberated on specific instruction for surgical clinical committees and </w:t>
      </w:r>
      <w:r w:rsidR="008835EC">
        <w:rPr>
          <w:rFonts w:eastAsiaTheme="minorHAnsi"/>
        </w:rPr>
        <w:t xml:space="preserve">delivered </w:t>
      </w:r>
      <w:r w:rsidRPr="00E9276B">
        <w:rPr>
          <w:rFonts w:eastAsiaTheme="minorHAnsi"/>
        </w:rPr>
        <w:t>the following principles</w:t>
      </w:r>
      <w:r w:rsidRPr="00990EF8">
        <w:rPr>
          <w:rFonts w:eastAsiaTheme="minorHAnsi"/>
        </w:rPr>
        <w:t xml:space="preserve"> endorsed by the Taskforce at its 26 July 2017 meeting. </w:t>
      </w:r>
    </w:p>
    <w:p w14:paraId="189EF482" w14:textId="77777777" w:rsidR="003D6C4A" w:rsidRPr="008117D4" w:rsidRDefault="003D6C4A" w:rsidP="000664A1">
      <w:pPr>
        <w:spacing w:after="0"/>
        <w:rPr>
          <w:b/>
          <w:bCs/>
          <w:sz w:val="24"/>
        </w:rPr>
      </w:pPr>
      <w:r w:rsidRPr="008117D4">
        <w:rPr>
          <w:b/>
          <w:bCs/>
          <w:sz w:val="24"/>
        </w:rPr>
        <w:t>Principles: surgical item design</w:t>
      </w:r>
    </w:p>
    <w:p w14:paraId="2516E450" w14:textId="77777777" w:rsidR="003D6C4A" w:rsidRPr="00E9276B" w:rsidRDefault="003D6C4A" w:rsidP="000664A1">
      <w:pPr>
        <w:spacing w:before="0" w:line="240" w:lineRule="auto"/>
        <w:rPr>
          <w:rFonts w:eastAsiaTheme="minorHAnsi"/>
        </w:rPr>
      </w:pPr>
      <w:r w:rsidRPr="00E9276B">
        <w:rPr>
          <w:rFonts w:eastAsiaTheme="minorHAnsi"/>
        </w:rPr>
        <w:t xml:space="preserve">In designing </w:t>
      </w:r>
      <w:r w:rsidR="008117D4" w:rsidRPr="00E9276B">
        <w:rPr>
          <w:rFonts w:eastAsiaTheme="minorHAnsi"/>
        </w:rPr>
        <w:t xml:space="preserve">surgical MBS items, clinical committees should observe the </w:t>
      </w:r>
      <w:r w:rsidRPr="00E9276B">
        <w:rPr>
          <w:rFonts w:eastAsiaTheme="minorHAnsi"/>
        </w:rPr>
        <w:t>following principles:</w:t>
      </w:r>
    </w:p>
    <w:p w14:paraId="7A4196AB" w14:textId="78D51C55" w:rsidR="003D6C4A" w:rsidRPr="00E9276B" w:rsidRDefault="003D6C4A" w:rsidP="008C345B">
      <w:pPr>
        <w:pStyle w:val="ListParagraph"/>
        <w:numPr>
          <w:ilvl w:val="1"/>
          <w:numId w:val="15"/>
        </w:numPr>
        <w:spacing w:before="0" w:after="0" w:line="240" w:lineRule="auto"/>
        <w:ind w:left="709" w:right="95" w:hanging="441"/>
      </w:pPr>
      <w:r w:rsidRPr="00E9276B">
        <w:t xml:space="preserve">An item should represent a ‘complete medical service’. There should be no need to develop items that cannot be used for a stand-alone purpose. </w:t>
      </w:r>
      <w:proofErr w:type="gramStart"/>
      <w:r w:rsidRPr="00E9276B">
        <w:t>All of</w:t>
      </w:r>
      <w:proofErr w:type="gramEnd"/>
      <w:r w:rsidRPr="00E9276B">
        <w:t xml:space="preserve"> the necessary components of a servi</w:t>
      </w:r>
      <w:r w:rsidR="009B5923" w:rsidRPr="00E9276B">
        <w:t>ce are included in the</w:t>
      </w:r>
      <w:r w:rsidR="00820C89">
        <w:t xml:space="preserve"> item </w:t>
      </w:r>
      <w:r w:rsidR="009B5923" w:rsidRPr="00E9276B">
        <w:t>and, whenever possible, all of the necessary components should be included in the item.</w:t>
      </w:r>
    </w:p>
    <w:p w14:paraId="413E1482" w14:textId="77777777" w:rsidR="003D6C4A" w:rsidRPr="00E9276B" w:rsidRDefault="003D6C4A" w:rsidP="008C345B">
      <w:pPr>
        <w:pStyle w:val="ListParagraph"/>
        <w:numPr>
          <w:ilvl w:val="1"/>
          <w:numId w:val="15"/>
        </w:numPr>
        <w:spacing w:before="0" w:after="0" w:line="240" w:lineRule="auto"/>
        <w:ind w:left="709" w:right="95" w:hanging="441"/>
      </w:pPr>
      <w:r w:rsidRPr="00E9276B">
        <w:t>Items should be described simply and without ambiguity.</w:t>
      </w:r>
    </w:p>
    <w:p w14:paraId="05A598C5" w14:textId="77777777" w:rsidR="003D6C4A" w:rsidRPr="00E9276B" w:rsidRDefault="003D6C4A" w:rsidP="008C345B">
      <w:pPr>
        <w:pStyle w:val="ListParagraph"/>
        <w:numPr>
          <w:ilvl w:val="1"/>
          <w:numId w:val="15"/>
        </w:numPr>
        <w:spacing w:before="0" w:after="0" w:line="240" w:lineRule="auto"/>
        <w:ind w:left="709" w:right="95" w:hanging="441"/>
      </w:pPr>
      <w:r w:rsidRPr="00E9276B">
        <w:t>There should be a consistent and logical approach.</w:t>
      </w:r>
    </w:p>
    <w:p w14:paraId="3CE2735E" w14:textId="77777777" w:rsidR="003D6C4A" w:rsidRPr="00E9276B" w:rsidRDefault="003D6C4A" w:rsidP="008C345B">
      <w:pPr>
        <w:pStyle w:val="ListParagraph"/>
        <w:numPr>
          <w:ilvl w:val="1"/>
          <w:numId w:val="15"/>
        </w:numPr>
        <w:spacing w:before="0" w:after="0" w:line="240" w:lineRule="auto"/>
        <w:ind w:left="709" w:right="95" w:hanging="441"/>
      </w:pPr>
      <w:r w:rsidRPr="00E9276B">
        <w:t>Complexity tiers should be kept to a minimum. The default item (the one with broadest applicability) should be the least complex item in a tier. This ensures that there are no gaps in coverage for a specified surgery (e.g. hip arthroplasty or cholecystectomy).</w:t>
      </w:r>
    </w:p>
    <w:p w14:paraId="5670A0A8" w14:textId="77777777" w:rsidR="003D6C4A" w:rsidRPr="00E9276B" w:rsidRDefault="003D6C4A" w:rsidP="008C345B">
      <w:pPr>
        <w:pStyle w:val="ListParagraph"/>
        <w:numPr>
          <w:ilvl w:val="1"/>
          <w:numId w:val="15"/>
        </w:numPr>
        <w:spacing w:before="0" w:after="0" w:line="240" w:lineRule="auto"/>
        <w:ind w:left="709" w:right="95" w:hanging="441"/>
      </w:pPr>
      <w:r w:rsidRPr="00E9276B">
        <w:t>Where there is evidence of low-value clinical care, and there is good evidence or consensus, descriptors (or explanatory notes) should reference appropriate use criteria.</w:t>
      </w:r>
    </w:p>
    <w:p w14:paraId="39D0401F" w14:textId="77777777" w:rsidR="003D6C4A" w:rsidRPr="00E9276B" w:rsidRDefault="003D6C4A" w:rsidP="008C345B">
      <w:pPr>
        <w:pStyle w:val="ListParagraph"/>
        <w:numPr>
          <w:ilvl w:val="1"/>
          <w:numId w:val="15"/>
        </w:numPr>
        <w:spacing w:before="0" w:after="0" w:line="240" w:lineRule="auto"/>
        <w:ind w:left="709" w:right="95" w:hanging="441"/>
      </w:pPr>
      <w:r w:rsidRPr="00E9276B">
        <w:t xml:space="preserve">Items should be available for necessary services but should be removed if the service is obsolete, meaning that it no longer reflects contemporary practice and/or has been superseded by a better treatment. </w:t>
      </w:r>
    </w:p>
    <w:p w14:paraId="0538BF1B" w14:textId="2D3C1D00" w:rsidR="003D6C4A" w:rsidRPr="00E9276B" w:rsidRDefault="003D6C4A" w:rsidP="008C345B">
      <w:pPr>
        <w:pStyle w:val="ListParagraph"/>
        <w:numPr>
          <w:ilvl w:val="1"/>
          <w:numId w:val="15"/>
        </w:numPr>
        <w:spacing w:before="0" w:after="0" w:line="240" w:lineRule="auto"/>
        <w:ind w:left="709" w:right="95" w:hanging="441"/>
      </w:pPr>
      <w:r w:rsidRPr="00E9276B">
        <w:lastRenderedPageBreak/>
        <w:t xml:space="preserve">Recommendations about fee adjustments should be cost neutral within a group of items or within the suite of items reviewed by the committee. For instance, where a surgical service has </w:t>
      </w:r>
      <w:proofErr w:type="gramStart"/>
      <w:r w:rsidRPr="00E9276B">
        <w:t>a number of</w:t>
      </w:r>
      <w:proofErr w:type="gramEnd"/>
      <w:r w:rsidRPr="00E9276B">
        <w:t xml:space="preserve"> complexity tiers upwards, adjustments for more complex items need to balance with downwards adjustment of less complex items. </w:t>
      </w:r>
    </w:p>
    <w:p w14:paraId="6D081A1D" w14:textId="77777777" w:rsidR="003D6C4A" w:rsidRPr="008117D4" w:rsidRDefault="003D6C4A" w:rsidP="000664A1">
      <w:pPr>
        <w:spacing w:after="0"/>
        <w:rPr>
          <w:b/>
          <w:bCs/>
          <w:sz w:val="24"/>
        </w:rPr>
      </w:pPr>
      <w:r w:rsidRPr="008117D4">
        <w:rPr>
          <w:b/>
          <w:bCs/>
          <w:sz w:val="24"/>
        </w:rPr>
        <w:t>Rules for surgical items (MBS Group T8)</w:t>
      </w:r>
    </w:p>
    <w:p w14:paraId="6ADECA49" w14:textId="77777777" w:rsidR="003D6C4A" w:rsidRPr="000664A1" w:rsidRDefault="003D6C4A" w:rsidP="000664A1">
      <w:pPr>
        <w:spacing w:before="0" w:line="240" w:lineRule="auto"/>
        <w:rPr>
          <w:rFonts w:eastAsiaTheme="minorHAnsi"/>
        </w:rPr>
      </w:pPr>
      <w:r w:rsidRPr="000664A1">
        <w:rPr>
          <w:rFonts w:eastAsiaTheme="minorHAnsi"/>
        </w:rPr>
        <w:t xml:space="preserve">To give effect to these principles and to ensure that the revised MBS has an internal logic, surgical committees </w:t>
      </w:r>
      <w:r w:rsidR="008117D4" w:rsidRPr="000664A1">
        <w:rPr>
          <w:rFonts w:eastAsiaTheme="minorHAnsi"/>
        </w:rPr>
        <w:t xml:space="preserve">should </w:t>
      </w:r>
      <w:r w:rsidRPr="000664A1">
        <w:rPr>
          <w:rFonts w:eastAsiaTheme="minorHAnsi"/>
        </w:rPr>
        <w:t>adopt the following rules when revising items:</w:t>
      </w:r>
    </w:p>
    <w:p w14:paraId="00034730" w14:textId="77777777" w:rsidR="003D6C4A" w:rsidRPr="000664A1" w:rsidRDefault="003D6C4A" w:rsidP="008C345B">
      <w:pPr>
        <w:pStyle w:val="ListParagraph"/>
        <w:numPr>
          <w:ilvl w:val="1"/>
          <w:numId w:val="15"/>
        </w:numPr>
        <w:spacing w:before="0" w:after="0" w:line="240" w:lineRule="auto"/>
        <w:ind w:left="709" w:right="95" w:hanging="441"/>
      </w:pPr>
      <w:r w:rsidRPr="000664A1">
        <w:t>Only revise items if there is an identified problem (identified either by the committee or the Taskforce).</w:t>
      </w:r>
    </w:p>
    <w:p w14:paraId="18CEA8DF" w14:textId="77777777" w:rsidR="003D6C4A" w:rsidRPr="000664A1" w:rsidRDefault="003D6C4A" w:rsidP="008C345B">
      <w:pPr>
        <w:pStyle w:val="ListParagraph"/>
        <w:numPr>
          <w:ilvl w:val="1"/>
          <w:numId w:val="15"/>
        </w:numPr>
        <w:spacing w:before="0" w:after="0" w:line="240" w:lineRule="auto"/>
        <w:ind w:left="709" w:right="95" w:hanging="441"/>
      </w:pPr>
      <w:r w:rsidRPr="000664A1">
        <w:t>Do not increase the overall number of items.</w:t>
      </w:r>
    </w:p>
    <w:p w14:paraId="4B3141D6" w14:textId="77777777" w:rsidR="003D6C4A" w:rsidRPr="000664A1" w:rsidRDefault="003D6C4A" w:rsidP="008C345B">
      <w:pPr>
        <w:pStyle w:val="ListParagraph"/>
        <w:numPr>
          <w:ilvl w:val="1"/>
          <w:numId w:val="15"/>
        </w:numPr>
        <w:spacing w:before="0" w:after="0" w:line="240" w:lineRule="auto"/>
        <w:ind w:left="709" w:right="95" w:hanging="441"/>
      </w:pPr>
      <w:r w:rsidRPr="000664A1">
        <w:t>Consolidate items where possible.</w:t>
      </w:r>
    </w:p>
    <w:p w14:paraId="3BB799B4" w14:textId="77777777" w:rsidR="003D6C4A" w:rsidRPr="000664A1" w:rsidRDefault="003D6C4A" w:rsidP="008C345B">
      <w:pPr>
        <w:pStyle w:val="ListParagraph"/>
        <w:numPr>
          <w:ilvl w:val="1"/>
          <w:numId w:val="15"/>
        </w:numPr>
        <w:spacing w:before="0" w:after="0" w:line="240" w:lineRule="auto"/>
        <w:ind w:left="709" w:right="95" w:hanging="441"/>
      </w:pPr>
      <w:r w:rsidRPr="000664A1">
        <w:t>Have no more than three complexity tiers for any given surgical service.</w:t>
      </w:r>
    </w:p>
    <w:p w14:paraId="0D906037" w14:textId="77777777" w:rsidR="003D6C4A" w:rsidRPr="000664A1" w:rsidRDefault="003D6C4A" w:rsidP="008C345B">
      <w:pPr>
        <w:pStyle w:val="ListParagraph"/>
        <w:numPr>
          <w:ilvl w:val="1"/>
          <w:numId w:val="15"/>
        </w:numPr>
        <w:spacing w:before="0" w:after="0" w:line="240" w:lineRule="auto"/>
        <w:ind w:left="709" w:right="95" w:hanging="441"/>
      </w:pPr>
      <w:r w:rsidRPr="000664A1">
        <w:t xml:space="preserve">Anticipated service volumes for any item should be at least 100 services per year unless that item covers a stand-alone and necessary service for an uncommon condition that is not otherwise covered in the MBS (e.g. hindquarter amputation or operation for bladder </w:t>
      </w:r>
      <w:proofErr w:type="spellStart"/>
      <w:r w:rsidRPr="000664A1">
        <w:t>extrophy</w:t>
      </w:r>
      <w:proofErr w:type="spellEnd"/>
      <w:r w:rsidRPr="000664A1">
        <w:t>).</w:t>
      </w:r>
    </w:p>
    <w:p w14:paraId="76C7DEF1" w14:textId="6C376277" w:rsidR="005B79FC" w:rsidRPr="000664A1" w:rsidRDefault="005B79FC" w:rsidP="000664A1">
      <w:pPr>
        <w:spacing w:line="240" w:lineRule="auto"/>
        <w:rPr>
          <w:rFonts w:eastAsiaTheme="minorHAnsi"/>
        </w:rPr>
      </w:pPr>
      <w:r w:rsidRPr="000664A1">
        <w:rPr>
          <w:rFonts w:eastAsiaTheme="minorHAnsi"/>
        </w:rPr>
        <w:t>The Committee’s first report discussed the conflict within the MBS, between the notions that all MBS items constitute a ‘complete medical service’ and the multiple operation rule</w:t>
      </w:r>
      <w:r w:rsidR="00DC54FA">
        <w:rPr>
          <w:rStyle w:val="FootnoteReference"/>
          <w:rFonts w:eastAsiaTheme="minorHAnsi"/>
        </w:rPr>
        <w:footnoteReference w:id="12"/>
      </w:r>
      <w:r w:rsidRPr="000664A1">
        <w:rPr>
          <w:rFonts w:eastAsiaTheme="minorHAnsi"/>
        </w:rPr>
        <w:t xml:space="preserve">. The </w:t>
      </w:r>
      <w:r w:rsidR="00820C89">
        <w:rPr>
          <w:rFonts w:eastAsiaTheme="minorHAnsi"/>
        </w:rPr>
        <w:t>r</w:t>
      </w:r>
      <w:r w:rsidRPr="000664A1">
        <w:rPr>
          <w:rFonts w:eastAsiaTheme="minorHAnsi"/>
        </w:rPr>
        <w:t xml:space="preserve">eport provided an evidence-based overview of claiming patterns of multiple MBS items for a single episode of care and sought to achieve greater guidance on this matter by recommending the implementation of a ‘three item </w:t>
      </w:r>
      <w:proofErr w:type="gramStart"/>
      <w:r w:rsidRPr="000664A1">
        <w:rPr>
          <w:rFonts w:eastAsiaTheme="minorHAnsi"/>
        </w:rPr>
        <w:t>rule</w:t>
      </w:r>
      <w:proofErr w:type="gramEnd"/>
      <w:r w:rsidRPr="000664A1">
        <w:rPr>
          <w:rFonts w:eastAsiaTheme="minorHAnsi"/>
        </w:rPr>
        <w:t xml:space="preserve">’. </w:t>
      </w:r>
    </w:p>
    <w:p w14:paraId="6CC0AFE5" w14:textId="77777777" w:rsidR="005B79FC" w:rsidRPr="000664A1" w:rsidRDefault="005B79FC" w:rsidP="000664A1">
      <w:pPr>
        <w:spacing w:line="240" w:lineRule="auto"/>
        <w:rPr>
          <w:rFonts w:eastAsiaTheme="minorHAnsi"/>
        </w:rPr>
      </w:pPr>
      <w:r w:rsidRPr="000664A1">
        <w:rPr>
          <w:rFonts w:eastAsiaTheme="minorHAnsi"/>
        </w:rPr>
        <w:t xml:space="preserve">The Committee designed the </w:t>
      </w:r>
      <w:proofErr w:type="gramStart"/>
      <w:r w:rsidRPr="000664A1">
        <w:rPr>
          <w:rFonts w:eastAsiaTheme="minorHAnsi"/>
        </w:rPr>
        <w:t>three item</w:t>
      </w:r>
      <w:proofErr w:type="gramEnd"/>
      <w:r w:rsidRPr="000664A1">
        <w:rPr>
          <w:rFonts w:eastAsiaTheme="minorHAnsi"/>
        </w:rPr>
        <w:t xml:space="preserve"> rule to restrict benefits paid to a maximum of three MBS items in relation to a single procedure, and that the existing multiple operation rule be applied to these MBS items.</w:t>
      </w:r>
    </w:p>
    <w:p w14:paraId="3728D735" w14:textId="1BDBBF09" w:rsidR="005B79FC" w:rsidRPr="000664A1" w:rsidRDefault="005B79FC" w:rsidP="000664A1">
      <w:pPr>
        <w:spacing w:line="240" w:lineRule="auto"/>
        <w:rPr>
          <w:rFonts w:eastAsiaTheme="minorHAnsi"/>
        </w:rPr>
      </w:pPr>
      <w:r w:rsidRPr="000664A1">
        <w:rPr>
          <w:rFonts w:eastAsiaTheme="minorHAnsi"/>
        </w:rPr>
        <w:t xml:space="preserve">Following a consultation period on the first report, the Taskforce determined that further consideration of the </w:t>
      </w:r>
      <w:proofErr w:type="gramStart"/>
      <w:r w:rsidRPr="000664A1">
        <w:rPr>
          <w:rFonts w:eastAsiaTheme="minorHAnsi"/>
        </w:rPr>
        <w:t>three item</w:t>
      </w:r>
      <w:proofErr w:type="gramEnd"/>
      <w:r w:rsidRPr="000664A1">
        <w:rPr>
          <w:rFonts w:eastAsiaTheme="minorHAnsi"/>
        </w:rPr>
        <w:t xml:space="preserve"> rule should be deferred until more of the MBS Review’s clinical committees had completed their work</w:t>
      </w:r>
      <w:r w:rsidR="00820C89">
        <w:rPr>
          <w:rFonts w:eastAsiaTheme="minorHAnsi"/>
        </w:rPr>
        <w:t>. T</w:t>
      </w:r>
      <w:r w:rsidRPr="000664A1">
        <w:rPr>
          <w:rFonts w:eastAsiaTheme="minorHAnsi"/>
        </w:rPr>
        <w:t>he recommendation was not submitted to Government.</w:t>
      </w:r>
    </w:p>
    <w:p w14:paraId="34D4DF33" w14:textId="77777777" w:rsidR="005B79FC" w:rsidRPr="000664A1" w:rsidRDefault="005B79FC" w:rsidP="000664A1">
      <w:pPr>
        <w:spacing w:line="240" w:lineRule="auto"/>
        <w:rPr>
          <w:rFonts w:eastAsiaTheme="minorHAnsi"/>
        </w:rPr>
      </w:pPr>
      <w:r w:rsidRPr="000664A1">
        <w:rPr>
          <w:rFonts w:eastAsiaTheme="minorHAnsi"/>
        </w:rPr>
        <w:t xml:space="preserve">Although the recommendation for a </w:t>
      </w:r>
      <w:proofErr w:type="gramStart"/>
      <w:r w:rsidRPr="000664A1">
        <w:rPr>
          <w:rFonts w:eastAsiaTheme="minorHAnsi"/>
        </w:rPr>
        <w:t>three item</w:t>
      </w:r>
      <w:proofErr w:type="gramEnd"/>
      <w:r w:rsidRPr="000664A1">
        <w:rPr>
          <w:rFonts w:eastAsiaTheme="minorHAnsi"/>
        </w:rPr>
        <w:t xml:space="preserve"> rule was not endorsed by Government, the ‘complete medical service’ principle was revisited by the Taskforce and </w:t>
      </w:r>
      <w:r w:rsidRPr="00990EF8">
        <w:rPr>
          <w:rFonts w:eastAsiaTheme="minorHAnsi"/>
        </w:rPr>
        <w:t xml:space="preserve">at its meeting of 7 March 2018 the Taskforce endorsed the following principles: </w:t>
      </w:r>
    </w:p>
    <w:p w14:paraId="65838449" w14:textId="77777777" w:rsidR="005B79FC" w:rsidRPr="002445E4" w:rsidRDefault="005B79FC" w:rsidP="008C345B">
      <w:pPr>
        <w:pStyle w:val="ListParagraph"/>
        <w:numPr>
          <w:ilvl w:val="1"/>
          <w:numId w:val="15"/>
        </w:numPr>
        <w:spacing w:before="0" w:after="0" w:line="240" w:lineRule="auto"/>
        <w:ind w:left="709" w:right="95" w:hanging="441"/>
      </w:pPr>
      <w:r w:rsidRPr="002445E4">
        <w:t>With respect to surgical procedure item numbers (T8 section of the MBS), an individual item number refers to a discrete complete medical service. It is not appropriate to claim additional item numbers in relation to procedures that are intrinsic to the performance of a procedure nor is it appropriate to claim additional item numbers for additional procedures that might arise out of the performance of the primary procedure unless these are claimed by a specialist from another surgical discipline.</w:t>
      </w:r>
    </w:p>
    <w:p w14:paraId="0176DFC8" w14:textId="77777777" w:rsidR="005B79FC" w:rsidRPr="002445E4" w:rsidRDefault="005B79FC" w:rsidP="008C345B">
      <w:pPr>
        <w:pStyle w:val="ListParagraph"/>
        <w:numPr>
          <w:ilvl w:val="1"/>
          <w:numId w:val="15"/>
        </w:numPr>
        <w:spacing w:before="0" w:after="0" w:line="240" w:lineRule="auto"/>
        <w:ind w:left="709" w:right="95" w:hanging="441"/>
      </w:pPr>
      <w:r w:rsidRPr="002445E4">
        <w:t>Where more than one MBS item is claimed in relation to the provision of a discrete medical service, the number and type of those MBS items should be consistent across all providers, resulting in the same level of Medicare benefit for all patients.</w:t>
      </w:r>
    </w:p>
    <w:p w14:paraId="0BDB80D8" w14:textId="7A71AAEC" w:rsidR="00AA288D" w:rsidRPr="00745B16" w:rsidRDefault="00B24260" w:rsidP="00AA288D">
      <w:pPr>
        <w:pStyle w:val="Heading2"/>
        <w:spacing w:line="240" w:lineRule="auto"/>
        <w:ind w:right="95"/>
      </w:pPr>
      <w:bookmarkStart w:id="85" w:name="_Toc25843707"/>
      <w:bookmarkStart w:id="86" w:name="_Toc11857032"/>
      <w:r>
        <w:lastRenderedPageBreak/>
        <w:t>B</w:t>
      </w:r>
      <w:r w:rsidR="00AA288D">
        <w:t>.3</w:t>
      </w:r>
      <w:r w:rsidR="00AA288D" w:rsidRPr="00745B16">
        <w:t xml:space="preserve"> </w:t>
      </w:r>
      <w:r w:rsidR="00AA288D">
        <w:t>Surgical assistance</w:t>
      </w:r>
      <w:bookmarkEnd w:id="85"/>
      <w:r w:rsidR="00AA288D">
        <w:t xml:space="preserve"> </w:t>
      </w:r>
    </w:p>
    <w:p w14:paraId="26183D61" w14:textId="77777777" w:rsidR="00DC54FA" w:rsidRDefault="00AA288D" w:rsidP="00AA288D">
      <w:pPr>
        <w:spacing w:line="240" w:lineRule="auto"/>
        <w:rPr>
          <w:rFonts w:eastAsiaTheme="minorHAnsi"/>
        </w:rPr>
      </w:pPr>
      <w:r w:rsidRPr="00AA288D">
        <w:rPr>
          <w:rFonts w:eastAsiaTheme="minorHAnsi"/>
        </w:rPr>
        <w:t xml:space="preserve">In 2017 the Committee undertook investigation of surgical assistant services and fees, as part of the Committee’s commitment to consider patient out of pocket experiences. </w:t>
      </w:r>
    </w:p>
    <w:p w14:paraId="3DEC24B0" w14:textId="6234FE9A" w:rsidR="00AA288D" w:rsidRPr="00AA288D" w:rsidRDefault="00614181" w:rsidP="00AA288D">
      <w:pPr>
        <w:spacing w:line="240" w:lineRule="auto"/>
        <w:rPr>
          <w:rFonts w:eastAsiaTheme="minorHAnsi"/>
        </w:rPr>
      </w:pPr>
      <w:r>
        <w:rPr>
          <w:rFonts w:eastAsiaTheme="minorHAnsi"/>
        </w:rPr>
        <w:t xml:space="preserve">The </w:t>
      </w:r>
      <w:r w:rsidR="00AA288D" w:rsidRPr="00AA288D">
        <w:rPr>
          <w:rFonts w:eastAsiaTheme="minorHAnsi"/>
        </w:rPr>
        <w:t>Committee identified concerns about two main issues affecting the relationships between primary surgeon, surgical assistant, and patient:</w:t>
      </w:r>
    </w:p>
    <w:p w14:paraId="524FA59B" w14:textId="77777777" w:rsidR="00767267" w:rsidRDefault="00AA288D" w:rsidP="008C345B">
      <w:pPr>
        <w:pStyle w:val="ListParagraph"/>
        <w:numPr>
          <w:ilvl w:val="1"/>
          <w:numId w:val="15"/>
        </w:numPr>
        <w:spacing w:before="0" w:after="0" w:line="240" w:lineRule="auto"/>
        <w:ind w:left="709" w:right="95" w:hanging="441"/>
      </w:pPr>
      <w:r w:rsidRPr="00614181">
        <w:t>The separate billing of the patient by the surgeon and assistant, and the surgeon’s frequent lack of visibility of their</w:t>
      </w:r>
      <w:r w:rsidR="00614181">
        <w:t xml:space="preserve"> assistant’s billing practices; and</w:t>
      </w:r>
    </w:p>
    <w:p w14:paraId="35E6E1CB" w14:textId="77777777" w:rsidR="00767267" w:rsidRDefault="00AA288D" w:rsidP="008C345B">
      <w:pPr>
        <w:pStyle w:val="ListParagraph"/>
        <w:numPr>
          <w:ilvl w:val="1"/>
          <w:numId w:val="15"/>
        </w:numPr>
        <w:spacing w:before="0" w:after="0" w:line="240" w:lineRule="auto"/>
        <w:ind w:left="709" w:right="95" w:hanging="441"/>
      </w:pPr>
      <w:r w:rsidRPr="00614181">
        <w:t>Wide variability in the amounts of out-of-pocket costs charged by assistants, including:</w:t>
      </w:r>
    </w:p>
    <w:p w14:paraId="08AE5747" w14:textId="77777777" w:rsidR="00767267" w:rsidRDefault="00AA288D" w:rsidP="008C345B">
      <w:pPr>
        <w:pStyle w:val="ListParagraph"/>
        <w:numPr>
          <w:ilvl w:val="1"/>
          <w:numId w:val="15"/>
        </w:numPr>
        <w:spacing w:before="0" w:after="0" w:line="240" w:lineRule="auto"/>
        <w:ind w:left="1134" w:right="95" w:hanging="441"/>
      </w:pPr>
      <w:r w:rsidRPr="00614181">
        <w:t>instances where the assistant charged a higher fee than the surgeon; and</w:t>
      </w:r>
    </w:p>
    <w:p w14:paraId="0E3848B6" w14:textId="10077208" w:rsidR="00AA288D" w:rsidRPr="00614181" w:rsidRDefault="00AA288D" w:rsidP="008C345B">
      <w:pPr>
        <w:pStyle w:val="ListParagraph"/>
        <w:numPr>
          <w:ilvl w:val="1"/>
          <w:numId w:val="15"/>
        </w:numPr>
        <w:spacing w:before="0" w:after="0" w:line="240" w:lineRule="auto"/>
        <w:ind w:left="1134" w:right="95" w:hanging="441"/>
      </w:pPr>
      <w:r w:rsidRPr="00614181">
        <w:t>large differences between the lowest, average and highest fees charged by assistants as a cohort.</w:t>
      </w:r>
    </w:p>
    <w:p w14:paraId="58A102C0" w14:textId="77777777" w:rsidR="00AA288D" w:rsidRPr="00614181" w:rsidRDefault="00AA288D" w:rsidP="00614181">
      <w:pPr>
        <w:spacing w:line="240" w:lineRule="auto"/>
        <w:rPr>
          <w:rFonts w:eastAsiaTheme="minorHAnsi"/>
        </w:rPr>
      </w:pPr>
      <w:r w:rsidRPr="00614181">
        <w:rPr>
          <w:rFonts w:eastAsiaTheme="minorHAnsi"/>
        </w:rPr>
        <w:t>These issues result in different patients paying varying amounts for the same surgical services, and/or being unaware in advance of the total cost of the surgery. The Committee considered changes intended to benefit patients through improved fee transparency and consistency, while maintaining assistants’ capacity to negotiate fair payment for their services and embedding proper fee relativities between primary surgeons and their assistants.</w:t>
      </w:r>
    </w:p>
    <w:p w14:paraId="33F35D09" w14:textId="77777777" w:rsidR="00AA288D" w:rsidRPr="00614181" w:rsidRDefault="00AA288D" w:rsidP="00614181">
      <w:pPr>
        <w:spacing w:line="240" w:lineRule="auto"/>
        <w:rPr>
          <w:rFonts w:eastAsiaTheme="minorHAnsi"/>
        </w:rPr>
      </w:pPr>
      <w:r w:rsidRPr="00614181">
        <w:rPr>
          <w:rFonts w:eastAsiaTheme="minorHAnsi"/>
        </w:rPr>
        <w:t xml:space="preserve">These changes centred on the surgeon having full responsibility for the billing of both the primary procedure and any assistance service. The surgeon would co-claim a new assistance item which would have a variable fee, derived from the fee/s for the surgery item/s and set at a fixed percentage of the total, which would dictate the amount of patient benefit. The amount the surgeon pays the assistant over and above this fee would be a matter for them, noting that the assistant will have considerable bargaining power in this transaction. </w:t>
      </w:r>
    </w:p>
    <w:p w14:paraId="0E0C9165" w14:textId="77777777" w:rsidR="00614181" w:rsidRPr="00614181" w:rsidRDefault="00AA288D" w:rsidP="00614181">
      <w:pPr>
        <w:spacing w:line="240" w:lineRule="auto"/>
        <w:rPr>
          <w:rFonts w:eastAsiaTheme="minorHAnsi"/>
        </w:rPr>
      </w:pPr>
      <w:r w:rsidRPr="00614181">
        <w:rPr>
          <w:rFonts w:eastAsiaTheme="minorHAnsi"/>
        </w:rPr>
        <w:t xml:space="preserve">The Committee developed principles and recommendations to give effect to this approach, this proposal was endorsed by the Taskforce for consultation. Over 100 submissions were received from peak bodies, individual clinicians, nurses and billing agencies during stakeholder consultation. </w:t>
      </w:r>
    </w:p>
    <w:p w14:paraId="645A6667" w14:textId="4106BE09" w:rsidR="00AA288D" w:rsidRPr="00614181" w:rsidRDefault="00AA288D" w:rsidP="00614181">
      <w:pPr>
        <w:spacing w:line="240" w:lineRule="auto"/>
        <w:rPr>
          <w:rFonts w:eastAsiaTheme="minorHAnsi"/>
        </w:rPr>
      </w:pPr>
      <w:r w:rsidRPr="00614181">
        <w:rPr>
          <w:rFonts w:eastAsiaTheme="minorHAnsi"/>
        </w:rPr>
        <w:t xml:space="preserve">Due to the large response rejecting the proposal, the Taskforce </w:t>
      </w:r>
      <w:r w:rsidR="00614181" w:rsidRPr="00614181">
        <w:rPr>
          <w:rFonts w:eastAsiaTheme="minorHAnsi"/>
        </w:rPr>
        <w:t xml:space="preserve">made a request to the Minister for Health to form a working group to </w:t>
      </w:r>
      <w:r w:rsidRPr="00614181">
        <w:rPr>
          <w:rFonts w:eastAsiaTheme="minorHAnsi"/>
        </w:rPr>
        <w:t xml:space="preserve">examine in greater depth the issues and provide options moving forward. </w:t>
      </w:r>
      <w:r w:rsidR="00614181" w:rsidRPr="00614181">
        <w:rPr>
          <w:rFonts w:eastAsiaTheme="minorHAnsi"/>
        </w:rPr>
        <w:t xml:space="preserve">Government decision on this matter is pending at the time of this report. </w:t>
      </w:r>
    </w:p>
    <w:p w14:paraId="12BF2EA3" w14:textId="070A8DA0" w:rsidR="00745B16" w:rsidRPr="00745B16" w:rsidRDefault="00B24260" w:rsidP="00745B16">
      <w:pPr>
        <w:pStyle w:val="Heading2"/>
        <w:spacing w:line="240" w:lineRule="auto"/>
        <w:ind w:right="95"/>
      </w:pPr>
      <w:bookmarkStart w:id="87" w:name="_Toc25843708"/>
      <w:r>
        <w:t>B</w:t>
      </w:r>
      <w:r w:rsidR="00745B16">
        <w:t>.</w:t>
      </w:r>
      <w:r w:rsidR="00614181">
        <w:t>4</w:t>
      </w:r>
      <w:r w:rsidR="00745B16" w:rsidRPr="00745B16">
        <w:t xml:space="preserve"> Urgent after-hours services</w:t>
      </w:r>
      <w:bookmarkEnd w:id="86"/>
      <w:bookmarkEnd w:id="87"/>
    </w:p>
    <w:p w14:paraId="2C1B7774" w14:textId="6FC29D83" w:rsidR="00745B16" w:rsidRPr="00745B16" w:rsidRDefault="00745B16" w:rsidP="00745B16">
      <w:pPr>
        <w:spacing w:line="240" w:lineRule="auto"/>
        <w:rPr>
          <w:rFonts w:eastAsiaTheme="minorHAnsi"/>
        </w:rPr>
      </w:pPr>
      <w:r w:rsidRPr="00745B16">
        <w:rPr>
          <w:rFonts w:eastAsiaTheme="minorHAnsi"/>
        </w:rPr>
        <w:t>In early 2016, in response to significant concerns raised by professional medical bodies</w:t>
      </w:r>
      <w:r w:rsidR="00820C89">
        <w:rPr>
          <w:rFonts w:eastAsiaTheme="minorHAnsi"/>
        </w:rPr>
        <w:t xml:space="preserve">, Medicare data was reviewed that exposed an </w:t>
      </w:r>
      <w:r w:rsidRPr="00745B16">
        <w:rPr>
          <w:rFonts w:eastAsiaTheme="minorHAnsi"/>
        </w:rPr>
        <w:t xml:space="preserve">increase </w:t>
      </w:r>
      <w:r w:rsidR="00820C89">
        <w:rPr>
          <w:rFonts w:eastAsiaTheme="minorHAnsi"/>
        </w:rPr>
        <w:t>in the use of, and expenditure on, MBS items for urgent after</w:t>
      </w:r>
      <w:r w:rsidR="00820C89">
        <w:rPr>
          <w:rFonts w:eastAsiaTheme="minorHAnsi"/>
        </w:rPr>
        <w:noBreakHyphen/>
        <w:t xml:space="preserve">hours home visits. This increase was </w:t>
      </w:r>
      <w:r w:rsidRPr="00745B16">
        <w:rPr>
          <w:rFonts w:eastAsiaTheme="minorHAnsi"/>
        </w:rPr>
        <w:t>far in excess of popul</w:t>
      </w:r>
      <w:r w:rsidR="00820C89">
        <w:rPr>
          <w:rFonts w:eastAsiaTheme="minorHAnsi"/>
        </w:rPr>
        <w:t xml:space="preserve">ation growth. The </w:t>
      </w:r>
      <w:r w:rsidRPr="00745B16">
        <w:rPr>
          <w:rFonts w:eastAsiaTheme="minorHAnsi"/>
        </w:rPr>
        <w:t xml:space="preserve">Taskforce decided to conduct a priority review of those items. As a first step, the Taskforce referred the matter to the Committee for its views. </w:t>
      </w:r>
    </w:p>
    <w:p w14:paraId="34C2690B" w14:textId="4C6E4F09" w:rsidR="00745B16" w:rsidRPr="00745B16" w:rsidRDefault="00745B16" w:rsidP="00745B16">
      <w:pPr>
        <w:spacing w:line="240" w:lineRule="auto"/>
        <w:rPr>
          <w:rFonts w:eastAsiaTheme="minorHAnsi"/>
        </w:rPr>
      </w:pPr>
      <w:r w:rsidRPr="00745B16">
        <w:rPr>
          <w:rFonts w:eastAsiaTheme="minorHAnsi"/>
        </w:rPr>
        <w:t>The Committee first considered the issue in June 2016, noting the inordinately high growth in ostensibly urgent after-hours home visits, and the high proportion of services provided by non</w:t>
      </w:r>
      <w:r w:rsidRPr="00745B16">
        <w:rPr>
          <w:rFonts w:eastAsiaTheme="minorHAnsi"/>
        </w:rPr>
        <w:noBreakHyphen/>
        <w:t xml:space="preserve">vocationally registered (VR) GPs employed by medical deputising services (MDSs). The high growth in urgent after-hours services had coincided with the emergence of </w:t>
      </w:r>
      <w:proofErr w:type="spellStart"/>
      <w:r w:rsidRPr="00745B16">
        <w:rPr>
          <w:rFonts w:eastAsiaTheme="minorHAnsi"/>
        </w:rPr>
        <w:t>corporatised</w:t>
      </w:r>
      <w:proofErr w:type="spellEnd"/>
      <w:r w:rsidRPr="00745B16">
        <w:rPr>
          <w:rFonts w:eastAsiaTheme="minorHAnsi"/>
        </w:rPr>
        <w:t xml:space="preserve"> MDSs offering dedicated after-hours home visiting services promoted by direct to consumer advertising. </w:t>
      </w:r>
    </w:p>
    <w:p w14:paraId="2144A4EA" w14:textId="77777777" w:rsidR="00745B16" w:rsidRPr="00745B16" w:rsidRDefault="00745B16" w:rsidP="00745B16">
      <w:pPr>
        <w:spacing w:line="240" w:lineRule="auto"/>
        <w:rPr>
          <w:rFonts w:eastAsiaTheme="minorHAnsi"/>
        </w:rPr>
      </w:pPr>
      <w:r w:rsidRPr="00745B16">
        <w:rPr>
          <w:rFonts w:eastAsiaTheme="minorHAnsi"/>
        </w:rPr>
        <w:t xml:space="preserve">The Committee also noted the medical profession’s concerns about the quality of services provided by unsupervised non-VR GPs, and apparent lack of a formal relationship between the MDS and the patient’s usual general practice, disrupting continuity of care. </w:t>
      </w:r>
    </w:p>
    <w:p w14:paraId="61775748" w14:textId="6B92D0C9" w:rsidR="00745B16" w:rsidRPr="00745B16" w:rsidRDefault="00745B16" w:rsidP="00745B16">
      <w:pPr>
        <w:spacing w:line="240" w:lineRule="auto"/>
        <w:rPr>
          <w:rFonts w:eastAsiaTheme="minorHAnsi"/>
        </w:rPr>
      </w:pPr>
      <w:r w:rsidRPr="00745B16">
        <w:rPr>
          <w:rFonts w:eastAsiaTheme="minorHAnsi"/>
        </w:rPr>
        <w:lastRenderedPageBreak/>
        <w:t>The Committee decided to appoint a Subcommittee to consider the issue further and develop options for action. In August 2016 the Subcommittee tabled a paper, assessing several options and recommending the following course of action:</w:t>
      </w:r>
    </w:p>
    <w:p w14:paraId="3A5C60CA" w14:textId="77777777" w:rsidR="00745B16" w:rsidRPr="00F775CA" w:rsidRDefault="00745B16" w:rsidP="00745B16">
      <w:pPr>
        <w:spacing w:before="240" w:line="240" w:lineRule="auto"/>
        <w:ind w:left="720"/>
        <w:rPr>
          <w:i/>
        </w:rPr>
      </w:pPr>
      <w:r w:rsidRPr="00F775CA">
        <w:rPr>
          <w:i/>
          <w:lang w:val="en-US"/>
        </w:rPr>
        <w:t>Strengthen the wording around the exclusion in the MBS explanatory notes that the urgent after-hours items are not available to doctors who predominantly work in the after-hours</w:t>
      </w:r>
      <w:r w:rsidRPr="0079223D">
        <w:rPr>
          <w:lang w:val="en-US"/>
        </w:rPr>
        <w:t xml:space="preserve"> </w:t>
      </w:r>
      <w:r w:rsidRPr="00F775CA">
        <w:rPr>
          <w:i/>
          <w:lang w:val="en-US"/>
        </w:rPr>
        <w:t xml:space="preserve">period i.e. remove the qualification ‘at consulting </w:t>
      </w:r>
      <w:proofErr w:type="gramStart"/>
      <w:r w:rsidRPr="00F775CA">
        <w:rPr>
          <w:i/>
          <w:lang w:val="en-US"/>
        </w:rPr>
        <w:t>rooms’</w:t>
      </w:r>
      <w:proofErr w:type="gramEnd"/>
      <w:r w:rsidRPr="00F775CA">
        <w:rPr>
          <w:i/>
          <w:lang w:val="en-US"/>
        </w:rPr>
        <w:t>. This is likely to reduce the claiming for urgent</w:t>
      </w:r>
      <w:r w:rsidRPr="00F775CA">
        <w:rPr>
          <w:b/>
          <w:bCs/>
          <w:i/>
        </w:rPr>
        <w:t xml:space="preserve"> </w:t>
      </w:r>
      <w:r w:rsidRPr="00F775CA">
        <w:rPr>
          <w:i/>
        </w:rPr>
        <w:t xml:space="preserve">after-hours attendances when those services are provided by home deputising services as most of their doctors do not work predominantly ‘in-hours’. </w:t>
      </w:r>
    </w:p>
    <w:p w14:paraId="59FEB999" w14:textId="77777777" w:rsidR="00745B16" w:rsidRPr="00745B16" w:rsidRDefault="00745B16" w:rsidP="00745B16">
      <w:pPr>
        <w:spacing w:line="240" w:lineRule="auto"/>
        <w:rPr>
          <w:rFonts w:eastAsiaTheme="minorHAnsi"/>
        </w:rPr>
      </w:pPr>
      <w:r w:rsidRPr="00745B16">
        <w:rPr>
          <w:rFonts w:eastAsiaTheme="minorHAnsi"/>
        </w:rPr>
        <w:t>Concurrently with the Subcommittee developing its paper, an After-Hours Working Group had been established, reporting directly to the Taskforce. Its membership included representatives of the peak medical professional organisations as well as the Subcommittee. The Committee agreed to provide the Subcommittee’s paper to the Working Group for its consideration.</w:t>
      </w:r>
    </w:p>
    <w:p w14:paraId="75D2F9DC" w14:textId="77777777" w:rsidR="00BF7B87" w:rsidRPr="00BF7B87" w:rsidRDefault="00BF7B87" w:rsidP="00BF7B87">
      <w:pPr>
        <w:spacing w:line="240" w:lineRule="auto"/>
        <w:rPr>
          <w:rFonts w:eastAsiaTheme="minorHAnsi"/>
        </w:rPr>
      </w:pPr>
      <w:r w:rsidRPr="00BF7B87">
        <w:rPr>
          <w:rFonts w:eastAsiaTheme="minorHAnsi"/>
        </w:rPr>
        <w:t>The Government shared the Taskforce’s view that the urgent after-hours items should be used only in genuinely urgent circumstances, and that funding should be appropriate to the level of care being provided. However, the Government’s response was more moderate, adopting most of the Taskforce’s recommendations on the use of urgent after-hours items, but not prohibiting the use of the items by predominantly after-hours service providers.</w:t>
      </w:r>
    </w:p>
    <w:p w14:paraId="689FA3C2" w14:textId="77777777" w:rsidR="00D813C7" w:rsidRDefault="00BF7B87" w:rsidP="00BF7B87">
      <w:pPr>
        <w:spacing w:line="240" w:lineRule="auto"/>
        <w:rPr>
          <w:rFonts w:eastAsiaTheme="minorHAnsi"/>
        </w:rPr>
      </w:pPr>
      <w:r w:rsidRPr="00BF7B87">
        <w:rPr>
          <w:rFonts w:eastAsiaTheme="minorHAnsi"/>
        </w:rPr>
        <w:t xml:space="preserve">The Government’s approach involved gradually introducing a fee reduction for urgent after-hours items provided in metropolitan areas by doctors who are not fully qualified GPs. </w:t>
      </w:r>
    </w:p>
    <w:p w14:paraId="39C854B3" w14:textId="2C12CF18" w:rsidR="00BF7B87" w:rsidRPr="00BF7B87" w:rsidRDefault="00BF7B87" w:rsidP="00BF7B87">
      <w:pPr>
        <w:spacing w:line="240" w:lineRule="auto"/>
        <w:rPr>
          <w:rFonts w:eastAsiaTheme="minorHAnsi"/>
        </w:rPr>
      </w:pPr>
      <w:r w:rsidRPr="00BF7B87">
        <w:rPr>
          <w:rFonts w:eastAsiaTheme="minorHAnsi"/>
        </w:rPr>
        <w:t>Changes introduced on 1 March 2018, included the introduction of four new urgent after-hours-only MBS items and the removal of two existing urgent after-hours items, greater detail of these measure can be found on the MBS</w:t>
      </w:r>
      <w:r>
        <w:rPr>
          <w:rFonts w:eastAsiaTheme="minorHAnsi"/>
        </w:rPr>
        <w:t>.</w:t>
      </w:r>
      <w:r w:rsidRPr="00BF7B87">
        <w:rPr>
          <w:rFonts w:eastAsiaTheme="minorHAnsi"/>
        </w:rPr>
        <w:t xml:space="preserve"> </w:t>
      </w:r>
    </w:p>
    <w:p w14:paraId="3074E1AE" w14:textId="64277BC6" w:rsidR="00783394" w:rsidRPr="00BF7B87" w:rsidRDefault="00B24260" w:rsidP="00BF7B87">
      <w:pPr>
        <w:pStyle w:val="Heading2"/>
        <w:spacing w:line="240" w:lineRule="auto"/>
        <w:ind w:right="95"/>
      </w:pPr>
      <w:bookmarkStart w:id="88" w:name="_Toc25843709"/>
      <w:r>
        <w:t>B</w:t>
      </w:r>
      <w:r w:rsidR="00BF7B87" w:rsidRPr="00BF7B87">
        <w:t>.</w:t>
      </w:r>
      <w:r w:rsidR="00614181">
        <w:t>5</w:t>
      </w:r>
      <w:r w:rsidR="00783394" w:rsidRPr="00BF7B87">
        <w:t xml:space="preserve"> MBS fee loadings</w:t>
      </w:r>
      <w:bookmarkEnd w:id="88"/>
    </w:p>
    <w:p w14:paraId="0F028BC8" w14:textId="77777777" w:rsidR="00783394" w:rsidRPr="00BF7B87" w:rsidRDefault="00783394" w:rsidP="00BF7B87">
      <w:pPr>
        <w:spacing w:line="240" w:lineRule="auto"/>
        <w:rPr>
          <w:rFonts w:eastAsiaTheme="minorHAnsi"/>
        </w:rPr>
      </w:pPr>
      <w:r w:rsidRPr="00BF7B87">
        <w:rPr>
          <w:rFonts w:eastAsiaTheme="minorHAnsi"/>
        </w:rPr>
        <w:t xml:space="preserve">Throughout the course of the Review, </w:t>
      </w:r>
      <w:proofErr w:type="gramStart"/>
      <w:r w:rsidRPr="00BF7B87">
        <w:rPr>
          <w:rFonts w:eastAsiaTheme="minorHAnsi"/>
        </w:rPr>
        <w:t>a number of</w:t>
      </w:r>
      <w:proofErr w:type="gramEnd"/>
      <w:r w:rsidRPr="00BF7B87">
        <w:rPr>
          <w:rFonts w:eastAsiaTheme="minorHAnsi"/>
        </w:rPr>
        <w:t xml:space="preserve"> clinical committees and reference groups discussed the issue of applying additional financial loadings to the fees (and patient benefits) for particular MBS items. While the rationales for </w:t>
      </w:r>
      <w:r w:rsidR="00046709" w:rsidRPr="00BF7B87">
        <w:rPr>
          <w:rFonts w:eastAsiaTheme="minorHAnsi"/>
        </w:rPr>
        <w:t>loading varied</w:t>
      </w:r>
      <w:r w:rsidRPr="00BF7B87">
        <w:rPr>
          <w:rFonts w:eastAsiaTheme="minorHAnsi"/>
        </w:rPr>
        <w:t xml:space="preserve">, discussions generally reflected three broad categories: </w:t>
      </w:r>
    </w:p>
    <w:p w14:paraId="3AB86526" w14:textId="50CDDFC8" w:rsidR="008C345B" w:rsidRDefault="00783394" w:rsidP="008C345B">
      <w:pPr>
        <w:pStyle w:val="ListParagraph"/>
        <w:numPr>
          <w:ilvl w:val="0"/>
          <w:numId w:val="33"/>
        </w:numPr>
        <w:spacing w:line="240" w:lineRule="auto"/>
        <w:ind w:right="95"/>
      </w:pPr>
      <w:r w:rsidRPr="008C345B">
        <w:rPr>
          <w:b/>
        </w:rPr>
        <w:t>Incentives:</w:t>
      </w:r>
      <w:r w:rsidRPr="00781018">
        <w:t xml:space="preserve"> A loading intended to promote the uptake of items, or service delivery in areas with access issues (such as loadings for services in rural and remote areas). These generally have the effect of creating different levels of fee and patient benefit for the same service, depending on the patient’s location.</w:t>
      </w:r>
    </w:p>
    <w:p w14:paraId="300B8E41" w14:textId="26F5A1F9" w:rsidR="00783394" w:rsidRPr="00781018" w:rsidRDefault="00783394" w:rsidP="008C345B">
      <w:pPr>
        <w:pStyle w:val="ListParagraph"/>
        <w:numPr>
          <w:ilvl w:val="0"/>
          <w:numId w:val="33"/>
        </w:numPr>
        <w:spacing w:line="240" w:lineRule="auto"/>
        <w:ind w:right="95"/>
      </w:pPr>
      <w:r w:rsidRPr="008C345B">
        <w:rPr>
          <w:b/>
        </w:rPr>
        <w:t>Complexity:</w:t>
      </w:r>
      <w:r w:rsidRPr="00781018">
        <w:t xml:space="preserve"> A loading intended to reflect increasing levels of complexity from a ‘base’ service, usually surgical in nature—for example, loadings for services provided to paediatric patients which may involve direct patient, as well as parent/family discussions. These generally result in different levels of fee and patient benefit for effectively different services.</w:t>
      </w:r>
    </w:p>
    <w:p w14:paraId="465D2403" w14:textId="04B009B0" w:rsidR="00783394" w:rsidRPr="00781018" w:rsidRDefault="00783394" w:rsidP="008C345B">
      <w:pPr>
        <w:pStyle w:val="ListParagraph"/>
        <w:numPr>
          <w:ilvl w:val="0"/>
          <w:numId w:val="33"/>
        </w:numPr>
        <w:spacing w:line="240" w:lineRule="auto"/>
        <w:ind w:right="95"/>
      </w:pPr>
      <w:r w:rsidRPr="008C345B">
        <w:rPr>
          <w:b/>
        </w:rPr>
        <w:t>Infrastructure:</w:t>
      </w:r>
      <w:r w:rsidRPr="00781018">
        <w:t xml:space="preserve"> A loading intended to recognise additional input costs associated with delivering a service. There are historical instances where loadings have, for example, addressed additional costs associated with the delivery of non-face-to-face patient interactions, such as through telehealth.</w:t>
      </w:r>
    </w:p>
    <w:p w14:paraId="7E3B5D1B" w14:textId="77777777" w:rsidR="00783394" w:rsidRPr="00BF7B87" w:rsidRDefault="00046709" w:rsidP="00BF7B87">
      <w:pPr>
        <w:spacing w:line="240" w:lineRule="auto"/>
        <w:rPr>
          <w:rFonts w:eastAsiaTheme="minorHAnsi"/>
        </w:rPr>
      </w:pPr>
      <w:r w:rsidRPr="00BF7B87">
        <w:rPr>
          <w:rFonts w:eastAsiaTheme="minorHAnsi"/>
        </w:rPr>
        <w:t xml:space="preserve">Across MBS Review activity there was </w:t>
      </w:r>
      <w:r w:rsidR="00783394" w:rsidRPr="00BF7B87">
        <w:rPr>
          <w:rFonts w:eastAsiaTheme="minorHAnsi"/>
        </w:rPr>
        <w:t>uncertainty about whether loadings are appropriate, under a fee-for-service model, for some of these purposes</w:t>
      </w:r>
      <w:r w:rsidRPr="00BF7B87">
        <w:rPr>
          <w:rFonts w:eastAsiaTheme="minorHAnsi"/>
        </w:rPr>
        <w:t>. The Principles and Rules Committee considered that a</w:t>
      </w:r>
      <w:r w:rsidR="00783394" w:rsidRPr="00BF7B87">
        <w:rPr>
          <w:rFonts w:eastAsiaTheme="minorHAnsi"/>
        </w:rPr>
        <w:t xml:space="preserve">pplication of a loading </w:t>
      </w:r>
      <w:r w:rsidRPr="00BF7B87">
        <w:rPr>
          <w:rFonts w:eastAsiaTheme="minorHAnsi"/>
        </w:rPr>
        <w:t xml:space="preserve">within </w:t>
      </w:r>
      <w:r w:rsidR="00783394" w:rsidRPr="00BF7B87">
        <w:rPr>
          <w:rFonts w:eastAsiaTheme="minorHAnsi"/>
        </w:rPr>
        <w:t xml:space="preserve">a fee-for-service model may </w:t>
      </w:r>
      <w:r w:rsidRPr="00BF7B87">
        <w:rPr>
          <w:rFonts w:eastAsiaTheme="minorHAnsi"/>
        </w:rPr>
        <w:t xml:space="preserve">lead to an </w:t>
      </w:r>
      <w:r w:rsidR="00783394" w:rsidRPr="00BF7B87">
        <w:rPr>
          <w:rFonts w:eastAsiaTheme="minorHAnsi"/>
        </w:rPr>
        <w:t xml:space="preserve">over-rewarding </w:t>
      </w:r>
      <w:r w:rsidRPr="00BF7B87">
        <w:rPr>
          <w:rFonts w:eastAsiaTheme="minorHAnsi"/>
        </w:rPr>
        <w:t xml:space="preserve">of clinicians that </w:t>
      </w:r>
      <w:r w:rsidR="00783394" w:rsidRPr="00BF7B87">
        <w:rPr>
          <w:rFonts w:eastAsiaTheme="minorHAnsi"/>
        </w:rPr>
        <w:t xml:space="preserve">‘specialise’ in particular modes of delivery, as opposed to </w:t>
      </w:r>
      <w:r w:rsidRPr="00BF7B87">
        <w:rPr>
          <w:rFonts w:eastAsiaTheme="minorHAnsi"/>
        </w:rPr>
        <w:t xml:space="preserve">clinicians that </w:t>
      </w:r>
      <w:r w:rsidR="00783394" w:rsidRPr="00BF7B87">
        <w:rPr>
          <w:rFonts w:eastAsiaTheme="minorHAnsi"/>
        </w:rPr>
        <w:t>deliver fewer of the same services, but nonetheless have similar input costs.</w:t>
      </w:r>
    </w:p>
    <w:p w14:paraId="466FC2BA" w14:textId="77777777" w:rsidR="00783394" w:rsidRPr="00BF7B87" w:rsidRDefault="00783394" w:rsidP="00BF7B87">
      <w:pPr>
        <w:spacing w:line="240" w:lineRule="auto"/>
        <w:rPr>
          <w:rFonts w:eastAsiaTheme="minorHAnsi"/>
        </w:rPr>
      </w:pPr>
      <w:r w:rsidRPr="00BF7B87">
        <w:rPr>
          <w:rFonts w:eastAsiaTheme="minorHAnsi"/>
        </w:rPr>
        <w:lastRenderedPageBreak/>
        <w:t>It has been a long-standing principle of Medicare that, for the purpose of paying patient benefits, it would be inappropriate to differentiate between patients based on location (or any other criteria). This is inconsistent with the idea of universal access. There is no compelling argument against this principle being maintained in general, noting there are some pragmatic exceptions.</w:t>
      </w:r>
    </w:p>
    <w:p w14:paraId="5B04F1E6" w14:textId="04E0BC94" w:rsidR="00783394" w:rsidRPr="00D813C7" w:rsidRDefault="00783394" w:rsidP="00D813C7">
      <w:pPr>
        <w:spacing w:line="240" w:lineRule="auto"/>
        <w:rPr>
          <w:rFonts w:eastAsiaTheme="minorHAnsi"/>
        </w:rPr>
      </w:pPr>
      <w:r w:rsidRPr="00D813C7">
        <w:rPr>
          <w:rFonts w:eastAsiaTheme="minorHAnsi"/>
        </w:rPr>
        <w:t xml:space="preserve">At its meeting of </w:t>
      </w:r>
      <w:proofErr w:type="gramStart"/>
      <w:r w:rsidRPr="00D813C7">
        <w:rPr>
          <w:rFonts w:eastAsiaTheme="minorHAnsi"/>
        </w:rPr>
        <w:t>14 August 2018</w:t>
      </w:r>
      <w:proofErr w:type="gramEnd"/>
      <w:r w:rsidRPr="00D813C7">
        <w:rPr>
          <w:rFonts w:eastAsiaTheme="minorHAnsi"/>
        </w:rPr>
        <w:t xml:space="preserve"> the Committee agreed on the following principles,</w:t>
      </w:r>
      <w:r w:rsidRPr="00990EF8">
        <w:rPr>
          <w:rFonts w:eastAsiaTheme="minorHAnsi"/>
        </w:rPr>
        <w:t xml:space="preserve"> endorsed by the Taskforce at its meeting of 18 September 2018</w:t>
      </w:r>
      <w:r w:rsidR="00662E16" w:rsidRPr="00990EF8">
        <w:rPr>
          <w:rFonts w:eastAsiaTheme="minorHAnsi"/>
        </w:rPr>
        <w:t xml:space="preserve">. The </w:t>
      </w:r>
      <w:r w:rsidR="00662E16">
        <w:rPr>
          <w:rFonts w:eastAsiaTheme="minorHAnsi"/>
        </w:rPr>
        <w:t xml:space="preserve">principles </w:t>
      </w:r>
      <w:r w:rsidR="00D813C7">
        <w:rPr>
          <w:rFonts w:eastAsiaTheme="minorHAnsi"/>
        </w:rPr>
        <w:t>were subsequently circulated to clinical committees</w:t>
      </w:r>
      <w:r w:rsidR="00662E16">
        <w:rPr>
          <w:rFonts w:eastAsiaTheme="minorHAnsi"/>
        </w:rPr>
        <w:t xml:space="preserve"> to </w:t>
      </w:r>
      <w:r w:rsidR="00662E16" w:rsidRPr="00BF7B87">
        <w:rPr>
          <w:rFonts w:eastAsiaTheme="minorHAnsi"/>
        </w:rPr>
        <w:t>clarify the circumstances under which M</w:t>
      </w:r>
      <w:r w:rsidR="00662E16">
        <w:rPr>
          <w:rFonts w:eastAsiaTheme="minorHAnsi"/>
        </w:rPr>
        <w:t>BS fee loadings are appropriate.</w:t>
      </w:r>
    </w:p>
    <w:p w14:paraId="12348382" w14:textId="260714E3" w:rsidR="008C345B" w:rsidRDefault="00783394" w:rsidP="008C345B">
      <w:pPr>
        <w:pStyle w:val="ListParagraph"/>
        <w:numPr>
          <w:ilvl w:val="0"/>
          <w:numId w:val="32"/>
        </w:numPr>
        <w:spacing w:line="240" w:lineRule="auto"/>
        <w:ind w:right="95"/>
      </w:pPr>
      <w:r w:rsidRPr="00D813C7">
        <w:t>An MBS item describes a unique, discrete service which should be employed consistently across a range of provider and patient settings.</w:t>
      </w:r>
    </w:p>
    <w:p w14:paraId="7150CA1F" w14:textId="20A55302" w:rsidR="00783394" w:rsidRPr="00D813C7" w:rsidRDefault="00783394" w:rsidP="008C345B">
      <w:pPr>
        <w:pStyle w:val="ListParagraph"/>
        <w:numPr>
          <w:ilvl w:val="0"/>
          <w:numId w:val="32"/>
        </w:numPr>
        <w:spacing w:line="240" w:lineRule="auto"/>
        <w:ind w:right="95"/>
      </w:pPr>
      <w:r w:rsidRPr="00D813C7">
        <w:t>MBS fee loadings should not be used for purposes such as:</w:t>
      </w:r>
    </w:p>
    <w:p w14:paraId="43670464" w14:textId="77777777" w:rsidR="00783394" w:rsidRPr="00D813C7" w:rsidRDefault="00783394" w:rsidP="008C345B">
      <w:pPr>
        <w:pStyle w:val="ListParagraph"/>
        <w:numPr>
          <w:ilvl w:val="1"/>
          <w:numId w:val="22"/>
        </w:numPr>
        <w:spacing w:line="240" w:lineRule="auto"/>
        <w:ind w:right="95"/>
      </w:pPr>
      <w:r w:rsidRPr="00D813C7">
        <w:t xml:space="preserve">incentivising the uptake of new MBS </w:t>
      </w:r>
      <w:proofErr w:type="gramStart"/>
      <w:r w:rsidRPr="00D813C7">
        <w:t>services;</w:t>
      </w:r>
      <w:proofErr w:type="gramEnd"/>
    </w:p>
    <w:p w14:paraId="6220575A" w14:textId="77777777" w:rsidR="00783394" w:rsidRPr="00D813C7" w:rsidRDefault="00783394" w:rsidP="008C345B">
      <w:pPr>
        <w:pStyle w:val="ListParagraph"/>
        <w:numPr>
          <w:ilvl w:val="1"/>
          <w:numId w:val="22"/>
        </w:numPr>
        <w:spacing w:line="240" w:lineRule="auto"/>
        <w:ind w:right="95"/>
      </w:pPr>
      <w:r w:rsidRPr="00D813C7">
        <w:t>promoting service delivery in locations which may have access issues (such rural and remote areas); and</w:t>
      </w:r>
    </w:p>
    <w:p w14:paraId="0DC40E89" w14:textId="77777777" w:rsidR="00783394" w:rsidRPr="00D813C7" w:rsidRDefault="00783394" w:rsidP="008C345B">
      <w:pPr>
        <w:pStyle w:val="ListParagraph"/>
        <w:numPr>
          <w:ilvl w:val="1"/>
          <w:numId w:val="22"/>
        </w:numPr>
        <w:spacing w:line="240" w:lineRule="auto"/>
        <w:ind w:right="95"/>
      </w:pPr>
      <w:r w:rsidRPr="00D813C7">
        <w:t>compensating for additional capital or other costs associated with delivering a service.</w:t>
      </w:r>
    </w:p>
    <w:p w14:paraId="356E5465" w14:textId="77777777" w:rsidR="00783394" w:rsidRPr="00D813C7" w:rsidRDefault="00783394" w:rsidP="00820C89">
      <w:pPr>
        <w:spacing w:before="0" w:line="240" w:lineRule="auto"/>
        <w:rPr>
          <w:rFonts w:eastAsiaTheme="minorHAnsi"/>
        </w:rPr>
      </w:pPr>
      <w:r w:rsidRPr="00D813C7">
        <w:rPr>
          <w:rFonts w:eastAsiaTheme="minorHAnsi"/>
        </w:rPr>
        <w:t>This generally results in different levels of fee and benefit being paid for the same service, depending on the circumstances of service delivery, which is inconsistent with the principles of Medicare. Targeted, non-MBS, mechanisms are a more appropriate and efficient method of addressing such factors.</w:t>
      </w:r>
    </w:p>
    <w:p w14:paraId="64A86A20" w14:textId="77777777" w:rsidR="00783394" w:rsidRPr="009F2FA7" w:rsidRDefault="00783394" w:rsidP="00820C89">
      <w:pPr>
        <w:spacing w:before="0" w:line="240" w:lineRule="auto"/>
        <w:rPr>
          <w:rFonts w:cstheme="minorHAnsi"/>
        </w:rPr>
      </w:pPr>
      <w:r w:rsidRPr="00D813C7">
        <w:rPr>
          <w:rFonts w:eastAsiaTheme="minorHAnsi"/>
        </w:rPr>
        <w:t>Over time, innovations or changed clinical complexities may occur. In these situations, either a modified item with a revised descriptor and adjusted fee, or an entirely new item, may need to be introduced.</w:t>
      </w:r>
    </w:p>
    <w:p w14:paraId="0640325A" w14:textId="25B8D385" w:rsidR="007D2BB3" w:rsidRPr="007662C0" w:rsidRDefault="00B24260" w:rsidP="007662C0">
      <w:pPr>
        <w:pStyle w:val="Heading2"/>
        <w:spacing w:line="240" w:lineRule="auto"/>
        <w:ind w:right="95"/>
      </w:pPr>
      <w:bookmarkStart w:id="89" w:name="_Toc25843710"/>
      <w:r>
        <w:t>B</w:t>
      </w:r>
      <w:r w:rsidR="00064F75" w:rsidRPr="007662C0">
        <w:t>.</w:t>
      </w:r>
      <w:r w:rsidR="00614181">
        <w:t>6</w:t>
      </w:r>
      <w:r w:rsidR="00064F75" w:rsidRPr="007662C0">
        <w:t xml:space="preserve"> </w:t>
      </w:r>
      <w:r w:rsidR="007D2BB3" w:rsidRPr="007662C0">
        <w:t>MBS geo-classification standard—The Modified Monash Model</w:t>
      </w:r>
      <w:bookmarkEnd w:id="89"/>
    </w:p>
    <w:p w14:paraId="73630672" w14:textId="58BE4A6F" w:rsidR="00514CBE" w:rsidRPr="0094285B" w:rsidRDefault="000B5AE9" w:rsidP="0094285B">
      <w:pPr>
        <w:spacing w:line="240" w:lineRule="auto"/>
        <w:rPr>
          <w:rFonts w:eastAsiaTheme="minorHAnsi"/>
        </w:rPr>
      </w:pPr>
      <w:r w:rsidRPr="007662C0">
        <w:rPr>
          <w:rFonts w:eastAsiaTheme="minorHAnsi"/>
        </w:rPr>
        <w:t>The Committee was asked, by the Department, to c</w:t>
      </w:r>
      <w:r w:rsidR="00662E16" w:rsidRPr="007662C0">
        <w:rPr>
          <w:rFonts w:eastAsiaTheme="minorHAnsi"/>
        </w:rPr>
        <w:t>onsider the replacement of</w:t>
      </w:r>
      <w:r w:rsidRPr="007662C0">
        <w:rPr>
          <w:rFonts w:eastAsiaTheme="minorHAnsi"/>
        </w:rPr>
        <w:t xml:space="preserve"> two </w:t>
      </w:r>
      <w:r w:rsidR="00662E16" w:rsidRPr="007662C0">
        <w:rPr>
          <w:rFonts w:eastAsiaTheme="minorHAnsi"/>
        </w:rPr>
        <w:t xml:space="preserve">existing rural classification </w:t>
      </w:r>
      <w:r w:rsidRPr="007662C0">
        <w:rPr>
          <w:rFonts w:eastAsiaTheme="minorHAnsi"/>
        </w:rPr>
        <w:t>standards</w:t>
      </w:r>
      <w:r w:rsidR="007662C0">
        <w:rPr>
          <w:rStyle w:val="FootnoteReference"/>
          <w:rFonts w:eastAsiaTheme="minorHAnsi"/>
        </w:rPr>
        <w:footnoteReference w:id="13"/>
      </w:r>
      <w:r w:rsidR="007662C0">
        <w:rPr>
          <w:rFonts w:eastAsiaTheme="minorHAnsi"/>
        </w:rPr>
        <w:t xml:space="preserve"> </w:t>
      </w:r>
      <w:r w:rsidR="00662E16" w:rsidRPr="007662C0">
        <w:rPr>
          <w:rFonts w:eastAsiaTheme="minorHAnsi"/>
        </w:rPr>
        <w:t xml:space="preserve">with </w:t>
      </w:r>
      <w:r w:rsidRPr="007662C0">
        <w:rPr>
          <w:rFonts w:eastAsiaTheme="minorHAnsi"/>
        </w:rPr>
        <w:t>a new, single stand</w:t>
      </w:r>
      <w:r w:rsidR="00662E16" w:rsidRPr="007662C0">
        <w:rPr>
          <w:rFonts w:eastAsiaTheme="minorHAnsi"/>
        </w:rPr>
        <w:t>ard – the Modified Monash Model</w:t>
      </w:r>
      <w:r w:rsidR="007662C0">
        <w:rPr>
          <w:rStyle w:val="FootnoteReference"/>
          <w:rFonts w:eastAsiaTheme="minorHAnsi"/>
        </w:rPr>
        <w:footnoteReference w:id="14"/>
      </w:r>
      <w:r w:rsidR="00662E16" w:rsidRPr="007662C0">
        <w:rPr>
          <w:rFonts w:eastAsiaTheme="minorHAnsi"/>
        </w:rPr>
        <w:t xml:space="preserve">. </w:t>
      </w:r>
      <w:r w:rsidR="00514CBE" w:rsidRPr="007662C0">
        <w:rPr>
          <w:rFonts w:eastAsiaTheme="minorHAnsi"/>
        </w:rPr>
        <w:t xml:space="preserve"> The change was recommended to ensure that claiming of the MBS items </w:t>
      </w:r>
      <w:r w:rsidR="007662C0">
        <w:rPr>
          <w:rFonts w:eastAsiaTheme="minorHAnsi"/>
        </w:rPr>
        <w:t xml:space="preserve">in the table </w:t>
      </w:r>
      <w:r w:rsidR="00514CBE" w:rsidRPr="007662C0">
        <w:rPr>
          <w:rFonts w:eastAsiaTheme="minorHAnsi"/>
        </w:rPr>
        <w:t xml:space="preserve">below </w:t>
      </w:r>
      <w:r w:rsidR="007662C0">
        <w:rPr>
          <w:rFonts w:eastAsiaTheme="minorHAnsi"/>
        </w:rPr>
        <w:t xml:space="preserve">that are subject to geographical restrictions, are </w:t>
      </w:r>
      <w:r w:rsidR="00514CBE" w:rsidRPr="007662C0">
        <w:rPr>
          <w:rFonts w:eastAsiaTheme="minorHAnsi"/>
        </w:rPr>
        <w:t xml:space="preserve">based on current, rather than outdated, population data. </w:t>
      </w:r>
    </w:p>
    <w:tbl>
      <w:tblPr>
        <w:tblW w:w="4512" w:type="pct"/>
        <w:jc w:val="center"/>
        <w:tblBorders>
          <w:top w:val="single" w:sz="4" w:space="0" w:color="1C6194" w:themeColor="accent6" w:themeShade="BF"/>
          <w:bottom w:val="single" w:sz="4" w:space="0" w:color="1C6194" w:themeColor="accent6" w:themeShade="BF"/>
          <w:insideH w:val="single" w:sz="4" w:space="0" w:color="1C6194" w:themeColor="accent6" w:themeShade="BF"/>
        </w:tblBorders>
        <w:shd w:val="clear" w:color="auto" w:fill="FFFFFF" w:themeFill="background1"/>
        <w:tblLook w:val="04A0" w:firstRow="1" w:lastRow="0" w:firstColumn="1" w:lastColumn="0" w:noHBand="0" w:noVBand="1"/>
      </w:tblPr>
      <w:tblGrid>
        <w:gridCol w:w="4537"/>
        <w:gridCol w:w="1134"/>
        <w:gridCol w:w="2474"/>
      </w:tblGrid>
      <w:tr w:rsidR="00514CBE" w:rsidRPr="007662C0" w14:paraId="012840D7" w14:textId="77777777" w:rsidTr="0094285B">
        <w:trPr>
          <w:trHeight w:val="178"/>
          <w:jc w:val="center"/>
        </w:trPr>
        <w:tc>
          <w:tcPr>
            <w:tcW w:w="2785" w:type="pct"/>
            <w:shd w:val="clear" w:color="auto" w:fill="FFFFFF" w:themeFill="background1"/>
            <w:vAlign w:val="center"/>
            <w:hideMark/>
          </w:tcPr>
          <w:p w14:paraId="38FB2738" w14:textId="77777777" w:rsidR="00514CBE" w:rsidRPr="007662C0" w:rsidRDefault="00514CBE" w:rsidP="00714D6C">
            <w:pPr>
              <w:spacing w:before="60" w:line="240" w:lineRule="auto"/>
              <w:jc w:val="center"/>
              <w:rPr>
                <w:rFonts w:cstheme="minorHAnsi"/>
                <w:b/>
                <w:bCs/>
                <w:color w:val="000000"/>
                <w:sz w:val="20"/>
                <w:szCs w:val="20"/>
              </w:rPr>
            </w:pPr>
            <w:r w:rsidRPr="007662C0">
              <w:rPr>
                <w:rFonts w:cstheme="minorHAnsi"/>
                <w:b/>
                <w:bCs/>
                <w:color w:val="000000"/>
                <w:sz w:val="20"/>
                <w:szCs w:val="20"/>
              </w:rPr>
              <w:t>Service</w:t>
            </w:r>
          </w:p>
        </w:tc>
        <w:tc>
          <w:tcPr>
            <w:tcW w:w="696" w:type="pct"/>
            <w:shd w:val="clear" w:color="auto" w:fill="FFFFFF" w:themeFill="background1"/>
            <w:vAlign w:val="center"/>
            <w:hideMark/>
          </w:tcPr>
          <w:p w14:paraId="161C6716" w14:textId="77777777" w:rsidR="00514CBE" w:rsidRPr="007662C0" w:rsidRDefault="00514CBE" w:rsidP="00714D6C">
            <w:pPr>
              <w:spacing w:before="60" w:line="240" w:lineRule="auto"/>
              <w:jc w:val="center"/>
              <w:rPr>
                <w:rFonts w:cstheme="minorHAnsi"/>
                <w:b/>
                <w:bCs/>
                <w:color w:val="000000"/>
                <w:sz w:val="20"/>
                <w:szCs w:val="20"/>
              </w:rPr>
            </w:pPr>
            <w:r w:rsidRPr="007662C0">
              <w:rPr>
                <w:rFonts w:cstheme="minorHAnsi"/>
                <w:b/>
                <w:bCs/>
                <w:color w:val="000000"/>
                <w:sz w:val="20"/>
                <w:szCs w:val="20"/>
              </w:rPr>
              <w:t>Item/s</w:t>
            </w:r>
          </w:p>
        </w:tc>
        <w:tc>
          <w:tcPr>
            <w:tcW w:w="1519" w:type="pct"/>
            <w:shd w:val="clear" w:color="auto" w:fill="FFFFFF" w:themeFill="background1"/>
            <w:vAlign w:val="center"/>
            <w:hideMark/>
          </w:tcPr>
          <w:p w14:paraId="5AAB855E" w14:textId="77777777" w:rsidR="00514CBE" w:rsidRPr="007662C0" w:rsidRDefault="00514CBE" w:rsidP="00714D6C">
            <w:pPr>
              <w:spacing w:before="60" w:line="240" w:lineRule="auto"/>
              <w:jc w:val="center"/>
              <w:rPr>
                <w:rFonts w:cstheme="minorHAnsi"/>
                <w:b/>
                <w:bCs/>
                <w:color w:val="000000"/>
                <w:sz w:val="20"/>
                <w:szCs w:val="20"/>
              </w:rPr>
            </w:pPr>
            <w:r w:rsidRPr="007662C0">
              <w:rPr>
                <w:rFonts w:cstheme="minorHAnsi"/>
                <w:b/>
                <w:bCs/>
                <w:color w:val="000000"/>
                <w:sz w:val="20"/>
                <w:szCs w:val="20"/>
              </w:rPr>
              <w:t>Classification standard</w:t>
            </w:r>
          </w:p>
        </w:tc>
      </w:tr>
      <w:tr w:rsidR="00514CBE" w:rsidRPr="007662C0" w14:paraId="0EEEA18B" w14:textId="77777777" w:rsidTr="0094285B">
        <w:trPr>
          <w:trHeight w:val="216"/>
          <w:jc w:val="center"/>
        </w:trPr>
        <w:tc>
          <w:tcPr>
            <w:tcW w:w="2785" w:type="pct"/>
            <w:shd w:val="clear" w:color="auto" w:fill="FFFFFF" w:themeFill="background1"/>
            <w:vAlign w:val="center"/>
            <w:hideMark/>
          </w:tcPr>
          <w:p w14:paraId="004C3BD8" w14:textId="77777777" w:rsidR="00514CBE" w:rsidRPr="007662C0" w:rsidRDefault="00514CBE" w:rsidP="00714D6C">
            <w:pPr>
              <w:spacing w:before="60" w:line="240" w:lineRule="auto"/>
              <w:rPr>
                <w:rFonts w:cstheme="minorHAnsi"/>
                <w:color w:val="000000"/>
                <w:sz w:val="20"/>
                <w:szCs w:val="20"/>
              </w:rPr>
            </w:pPr>
            <w:r w:rsidRPr="007662C0">
              <w:rPr>
                <w:rFonts w:cstheme="minorHAnsi"/>
                <w:color w:val="000000"/>
                <w:sz w:val="20"/>
                <w:szCs w:val="20"/>
              </w:rPr>
              <w:t>Remote bulk bill incentive</w:t>
            </w:r>
          </w:p>
        </w:tc>
        <w:tc>
          <w:tcPr>
            <w:tcW w:w="696" w:type="pct"/>
            <w:shd w:val="clear" w:color="auto" w:fill="FFFFFF" w:themeFill="background1"/>
            <w:vAlign w:val="center"/>
            <w:hideMark/>
          </w:tcPr>
          <w:p w14:paraId="07A088BE" w14:textId="77777777" w:rsidR="00514CBE" w:rsidRPr="007662C0" w:rsidRDefault="00514CBE" w:rsidP="00714D6C">
            <w:pPr>
              <w:spacing w:before="60" w:line="240" w:lineRule="auto"/>
              <w:jc w:val="center"/>
              <w:rPr>
                <w:rFonts w:cstheme="minorHAnsi"/>
                <w:color w:val="000000"/>
                <w:sz w:val="20"/>
                <w:szCs w:val="20"/>
              </w:rPr>
            </w:pPr>
            <w:r w:rsidRPr="007662C0">
              <w:rPr>
                <w:rFonts w:cstheme="minorHAnsi"/>
                <w:color w:val="000000"/>
                <w:sz w:val="20"/>
                <w:szCs w:val="20"/>
              </w:rPr>
              <w:t>10991</w:t>
            </w:r>
          </w:p>
        </w:tc>
        <w:tc>
          <w:tcPr>
            <w:tcW w:w="1519" w:type="pct"/>
            <w:shd w:val="clear" w:color="auto" w:fill="FFFFFF" w:themeFill="background1"/>
            <w:vAlign w:val="center"/>
            <w:hideMark/>
          </w:tcPr>
          <w:p w14:paraId="34AA93A3" w14:textId="77777777" w:rsidR="00514CBE" w:rsidRPr="007662C0" w:rsidRDefault="00514CBE" w:rsidP="00714D6C">
            <w:pPr>
              <w:spacing w:before="60" w:line="240" w:lineRule="auto"/>
              <w:jc w:val="center"/>
              <w:rPr>
                <w:rFonts w:cstheme="minorHAnsi"/>
                <w:color w:val="000000"/>
                <w:sz w:val="20"/>
                <w:szCs w:val="20"/>
              </w:rPr>
            </w:pPr>
            <w:r w:rsidRPr="007662C0">
              <w:rPr>
                <w:rFonts w:cstheme="minorHAnsi"/>
                <w:color w:val="000000"/>
                <w:sz w:val="20"/>
                <w:szCs w:val="20"/>
              </w:rPr>
              <w:t>RRMA</w:t>
            </w:r>
          </w:p>
        </w:tc>
      </w:tr>
      <w:tr w:rsidR="00514CBE" w:rsidRPr="007662C0" w14:paraId="1F114B53" w14:textId="77777777" w:rsidTr="0094285B">
        <w:trPr>
          <w:trHeight w:val="122"/>
          <w:jc w:val="center"/>
        </w:trPr>
        <w:tc>
          <w:tcPr>
            <w:tcW w:w="2785" w:type="pct"/>
            <w:shd w:val="clear" w:color="auto" w:fill="FFFFFF" w:themeFill="background1"/>
            <w:vAlign w:val="center"/>
            <w:hideMark/>
          </w:tcPr>
          <w:p w14:paraId="73B8165A" w14:textId="77777777" w:rsidR="00514CBE" w:rsidRPr="007662C0" w:rsidRDefault="00514CBE" w:rsidP="00714D6C">
            <w:pPr>
              <w:spacing w:before="60" w:line="240" w:lineRule="auto"/>
              <w:rPr>
                <w:rFonts w:cstheme="minorHAnsi"/>
                <w:color w:val="000000"/>
                <w:sz w:val="20"/>
                <w:szCs w:val="20"/>
              </w:rPr>
            </w:pPr>
            <w:r w:rsidRPr="007662C0">
              <w:rPr>
                <w:rFonts w:cstheme="minorHAnsi"/>
                <w:color w:val="000000"/>
                <w:sz w:val="20"/>
                <w:szCs w:val="20"/>
              </w:rPr>
              <w:t>Telehealth items</w:t>
            </w:r>
          </w:p>
        </w:tc>
        <w:tc>
          <w:tcPr>
            <w:tcW w:w="696" w:type="pct"/>
            <w:shd w:val="clear" w:color="auto" w:fill="FFFFFF" w:themeFill="background1"/>
            <w:vAlign w:val="center"/>
            <w:hideMark/>
          </w:tcPr>
          <w:p w14:paraId="783E781F" w14:textId="77777777" w:rsidR="00514CBE" w:rsidRPr="007662C0" w:rsidRDefault="00514CBE" w:rsidP="00714D6C">
            <w:pPr>
              <w:spacing w:before="60" w:line="240" w:lineRule="auto"/>
              <w:jc w:val="center"/>
              <w:rPr>
                <w:rFonts w:cstheme="minorHAnsi"/>
                <w:color w:val="000000"/>
                <w:sz w:val="20"/>
                <w:szCs w:val="20"/>
              </w:rPr>
            </w:pPr>
            <w:r w:rsidRPr="007662C0">
              <w:rPr>
                <w:rFonts w:cstheme="minorHAnsi"/>
                <w:color w:val="000000"/>
                <w:sz w:val="20"/>
                <w:szCs w:val="20"/>
              </w:rPr>
              <w:t>various</w:t>
            </w:r>
          </w:p>
        </w:tc>
        <w:tc>
          <w:tcPr>
            <w:tcW w:w="1519" w:type="pct"/>
            <w:shd w:val="clear" w:color="auto" w:fill="FFFFFF" w:themeFill="background1"/>
            <w:vAlign w:val="center"/>
            <w:hideMark/>
          </w:tcPr>
          <w:p w14:paraId="0F93402A" w14:textId="77777777" w:rsidR="00514CBE" w:rsidRPr="007662C0" w:rsidRDefault="00514CBE" w:rsidP="00714D6C">
            <w:pPr>
              <w:spacing w:before="60" w:line="240" w:lineRule="auto"/>
              <w:jc w:val="center"/>
              <w:rPr>
                <w:rFonts w:cstheme="minorHAnsi"/>
                <w:color w:val="000000"/>
                <w:sz w:val="20"/>
                <w:szCs w:val="20"/>
              </w:rPr>
            </w:pPr>
            <w:r w:rsidRPr="007662C0">
              <w:rPr>
                <w:rFonts w:cstheme="minorHAnsi"/>
                <w:color w:val="000000"/>
                <w:sz w:val="20"/>
                <w:szCs w:val="20"/>
              </w:rPr>
              <w:t>ASGC-RA</w:t>
            </w:r>
          </w:p>
        </w:tc>
      </w:tr>
      <w:tr w:rsidR="00514CBE" w:rsidRPr="007662C0" w14:paraId="1CB6600C" w14:textId="77777777" w:rsidTr="0094285B">
        <w:trPr>
          <w:trHeight w:val="169"/>
          <w:jc w:val="center"/>
        </w:trPr>
        <w:tc>
          <w:tcPr>
            <w:tcW w:w="2785" w:type="pct"/>
            <w:shd w:val="clear" w:color="auto" w:fill="FFFFFF" w:themeFill="background1"/>
            <w:vAlign w:val="center"/>
            <w:hideMark/>
          </w:tcPr>
          <w:p w14:paraId="75836E3D" w14:textId="77777777" w:rsidR="00514CBE" w:rsidRPr="007662C0" w:rsidRDefault="00514CBE" w:rsidP="00714D6C">
            <w:pPr>
              <w:spacing w:before="60" w:line="240" w:lineRule="auto"/>
              <w:rPr>
                <w:rFonts w:cstheme="minorHAnsi"/>
                <w:color w:val="000000"/>
                <w:sz w:val="20"/>
                <w:szCs w:val="20"/>
              </w:rPr>
            </w:pPr>
            <w:r w:rsidRPr="007662C0">
              <w:rPr>
                <w:rFonts w:cstheme="minorHAnsi"/>
                <w:color w:val="000000"/>
                <w:sz w:val="20"/>
                <w:szCs w:val="20"/>
              </w:rPr>
              <w:t>Pathology remote bulk bill incentive</w:t>
            </w:r>
          </w:p>
        </w:tc>
        <w:tc>
          <w:tcPr>
            <w:tcW w:w="696" w:type="pct"/>
            <w:shd w:val="clear" w:color="auto" w:fill="FFFFFF" w:themeFill="background1"/>
            <w:vAlign w:val="center"/>
            <w:hideMark/>
          </w:tcPr>
          <w:p w14:paraId="4E29181D" w14:textId="77777777" w:rsidR="00514CBE" w:rsidRPr="007662C0" w:rsidRDefault="00514CBE" w:rsidP="00714D6C">
            <w:pPr>
              <w:spacing w:before="60" w:line="240" w:lineRule="auto"/>
              <w:jc w:val="center"/>
              <w:rPr>
                <w:rFonts w:cstheme="minorHAnsi"/>
                <w:color w:val="000000"/>
                <w:sz w:val="20"/>
                <w:szCs w:val="20"/>
              </w:rPr>
            </w:pPr>
            <w:r w:rsidRPr="007662C0">
              <w:rPr>
                <w:rFonts w:cstheme="minorHAnsi"/>
                <w:color w:val="000000"/>
                <w:sz w:val="20"/>
                <w:szCs w:val="20"/>
              </w:rPr>
              <w:t>74991</w:t>
            </w:r>
          </w:p>
        </w:tc>
        <w:tc>
          <w:tcPr>
            <w:tcW w:w="1519" w:type="pct"/>
            <w:shd w:val="clear" w:color="auto" w:fill="FFFFFF" w:themeFill="background1"/>
            <w:vAlign w:val="center"/>
            <w:hideMark/>
          </w:tcPr>
          <w:p w14:paraId="198EF76A" w14:textId="77777777" w:rsidR="00514CBE" w:rsidRPr="007662C0" w:rsidRDefault="00514CBE" w:rsidP="00714D6C">
            <w:pPr>
              <w:spacing w:before="60" w:line="240" w:lineRule="auto"/>
              <w:jc w:val="center"/>
              <w:rPr>
                <w:rFonts w:cstheme="minorHAnsi"/>
                <w:color w:val="000000"/>
                <w:sz w:val="20"/>
                <w:szCs w:val="20"/>
              </w:rPr>
            </w:pPr>
            <w:r w:rsidRPr="007662C0">
              <w:rPr>
                <w:rFonts w:cstheme="minorHAnsi"/>
                <w:color w:val="000000"/>
                <w:sz w:val="20"/>
                <w:szCs w:val="20"/>
              </w:rPr>
              <w:t>RRMA</w:t>
            </w:r>
          </w:p>
        </w:tc>
      </w:tr>
      <w:tr w:rsidR="00514CBE" w:rsidRPr="007662C0" w14:paraId="5D8AE999" w14:textId="77777777" w:rsidTr="0094285B">
        <w:trPr>
          <w:trHeight w:val="217"/>
          <w:jc w:val="center"/>
        </w:trPr>
        <w:tc>
          <w:tcPr>
            <w:tcW w:w="2785" w:type="pct"/>
            <w:shd w:val="clear" w:color="auto" w:fill="FFFFFF" w:themeFill="background1"/>
            <w:vAlign w:val="center"/>
            <w:hideMark/>
          </w:tcPr>
          <w:p w14:paraId="1B8F6B3A" w14:textId="77777777" w:rsidR="00514CBE" w:rsidRPr="007662C0" w:rsidRDefault="00514CBE" w:rsidP="00714D6C">
            <w:pPr>
              <w:spacing w:before="60" w:line="240" w:lineRule="auto"/>
              <w:rPr>
                <w:rFonts w:cstheme="minorHAnsi"/>
                <w:color w:val="000000"/>
                <w:sz w:val="20"/>
                <w:szCs w:val="20"/>
              </w:rPr>
            </w:pPr>
            <w:r w:rsidRPr="007662C0">
              <w:rPr>
                <w:rFonts w:cstheme="minorHAnsi"/>
                <w:color w:val="000000"/>
                <w:sz w:val="20"/>
                <w:szCs w:val="20"/>
              </w:rPr>
              <w:t>Aboriginal Medical Service remote antenatal service</w:t>
            </w:r>
          </w:p>
        </w:tc>
        <w:tc>
          <w:tcPr>
            <w:tcW w:w="696" w:type="pct"/>
            <w:shd w:val="clear" w:color="auto" w:fill="FFFFFF" w:themeFill="background1"/>
            <w:vAlign w:val="center"/>
            <w:hideMark/>
          </w:tcPr>
          <w:p w14:paraId="681152C1" w14:textId="77777777" w:rsidR="00514CBE" w:rsidRPr="007662C0" w:rsidRDefault="00514CBE" w:rsidP="00714D6C">
            <w:pPr>
              <w:spacing w:before="60" w:line="240" w:lineRule="auto"/>
              <w:jc w:val="center"/>
              <w:rPr>
                <w:rFonts w:cstheme="minorHAnsi"/>
                <w:color w:val="000000"/>
                <w:sz w:val="20"/>
                <w:szCs w:val="20"/>
              </w:rPr>
            </w:pPr>
            <w:r w:rsidRPr="007662C0">
              <w:rPr>
                <w:rFonts w:cstheme="minorHAnsi"/>
                <w:color w:val="000000"/>
                <w:sz w:val="20"/>
                <w:szCs w:val="20"/>
              </w:rPr>
              <w:t>16400</w:t>
            </w:r>
          </w:p>
        </w:tc>
        <w:tc>
          <w:tcPr>
            <w:tcW w:w="1519" w:type="pct"/>
            <w:shd w:val="clear" w:color="auto" w:fill="FFFFFF" w:themeFill="background1"/>
            <w:vAlign w:val="center"/>
            <w:hideMark/>
          </w:tcPr>
          <w:p w14:paraId="7BA0A946" w14:textId="77777777" w:rsidR="00514CBE" w:rsidRPr="007662C0" w:rsidRDefault="00514CBE" w:rsidP="00714D6C">
            <w:pPr>
              <w:spacing w:before="60" w:line="240" w:lineRule="auto"/>
              <w:jc w:val="center"/>
              <w:rPr>
                <w:rFonts w:cstheme="minorHAnsi"/>
                <w:color w:val="000000"/>
                <w:sz w:val="20"/>
                <w:szCs w:val="20"/>
              </w:rPr>
            </w:pPr>
            <w:r w:rsidRPr="007662C0">
              <w:rPr>
                <w:rFonts w:cstheme="minorHAnsi"/>
                <w:color w:val="000000"/>
                <w:sz w:val="20"/>
                <w:szCs w:val="20"/>
              </w:rPr>
              <w:t>RRMA</w:t>
            </w:r>
          </w:p>
        </w:tc>
      </w:tr>
      <w:tr w:rsidR="00514CBE" w:rsidRPr="007662C0" w14:paraId="1D94C046" w14:textId="77777777" w:rsidTr="0094285B">
        <w:trPr>
          <w:trHeight w:val="70"/>
          <w:jc w:val="center"/>
        </w:trPr>
        <w:tc>
          <w:tcPr>
            <w:tcW w:w="2785" w:type="pct"/>
            <w:shd w:val="clear" w:color="auto" w:fill="FFFFFF" w:themeFill="background1"/>
            <w:vAlign w:val="center"/>
            <w:hideMark/>
          </w:tcPr>
          <w:p w14:paraId="3530867F" w14:textId="77777777" w:rsidR="00514CBE" w:rsidRPr="007662C0" w:rsidRDefault="00514CBE" w:rsidP="00714D6C">
            <w:pPr>
              <w:spacing w:before="60" w:line="240" w:lineRule="auto"/>
              <w:rPr>
                <w:rFonts w:cstheme="minorHAnsi"/>
                <w:color w:val="000000"/>
                <w:sz w:val="20"/>
                <w:szCs w:val="20"/>
              </w:rPr>
            </w:pPr>
            <w:r w:rsidRPr="007662C0">
              <w:rPr>
                <w:rFonts w:cstheme="minorHAnsi"/>
                <w:color w:val="000000"/>
                <w:sz w:val="20"/>
                <w:szCs w:val="20"/>
              </w:rPr>
              <w:t>Telepsychiatry items</w:t>
            </w:r>
          </w:p>
        </w:tc>
        <w:tc>
          <w:tcPr>
            <w:tcW w:w="696" w:type="pct"/>
            <w:shd w:val="clear" w:color="auto" w:fill="FFFFFF" w:themeFill="background1"/>
            <w:vAlign w:val="center"/>
            <w:hideMark/>
          </w:tcPr>
          <w:p w14:paraId="21A48FE7" w14:textId="77777777" w:rsidR="00514CBE" w:rsidRPr="007662C0" w:rsidRDefault="00514CBE" w:rsidP="00714D6C">
            <w:pPr>
              <w:spacing w:before="60" w:line="240" w:lineRule="auto"/>
              <w:jc w:val="center"/>
              <w:rPr>
                <w:rFonts w:cstheme="minorHAnsi"/>
                <w:color w:val="000000"/>
                <w:sz w:val="20"/>
                <w:szCs w:val="20"/>
              </w:rPr>
            </w:pPr>
            <w:r w:rsidRPr="007662C0">
              <w:rPr>
                <w:rFonts w:cstheme="minorHAnsi"/>
                <w:color w:val="000000"/>
                <w:sz w:val="20"/>
                <w:szCs w:val="20"/>
              </w:rPr>
              <w:t>353-370</w:t>
            </w:r>
          </w:p>
        </w:tc>
        <w:tc>
          <w:tcPr>
            <w:tcW w:w="1519" w:type="pct"/>
            <w:shd w:val="clear" w:color="auto" w:fill="FFFFFF" w:themeFill="background1"/>
            <w:vAlign w:val="center"/>
            <w:hideMark/>
          </w:tcPr>
          <w:p w14:paraId="41315B9F" w14:textId="77777777" w:rsidR="00514CBE" w:rsidRPr="007662C0" w:rsidRDefault="00514CBE" w:rsidP="00714D6C">
            <w:pPr>
              <w:spacing w:before="60" w:line="240" w:lineRule="auto"/>
              <w:jc w:val="center"/>
              <w:rPr>
                <w:rFonts w:cstheme="minorHAnsi"/>
                <w:color w:val="000000"/>
                <w:sz w:val="20"/>
                <w:szCs w:val="20"/>
              </w:rPr>
            </w:pPr>
            <w:r w:rsidRPr="007662C0">
              <w:rPr>
                <w:rFonts w:cstheme="minorHAnsi"/>
                <w:color w:val="000000"/>
                <w:sz w:val="20"/>
                <w:szCs w:val="20"/>
              </w:rPr>
              <w:t>RRMA</w:t>
            </w:r>
          </w:p>
        </w:tc>
      </w:tr>
      <w:tr w:rsidR="00514CBE" w:rsidRPr="007662C0" w14:paraId="33B3373F" w14:textId="77777777" w:rsidTr="0094285B">
        <w:trPr>
          <w:trHeight w:val="185"/>
          <w:jc w:val="center"/>
        </w:trPr>
        <w:tc>
          <w:tcPr>
            <w:tcW w:w="2785" w:type="pct"/>
            <w:shd w:val="clear" w:color="auto" w:fill="FFFFFF" w:themeFill="background1"/>
            <w:vAlign w:val="center"/>
            <w:hideMark/>
          </w:tcPr>
          <w:p w14:paraId="6EA10B47" w14:textId="77777777" w:rsidR="00514CBE" w:rsidRPr="007662C0" w:rsidRDefault="00514CBE" w:rsidP="00714D6C">
            <w:pPr>
              <w:spacing w:before="60" w:line="240" w:lineRule="auto"/>
              <w:rPr>
                <w:rFonts w:cstheme="minorHAnsi"/>
                <w:color w:val="000000"/>
                <w:sz w:val="20"/>
                <w:szCs w:val="20"/>
              </w:rPr>
            </w:pPr>
            <w:r w:rsidRPr="007662C0">
              <w:rPr>
                <w:rFonts w:cstheme="minorHAnsi"/>
                <w:color w:val="000000"/>
                <w:sz w:val="20"/>
                <w:szCs w:val="20"/>
              </w:rPr>
              <w:t>Diagnostic imaging remote bulk bill incentive</w:t>
            </w:r>
          </w:p>
        </w:tc>
        <w:tc>
          <w:tcPr>
            <w:tcW w:w="696" w:type="pct"/>
            <w:shd w:val="clear" w:color="auto" w:fill="FFFFFF" w:themeFill="background1"/>
            <w:vAlign w:val="center"/>
            <w:hideMark/>
          </w:tcPr>
          <w:p w14:paraId="333A986E" w14:textId="77777777" w:rsidR="00514CBE" w:rsidRPr="007662C0" w:rsidRDefault="00514CBE" w:rsidP="00714D6C">
            <w:pPr>
              <w:spacing w:before="60" w:line="240" w:lineRule="auto"/>
              <w:jc w:val="center"/>
              <w:rPr>
                <w:rFonts w:cstheme="minorHAnsi"/>
                <w:color w:val="000000"/>
                <w:sz w:val="20"/>
                <w:szCs w:val="20"/>
              </w:rPr>
            </w:pPr>
            <w:r w:rsidRPr="007662C0">
              <w:rPr>
                <w:rFonts w:cstheme="minorHAnsi"/>
                <w:color w:val="000000"/>
                <w:sz w:val="20"/>
                <w:szCs w:val="20"/>
              </w:rPr>
              <w:t>64991</w:t>
            </w:r>
          </w:p>
        </w:tc>
        <w:tc>
          <w:tcPr>
            <w:tcW w:w="1519" w:type="pct"/>
            <w:shd w:val="clear" w:color="auto" w:fill="FFFFFF" w:themeFill="background1"/>
            <w:vAlign w:val="center"/>
            <w:hideMark/>
          </w:tcPr>
          <w:p w14:paraId="69F694B1" w14:textId="77777777" w:rsidR="00514CBE" w:rsidRPr="007662C0" w:rsidRDefault="00514CBE" w:rsidP="00714D6C">
            <w:pPr>
              <w:spacing w:before="60" w:line="240" w:lineRule="auto"/>
              <w:jc w:val="center"/>
              <w:rPr>
                <w:rFonts w:cstheme="minorHAnsi"/>
                <w:color w:val="000000"/>
                <w:sz w:val="20"/>
                <w:szCs w:val="20"/>
              </w:rPr>
            </w:pPr>
            <w:r w:rsidRPr="007662C0">
              <w:rPr>
                <w:rFonts w:cstheme="minorHAnsi"/>
                <w:color w:val="000000"/>
                <w:sz w:val="20"/>
                <w:szCs w:val="20"/>
              </w:rPr>
              <w:t>RRMA</w:t>
            </w:r>
          </w:p>
        </w:tc>
      </w:tr>
      <w:tr w:rsidR="00514CBE" w:rsidRPr="007662C0" w14:paraId="79D5D32E" w14:textId="77777777" w:rsidTr="0094285B">
        <w:trPr>
          <w:trHeight w:val="375"/>
          <w:jc w:val="center"/>
        </w:trPr>
        <w:tc>
          <w:tcPr>
            <w:tcW w:w="2785" w:type="pct"/>
            <w:shd w:val="clear" w:color="auto" w:fill="FFFFFF" w:themeFill="background1"/>
            <w:vAlign w:val="center"/>
            <w:hideMark/>
          </w:tcPr>
          <w:p w14:paraId="7D5B49C5" w14:textId="77777777" w:rsidR="00514CBE" w:rsidRPr="007662C0" w:rsidRDefault="00514CBE" w:rsidP="00714D6C">
            <w:pPr>
              <w:spacing w:before="60" w:line="240" w:lineRule="auto"/>
              <w:rPr>
                <w:rFonts w:cstheme="minorHAnsi"/>
                <w:color w:val="000000"/>
                <w:sz w:val="20"/>
                <w:szCs w:val="20"/>
              </w:rPr>
            </w:pPr>
            <w:r w:rsidRPr="007662C0">
              <w:rPr>
                <w:rFonts w:cstheme="minorHAnsi"/>
                <w:color w:val="000000"/>
                <w:sz w:val="20"/>
                <w:szCs w:val="20"/>
              </w:rPr>
              <w:t>All diagnostic imaging ‘capital sensitivity’ services</w:t>
            </w:r>
          </w:p>
        </w:tc>
        <w:tc>
          <w:tcPr>
            <w:tcW w:w="696" w:type="pct"/>
            <w:shd w:val="clear" w:color="auto" w:fill="FFFFFF" w:themeFill="background1"/>
            <w:vAlign w:val="center"/>
            <w:hideMark/>
          </w:tcPr>
          <w:p w14:paraId="3229FB42" w14:textId="77777777" w:rsidR="00514CBE" w:rsidRPr="007662C0" w:rsidRDefault="00514CBE" w:rsidP="00714D6C">
            <w:pPr>
              <w:spacing w:before="60" w:line="240" w:lineRule="auto"/>
              <w:jc w:val="center"/>
              <w:rPr>
                <w:rFonts w:cstheme="minorHAnsi"/>
                <w:color w:val="000000"/>
                <w:sz w:val="20"/>
                <w:szCs w:val="20"/>
              </w:rPr>
            </w:pPr>
            <w:r w:rsidRPr="007662C0">
              <w:rPr>
                <w:rFonts w:cstheme="minorHAnsi"/>
                <w:color w:val="000000"/>
                <w:sz w:val="20"/>
                <w:szCs w:val="20"/>
              </w:rPr>
              <w:t>various</w:t>
            </w:r>
          </w:p>
        </w:tc>
        <w:tc>
          <w:tcPr>
            <w:tcW w:w="1519" w:type="pct"/>
            <w:shd w:val="clear" w:color="auto" w:fill="FFFFFF" w:themeFill="background1"/>
            <w:vAlign w:val="center"/>
            <w:hideMark/>
          </w:tcPr>
          <w:p w14:paraId="0F98F403" w14:textId="77777777" w:rsidR="00514CBE" w:rsidRPr="007662C0" w:rsidRDefault="00514CBE" w:rsidP="00714D6C">
            <w:pPr>
              <w:spacing w:before="60" w:line="240" w:lineRule="auto"/>
              <w:jc w:val="center"/>
              <w:rPr>
                <w:rFonts w:cstheme="minorHAnsi"/>
                <w:color w:val="000000"/>
                <w:sz w:val="20"/>
                <w:szCs w:val="20"/>
              </w:rPr>
            </w:pPr>
            <w:r w:rsidRPr="007662C0">
              <w:rPr>
                <w:rFonts w:cstheme="minorHAnsi"/>
                <w:color w:val="000000"/>
                <w:sz w:val="20"/>
                <w:szCs w:val="20"/>
              </w:rPr>
              <w:t>ASGC-RA</w:t>
            </w:r>
          </w:p>
        </w:tc>
      </w:tr>
    </w:tbl>
    <w:p w14:paraId="20BEADE3" w14:textId="0429309F" w:rsidR="000B5AE9" w:rsidRPr="00990EF8" w:rsidRDefault="000B5AE9" w:rsidP="007662C0">
      <w:pPr>
        <w:spacing w:line="240" w:lineRule="auto"/>
        <w:rPr>
          <w:rFonts w:eastAsiaTheme="minorHAnsi"/>
        </w:rPr>
      </w:pPr>
      <w:r w:rsidRPr="007662C0">
        <w:rPr>
          <w:rFonts w:eastAsiaTheme="minorHAnsi"/>
        </w:rPr>
        <w:lastRenderedPageBreak/>
        <w:t xml:space="preserve">The Committee considered the matter on 15 May 2017 and agreed to recommend to the Taskforce that the Modified Monash Model be adopted across the MBS, with no grandfathering of current arrangements. </w:t>
      </w:r>
      <w:r w:rsidRPr="00990EF8">
        <w:rPr>
          <w:rFonts w:eastAsiaTheme="minorHAnsi"/>
        </w:rPr>
        <w:t>The Taskforce endorsed this approach on 8 June 2017.</w:t>
      </w:r>
    </w:p>
    <w:p w14:paraId="7EA6E26D" w14:textId="3C877497" w:rsidR="007662C0" w:rsidRPr="007662C0" w:rsidRDefault="00B24260" w:rsidP="007662C0">
      <w:pPr>
        <w:pStyle w:val="Heading2"/>
        <w:spacing w:line="240" w:lineRule="auto"/>
        <w:ind w:right="95"/>
      </w:pPr>
      <w:bookmarkStart w:id="90" w:name="_Toc25843711"/>
      <w:r>
        <w:t>B</w:t>
      </w:r>
      <w:r w:rsidR="007662C0" w:rsidRPr="007662C0">
        <w:t>.</w:t>
      </w:r>
      <w:r w:rsidR="00614181">
        <w:t xml:space="preserve">7 </w:t>
      </w:r>
      <w:r w:rsidR="007662C0">
        <w:t xml:space="preserve">Repeat prescriptions </w:t>
      </w:r>
      <w:r w:rsidR="00DB7F70">
        <w:t>and specialist</w:t>
      </w:r>
      <w:r w:rsidR="00DB7F70">
        <w:noBreakHyphen/>
        <w:t>to</w:t>
      </w:r>
      <w:r w:rsidR="00DB7F70">
        <w:noBreakHyphen/>
      </w:r>
      <w:r w:rsidR="00A13C58">
        <w:t>specialist referral</w:t>
      </w:r>
      <w:bookmarkEnd w:id="90"/>
    </w:p>
    <w:p w14:paraId="4B02FF70" w14:textId="72134BCE" w:rsidR="007662C0" w:rsidRDefault="00A13C58" w:rsidP="007662C0">
      <w:pPr>
        <w:spacing w:line="240" w:lineRule="auto"/>
        <w:rPr>
          <w:rFonts w:eastAsiaTheme="minorHAnsi"/>
        </w:rPr>
      </w:pPr>
      <w:r>
        <w:rPr>
          <w:rFonts w:eastAsiaTheme="minorHAnsi"/>
        </w:rPr>
        <w:t xml:space="preserve">In January 2018 the Minister for Health raised two existing policy concerns with the Taskforce, seeking advice to respond to public concerns. The Taskforce requested consideration of this issues by the Committee and the General Practice and Primary Care Clinical Committee (GPPCCC). </w:t>
      </w:r>
    </w:p>
    <w:p w14:paraId="2068E737" w14:textId="5C4CF177" w:rsidR="00A13C58" w:rsidRDefault="00A13C58" w:rsidP="007662C0">
      <w:pPr>
        <w:spacing w:line="240" w:lineRule="auto"/>
        <w:rPr>
          <w:rFonts w:eastAsiaTheme="minorHAnsi"/>
        </w:rPr>
      </w:pPr>
      <w:r>
        <w:rPr>
          <w:rFonts w:eastAsiaTheme="minorHAnsi"/>
        </w:rPr>
        <w:t>The Committee considered the matters at its meeting on 22 May 2018</w:t>
      </w:r>
      <w:r w:rsidR="009B02BD">
        <w:rPr>
          <w:rFonts w:eastAsiaTheme="minorHAnsi"/>
        </w:rPr>
        <w:t xml:space="preserve"> and provided the following advice to Taskforce:</w:t>
      </w:r>
    </w:p>
    <w:p w14:paraId="46F0847F" w14:textId="32B26A3D" w:rsidR="000E3816" w:rsidRDefault="00A13C58" w:rsidP="00EE3099">
      <w:pPr>
        <w:spacing w:line="240" w:lineRule="auto"/>
        <w:rPr>
          <w:rFonts w:eastAsiaTheme="minorHAnsi"/>
          <w:b/>
        </w:rPr>
      </w:pPr>
      <w:r w:rsidRPr="00EE3099">
        <w:rPr>
          <w:rFonts w:eastAsiaTheme="minorHAnsi"/>
          <w:b/>
        </w:rPr>
        <w:t>Repeat prescriptions</w:t>
      </w:r>
      <w:r w:rsidR="00345B0D">
        <w:rPr>
          <w:rFonts w:eastAsiaTheme="minorHAnsi"/>
          <w:b/>
        </w:rPr>
        <w:t>:</w:t>
      </w:r>
    </w:p>
    <w:p w14:paraId="7D3661CA" w14:textId="76D9C432" w:rsidR="009B02BD" w:rsidRDefault="00820C89" w:rsidP="00EE3099">
      <w:pPr>
        <w:spacing w:line="240" w:lineRule="auto"/>
        <w:rPr>
          <w:rFonts w:eastAsiaTheme="minorHAnsi"/>
        </w:rPr>
      </w:pPr>
      <w:r>
        <w:rPr>
          <w:rFonts w:eastAsiaTheme="minorHAnsi"/>
        </w:rPr>
        <w:t>T</w:t>
      </w:r>
      <w:r w:rsidR="009B02BD">
        <w:rPr>
          <w:rFonts w:eastAsiaTheme="minorHAnsi"/>
        </w:rPr>
        <w:t xml:space="preserve">he Committee confirmed that: </w:t>
      </w:r>
    </w:p>
    <w:p w14:paraId="078A1AA5" w14:textId="080F5EB3" w:rsidR="00EE3099" w:rsidRDefault="009B02BD" w:rsidP="008C345B">
      <w:pPr>
        <w:pStyle w:val="ListParagraph"/>
        <w:numPr>
          <w:ilvl w:val="1"/>
          <w:numId w:val="15"/>
        </w:numPr>
        <w:spacing w:before="0" w:after="0" w:line="240" w:lineRule="auto"/>
        <w:ind w:left="709" w:right="95" w:hanging="441"/>
        <w:rPr>
          <w:rFonts w:eastAsiaTheme="minorHAnsi"/>
        </w:rPr>
      </w:pPr>
      <w:r>
        <w:rPr>
          <w:rFonts w:eastAsiaTheme="minorHAnsi"/>
        </w:rPr>
        <w:t xml:space="preserve">there is a perception among consumers that a GP attendance </w:t>
      </w:r>
      <w:r w:rsidR="00A13C58" w:rsidRPr="00EE3099">
        <w:rPr>
          <w:rFonts w:eastAsiaTheme="minorHAnsi"/>
        </w:rPr>
        <w:t xml:space="preserve">for </w:t>
      </w:r>
      <w:r>
        <w:rPr>
          <w:rFonts w:eastAsiaTheme="minorHAnsi"/>
        </w:rPr>
        <w:t xml:space="preserve">a ‘routine’ renewal </w:t>
      </w:r>
      <w:r w:rsidR="00A13C58" w:rsidRPr="00EE3099">
        <w:rPr>
          <w:rFonts w:eastAsiaTheme="minorHAnsi"/>
        </w:rPr>
        <w:t xml:space="preserve">of </w:t>
      </w:r>
      <w:r>
        <w:rPr>
          <w:rFonts w:eastAsiaTheme="minorHAnsi"/>
        </w:rPr>
        <w:t xml:space="preserve">a referral and/or prescription </w:t>
      </w:r>
      <w:r w:rsidR="0051025C">
        <w:rPr>
          <w:rFonts w:eastAsiaTheme="minorHAnsi"/>
        </w:rPr>
        <w:t xml:space="preserve">is inconvenient, particularly </w:t>
      </w:r>
      <w:r w:rsidR="00A13C58" w:rsidRPr="00EE3099">
        <w:rPr>
          <w:rFonts w:eastAsiaTheme="minorHAnsi"/>
        </w:rPr>
        <w:t xml:space="preserve">when, in the patient’s view, their clinical condition has not </w:t>
      </w:r>
      <w:proofErr w:type="gramStart"/>
      <w:r w:rsidR="00A13C58" w:rsidRPr="00EE3099">
        <w:rPr>
          <w:rFonts w:eastAsiaTheme="minorHAnsi"/>
        </w:rPr>
        <w:t>changed</w:t>
      </w:r>
      <w:r w:rsidR="0051025C">
        <w:rPr>
          <w:rFonts w:eastAsiaTheme="minorHAnsi"/>
        </w:rPr>
        <w:t>;</w:t>
      </w:r>
      <w:proofErr w:type="gramEnd"/>
    </w:p>
    <w:p w14:paraId="298B8D5F" w14:textId="5B9FC4C4" w:rsidR="00EE3099" w:rsidRPr="00EE3099" w:rsidRDefault="00EE3099" w:rsidP="008C345B">
      <w:pPr>
        <w:pStyle w:val="ListParagraph"/>
        <w:numPr>
          <w:ilvl w:val="1"/>
          <w:numId w:val="15"/>
        </w:numPr>
        <w:spacing w:before="0" w:after="0" w:line="240" w:lineRule="auto"/>
        <w:ind w:left="709" w:right="95" w:hanging="441"/>
      </w:pPr>
      <w:r w:rsidRPr="00EE3099">
        <w:t xml:space="preserve">there is a need to uphold the GP’s role as care coordinator, </w:t>
      </w:r>
      <w:r w:rsidR="00DB7F70" w:rsidRPr="00EE3099">
        <w:t>particularly</w:t>
      </w:r>
      <w:r w:rsidRPr="00EE3099">
        <w:t xml:space="preserve"> to control potential adverse outcome of medication misadventure</w:t>
      </w:r>
      <w:r w:rsidR="00DB7F70">
        <w:rPr>
          <w:rStyle w:val="FootnoteReference"/>
        </w:rPr>
        <w:footnoteReference w:id="15"/>
      </w:r>
      <w:r w:rsidRPr="00EE3099">
        <w:t>;</w:t>
      </w:r>
    </w:p>
    <w:p w14:paraId="31834773" w14:textId="4E13B8C9" w:rsidR="00EE3099" w:rsidRPr="00EE3099" w:rsidRDefault="00EE3099" w:rsidP="008C345B">
      <w:pPr>
        <w:pStyle w:val="ListParagraph"/>
        <w:numPr>
          <w:ilvl w:val="1"/>
          <w:numId w:val="15"/>
        </w:numPr>
        <w:spacing w:before="0" w:after="0" w:line="240" w:lineRule="auto"/>
        <w:ind w:left="709" w:right="95" w:hanging="441"/>
      </w:pPr>
      <w:r w:rsidRPr="00EE3099">
        <w:t xml:space="preserve">evidence suggests visits to GPs motivated by medication </w:t>
      </w:r>
      <w:r w:rsidR="00DB7F70">
        <w:t xml:space="preserve">requests </w:t>
      </w:r>
      <w:r w:rsidRPr="00EE3099">
        <w:t>often resulted in the GP affording additional health care, including management of other issues, providing education and advice and preventative care</w:t>
      </w:r>
      <w:r w:rsidR="00DB7F70">
        <w:rPr>
          <w:rStyle w:val="FootnoteReference"/>
        </w:rPr>
        <w:footnoteReference w:id="16"/>
      </w:r>
      <w:r w:rsidRPr="00EE3099">
        <w:t>; and</w:t>
      </w:r>
    </w:p>
    <w:p w14:paraId="7A0A031B" w14:textId="1342297D" w:rsidR="00EE3099" w:rsidRPr="00EE3099" w:rsidRDefault="00EE3099" w:rsidP="008C345B">
      <w:pPr>
        <w:pStyle w:val="ListParagraph"/>
        <w:numPr>
          <w:ilvl w:val="1"/>
          <w:numId w:val="15"/>
        </w:numPr>
        <w:spacing w:before="0" w:after="0" w:line="240" w:lineRule="auto"/>
        <w:ind w:left="709" w:right="95" w:hanging="441"/>
      </w:pPr>
      <w:r w:rsidRPr="00EE3099">
        <w:t>the Pharmaceutical Benefits Scheme (PBS) recommends that medication review should be undertaken every six months to safeguard optimal medication management.</w:t>
      </w:r>
    </w:p>
    <w:p w14:paraId="7DEC673D" w14:textId="0222F153" w:rsidR="00EE3099" w:rsidRDefault="00DB7F70" w:rsidP="00EE3099">
      <w:pPr>
        <w:spacing w:line="240" w:lineRule="auto"/>
        <w:rPr>
          <w:rFonts w:eastAsiaTheme="minorHAnsi"/>
        </w:rPr>
      </w:pPr>
      <w:r>
        <w:rPr>
          <w:rFonts w:eastAsiaTheme="minorHAnsi"/>
        </w:rPr>
        <w:t xml:space="preserve">The Committee’s final advice to Taskforce was for </w:t>
      </w:r>
      <w:r w:rsidR="00EE3099">
        <w:rPr>
          <w:rFonts w:eastAsiaTheme="minorHAnsi"/>
        </w:rPr>
        <w:t xml:space="preserve">no change to the </w:t>
      </w:r>
      <w:r w:rsidR="00EE3099" w:rsidRPr="00EE3099">
        <w:rPr>
          <w:rFonts w:eastAsiaTheme="minorHAnsi"/>
        </w:rPr>
        <w:t>current arrangements</w:t>
      </w:r>
      <w:r w:rsidR="00EE3099">
        <w:rPr>
          <w:rFonts w:eastAsiaTheme="minorHAnsi"/>
        </w:rPr>
        <w:t>, i.e.:</w:t>
      </w:r>
    </w:p>
    <w:p w14:paraId="681756E1" w14:textId="77777777" w:rsidR="00DF4A8D" w:rsidRDefault="00EE3099" w:rsidP="008C345B">
      <w:pPr>
        <w:pStyle w:val="ListParagraph"/>
        <w:numPr>
          <w:ilvl w:val="1"/>
          <w:numId w:val="15"/>
        </w:numPr>
        <w:spacing w:before="0" w:after="0" w:line="240" w:lineRule="auto"/>
        <w:ind w:left="709" w:right="95" w:hanging="441"/>
      </w:pPr>
      <w:r w:rsidRPr="00EE3099">
        <w:t xml:space="preserve">GP attendance is necessary for the issue of a repeat prescription; and </w:t>
      </w:r>
    </w:p>
    <w:p w14:paraId="25C9AA2E" w14:textId="365FDECC" w:rsidR="00EE3099" w:rsidRPr="00EE3099" w:rsidRDefault="00EE3099" w:rsidP="008C345B">
      <w:pPr>
        <w:pStyle w:val="ListParagraph"/>
        <w:numPr>
          <w:ilvl w:val="1"/>
          <w:numId w:val="15"/>
        </w:numPr>
        <w:spacing w:before="0" w:after="0" w:line="240" w:lineRule="auto"/>
        <w:ind w:left="709" w:right="95" w:hanging="441"/>
      </w:pPr>
      <w:r w:rsidRPr="00EE3099">
        <w:t>prescriptions remain valid for a maximum of 6 months from date of issue (acknowledging that there are mechanisms in place to alter this where it is clinically safe (e.g. 12 months for lipids and oral contraceptives</w:t>
      </w:r>
      <w:r w:rsidR="00DB7F70">
        <w:t>).</w:t>
      </w:r>
    </w:p>
    <w:p w14:paraId="692033E2" w14:textId="123C5AB3" w:rsidR="000E3816" w:rsidRDefault="00A13C58" w:rsidP="00DB7F70">
      <w:pPr>
        <w:spacing w:line="240" w:lineRule="auto"/>
        <w:rPr>
          <w:rFonts w:eastAsiaTheme="minorHAnsi"/>
        </w:rPr>
      </w:pPr>
      <w:r w:rsidRPr="00DB7F70">
        <w:rPr>
          <w:rFonts w:eastAsiaTheme="minorHAnsi"/>
          <w:b/>
        </w:rPr>
        <w:t>Specialist to specialist referrals</w:t>
      </w:r>
      <w:r w:rsidR="00345B0D">
        <w:rPr>
          <w:rFonts w:eastAsiaTheme="minorHAnsi"/>
          <w:b/>
        </w:rPr>
        <w:t>:</w:t>
      </w:r>
    </w:p>
    <w:p w14:paraId="58ED28D4" w14:textId="126BBB21" w:rsidR="009B02BD" w:rsidRDefault="00820C89" w:rsidP="00DB7F70">
      <w:pPr>
        <w:spacing w:line="240" w:lineRule="auto"/>
        <w:rPr>
          <w:rFonts w:eastAsiaTheme="minorHAnsi"/>
        </w:rPr>
      </w:pPr>
      <w:r>
        <w:rPr>
          <w:rFonts w:eastAsiaTheme="minorHAnsi"/>
        </w:rPr>
        <w:t>Th</w:t>
      </w:r>
      <w:r w:rsidR="009B02BD">
        <w:rPr>
          <w:rFonts w:eastAsiaTheme="minorHAnsi"/>
        </w:rPr>
        <w:t>e Committee confirmed that:</w:t>
      </w:r>
    </w:p>
    <w:p w14:paraId="763CC33D" w14:textId="585486A5" w:rsidR="007662C0" w:rsidRPr="00DB7F70" w:rsidRDefault="009B02BD" w:rsidP="008C345B">
      <w:pPr>
        <w:pStyle w:val="ListParagraph"/>
        <w:numPr>
          <w:ilvl w:val="1"/>
          <w:numId w:val="15"/>
        </w:numPr>
        <w:spacing w:before="0" w:after="0" w:line="240" w:lineRule="auto"/>
        <w:ind w:left="709" w:right="95" w:hanging="441"/>
        <w:rPr>
          <w:rFonts w:eastAsiaTheme="minorHAnsi"/>
        </w:rPr>
      </w:pPr>
      <w:r>
        <w:rPr>
          <w:rFonts w:eastAsiaTheme="minorHAnsi"/>
        </w:rPr>
        <w:t xml:space="preserve">there is an </w:t>
      </w:r>
      <w:r w:rsidR="00DB7F70">
        <w:rPr>
          <w:rFonts w:eastAsiaTheme="minorHAnsi"/>
        </w:rPr>
        <w:t>apparent need to increase understanding</w:t>
      </w:r>
      <w:r>
        <w:rPr>
          <w:rFonts w:eastAsiaTheme="minorHAnsi"/>
        </w:rPr>
        <w:t xml:space="preserve"> with</w:t>
      </w:r>
      <w:r w:rsidR="00DB7F70">
        <w:rPr>
          <w:rFonts w:eastAsiaTheme="minorHAnsi"/>
        </w:rPr>
        <w:t xml:space="preserve">in the </w:t>
      </w:r>
      <w:r w:rsidR="00DB7F70" w:rsidRPr="00DB7F70">
        <w:rPr>
          <w:rFonts w:eastAsiaTheme="minorHAnsi"/>
        </w:rPr>
        <w:t xml:space="preserve">sector </w:t>
      </w:r>
      <w:r>
        <w:rPr>
          <w:rFonts w:eastAsiaTheme="minorHAnsi"/>
        </w:rPr>
        <w:t xml:space="preserve">relating to </w:t>
      </w:r>
      <w:r w:rsidR="00DB7F70" w:rsidRPr="00DB7F70">
        <w:rPr>
          <w:rFonts w:eastAsiaTheme="minorHAnsi"/>
        </w:rPr>
        <w:t>u</w:t>
      </w:r>
      <w:r>
        <w:rPr>
          <w:rFonts w:eastAsiaTheme="minorHAnsi"/>
        </w:rPr>
        <w:t xml:space="preserve">nnamed and indefinite </w:t>
      </w:r>
      <w:proofErr w:type="gramStart"/>
      <w:r>
        <w:rPr>
          <w:rFonts w:eastAsiaTheme="minorHAnsi"/>
        </w:rPr>
        <w:t>referrals;</w:t>
      </w:r>
      <w:proofErr w:type="gramEnd"/>
    </w:p>
    <w:p w14:paraId="56E705C5" w14:textId="3E30DF73" w:rsidR="00DB7F70" w:rsidRPr="00DB7F70" w:rsidRDefault="009B02BD" w:rsidP="008C345B">
      <w:pPr>
        <w:pStyle w:val="ListParagraph"/>
        <w:numPr>
          <w:ilvl w:val="1"/>
          <w:numId w:val="15"/>
        </w:numPr>
        <w:spacing w:before="0" w:after="0" w:line="240" w:lineRule="auto"/>
        <w:ind w:left="709" w:right="95" w:hanging="441"/>
      </w:pPr>
      <w:r>
        <w:t xml:space="preserve">the </w:t>
      </w:r>
      <w:r w:rsidR="00DB7F70">
        <w:t>ongoing communication betw</w:t>
      </w:r>
      <w:r>
        <w:t xml:space="preserve">een a GP and a specialist, or a </w:t>
      </w:r>
      <w:r w:rsidR="00DB7F70">
        <w:t xml:space="preserve">review </w:t>
      </w:r>
      <w:r>
        <w:t xml:space="preserve">of a referral </w:t>
      </w:r>
      <w:r w:rsidR="00DB7F70">
        <w:t xml:space="preserve">at </w:t>
      </w:r>
      <w:r>
        <w:t>12 </w:t>
      </w:r>
      <w:r w:rsidR="00DB7F70">
        <w:t xml:space="preserve">months does not </w:t>
      </w:r>
      <w:r w:rsidR="00DB7F70" w:rsidRPr="00DB7F70">
        <w:t xml:space="preserve">constitute </w:t>
      </w:r>
      <w:r w:rsidR="00DB7F70">
        <w:t xml:space="preserve">a </w:t>
      </w:r>
      <w:r w:rsidR="00DB7F70" w:rsidRPr="00DB7F70">
        <w:t>‘new referral’</w:t>
      </w:r>
      <w:r>
        <w:t>; and</w:t>
      </w:r>
    </w:p>
    <w:p w14:paraId="57BEC100" w14:textId="7949F65C" w:rsidR="00DB7F70" w:rsidRPr="00DB7F70" w:rsidRDefault="00DB7F70" w:rsidP="008C345B">
      <w:pPr>
        <w:pStyle w:val="ListParagraph"/>
        <w:numPr>
          <w:ilvl w:val="1"/>
          <w:numId w:val="15"/>
        </w:numPr>
        <w:spacing w:before="0" w:after="0" w:line="240" w:lineRule="auto"/>
        <w:ind w:left="709" w:right="95" w:hanging="441"/>
      </w:pPr>
      <w:r w:rsidRPr="00DB7F70">
        <w:t xml:space="preserve">there are current mechanisms in place to ensure that the GP’s coordinator role is maintained (e.g. under current arrangements, a patient referred to an oncologist by a surgeon will be required to see their GP within 3 months, facilitating access to social </w:t>
      </w:r>
      <w:r w:rsidRPr="00DB7F70">
        <w:lastRenderedPageBreak/>
        <w:t>supports, psychological counselling and review in relation to the patient’s other medical conditions).</w:t>
      </w:r>
    </w:p>
    <w:p w14:paraId="5A0941CC" w14:textId="77777777" w:rsidR="0051025C" w:rsidRDefault="009B02BD" w:rsidP="009B02BD">
      <w:pPr>
        <w:spacing w:line="240" w:lineRule="auto"/>
        <w:rPr>
          <w:rFonts w:eastAsiaTheme="minorHAnsi"/>
        </w:rPr>
      </w:pPr>
      <w:r w:rsidRPr="009B02BD">
        <w:rPr>
          <w:rFonts w:eastAsiaTheme="minorHAnsi"/>
        </w:rPr>
        <w:t>The Committee’s final advice to Taskforce r</w:t>
      </w:r>
      <w:r w:rsidR="0051025C">
        <w:rPr>
          <w:rFonts w:eastAsiaTheme="minorHAnsi"/>
        </w:rPr>
        <w:t>eiterated two of the Committee’s earlier</w:t>
      </w:r>
      <w:r w:rsidRPr="009B02BD">
        <w:rPr>
          <w:rFonts w:eastAsiaTheme="minorHAnsi"/>
        </w:rPr>
        <w:t xml:space="preserve"> recommendation</w:t>
      </w:r>
      <w:r w:rsidR="0051025C">
        <w:rPr>
          <w:rFonts w:eastAsiaTheme="minorHAnsi"/>
        </w:rPr>
        <w:t>s, taken from the Committee’s 2016 report to Government. The recommendations were that:</w:t>
      </w:r>
    </w:p>
    <w:p w14:paraId="2037C197" w14:textId="77777777" w:rsidR="0051025C" w:rsidRPr="0051025C" w:rsidRDefault="0051025C" w:rsidP="008C345B">
      <w:pPr>
        <w:pStyle w:val="ListParagraph"/>
        <w:numPr>
          <w:ilvl w:val="1"/>
          <w:numId w:val="15"/>
        </w:numPr>
        <w:spacing w:before="0" w:after="0" w:line="240" w:lineRule="auto"/>
        <w:ind w:left="709" w:right="95" w:hanging="441"/>
      </w:pPr>
      <w:r w:rsidRPr="0051025C">
        <w:t>specialists should claim one initial attendance for the patient when the patient is receiving a single course of treatment, regardless of the duration of the course of treatment. All further attendances are to be considered ‘subsequent’; and</w:t>
      </w:r>
    </w:p>
    <w:p w14:paraId="2D365AD6" w14:textId="4528D090" w:rsidR="007662C0" w:rsidRDefault="00DB7F70" w:rsidP="008C345B">
      <w:pPr>
        <w:pStyle w:val="ListParagraph"/>
        <w:numPr>
          <w:ilvl w:val="1"/>
          <w:numId w:val="15"/>
        </w:numPr>
        <w:spacing w:before="0" w:after="0" w:line="240" w:lineRule="auto"/>
        <w:ind w:left="709" w:right="95" w:hanging="441"/>
      </w:pPr>
      <w:r w:rsidRPr="0051025C">
        <w:t xml:space="preserve">MBS provider knowledge on referral rules should be improved through mandatory education.  </w:t>
      </w:r>
    </w:p>
    <w:p w14:paraId="206C6703" w14:textId="466B0086" w:rsidR="0051025C" w:rsidRPr="007662C0" w:rsidRDefault="00B24260" w:rsidP="0051025C">
      <w:pPr>
        <w:pStyle w:val="Heading2"/>
        <w:spacing w:line="240" w:lineRule="auto"/>
        <w:ind w:right="95"/>
      </w:pPr>
      <w:bookmarkStart w:id="91" w:name="_Toc25843712"/>
      <w:r>
        <w:t>B</w:t>
      </w:r>
      <w:r w:rsidR="0051025C" w:rsidRPr="007662C0">
        <w:t>.</w:t>
      </w:r>
      <w:r w:rsidR="00614181">
        <w:t>8</w:t>
      </w:r>
      <w:r w:rsidR="0051025C">
        <w:t xml:space="preserve"> Volume-based incentive payments within a medical practice</w:t>
      </w:r>
      <w:bookmarkEnd w:id="91"/>
    </w:p>
    <w:p w14:paraId="6A6C6463" w14:textId="7E86EABE" w:rsidR="0051025C" w:rsidRDefault="0051025C" w:rsidP="0051025C">
      <w:pPr>
        <w:spacing w:line="240" w:lineRule="auto"/>
        <w:rPr>
          <w:rFonts w:eastAsiaTheme="minorHAnsi"/>
        </w:rPr>
      </w:pPr>
      <w:r>
        <w:rPr>
          <w:rFonts w:eastAsiaTheme="minorHAnsi"/>
        </w:rPr>
        <w:t>In September 2017</w:t>
      </w:r>
      <w:r w:rsidR="00345B0D">
        <w:rPr>
          <w:rFonts w:eastAsiaTheme="minorHAnsi"/>
        </w:rPr>
        <w:t xml:space="preserve">, </w:t>
      </w:r>
      <w:r>
        <w:rPr>
          <w:rFonts w:eastAsiaTheme="minorHAnsi"/>
        </w:rPr>
        <w:t>the Minister for Health requested advice in relation to reports</w:t>
      </w:r>
      <w:r>
        <w:rPr>
          <w:rStyle w:val="FootnoteReference"/>
          <w:color w:val="000000" w:themeColor="text1"/>
        </w:rPr>
        <w:footnoteReference w:id="17"/>
      </w:r>
      <w:r>
        <w:rPr>
          <w:color w:val="000000" w:themeColor="text1"/>
        </w:rPr>
        <w:t xml:space="preserve"> </w:t>
      </w:r>
      <w:r w:rsidRPr="00BB0D93">
        <w:rPr>
          <w:color w:val="000000" w:themeColor="text1"/>
        </w:rPr>
        <w:t>that an assisted repro</w:t>
      </w:r>
      <w:r>
        <w:rPr>
          <w:color w:val="000000" w:themeColor="text1"/>
        </w:rPr>
        <w:t>duction company was giving high</w:t>
      </w:r>
      <w:r>
        <w:rPr>
          <w:color w:val="000000" w:themeColor="text1"/>
        </w:rPr>
        <w:noBreakHyphen/>
      </w:r>
      <w:r w:rsidRPr="00BB0D93">
        <w:rPr>
          <w:color w:val="000000" w:themeColor="text1"/>
        </w:rPr>
        <w:t xml:space="preserve">performing doctors a bonus if they </w:t>
      </w:r>
      <w:r>
        <w:rPr>
          <w:color w:val="000000" w:themeColor="text1"/>
        </w:rPr>
        <w:t xml:space="preserve">instigated </w:t>
      </w:r>
      <w:r w:rsidRPr="00BB0D93">
        <w:rPr>
          <w:color w:val="000000" w:themeColor="text1"/>
        </w:rPr>
        <w:t>more than 400 cycles of IVF a year over three years</w:t>
      </w:r>
      <w:r>
        <w:rPr>
          <w:color w:val="000000" w:themeColor="text1"/>
        </w:rPr>
        <w:t>.</w:t>
      </w:r>
    </w:p>
    <w:p w14:paraId="054FEE7C" w14:textId="0749D912" w:rsidR="0051025C" w:rsidRPr="0051025C" w:rsidRDefault="0051025C" w:rsidP="0051025C">
      <w:pPr>
        <w:spacing w:line="240" w:lineRule="auto"/>
        <w:rPr>
          <w:rFonts w:eastAsiaTheme="minorHAnsi"/>
        </w:rPr>
      </w:pPr>
      <w:r>
        <w:rPr>
          <w:rFonts w:eastAsiaTheme="minorHAnsi"/>
        </w:rPr>
        <w:t xml:space="preserve">The Committee considered the matters at its meeting on 30 November 2017 and agreed that </w:t>
      </w:r>
      <w:r w:rsidRPr="00DB23BD">
        <w:rPr>
          <w:color w:val="000000" w:themeColor="text1"/>
        </w:rPr>
        <w:t>volume</w:t>
      </w:r>
      <w:r w:rsidRPr="00DB23BD">
        <w:rPr>
          <w:color w:val="000000" w:themeColor="text1"/>
        </w:rPr>
        <w:noBreakHyphen/>
        <w:t xml:space="preserve">based incentive models </w:t>
      </w:r>
      <w:r>
        <w:rPr>
          <w:color w:val="000000" w:themeColor="text1"/>
        </w:rPr>
        <w:t xml:space="preserve">were at odds with ethical </w:t>
      </w:r>
      <w:r w:rsidRPr="00DB23BD">
        <w:rPr>
          <w:color w:val="000000" w:themeColor="text1"/>
        </w:rPr>
        <w:t>medical practice</w:t>
      </w:r>
      <w:r>
        <w:rPr>
          <w:color w:val="000000" w:themeColor="text1"/>
        </w:rPr>
        <w:t>, in that they have the potential to:</w:t>
      </w:r>
    </w:p>
    <w:p w14:paraId="590DBEB7" w14:textId="1B1F9421" w:rsidR="0051025C" w:rsidRPr="00442BD5" w:rsidRDefault="0051025C" w:rsidP="008C345B">
      <w:pPr>
        <w:pStyle w:val="ListParagraph"/>
        <w:numPr>
          <w:ilvl w:val="1"/>
          <w:numId w:val="15"/>
        </w:numPr>
        <w:spacing w:before="0" w:after="0" w:line="240" w:lineRule="auto"/>
        <w:ind w:left="709" w:right="95" w:hanging="441"/>
      </w:pPr>
      <w:r w:rsidRPr="00442BD5">
        <w:t xml:space="preserve">damage the doctor/patient </w:t>
      </w:r>
      <w:proofErr w:type="gramStart"/>
      <w:r w:rsidRPr="00442BD5">
        <w:t>relationship;</w:t>
      </w:r>
      <w:proofErr w:type="gramEnd"/>
      <w:r w:rsidRPr="00442BD5">
        <w:t xml:space="preserve"> </w:t>
      </w:r>
    </w:p>
    <w:p w14:paraId="7F5A559B" w14:textId="08ACB386" w:rsidR="0051025C" w:rsidRPr="00442BD5" w:rsidRDefault="0051025C" w:rsidP="008C345B">
      <w:pPr>
        <w:pStyle w:val="ListParagraph"/>
        <w:numPr>
          <w:ilvl w:val="1"/>
          <w:numId w:val="15"/>
        </w:numPr>
        <w:spacing w:before="0" w:after="0" w:line="240" w:lineRule="auto"/>
        <w:ind w:left="709" w:right="95" w:hanging="441"/>
      </w:pPr>
      <w:r w:rsidRPr="00442BD5">
        <w:t xml:space="preserve">generate provision of clinically unnecessary </w:t>
      </w:r>
      <w:proofErr w:type="gramStart"/>
      <w:r w:rsidRPr="00442BD5">
        <w:t>services;</w:t>
      </w:r>
      <w:proofErr w:type="gramEnd"/>
      <w:r w:rsidRPr="00442BD5">
        <w:t xml:space="preserve"> </w:t>
      </w:r>
    </w:p>
    <w:p w14:paraId="4793276D" w14:textId="1F9DB76F" w:rsidR="0051025C" w:rsidRPr="00442BD5" w:rsidRDefault="0051025C" w:rsidP="008C345B">
      <w:pPr>
        <w:pStyle w:val="ListParagraph"/>
        <w:numPr>
          <w:ilvl w:val="1"/>
          <w:numId w:val="15"/>
        </w:numPr>
        <w:spacing w:before="0" w:after="0" w:line="240" w:lineRule="auto"/>
        <w:ind w:left="709" w:right="95" w:hanging="441"/>
      </w:pPr>
      <w:r w:rsidRPr="00442BD5">
        <w:t xml:space="preserve">increase patient out of pocket </w:t>
      </w:r>
      <w:proofErr w:type="gramStart"/>
      <w:r w:rsidRPr="00442BD5">
        <w:t>costs;</w:t>
      </w:r>
      <w:proofErr w:type="gramEnd"/>
      <w:r w:rsidRPr="00442BD5">
        <w:t xml:space="preserve"> </w:t>
      </w:r>
    </w:p>
    <w:p w14:paraId="7863D3D6" w14:textId="47A58591" w:rsidR="00442BD5" w:rsidRPr="00442BD5" w:rsidRDefault="00442BD5" w:rsidP="008C345B">
      <w:pPr>
        <w:pStyle w:val="ListParagraph"/>
        <w:numPr>
          <w:ilvl w:val="1"/>
          <w:numId w:val="15"/>
        </w:numPr>
        <w:spacing w:before="0" w:after="0" w:line="240" w:lineRule="auto"/>
        <w:ind w:left="709" w:right="95" w:hanging="441"/>
      </w:pPr>
      <w:r w:rsidRPr="00442BD5">
        <w:t xml:space="preserve">result in harm; and </w:t>
      </w:r>
    </w:p>
    <w:p w14:paraId="5147818E" w14:textId="400EA13C" w:rsidR="0051025C" w:rsidRPr="00442BD5" w:rsidRDefault="00442BD5" w:rsidP="008C345B">
      <w:pPr>
        <w:pStyle w:val="ListParagraph"/>
        <w:numPr>
          <w:ilvl w:val="1"/>
          <w:numId w:val="15"/>
        </w:numPr>
        <w:spacing w:before="0" w:after="0" w:line="240" w:lineRule="auto"/>
        <w:ind w:left="709" w:right="95" w:hanging="441"/>
      </w:pPr>
      <w:r>
        <w:t xml:space="preserve">breach </w:t>
      </w:r>
      <w:r w:rsidR="0051025C" w:rsidRPr="00442BD5">
        <w:t xml:space="preserve">the </w:t>
      </w:r>
      <w:r w:rsidR="0051025C" w:rsidRPr="00442BD5">
        <w:rPr>
          <w:i/>
        </w:rPr>
        <w:t>Health Insurance Act 1973</w:t>
      </w:r>
      <w:r w:rsidR="0051025C" w:rsidRPr="00442BD5">
        <w:t>.</w:t>
      </w:r>
    </w:p>
    <w:p w14:paraId="49D60C3D" w14:textId="7441FBB4" w:rsidR="0051025C" w:rsidRPr="00442BD5" w:rsidRDefault="00442BD5" w:rsidP="00442BD5">
      <w:pPr>
        <w:spacing w:line="240" w:lineRule="auto"/>
        <w:rPr>
          <w:rFonts w:eastAsiaTheme="minorHAnsi"/>
        </w:rPr>
      </w:pPr>
      <w:r w:rsidRPr="00442BD5">
        <w:rPr>
          <w:rFonts w:eastAsiaTheme="minorHAnsi"/>
        </w:rPr>
        <w:t>The C</w:t>
      </w:r>
      <w:r>
        <w:rPr>
          <w:rFonts w:eastAsiaTheme="minorHAnsi"/>
        </w:rPr>
        <w:t xml:space="preserve">ommittee’s </w:t>
      </w:r>
      <w:r w:rsidRPr="00442BD5">
        <w:rPr>
          <w:rFonts w:eastAsiaTheme="minorHAnsi"/>
        </w:rPr>
        <w:t xml:space="preserve">advice to Taskforce </w:t>
      </w:r>
      <w:r>
        <w:rPr>
          <w:rFonts w:eastAsiaTheme="minorHAnsi"/>
        </w:rPr>
        <w:t xml:space="preserve">was to refer the matter for </w:t>
      </w:r>
      <w:r w:rsidRPr="00442BD5">
        <w:rPr>
          <w:rFonts w:eastAsiaTheme="minorHAnsi"/>
        </w:rPr>
        <w:t xml:space="preserve">compliance </w:t>
      </w:r>
      <w:r>
        <w:rPr>
          <w:rFonts w:eastAsiaTheme="minorHAnsi"/>
        </w:rPr>
        <w:t xml:space="preserve">investigation to </w:t>
      </w:r>
      <w:r w:rsidRPr="00442BD5">
        <w:rPr>
          <w:rFonts w:eastAsiaTheme="minorHAnsi"/>
        </w:rPr>
        <w:t>uncover, monitor and investigate any inappropriate billing behaviour in this sector.</w:t>
      </w:r>
      <w:r>
        <w:rPr>
          <w:rFonts w:eastAsiaTheme="minorHAnsi"/>
        </w:rPr>
        <w:t xml:space="preserve"> </w:t>
      </w:r>
      <w:r w:rsidRPr="00442BD5">
        <w:rPr>
          <w:rFonts w:eastAsiaTheme="minorHAnsi"/>
        </w:rPr>
        <w:t>The Taskforce endorsed the Committee’s advice and responded to the Minister on this matter.</w:t>
      </w:r>
    </w:p>
    <w:p w14:paraId="2A060F55" w14:textId="5349C35B" w:rsidR="00B97BFC" w:rsidRPr="007662C0" w:rsidRDefault="00B24260" w:rsidP="007662C0">
      <w:pPr>
        <w:pStyle w:val="Heading2"/>
        <w:spacing w:line="240" w:lineRule="auto"/>
        <w:ind w:right="95"/>
      </w:pPr>
      <w:bookmarkStart w:id="92" w:name="_Toc25843713"/>
      <w:r>
        <w:t>B</w:t>
      </w:r>
      <w:r w:rsidR="00614181">
        <w:t>.9</w:t>
      </w:r>
      <w:r w:rsidR="00064F75" w:rsidRPr="007662C0">
        <w:t xml:space="preserve"> </w:t>
      </w:r>
      <w:r w:rsidR="00591C59">
        <w:t>S</w:t>
      </w:r>
      <w:r w:rsidR="00B97BFC" w:rsidRPr="007662C0">
        <w:t>pecialist and consultant physician attendance items</w:t>
      </w:r>
      <w:bookmarkEnd w:id="92"/>
    </w:p>
    <w:p w14:paraId="4928FEC7" w14:textId="6EB0CFE0" w:rsidR="003724A6" w:rsidRDefault="00591C59" w:rsidP="00591C59">
      <w:pPr>
        <w:spacing w:line="240" w:lineRule="auto"/>
        <w:rPr>
          <w:rFonts w:eastAsiaTheme="minorHAnsi"/>
        </w:rPr>
      </w:pPr>
      <w:r>
        <w:rPr>
          <w:rFonts w:eastAsiaTheme="minorHAnsi"/>
        </w:rPr>
        <w:t>In mid</w:t>
      </w:r>
      <w:r>
        <w:rPr>
          <w:rFonts w:eastAsiaTheme="minorHAnsi"/>
        </w:rPr>
        <w:noBreakHyphen/>
        <w:t>2017 the Committee considered current MBS arrangements for s</w:t>
      </w:r>
      <w:r w:rsidR="009B5923" w:rsidRPr="00591C59">
        <w:rPr>
          <w:rFonts w:eastAsiaTheme="minorHAnsi"/>
        </w:rPr>
        <w:t>pecialist and consultant physician (CP) attendances</w:t>
      </w:r>
      <w:r w:rsidR="003724A6">
        <w:rPr>
          <w:rFonts w:eastAsiaTheme="minorHAnsi"/>
        </w:rPr>
        <w:t xml:space="preserve"> in order to develop an alternative model, for Taskforce action. </w:t>
      </w:r>
    </w:p>
    <w:p w14:paraId="7926FB58" w14:textId="3878F84B" w:rsidR="00F3669D" w:rsidRDefault="003724A6" w:rsidP="00F3669D">
      <w:pPr>
        <w:spacing w:line="240" w:lineRule="auto"/>
        <w:rPr>
          <w:rFonts w:eastAsiaTheme="minorHAnsi"/>
        </w:rPr>
      </w:pPr>
      <w:r>
        <w:rPr>
          <w:rFonts w:eastAsiaTheme="minorHAnsi"/>
        </w:rPr>
        <w:t xml:space="preserve">The </w:t>
      </w:r>
      <w:r w:rsidR="00F3669D">
        <w:rPr>
          <w:rFonts w:eastAsiaTheme="minorHAnsi"/>
        </w:rPr>
        <w:t>Committee</w:t>
      </w:r>
      <w:r>
        <w:rPr>
          <w:rFonts w:eastAsiaTheme="minorHAnsi"/>
        </w:rPr>
        <w:t xml:space="preserve">’s review of </w:t>
      </w:r>
      <w:r w:rsidR="00F3669D">
        <w:rPr>
          <w:rFonts w:eastAsiaTheme="minorHAnsi"/>
        </w:rPr>
        <w:t xml:space="preserve">MBS expenditure and bulk-billing </w:t>
      </w:r>
      <w:r w:rsidR="00D96908">
        <w:rPr>
          <w:rFonts w:eastAsiaTheme="minorHAnsi"/>
        </w:rPr>
        <w:t>data</w:t>
      </w:r>
      <w:r w:rsidR="00F3669D">
        <w:rPr>
          <w:rFonts w:eastAsiaTheme="minorHAnsi"/>
        </w:rPr>
        <w:t xml:space="preserve">, </w:t>
      </w:r>
      <w:r>
        <w:rPr>
          <w:rFonts w:eastAsiaTheme="minorHAnsi"/>
        </w:rPr>
        <w:t xml:space="preserve">revealed </w:t>
      </w:r>
      <w:r w:rsidR="00F3669D">
        <w:rPr>
          <w:rFonts w:eastAsiaTheme="minorHAnsi"/>
        </w:rPr>
        <w:t xml:space="preserve">that: </w:t>
      </w:r>
    </w:p>
    <w:p w14:paraId="16B7D200" w14:textId="77777777" w:rsidR="00F3669D" w:rsidRDefault="00F3669D" w:rsidP="008C345B">
      <w:pPr>
        <w:pStyle w:val="ListParagraph"/>
        <w:numPr>
          <w:ilvl w:val="1"/>
          <w:numId w:val="15"/>
        </w:numPr>
        <w:spacing w:before="0" w:after="0" w:line="240" w:lineRule="auto"/>
        <w:ind w:left="709" w:right="95" w:hanging="441"/>
        <w:rPr>
          <w:rFonts w:eastAsiaTheme="minorHAnsi"/>
        </w:rPr>
      </w:pPr>
      <w:r>
        <w:rPr>
          <w:rFonts w:eastAsiaTheme="minorHAnsi"/>
        </w:rPr>
        <w:t xml:space="preserve">specialist and CP attendances account for a </w:t>
      </w:r>
      <w:r w:rsidR="009B5923" w:rsidRPr="00591C59">
        <w:rPr>
          <w:rFonts w:eastAsiaTheme="minorHAnsi"/>
        </w:rPr>
        <w:t>significant pr</w:t>
      </w:r>
      <w:r>
        <w:rPr>
          <w:rFonts w:eastAsiaTheme="minorHAnsi"/>
        </w:rPr>
        <w:t>oportion of MBS expenditure (2015–16 &gt;</w:t>
      </w:r>
      <w:r w:rsidR="009B5923" w:rsidRPr="00591C59">
        <w:rPr>
          <w:rFonts w:eastAsiaTheme="minorHAnsi"/>
        </w:rPr>
        <w:t xml:space="preserve"> $1.86 billion or 8.8 per cent of total MBS expenditure</w:t>
      </w:r>
      <w:r>
        <w:rPr>
          <w:rFonts w:eastAsiaTheme="minorHAnsi"/>
        </w:rPr>
        <w:t xml:space="preserve"> / </w:t>
      </w:r>
      <w:r w:rsidR="009B5923" w:rsidRPr="00591C59">
        <w:rPr>
          <w:rFonts w:eastAsiaTheme="minorHAnsi"/>
        </w:rPr>
        <w:t>2011–12 and 2015–16 expenditure increased by $371.9 million or 25 per cent (compared to growth in overall M</w:t>
      </w:r>
      <w:r>
        <w:rPr>
          <w:rFonts w:eastAsiaTheme="minorHAnsi"/>
        </w:rPr>
        <w:t>BS expenditure of around 26 per </w:t>
      </w:r>
      <w:r w:rsidR="009B5923" w:rsidRPr="00591C59">
        <w:rPr>
          <w:rFonts w:eastAsiaTheme="minorHAnsi"/>
        </w:rPr>
        <w:t>cent), contributing around 8.5 per cent to</w:t>
      </w:r>
      <w:r>
        <w:rPr>
          <w:rFonts w:eastAsiaTheme="minorHAnsi"/>
        </w:rPr>
        <w:t xml:space="preserve"> overall growth in expenditure); </w:t>
      </w:r>
    </w:p>
    <w:p w14:paraId="7FA56668" w14:textId="285EC7FF" w:rsidR="003724A6" w:rsidRDefault="003724A6" w:rsidP="008C345B">
      <w:pPr>
        <w:pStyle w:val="ListParagraph"/>
        <w:numPr>
          <w:ilvl w:val="1"/>
          <w:numId w:val="15"/>
        </w:numPr>
        <w:spacing w:before="0" w:after="0" w:line="240" w:lineRule="auto"/>
        <w:ind w:left="709" w:right="95" w:hanging="441"/>
        <w:rPr>
          <w:rFonts w:eastAsiaTheme="minorHAnsi"/>
        </w:rPr>
      </w:pPr>
      <w:r w:rsidRPr="003724A6">
        <w:rPr>
          <w:rFonts w:eastAsiaTheme="minorHAnsi"/>
        </w:rPr>
        <w:t xml:space="preserve">the main standard specialist attendance items (Group A3) and the standard CP items (Group A4), </w:t>
      </w:r>
      <w:r>
        <w:rPr>
          <w:rFonts w:eastAsiaTheme="minorHAnsi"/>
        </w:rPr>
        <w:t xml:space="preserve">accounted </w:t>
      </w:r>
      <w:r w:rsidRPr="003724A6">
        <w:rPr>
          <w:rFonts w:eastAsiaTheme="minorHAnsi"/>
        </w:rPr>
        <w:t>for 35 per cent and 60 per cent respectively of total expenditure on specialist attendances</w:t>
      </w:r>
      <w:r>
        <w:rPr>
          <w:rFonts w:eastAsiaTheme="minorHAnsi"/>
        </w:rPr>
        <w:t xml:space="preserve">, with A4 providing higher rebates than A3 </w:t>
      </w:r>
      <w:proofErr w:type="gramStart"/>
      <w:r>
        <w:rPr>
          <w:rFonts w:eastAsiaTheme="minorHAnsi"/>
        </w:rPr>
        <w:t>items;</w:t>
      </w:r>
      <w:proofErr w:type="gramEnd"/>
    </w:p>
    <w:p w14:paraId="01967CB9" w14:textId="0531CE55" w:rsidR="00F3669D" w:rsidRDefault="00F3669D" w:rsidP="008C345B">
      <w:pPr>
        <w:pStyle w:val="ListParagraph"/>
        <w:numPr>
          <w:ilvl w:val="1"/>
          <w:numId w:val="15"/>
        </w:numPr>
        <w:spacing w:before="0" w:after="0" w:line="240" w:lineRule="auto"/>
        <w:ind w:left="709" w:right="95" w:hanging="441"/>
        <w:rPr>
          <w:rFonts w:eastAsiaTheme="minorHAnsi"/>
        </w:rPr>
      </w:pPr>
      <w:r>
        <w:rPr>
          <w:rFonts w:eastAsiaTheme="minorHAnsi"/>
        </w:rPr>
        <w:lastRenderedPageBreak/>
        <w:t xml:space="preserve">bulk </w:t>
      </w:r>
      <w:r w:rsidR="009B5923" w:rsidRPr="00591C59">
        <w:rPr>
          <w:rFonts w:eastAsiaTheme="minorHAnsi"/>
        </w:rPr>
        <w:t xml:space="preserve">billing for specialist and CP attendances is not high in </w:t>
      </w:r>
      <w:r>
        <w:rPr>
          <w:rFonts w:eastAsiaTheme="minorHAnsi"/>
        </w:rPr>
        <w:t>comparison to other areas (around 40 per </w:t>
      </w:r>
      <w:r w:rsidR="009B5923" w:rsidRPr="00591C59">
        <w:rPr>
          <w:rFonts w:eastAsiaTheme="minorHAnsi"/>
        </w:rPr>
        <w:t>cent of out-of-hospital services bulk</w:t>
      </w:r>
      <w:r w:rsidR="00820C89">
        <w:rPr>
          <w:rFonts w:eastAsiaTheme="minorHAnsi"/>
        </w:rPr>
        <w:t xml:space="preserve"> </w:t>
      </w:r>
      <w:r w:rsidR="009B5923" w:rsidRPr="00591C59">
        <w:rPr>
          <w:rFonts w:eastAsiaTheme="minorHAnsi"/>
        </w:rPr>
        <w:t>billed, compared to GP services with a bulk</w:t>
      </w:r>
      <w:r w:rsidR="00820C89">
        <w:rPr>
          <w:rFonts w:eastAsiaTheme="minorHAnsi"/>
        </w:rPr>
        <w:t xml:space="preserve"> </w:t>
      </w:r>
      <w:r w:rsidR="009B5923" w:rsidRPr="00591C59">
        <w:rPr>
          <w:rFonts w:eastAsiaTheme="minorHAnsi"/>
        </w:rPr>
        <w:t>billing rate of 84 per cent</w:t>
      </w:r>
      <w:proofErr w:type="gramStart"/>
      <w:r>
        <w:rPr>
          <w:rFonts w:eastAsiaTheme="minorHAnsi"/>
        </w:rPr>
        <w:t>);</w:t>
      </w:r>
      <w:proofErr w:type="gramEnd"/>
      <w:r>
        <w:rPr>
          <w:rFonts w:eastAsiaTheme="minorHAnsi"/>
        </w:rPr>
        <w:t xml:space="preserve"> </w:t>
      </w:r>
    </w:p>
    <w:p w14:paraId="76AD88AA" w14:textId="77777777" w:rsidR="003724A6" w:rsidRDefault="00F3669D" w:rsidP="008C345B">
      <w:pPr>
        <w:pStyle w:val="ListParagraph"/>
        <w:numPr>
          <w:ilvl w:val="1"/>
          <w:numId w:val="15"/>
        </w:numPr>
        <w:spacing w:before="0" w:after="0" w:line="240" w:lineRule="auto"/>
        <w:ind w:left="709" w:right="95" w:hanging="441"/>
        <w:rPr>
          <w:rFonts w:eastAsiaTheme="minorHAnsi"/>
        </w:rPr>
      </w:pPr>
      <w:r>
        <w:rPr>
          <w:rFonts w:eastAsiaTheme="minorHAnsi"/>
        </w:rPr>
        <w:t>a</w:t>
      </w:r>
      <w:r w:rsidR="009B5923" w:rsidRPr="00591C59">
        <w:rPr>
          <w:rFonts w:eastAsiaTheme="minorHAnsi"/>
        </w:rPr>
        <w:t xml:space="preserve"> proportion of </w:t>
      </w:r>
      <w:r>
        <w:rPr>
          <w:rFonts w:eastAsiaTheme="minorHAnsi"/>
        </w:rPr>
        <w:t xml:space="preserve">bulk </w:t>
      </w:r>
      <w:r w:rsidR="009B5923" w:rsidRPr="00591C59">
        <w:rPr>
          <w:rFonts w:eastAsiaTheme="minorHAnsi"/>
        </w:rPr>
        <w:t>billed services are provided by doctors who bulk bill all their patients at the one location, indicating they are pr</w:t>
      </w:r>
      <w:r>
        <w:rPr>
          <w:rFonts w:eastAsiaTheme="minorHAnsi"/>
        </w:rPr>
        <w:t>ovided at public facilities (</w:t>
      </w:r>
      <w:r w:rsidR="009B5923" w:rsidRPr="00591C59">
        <w:rPr>
          <w:rFonts w:eastAsiaTheme="minorHAnsi"/>
        </w:rPr>
        <w:t xml:space="preserve">2015–16, more than 7.6 million people received a specialist or CP attendance (around </w:t>
      </w:r>
      <w:r>
        <w:rPr>
          <w:rFonts w:eastAsiaTheme="minorHAnsi"/>
        </w:rPr>
        <w:t xml:space="preserve">31 per cent of the population) with the </w:t>
      </w:r>
      <w:r w:rsidR="009B5923" w:rsidRPr="00591C59">
        <w:rPr>
          <w:rFonts w:eastAsiaTheme="minorHAnsi"/>
        </w:rPr>
        <w:t xml:space="preserve">average number of attendances per person (who received a service) in 2015–16 </w:t>
      </w:r>
      <w:r>
        <w:rPr>
          <w:rFonts w:eastAsiaTheme="minorHAnsi"/>
        </w:rPr>
        <w:t xml:space="preserve">being </w:t>
      </w:r>
      <w:r w:rsidR="009B5923" w:rsidRPr="00591C59">
        <w:rPr>
          <w:rFonts w:eastAsiaTheme="minorHAnsi"/>
        </w:rPr>
        <w:t xml:space="preserve">3.9 services, and the average benefit per person </w:t>
      </w:r>
      <w:r>
        <w:rPr>
          <w:rFonts w:eastAsiaTheme="minorHAnsi"/>
        </w:rPr>
        <w:t>being $300.90);</w:t>
      </w:r>
    </w:p>
    <w:p w14:paraId="77B25499" w14:textId="77777777" w:rsidR="003724A6" w:rsidRDefault="003724A6" w:rsidP="008C345B">
      <w:pPr>
        <w:pStyle w:val="ListParagraph"/>
        <w:numPr>
          <w:ilvl w:val="1"/>
          <w:numId w:val="15"/>
        </w:numPr>
        <w:spacing w:before="0" w:after="0" w:line="240" w:lineRule="auto"/>
        <w:ind w:left="709" w:right="95" w:hanging="441"/>
        <w:rPr>
          <w:rFonts w:eastAsiaTheme="minorHAnsi"/>
        </w:rPr>
      </w:pPr>
      <w:r>
        <w:rPr>
          <w:rFonts w:eastAsiaTheme="minorHAnsi"/>
        </w:rPr>
        <w:t>creation</w:t>
      </w:r>
      <w:r w:rsidR="00D96908">
        <w:rPr>
          <w:rFonts w:eastAsiaTheme="minorHAnsi"/>
        </w:rPr>
        <w:t xml:space="preserve"> of the </w:t>
      </w:r>
      <w:r>
        <w:rPr>
          <w:rFonts w:eastAsiaTheme="minorHAnsi"/>
        </w:rPr>
        <w:t xml:space="preserve">associated MBS </w:t>
      </w:r>
      <w:r w:rsidR="00D96908">
        <w:rPr>
          <w:rFonts w:eastAsiaTheme="minorHAnsi"/>
        </w:rPr>
        <w:t>items was undertaken in the 1970s, without re</w:t>
      </w:r>
      <w:r>
        <w:rPr>
          <w:rFonts w:eastAsiaTheme="minorHAnsi"/>
        </w:rPr>
        <w:t xml:space="preserve">view or change since that time raising the </w:t>
      </w:r>
      <w:r w:rsidR="00D96908">
        <w:rPr>
          <w:rFonts w:eastAsiaTheme="minorHAnsi"/>
        </w:rPr>
        <w:t xml:space="preserve">question if the items remained fit for purpose, given the recognition of new speciality groups and the introduction of </w:t>
      </w:r>
      <w:r w:rsidR="009B5923" w:rsidRPr="00591C59">
        <w:rPr>
          <w:rFonts w:eastAsiaTheme="minorHAnsi"/>
        </w:rPr>
        <w:t>new attendance items specifically for that specialty</w:t>
      </w:r>
      <w:r>
        <w:rPr>
          <w:rFonts w:eastAsiaTheme="minorHAnsi"/>
        </w:rPr>
        <w:t>;</w:t>
      </w:r>
    </w:p>
    <w:p w14:paraId="21D2DB63" w14:textId="6E130AEB" w:rsidR="009B5923" w:rsidRDefault="003724A6" w:rsidP="008C345B">
      <w:pPr>
        <w:pStyle w:val="ListParagraph"/>
        <w:numPr>
          <w:ilvl w:val="1"/>
          <w:numId w:val="15"/>
        </w:numPr>
        <w:spacing w:before="0" w:after="0" w:line="240" w:lineRule="auto"/>
        <w:ind w:left="709" w:right="95" w:hanging="441"/>
        <w:rPr>
          <w:rFonts w:eastAsiaTheme="minorHAnsi"/>
        </w:rPr>
      </w:pPr>
      <w:r>
        <w:rPr>
          <w:rFonts w:eastAsiaTheme="minorHAnsi"/>
        </w:rPr>
        <w:t xml:space="preserve">there had been an </w:t>
      </w:r>
      <w:r w:rsidR="00D96908">
        <w:rPr>
          <w:rFonts w:eastAsiaTheme="minorHAnsi"/>
        </w:rPr>
        <w:t>introduction of high</w:t>
      </w:r>
      <w:r w:rsidR="00D96908">
        <w:rPr>
          <w:rFonts w:eastAsiaTheme="minorHAnsi"/>
        </w:rPr>
        <w:noBreakHyphen/>
      </w:r>
      <w:r w:rsidR="009B5923" w:rsidRPr="00591C59">
        <w:rPr>
          <w:rFonts w:eastAsiaTheme="minorHAnsi"/>
        </w:rPr>
        <w:t xml:space="preserve">priced items to address specific issues (e.g. increased </w:t>
      </w:r>
      <w:r w:rsidR="00F3669D">
        <w:rPr>
          <w:rFonts w:eastAsiaTheme="minorHAnsi"/>
        </w:rPr>
        <w:t xml:space="preserve">benefits for geriatricians) </w:t>
      </w:r>
      <w:r w:rsidR="00D96908">
        <w:rPr>
          <w:rFonts w:eastAsiaTheme="minorHAnsi"/>
        </w:rPr>
        <w:t xml:space="preserve">that had further led to a </w:t>
      </w:r>
      <w:r w:rsidR="009B5923" w:rsidRPr="00591C59">
        <w:rPr>
          <w:rFonts w:eastAsiaTheme="minorHAnsi"/>
        </w:rPr>
        <w:t>disjointed approach to the structure of specialist attendance items and a distortion in the level of benefits availabl</w:t>
      </w:r>
      <w:r>
        <w:rPr>
          <w:rFonts w:eastAsiaTheme="minorHAnsi"/>
        </w:rPr>
        <w:t>e to the different specialties;</w:t>
      </w:r>
    </w:p>
    <w:p w14:paraId="4A135573" w14:textId="58B159A0" w:rsidR="00D96908" w:rsidRDefault="003724A6" w:rsidP="008C345B">
      <w:pPr>
        <w:pStyle w:val="ListParagraph"/>
        <w:numPr>
          <w:ilvl w:val="1"/>
          <w:numId w:val="15"/>
        </w:numPr>
        <w:spacing w:before="0" w:after="0" w:line="240" w:lineRule="auto"/>
        <w:ind w:left="709" w:right="95" w:hanging="441"/>
        <w:rPr>
          <w:rFonts w:eastAsiaTheme="minorHAnsi"/>
        </w:rPr>
      </w:pPr>
      <w:r>
        <w:rPr>
          <w:rFonts w:eastAsiaTheme="minorHAnsi"/>
        </w:rPr>
        <w:t xml:space="preserve">more than </w:t>
      </w:r>
      <w:r w:rsidR="009B5923" w:rsidRPr="00591C59">
        <w:rPr>
          <w:rFonts w:eastAsiaTheme="minorHAnsi"/>
        </w:rPr>
        <w:t xml:space="preserve">100 </w:t>
      </w:r>
      <w:r>
        <w:rPr>
          <w:rFonts w:eastAsiaTheme="minorHAnsi"/>
        </w:rPr>
        <w:t xml:space="preserve">MBS </w:t>
      </w:r>
      <w:r w:rsidR="009B5923" w:rsidRPr="00591C59">
        <w:rPr>
          <w:rFonts w:eastAsiaTheme="minorHAnsi"/>
        </w:rPr>
        <w:t xml:space="preserve">items </w:t>
      </w:r>
      <w:r w:rsidR="00D96908">
        <w:rPr>
          <w:rFonts w:eastAsiaTheme="minorHAnsi"/>
        </w:rPr>
        <w:t>could be used interchangeably</w:t>
      </w:r>
      <w:r>
        <w:rPr>
          <w:rFonts w:eastAsiaTheme="minorHAnsi"/>
        </w:rPr>
        <w:t>, for</w:t>
      </w:r>
      <w:r w:rsidR="009B5923" w:rsidRPr="00591C59">
        <w:rPr>
          <w:rFonts w:eastAsiaTheme="minorHAnsi"/>
        </w:rPr>
        <w:t xml:space="preserve"> example, a palliative care CP could charge item 110 (initial consultant physician attendance), item 132 (planning and management of a patient with multiple co-morbidities) or item 3005 (initial consultation – palliative</w:t>
      </w:r>
      <w:r>
        <w:rPr>
          <w:rFonts w:eastAsiaTheme="minorHAnsi"/>
        </w:rPr>
        <w:t xml:space="preserve"> medicine) for the same service;</w:t>
      </w:r>
    </w:p>
    <w:p w14:paraId="3D4FC85D" w14:textId="0E54713E" w:rsidR="009B5923" w:rsidRPr="00AA7E92" w:rsidRDefault="003724A6" w:rsidP="00AA7E92">
      <w:pPr>
        <w:spacing w:line="240" w:lineRule="auto"/>
        <w:rPr>
          <w:rFonts w:eastAsiaTheme="minorHAnsi"/>
        </w:rPr>
      </w:pPr>
      <w:r w:rsidRPr="003724A6">
        <w:rPr>
          <w:rFonts w:eastAsiaTheme="minorHAnsi"/>
        </w:rPr>
        <w:t xml:space="preserve">The Committee found a lack of justification for a differing fee structure for </w:t>
      </w:r>
      <w:r w:rsidR="009B5923" w:rsidRPr="003724A6">
        <w:rPr>
          <w:rFonts w:eastAsiaTheme="minorHAnsi"/>
        </w:rPr>
        <w:t>on</w:t>
      </w:r>
      <w:r w:rsidRPr="003724A6">
        <w:rPr>
          <w:rFonts w:eastAsiaTheme="minorHAnsi"/>
        </w:rPr>
        <w:t>e specialist group over another</w:t>
      </w:r>
      <w:r>
        <w:rPr>
          <w:rFonts w:eastAsiaTheme="minorHAnsi"/>
        </w:rPr>
        <w:t xml:space="preserve"> and recommended replacement of the current MBS a</w:t>
      </w:r>
      <w:r w:rsidR="00AA7E92">
        <w:rPr>
          <w:rFonts w:eastAsiaTheme="minorHAnsi"/>
        </w:rPr>
        <w:t xml:space="preserve">rrangements with one that mirrored current GP/consultant remuneration, i.e. using </w:t>
      </w:r>
      <w:r w:rsidR="009B5923" w:rsidRPr="00AA7E92">
        <w:rPr>
          <w:rFonts w:eastAsiaTheme="minorHAnsi"/>
        </w:rPr>
        <w:t>time-based consultation remunerations for specialists and CPs</w:t>
      </w:r>
      <w:r w:rsidR="00AA7E92">
        <w:rPr>
          <w:rFonts w:eastAsiaTheme="minorHAnsi"/>
        </w:rPr>
        <w:t xml:space="preserve">. </w:t>
      </w:r>
    </w:p>
    <w:p w14:paraId="2CAC1F35" w14:textId="695DA61F" w:rsidR="009B5923" w:rsidRPr="00AA7E92" w:rsidRDefault="00AA7E92" w:rsidP="00AA7E92">
      <w:pPr>
        <w:spacing w:line="240" w:lineRule="auto"/>
        <w:rPr>
          <w:rFonts w:eastAsiaTheme="minorHAnsi"/>
        </w:rPr>
      </w:pPr>
      <w:r w:rsidRPr="00AA7E92">
        <w:rPr>
          <w:rFonts w:eastAsiaTheme="minorHAnsi"/>
        </w:rPr>
        <w:t>The Committee recommended that s</w:t>
      </w:r>
      <w:r w:rsidR="009B5923" w:rsidRPr="00AA7E92">
        <w:rPr>
          <w:rFonts w:eastAsiaTheme="minorHAnsi"/>
        </w:rPr>
        <w:t xml:space="preserve">eparate items or modifiers could be introduced to be claimed when the consultation occurs via telehealth (with or without a fee loading) or for a home visit. For example, specialist consultations could be </w:t>
      </w:r>
      <w:proofErr w:type="gramStart"/>
      <w:r w:rsidR="009B5923" w:rsidRPr="00AA7E92">
        <w:rPr>
          <w:rFonts w:eastAsiaTheme="minorHAnsi"/>
        </w:rPr>
        <w:t>standardised</w:t>
      </w:r>
      <w:proofErr w:type="gramEnd"/>
      <w:r w:rsidR="009B5923" w:rsidRPr="00AA7E92">
        <w:rPr>
          <w:rFonts w:eastAsiaTheme="minorHAnsi"/>
        </w:rPr>
        <w:t xml:space="preserve"> and remuneration be based on time as follows (pending review of appropriateness of the times):</w:t>
      </w:r>
    </w:p>
    <w:p w14:paraId="623609F8" w14:textId="77777777" w:rsidR="009B5923" w:rsidRPr="00AA7E92" w:rsidRDefault="009B5923" w:rsidP="00CC532E">
      <w:pPr>
        <w:pStyle w:val="DepartmentalNormal0"/>
        <w:widowControl w:val="0"/>
        <w:spacing w:after="0" w:line="240" w:lineRule="auto"/>
        <w:ind w:left="2880"/>
        <w:rPr>
          <w:rFonts w:cstheme="minorHAnsi"/>
          <w:szCs w:val="24"/>
        </w:rPr>
      </w:pPr>
      <w:r w:rsidRPr="00AA7E92">
        <w:rPr>
          <w:rFonts w:cstheme="minorHAnsi"/>
          <w:szCs w:val="24"/>
        </w:rPr>
        <w:t>Brief</w:t>
      </w:r>
      <w:r w:rsidRPr="00AA7E92">
        <w:rPr>
          <w:rFonts w:cstheme="minorHAnsi"/>
          <w:szCs w:val="24"/>
        </w:rPr>
        <w:tab/>
      </w:r>
      <w:r w:rsidRPr="00AA7E92">
        <w:rPr>
          <w:rFonts w:cstheme="minorHAnsi"/>
          <w:szCs w:val="24"/>
        </w:rPr>
        <w:tab/>
        <w:t>less than 5 minutes</w:t>
      </w:r>
    </w:p>
    <w:p w14:paraId="4E296781" w14:textId="77777777" w:rsidR="009B5923" w:rsidRPr="00AA7E92" w:rsidRDefault="009B5923" w:rsidP="00CC532E">
      <w:pPr>
        <w:pStyle w:val="DepartmentalNormal0"/>
        <w:widowControl w:val="0"/>
        <w:spacing w:before="0" w:after="0" w:line="240" w:lineRule="auto"/>
        <w:ind w:left="2880"/>
        <w:rPr>
          <w:rFonts w:cstheme="minorHAnsi"/>
          <w:szCs w:val="24"/>
        </w:rPr>
      </w:pPr>
      <w:r w:rsidRPr="00AA7E92">
        <w:rPr>
          <w:rFonts w:cstheme="minorHAnsi"/>
          <w:szCs w:val="24"/>
        </w:rPr>
        <w:t>Standard</w:t>
      </w:r>
      <w:r w:rsidRPr="00AA7E92">
        <w:rPr>
          <w:rFonts w:cstheme="minorHAnsi"/>
          <w:szCs w:val="24"/>
        </w:rPr>
        <w:tab/>
        <w:t>5–20 minutes</w:t>
      </w:r>
    </w:p>
    <w:p w14:paraId="257495BC" w14:textId="77777777" w:rsidR="009B5923" w:rsidRPr="00AA7E92" w:rsidRDefault="009B5923" w:rsidP="00CC532E">
      <w:pPr>
        <w:pStyle w:val="DepartmentalNormal0"/>
        <w:widowControl w:val="0"/>
        <w:spacing w:before="0" w:after="0" w:line="240" w:lineRule="auto"/>
        <w:ind w:left="2880"/>
        <w:rPr>
          <w:rFonts w:cstheme="minorHAnsi"/>
          <w:szCs w:val="24"/>
        </w:rPr>
      </w:pPr>
      <w:r w:rsidRPr="00AA7E92">
        <w:rPr>
          <w:rFonts w:cstheme="minorHAnsi"/>
          <w:szCs w:val="24"/>
        </w:rPr>
        <w:t>Long</w:t>
      </w:r>
      <w:r w:rsidRPr="00AA7E92">
        <w:rPr>
          <w:rFonts w:cstheme="minorHAnsi"/>
          <w:szCs w:val="24"/>
        </w:rPr>
        <w:tab/>
      </w:r>
      <w:r w:rsidRPr="00AA7E92">
        <w:rPr>
          <w:rFonts w:cstheme="minorHAnsi"/>
          <w:szCs w:val="24"/>
        </w:rPr>
        <w:tab/>
        <w:t>21–40 minutes</w:t>
      </w:r>
    </w:p>
    <w:p w14:paraId="04A106EC" w14:textId="77777777" w:rsidR="009B5923" w:rsidRPr="00AA7E92" w:rsidRDefault="009B5923" w:rsidP="00CC532E">
      <w:pPr>
        <w:pStyle w:val="DepartmentalNormal0"/>
        <w:widowControl w:val="0"/>
        <w:spacing w:before="0" w:after="0" w:line="240" w:lineRule="auto"/>
        <w:ind w:left="2880"/>
        <w:rPr>
          <w:rFonts w:cstheme="minorHAnsi"/>
          <w:szCs w:val="24"/>
        </w:rPr>
      </w:pPr>
      <w:r w:rsidRPr="00AA7E92">
        <w:rPr>
          <w:rFonts w:cstheme="minorHAnsi"/>
          <w:szCs w:val="24"/>
        </w:rPr>
        <w:t>Prolonged</w:t>
      </w:r>
      <w:r w:rsidRPr="00AA7E92">
        <w:rPr>
          <w:rFonts w:cstheme="minorHAnsi"/>
          <w:szCs w:val="24"/>
        </w:rPr>
        <w:tab/>
        <w:t>41–60 minutes</w:t>
      </w:r>
    </w:p>
    <w:p w14:paraId="30933300" w14:textId="77777777" w:rsidR="009B5923" w:rsidRPr="00AA7E92" w:rsidRDefault="009B5923" w:rsidP="00CC532E">
      <w:pPr>
        <w:pStyle w:val="DepartmentalNormal0"/>
        <w:widowControl w:val="0"/>
        <w:spacing w:before="0" w:after="120" w:line="240" w:lineRule="auto"/>
        <w:ind w:left="2880"/>
        <w:rPr>
          <w:rFonts w:cstheme="minorHAnsi"/>
          <w:szCs w:val="24"/>
        </w:rPr>
      </w:pPr>
      <w:r w:rsidRPr="00AA7E92">
        <w:rPr>
          <w:rFonts w:cstheme="minorHAnsi"/>
          <w:szCs w:val="24"/>
        </w:rPr>
        <w:t>Extended</w:t>
      </w:r>
      <w:r w:rsidRPr="00AA7E92">
        <w:rPr>
          <w:rFonts w:cstheme="minorHAnsi"/>
          <w:szCs w:val="24"/>
        </w:rPr>
        <w:tab/>
        <w:t>more than 60 minutes</w:t>
      </w:r>
    </w:p>
    <w:p w14:paraId="51B22FAE" w14:textId="6A3678ED" w:rsidR="00F806B0" w:rsidRDefault="00F806B0" w:rsidP="00F806B0">
      <w:pPr>
        <w:spacing w:line="240" w:lineRule="auto"/>
        <w:rPr>
          <w:rFonts w:eastAsiaTheme="minorHAnsi"/>
        </w:rPr>
      </w:pPr>
      <w:r w:rsidRPr="00F806B0">
        <w:rPr>
          <w:rFonts w:eastAsiaTheme="minorHAnsi"/>
        </w:rPr>
        <w:t xml:space="preserve">The Committee recommended further investigation into the </w:t>
      </w:r>
      <w:r w:rsidR="009B5923" w:rsidRPr="00F806B0">
        <w:rPr>
          <w:rFonts w:eastAsiaTheme="minorHAnsi"/>
        </w:rPr>
        <w:t>actual remuneration or MBS fee for each specialist consultation type (e.g. brief, standard</w:t>
      </w:r>
      <w:r w:rsidRPr="00F806B0">
        <w:rPr>
          <w:rFonts w:eastAsiaTheme="minorHAnsi"/>
        </w:rPr>
        <w:t xml:space="preserve">, long, prolonged and extended), suggesting the use of </w:t>
      </w:r>
      <w:r w:rsidR="009B5923" w:rsidRPr="00F806B0">
        <w:rPr>
          <w:rFonts w:eastAsiaTheme="minorHAnsi"/>
        </w:rPr>
        <w:t>ana</w:t>
      </w:r>
      <w:r w:rsidRPr="00F806B0">
        <w:rPr>
          <w:rFonts w:eastAsiaTheme="minorHAnsi"/>
        </w:rPr>
        <w:t xml:space="preserve">lysis of existing data and the </w:t>
      </w:r>
      <w:r w:rsidR="009B5923" w:rsidRPr="00F806B0">
        <w:rPr>
          <w:rFonts w:eastAsiaTheme="minorHAnsi"/>
        </w:rPr>
        <w:t xml:space="preserve">general principle that each consultation should attract a ‘flag fall’ (standard amount across all consultations to account for time getting patient in and out of consultation room, retrieving patient record etc.) and a dollar-per-time-unit amount based on the time interval for the item. </w:t>
      </w:r>
    </w:p>
    <w:p w14:paraId="1A18415F" w14:textId="6C579E02" w:rsidR="009B5923" w:rsidRPr="00F806B0" w:rsidRDefault="009B5923" w:rsidP="00F806B0">
      <w:pPr>
        <w:spacing w:line="240" w:lineRule="auto"/>
        <w:rPr>
          <w:rFonts w:eastAsiaTheme="minorHAnsi"/>
        </w:rPr>
      </w:pPr>
      <w:r w:rsidRPr="00F806B0">
        <w:rPr>
          <w:rFonts w:eastAsiaTheme="minorHAnsi"/>
        </w:rPr>
        <w:t>Other principles</w:t>
      </w:r>
      <w:r w:rsidR="00F806B0" w:rsidRPr="00F806B0">
        <w:rPr>
          <w:rFonts w:eastAsiaTheme="minorHAnsi"/>
        </w:rPr>
        <w:t xml:space="preserve"> </w:t>
      </w:r>
      <w:r w:rsidR="00F806B0">
        <w:rPr>
          <w:rFonts w:eastAsiaTheme="minorHAnsi"/>
        </w:rPr>
        <w:t xml:space="preserve">for consideration </w:t>
      </w:r>
      <w:r w:rsidR="00F806B0" w:rsidRPr="00F806B0">
        <w:rPr>
          <w:rFonts w:eastAsiaTheme="minorHAnsi"/>
        </w:rPr>
        <w:t>included</w:t>
      </w:r>
      <w:r w:rsidRPr="00F806B0">
        <w:rPr>
          <w:rFonts w:eastAsiaTheme="minorHAnsi"/>
        </w:rPr>
        <w:t>:</w:t>
      </w:r>
    </w:p>
    <w:p w14:paraId="2F90A018" w14:textId="77777777" w:rsidR="009B5923" w:rsidRPr="00F806B0" w:rsidRDefault="009B5923" w:rsidP="008C345B">
      <w:pPr>
        <w:pStyle w:val="ListParagraph"/>
        <w:numPr>
          <w:ilvl w:val="1"/>
          <w:numId w:val="15"/>
        </w:numPr>
        <w:spacing w:before="0" w:after="0" w:line="240" w:lineRule="auto"/>
        <w:ind w:left="709" w:right="95" w:hanging="441"/>
      </w:pPr>
      <w:r w:rsidRPr="00F806B0">
        <w:t>To claim an attendance item, a professional attendance must occur—merely being available for a professional attendance would not be sufficient.</w:t>
      </w:r>
    </w:p>
    <w:p w14:paraId="5A5A969A" w14:textId="77777777" w:rsidR="009B5923" w:rsidRPr="00F806B0" w:rsidRDefault="009B5923" w:rsidP="008C345B">
      <w:pPr>
        <w:pStyle w:val="ListParagraph"/>
        <w:numPr>
          <w:ilvl w:val="1"/>
          <w:numId w:val="15"/>
        </w:numPr>
        <w:spacing w:before="0" w:after="0" w:line="240" w:lineRule="auto"/>
        <w:ind w:left="709" w:right="95" w:hanging="441"/>
      </w:pPr>
      <w:r w:rsidRPr="00F806B0">
        <w:t>All other qualifiers e.g. new or review, or the type of specialist, would no longer be used.</w:t>
      </w:r>
    </w:p>
    <w:p w14:paraId="605082A3" w14:textId="57906A6D" w:rsidR="009B5923" w:rsidRPr="00F806B0" w:rsidRDefault="009B5923" w:rsidP="008C345B">
      <w:pPr>
        <w:pStyle w:val="ListParagraph"/>
        <w:numPr>
          <w:ilvl w:val="1"/>
          <w:numId w:val="15"/>
        </w:numPr>
        <w:spacing w:before="0" w:after="0" w:line="240" w:lineRule="auto"/>
        <w:ind w:left="709" w:right="95" w:hanging="441"/>
      </w:pPr>
      <w:r w:rsidRPr="00F806B0">
        <w:t>The time claimed for the attendance must be exclusive i.e. the consultation times of different patients cannot overlap. For example, if more than one patient is being managed at the same time the maximum attendance that can be claimed for each is a brief consultation (this particularly refers to emergency physicians).</w:t>
      </w:r>
    </w:p>
    <w:p w14:paraId="0BB08840" w14:textId="77777777" w:rsidR="009B5923" w:rsidRPr="00F806B0" w:rsidRDefault="009B5923" w:rsidP="008C345B">
      <w:pPr>
        <w:pStyle w:val="ListParagraph"/>
        <w:numPr>
          <w:ilvl w:val="1"/>
          <w:numId w:val="15"/>
        </w:numPr>
        <w:spacing w:before="0" w:after="0" w:line="240" w:lineRule="auto"/>
        <w:ind w:left="709" w:right="95" w:hanging="441"/>
      </w:pPr>
      <w:r w:rsidRPr="00F806B0">
        <w:lastRenderedPageBreak/>
        <w:t>Where a procedure is carried out at the same time as the consultation, the procedural time should not ‘extend’ the attendance time used for billing.</w:t>
      </w:r>
    </w:p>
    <w:p w14:paraId="35B2E31A" w14:textId="588FE554" w:rsidR="009B5923" w:rsidRPr="00AA288D" w:rsidRDefault="009B5923" w:rsidP="00AA288D">
      <w:pPr>
        <w:spacing w:line="240" w:lineRule="auto"/>
        <w:rPr>
          <w:rFonts w:eastAsiaTheme="minorHAnsi"/>
        </w:rPr>
      </w:pPr>
      <w:r w:rsidRPr="00AA288D">
        <w:rPr>
          <w:rFonts w:eastAsiaTheme="minorHAnsi"/>
        </w:rPr>
        <w:t xml:space="preserve">The proposal </w:t>
      </w:r>
      <w:r w:rsidR="00F806B0" w:rsidRPr="00AA288D">
        <w:rPr>
          <w:rFonts w:eastAsiaTheme="minorHAnsi"/>
        </w:rPr>
        <w:t xml:space="preserve">was provided to the </w:t>
      </w:r>
      <w:r w:rsidRPr="00AA288D">
        <w:rPr>
          <w:rFonts w:eastAsiaTheme="minorHAnsi"/>
        </w:rPr>
        <w:t>Taskforce in mid-2017</w:t>
      </w:r>
      <w:r w:rsidR="00767267">
        <w:rPr>
          <w:rFonts w:eastAsiaTheme="minorHAnsi"/>
        </w:rPr>
        <w:t xml:space="preserve">. </w:t>
      </w:r>
      <w:r w:rsidR="00767267" w:rsidRPr="00990EF8">
        <w:rPr>
          <w:rFonts w:eastAsiaTheme="minorHAnsi"/>
        </w:rPr>
        <w:t xml:space="preserve">The </w:t>
      </w:r>
      <w:r w:rsidR="00F806B0" w:rsidRPr="00990EF8">
        <w:rPr>
          <w:rFonts w:eastAsiaTheme="minorHAnsi"/>
        </w:rPr>
        <w:t xml:space="preserve">Taskforce </w:t>
      </w:r>
      <w:r w:rsidR="00767267" w:rsidRPr="00990EF8">
        <w:rPr>
          <w:rFonts w:eastAsiaTheme="minorHAnsi"/>
        </w:rPr>
        <w:t xml:space="preserve">referred the matter (and the Committee’s initial proposal) to the </w:t>
      </w:r>
      <w:r w:rsidRPr="00990EF8">
        <w:rPr>
          <w:rFonts w:eastAsiaTheme="minorHAnsi"/>
        </w:rPr>
        <w:t>Specialist and Consultant Physician Consultations Clinical Committee</w:t>
      </w:r>
      <w:r w:rsidR="00AA288D" w:rsidRPr="00767267">
        <w:rPr>
          <w:rFonts w:eastAsiaTheme="minorHAnsi"/>
          <w:color w:val="FF0000"/>
        </w:rPr>
        <w:t xml:space="preserve"> </w:t>
      </w:r>
      <w:r w:rsidR="00767267">
        <w:rPr>
          <w:rFonts w:eastAsiaTheme="minorHAnsi"/>
        </w:rPr>
        <w:t xml:space="preserve">for the </w:t>
      </w:r>
      <w:r w:rsidR="00345B0D">
        <w:rPr>
          <w:rFonts w:eastAsiaTheme="minorHAnsi"/>
        </w:rPr>
        <w:t>C</w:t>
      </w:r>
      <w:r w:rsidR="00767267">
        <w:rPr>
          <w:rFonts w:eastAsiaTheme="minorHAnsi"/>
        </w:rPr>
        <w:t xml:space="preserve">linical </w:t>
      </w:r>
      <w:r w:rsidR="00345B0D">
        <w:rPr>
          <w:rFonts w:eastAsiaTheme="minorHAnsi"/>
        </w:rPr>
        <w:t>C</w:t>
      </w:r>
      <w:r w:rsidR="00767267">
        <w:rPr>
          <w:rFonts w:eastAsiaTheme="minorHAnsi"/>
        </w:rPr>
        <w:t xml:space="preserve">ommittee to progress the issue and make a </w:t>
      </w:r>
      <w:r w:rsidR="00AA288D" w:rsidRPr="00AA288D">
        <w:rPr>
          <w:rFonts w:eastAsiaTheme="minorHAnsi"/>
        </w:rPr>
        <w:t xml:space="preserve">recommendation </w:t>
      </w:r>
      <w:r w:rsidR="00767267">
        <w:rPr>
          <w:rFonts w:eastAsiaTheme="minorHAnsi"/>
        </w:rPr>
        <w:t xml:space="preserve">to </w:t>
      </w:r>
      <w:r w:rsidR="00AA288D" w:rsidRPr="00AA288D">
        <w:rPr>
          <w:rFonts w:eastAsiaTheme="minorHAnsi"/>
        </w:rPr>
        <w:t>Government</w:t>
      </w:r>
      <w:r w:rsidR="00AA288D">
        <w:rPr>
          <w:rStyle w:val="FootnoteReference"/>
          <w:rFonts w:eastAsiaTheme="minorHAnsi"/>
        </w:rPr>
        <w:footnoteReference w:id="18"/>
      </w:r>
      <w:r w:rsidR="00AA288D" w:rsidRPr="00AA288D">
        <w:rPr>
          <w:rFonts w:eastAsiaTheme="minorHAnsi"/>
        </w:rPr>
        <w:t xml:space="preserve">. </w:t>
      </w:r>
    </w:p>
    <w:p w14:paraId="22B7CCF4" w14:textId="7709DBF7" w:rsidR="00907488" w:rsidRPr="00BF209C" w:rsidRDefault="00B24260" w:rsidP="00BF209C">
      <w:pPr>
        <w:pStyle w:val="Heading2"/>
        <w:spacing w:line="240" w:lineRule="auto"/>
        <w:ind w:right="95"/>
      </w:pPr>
      <w:bookmarkStart w:id="93" w:name="_Toc25843714"/>
      <w:r>
        <w:t>B</w:t>
      </w:r>
      <w:r w:rsidR="00614181" w:rsidRPr="00BF209C">
        <w:t>.10</w:t>
      </w:r>
      <w:r w:rsidR="0023786B" w:rsidRPr="00BF209C">
        <w:t xml:space="preserve"> </w:t>
      </w:r>
      <w:r w:rsidR="00B64A7C" w:rsidRPr="00BF209C">
        <w:t>Referral</w:t>
      </w:r>
      <w:r w:rsidR="0023786B" w:rsidRPr="00BF209C">
        <w:t>s</w:t>
      </w:r>
      <w:r w:rsidR="00B64A7C" w:rsidRPr="00BF209C">
        <w:t xml:space="preserve"> from </w:t>
      </w:r>
      <w:r w:rsidR="00913FE4" w:rsidRPr="00BF209C">
        <w:t>the Diagnostic I</w:t>
      </w:r>
      <w:r w:rsidR="00B64A7C" w:rsidRPr="00BF209C">
        <w:t>maging Clinical Committee</w:t>
      </w:r>
      <w:bookmarkEnd w:id="93"/>
    </w:p>
    <w:p w14:paraId="003E7B2B" w14:textId="0CEBC355" w:rsidR="00B64A7C" w:rsidRPr="00BF209C" w:rsidRDefault="00B24260" w:rsidP="00BF209C">
      <w:pPr>
        <w:pStyle w:val="Heading2"/>
        <w:spacing w:line="240" w:lineRule="auto"/>
        <w:ind w:right="95"/>
      </w:pPr>
      <w:bookmarkStart w:id="94" w:name="_Toc11335995"/>
      <w:bookmarkStart w:id="95" w:name="_Toc11336492"/>
      <w:bookmarkStart w:id="96" w:name="_Toc11337048"/>
      <w:bookmarkStart w:id="97" w:name="_Toc11337195"/>
      <w:bookmarkStart w:id="98" w:name="_Toc11338176"/>
      <w:bookmarkStart w:id="99" w:name="_Toc11338955"/>
      <w:bookmarkStart w:id="100" w:name="_Toc11339614"/>
      <w:bookmarkStart w:id="101" w:name="_Toc11662013"/>
      <w:bookmarkStart w:id="102" w:name="_Toc11856749"/>
      <w:bookmarkStart w:id="103" w:name="_Toc11857027"/>
      <w:bookmarkStart w:id="104" w:name="_Toc11861966"/>
      <w:bookmarkStart w:id="105" w:name="_Toc11918456"/>
      <w:bookmarkStart w:id="106" w:name="_Toc11920036"/>
      <w:bookmarkStart w:id="107" w:name="_Toc11928329"/>
      <w:bookmarkStart w:id="108" w:name="_Toc19273947"/>
      <w:bookmarkStart w:id="109" w:name="_Toc19275091"/>
      <w:bookmarkStart w:id="110" w:name="_Toc20404403"/>
      <w:bookmarkStart w:id="111" w:name="_Toc20740447"/>
      <w:bookmarkStart w:id="112" w:name="_Toc20749041"/>
      <w:bookmarkStart w:id="113" w:name="_Toc20749357"/>
      <w:bookmarkStart w:id="114" w:name="_Toc20840004"/>
      <w:bookmarkStart w:id="115" w:name="_Toc20907575"/>
      <w:bookmarkStart w:id="116" w:name="_Toc20908444"/>
      <w:bookmarkStart w:id="117" w:name="_Toc20914377"/>
      <w:bookmarkStart w:id="118" w:name="_Toc22120852"/>
      <w:bookmarkStart w:id="119" w:name="_Toc23773484"/>
      <w:bookmarkStart w:id="120" w:name="_Toc24111247"/>
      <w:bookmarkStart w:id="121" w:name="_Toc25763977"/>
      <w:bookmarkStart w:id="122" w:name="_Toc25767882"/>
      <w:bookmarkStart w:id="123" w:name="_Toc25843715"/>
      <w:r>
        <w:t>B</w:t>
      </w:r>
      <w:r w:rsidR="00614181" w:rsidRPr="00BF209C">
        <w:t>.10</w:t>
      </w:r>
      <w:r w:rsidR="0023786B" w:rsidRPr="00BF209C">
        <w:t xml:space="preserve">.1 </w:t>
      </w:r>
      <w:r w:rsidR="00B64A7C" w:rsidRPr="00D00312">
        <w:t>Self-referrals by diagnostic imaging providers</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78F16A0F" w14:textId="529972BB" w:rsidR="00C91218" w:rsidRPr="00C91218" w:rsidRDefault="00C91218" w:rsidP="00C91218">
      <w:pPr>
        <w:spacing w:line="240" w:lineRule="auto"/>
        <w:rPr>
          <w:rFonts w:eastAsiaTheme="minorHAnsi"/>
        </w:rPr>
      </w:pPr>
      <w:r w:rsidRPr="00C91218">
        <w:rPr>
          <w:rFonts w:eastAsiaTheme="minorHAnsi"/>
        </w:rPr>
        <w:t xml:space="preserve">The Diagnostic Imaging Clinical Committee (DICC) identified issues around the provisions of the </w:t>
      </w:r>
      <w:r w:rsidRPr="00C91218">
        <w:rPr>
          <w:rFonts w:eastAsiaTheme="minorHAnsi"/>
          <w:i/>
        </w:rPr>
        <w:t>Health Insurance Act 1973</w:t>
      </w:r>
      <w:r w:rsidRPr="00C91218">
        <w:rPr>
          <w:rFonts w:eastAsiaTheme="minorHAnsi"/>
        </w:rPr>
        <w:t xml:space="preserve"> that allow specialists (other than specialist radiologists) to provide diagnostic imaging services without a request from another practitioner.</w:t>
      </w:r>
    </w:p>
    <w:p w14:paraId="607EAFAB" w14:textId="24427A6B" w:rsidR="00C91218" w:rsidRPr="00C91218" w:rsidRDefault="00C91218" w:rsidP="00C91218">
      <w:pPr>
        <w:spacing w:line="240" w:lineRule="auto"/>
        <w:rPr>
          <w:rFonts w:eastAsiaTheme="minorHAnsi"/>
        </w:rPr>
      </w:pPr>
      <w:r w:rsidRPr="00C91218">
        <w:rPr>
          <w:rFonts w:eastAsiaTheme="minorHAnsi"/>
        </w:rPr>
        <w:t xml:space="preserve">In the Diagnostic Imaging Services Table (DIST) there are </w:t>
      </w:r>
      <w:proofErr w:type="gramStart"/>
      <w:r w:rsidRPr="00C91218">
        <w:rPr>
          <w:rFonts w:eastAsiaTheme="minorHAnsi"/>
        </w:rPr>
        <w:t>a number of</w:t>
      </w:r>
      <w:proofErr w:type="gramEnd"/>
      <w:r w:rsidRPr="00C91218">
        <w:rPr>
          <w:rFonts w:eastAsiaTheme="minorHAnsi"/>
        </w:rPr>
        <w:t xml:space="preserve"> items that have referred (‘R’) and non-referred (‘NR’) equivalents. R-type services generally need to be rendered by specialists and at the request of a medical practitioner or allied health practitioner, such as a physiotherapist</w:t>
      </w:r>
      <w:r w:rsidR="00345B0D">
        <w:rPr>
          <w:rFonts w:eastAsiaTheme="minorHAnsi"/>
        </w:rPr>
        <w:t xml:space="preserve">, </w:t>
      </w:r>
      <w:r w:rsidRPr="00C91218">
        <w:rPr>
          <w:rFonts w:eastAsiaTheme="minorHAnsi"/>
        </w:rPr>
        <w:t xml:space="preserve">for a prescribed range of services. </w:t>
      </w:r>
    </w:p>
    <w:p w14:paraId="77261473" w14:textId="3C3BD161" w:rsidR="00C91218" w:rsidRPr="00C91218" w:rsidRDefault="00C91218" w:rsidP="00C91218">
      <w:pPr>
        <w:spacing w:line="240" w:lineRule="auto"/>
        <w:rPr>
          <w:rFonts w:eastAsiaTheme="minorHAnsi"/>
        </w:rPr>
      </w:pPr>
      <w:r w:rsidRPr="00C91218">
        <w:rPr>
          <w:rFonts w:eastAsiaTheme="minorHAnsi"/>
        </w:rPr>
        <w:t>The DICC identified concerns around self-referral by specialists (other than specialist radiologists) - that is, specialists being able determine a service to be necessary and providing it themselves e.g. cardiologists doing echocardiograms. The DICC questioned why there are no NR items (items that can</w:t>
      </w:r>
      <w:r w:rsidR="00345B0D">
        <w:rPr>
          <w:rFonts w:eastAsiaTheme="minorHAnsi"/>
        </w:rPr>
        <w:t xml:space="preserve"> be r</w:t>
      </w:r>
      <w:r w:rsidRPr="00C91218">
        <w:rPr>
          <w:rFonts w:eastAsiaTheme="minorHAnsi"/>
        </w:rPr>
        <w:t xml:space="preserve">endered without a request from another practitioner) for cardiac, vascular and urological ultrasound, when other items have both NR and R items (items that, subject to certain exemptions, need a request from another practitioner). The DICC felt that this was inconsistent and referred the matter to the Committee for advice. </w:t>
      </w:r>
    </w:p>
    <w:p w14:paraId="7807E1E1" w14:textId="7AF653DD" w:rsidR="00B97BFC" w:rsidRPr="00C91218" w:rsidRDefault="00B97BFC" w:rsidP="00C91218">
      <w:pPr>
        <w:spacing w:line="240" w:lineRule="auto"/>
        <w:rPr>
          <w:rFonts w:eastAsiaTheme="minorHAnsi"/>
        </w:rPr>
      </w:pPr>
      <w:r w:rsidRPr="00C91218">
        <w:rPr>
          <w:rFonts w:eastAsiaTheme="minorHAnsi"/>
        </w:rPr>
        <w:t xml:space="preserve">As noted above, the NR schedule fee is lower than the fee for the equivalent R item. The reason for this is unclear </w:t>
      </w:r>
      <w:proofErr w:type="gramStart"/>
      <w:r w:rsidRPr="00C91218">
        <w:rPr>
          <w:rFonts w:eastAsiaTheme="minorHAnsi"/>
        </w:rPr>
        <w:t>but it would appear that, for</w:t>
      </w:r>
      <w:proofErr w:type="gramEnd"/>
      <w:r w:rsidRPr="00C91218">
        <w:rPr>
          <w:rFonts w:eastAsiaTheme="minorHAnsi"/>
        </w:rPr>
        <w:t xml:space="preserve"> x</w:t>
      </w:r>
      <w:r w:rsidR="00345B0D">
        <w:rPr>
          <w:rFonts w:eastAsiaTheme="minorHAnsi"/>
        </w:rPr>
        <w:t xml:space="preserve">-rays at least, the higher rate is </w:t>
      </w:r>
      <w:r w:rsidRPr="00C91218">
        <w:rPr>
          <w:rFonts w:eastAsiaTheme="minorHAnsi"/>
        </w:rPr>
        <w:t xml:space="preserve">applied when specialist radiologists rendered these services to reflect their level of expertise (and charges). Historically, the NR items covered imaging procedures which GPs might commonly report on. For the NR ultrasound items, it is likely that the lower rate applied because the service was rendered by practitioners on their own patients and thus did not have any external reporting requirements. </w:t>
      </w:r>
    </w:p>
    <w:p w14:paraId="61717CF5" w14:textId="77777777" w:rsidR="00B97BFC" w:rsidRPr="00C91218" w:rsidRDefault="00B97BFC" w:rsidP="00C91218">
      <w:pPr>
        <w:spacing w:line="240" w:lineRule="auto"/>
        <w:rPr>
          <w:rFonts w:eastAsiaTheme="minorHAnsi"/>
        </w:rPr>
      </w:pPr>
      <w:r w:rsidRPr="00C91218">
        <w:rPr>
          <w:rFonts w:eastAsiaTheme="minorHAnsi"/>
        </w:rPr>
        <w:t xml:space="preserve">Under the exemption to the requesting provisions in section 16B of the Act, GPs in remote areas (and certain GPs who had been providing a significant number of services before May 1991) can render R-type services without a request (commonly referred to as self-determining) as long as those services do not have NR equivalents. A spine x-ray is an example of an item without an NR equivalent. Where a service has an NR equivalent, the NR item must be claimed. </w:t>
      </w:r>
    </w:p>
    <w:p w14:paraId="59D3B3C5" w14:textId="77777777" w:rsidR="00B97BFC" w:rsidRPr="00C91218" w:rsidRDefault="00B97BFC" w:rsidP="00C91218">
      <w:pPr>
        <w:spacing w:line="240" w:lineRule="auto"/>
        <w:rPr>
          <w:rFonts w:eastAsiaTheme="minorHAnsi"/>
        </w:rPr>
      </w:pPr>
      <w:r w:rsidRPr="00C91218">
        <w:rPr>
          <w:rFonts w:eastAsiaTheme="minorHAnsi"/>
        </w:rPr>
        <w:t xml:space="preserve">The anomaly that arises with the GP exemption provision is that the same level of benefit is payable for services rendered by GPs and specialists for R services without NR equivalents, yet a lower benefit is paid for GP rendered services where an NR equivalent item applies. It could be argued that, if the same service is being provided either the same benefit should be paid, or there should be NR equivalents for all services GPs render. </w:t>
      </w:r>
    </w:p>
    <w:p w14:paraId="29A47492" w14:textId="351C10BB" w:rsidR="00B97BFC" w:rsidRPr="00C91218" w:rsidRDefault="00B97BFC" w:rsidP="00C91218">
      <w:pPr>
        <w:spacing w:line="240" w:lineRule="auto"/>
        <w:rPr>
          <w:rFonts w:eastAsiaTheme="minorHAnsi"/>
        </w:rPr>
      </w:pPr>
      <w:r w:rsidRPr="00C91218">
        <w:rPr>
          <w:rFonts w:eastAsiaTheme="minorHAnsi"/>
        </w:rPr>
        <w:lastRenderedPageBreak/>
        <w:t>In 2015–16, there were 395,675 NR items claimed totalling $14.9 million in Medicare ben</w:t>
      </w:r>
      <w:r w:rsidR="00345B0D">
        <w:rPr>
          <w:rFonts w:eastAsiaTheme="minorHAnsi"/>
        </w:rPr>
        <w:t>efits. 17 </w:t>
      </w:r>
      <w:r w:rsidRPr="00C91218">
        <w:rPr>
          <w:rFonts w:eastAsiaTheme="minorHAnsi"/>
        </w:rPr>
        <w:t xml:space="preserve">per cent of these were claimed by GPs (GPs 66,669 and specialists 329,006). By far the largest number of NR services are rendered by GPs to patients in major cities, with the most-claimed item being the </w:t>
      </w:r>
      <w:proofErr w:type="gramStart"/>
      <w:r w:rsidRPr="00C91218">
        <w:rPr>
          <w:rFonts w:eastAsiaTheme="minorHAnsi"/>
        </w:rPr>
        <w:t>12 week</w:t>
      </w:r>
      <w:proofErr w:type="gramEnd"/>
      <w:r w:rsidRPr="00C91218">
        <w:rPr>
          <w:rFonts w:eastAsiaTheme="minorHAnsi"/>
        </w:rPr>
        <w:t xml:space="preserve"> pregnancy scan.</w:t>
      </w:r>
    </w:p>
    <w:p w14:paraId="4117E9DE" w14:textId="4A6BAF7A" w:rsidR="00B97BFC" w:rsidRPr="00C91218" w:rsidRDefault="007E62E0" w:rsidP="00C91218">
      <w:pPr>
        <w:spacing w:line="240" w:lineRule="auto"/>
        <w:rPr>
          <w:rFonts w:eastAsiaTheme="minorHAnsi"/>
        </w:rPr>
      </w:pPr>
      <w:r>
        <w:rPr>
          <w:rFonts w:eastAsiaTheme="minorHAnsi"/>
        </w:rPr>
        <w:t>Another</w:t>
      </w:r>
      <w:r w:rsidR="00B97BFC" w:rsidRPr="00C91218">
        <w:rPr>
          <w:rFonts w:eastAsiaTheme="minorHAnsi"/>
        </w:rPr>
        <w:t xml:space="preserve"> exemption in the Act from the requesting provisions for R-type services is that specialists other than specialist radiologists can self-determine the need for these services on their own patients. However, the item descriptors for R ultrasound services, in association with the item descriptors for the NR services, guide specialists to use the NR item through the use of the phrase ‘where the patient is not referred by a medical practitioner’ and R ultrasound items include the phrase ‘the patient is referred by a medical practitioner...’. Such phrases do not exist in NR and R x-ray items. They simply describe the service in the same </w:t>
      </w:r>
      <w:proofErr w:type="gramStart"/>
      <w:r w:rsidR="00B97BFC" w:rsidRPr="00C91218">
        <w:rPr>
          <w:rFonts w:eastAsiaTheme="minorHAnsi"/>
        </w:rPr>
        <w:t>way, but</w:t>
      </w:r>
      <w:proofErr w:type="gramEnd"/>
      <w:r w:rsidR="00B97BFC" w:rsidRPr="00C91218">
        <w:rPr>
          <w:rFonts w:eastAsiaTheme="minorHAnsi"/>
        </w:rPr>
        <w:t xml:space="preserve"> include the NR or R annotation.</w:t>
      </w:r>
    </w:p>
    <w:p w14:paraId="4D73B1F4" w14:textId="218D05AE" w:rsidR="00B97BFC" w:rsidRPr="00C91218" w:rsidRDefault="00B97BFC" w:rsidP="00C91218">
      <w:pPr>
        <w:spacing w:line="240" w:lineRule="auto"/>
        <w:rPr>
          <w:rFonts w:eastAsiaTheme="minorHAnsi"/>
        </w:rPr>
      </w:pPr>
      <w:r w:rsidRPr="00C91218">
        <w:rPr>
          <w:rFonts w:eastAsiaTheme="minorHAnsi"/>
        </w:rPr>
        <w:t xml:space="preserve">This appears to cause confusion for specialists as to which items they </w:t>
      </w:r>
      <w:proofErr w:type="gramStart"/>
      <w:r w:rsidRPr="00C91218">
        <w:rPr>
          <w:rFonts w:eastAsiaTheme="minorHAnsi"/>
        </w:rPr>
        <w:t>are able to</w:t>
      </w:r>
      <w:proofErr w:type="gramEnd"/>
      <w:r w:rsidRPr="00C91218">
        <w:rPr>
          <w:rFonts w:eastAsiaTheme="minorHAnsi"/>
        </w:rPr>
        <w:t xml:space="preserve"> claim. In 2015–16, over 70 per cent of the 322,761 specialist-rendered NR ultrasound services were provided by obstetricians</w:t>
      </w:r>
      <w:r w:rsidR="00345B0D">
        <w:rPr>
          <w:rFonts w:eastAsiaTheme="minorHAnsi"/>
        </w:rPr>
        <w:t>,</w:t>
      </w:r>
      <w:r w:rsidRPr="00C91218">
        <w:rPr>
          <w:rFonts w:eastAsiaTheme="minorHAnsi"/>
        </w:rPr>
        <w:t xml:space="preserve"> gynaecologists and surgeons.</w:t>
      </w:r>
    </w:p>
    <w:p w14:paraId="6A7EC258" w14:textId="77777777" w:rsidR="00B97BFC" w:rsidRPr="00C91218" w:rsidRDefault="00B97BFC" w:rsidP="00C91218">
      <w:pPr>
        <w:spacing w:line="240" w:lineRule="auto"/>
        <w:rPr>
          <w:rFonts w:eastAsiaTheme="minorHAnsi"/>
        </w:rPr>
      </w:pPr>
      <w:r w:rsidRPr="00C91218">
        <w:rPr>
          <w:rFonts w:eastAsiaTheme="minorHAnsi"/>
        </w:rPr>
        <w:t xml:space="preserve">Removing NR services, together with deleting references to the referral requirements in R-type ultrasound (as for R-type x-rays) would clarify the entitlement of specialists to claim the R items. It would also allow specialist radiologists to claim the R ultrasound items instead of the NR equivalent when they do additional necessary services—for example, an ultrasound of the breasts following mammography. </w:t>
      </w:r>
    </w:p>
    <w:p w14:paraId="1BF2889B" w14:textId="77777777" w:rsidR="00B97BFC" w:rsidRPr="00C91218" w:rsidRDefault="00B97BFC" w:rsidP="00C91218">
      <w:pPr>
        <w:spacing w:line="240" w:lineRule="auto"/>
        <w:rPr>
          <w:rFonts w:eastAsiaTheme="minorHAnsi"/>
        </w:rPr>
      </w:pPr>
      <w:r w:rsidRPr="00C91218">
        <w:rPr>
          <w:rFonts w:eastAsiaTheme="minorHAnsi"/>
        </w:rPr>
        <w:t>An alternative is to create NR items for cardiac, vascular and urological services at a lower fee for when these services are self-determined. This would require changes to the Act to ensure there is no inconsistency between it and the DIST in relation to requesting of these services.</w:t>
      </w:r>
    </w:p>
    <w:p w14:paraId="426F6598" w14:textId="77777777" w:rsidR="00B97BFC" w:rsidRPr="00345B0D" w:rsidRDefault="00B97BFC" w:rsidP="00C91218">
      <w:pPr>
        <w:spacing w:line="240" w:lineRule="auto"/>
        <w:rPr>
          <w:rFonts w:eastAsiaTheme="minorHAnsi"/>
          <w:b/>
        </w:rPr>
      </w:pPr>
      <w:r w:rsidRPr="00345B0D">
        <w:rPr>
          <w:rFonts w:eastAsiaTheme="minorHAnsi"/>
          <w:b/>
        </w:rPr>
        <w:t>Specialist radiologists claiming NR services</w:t>
      </w:r>
    </w:p>
    <w:p w14:paraId="46995667" w14:textId="488A649E" w:rsidR="00B97BFC" w:rsidRPr="00C91218" w:rsidRDefault="00B97BFC" w:rsidP="00C91218">
      <w:pPr>
        <w:spacing w:line="240" w:lineRule="auto"/>
        <w:rPr>
          <w:rFonts w:eastAsiaTheme="minorHAnsi"/>
        </w:rPr>
      </w:pPr>
      <w:r w:rsidRPr="00C91218">
        <w:rPr>
          <w:rFonts w:eastAsiaTheme="minorHAnsi"/>
        </w:rPr>
        <w:t xml:space="preserve">Specialist radiologists are not able to self-determine R-type services under the Act (except in emergencies, for additional services and other specific circumstances) but, like any other medical practitioner, are able to </w:t>
      </w:r>
      <w:r w:rsidR="00345B0D">
        <w:rPr>
          <w:rFonts w:eastAsiaTheme="minorHAnsi"/>
        </w:rPr>
        <w:t xml:space="preserve">self-determine NR-type services. </w:t>
      </w:r>
      <w:r w:rsidR="007E62E0" w:rsidRPr="00C91218">
        <w:rPr>
          <w:rFonts w:eastAsiaTheme="minorHAnsi"/>
        </w:rPr>
        <w:t>Data for the period 2006–07 to 2015–16 show that the claiming of NR items by specialist radiologists is not</w:t>
      </w:r>
      <w:r w:rsidR="00345B0D">
        <w:rPr>
          <w:rFonts w:eastAsiaTheme="minorHAnsi"/>
        </w:rPr>
        <w:t xml:space="preserve"> high—85,412 services (mostly x</w:t>
      </w:r>
      <w:r w:rsidR="00345B0D">
        <w:rPr>
          <w:rFonts w:eastAsiaTheme="minorHAnsi"/>
        </w:rPr>
        <w:noBreakHyphen/>
      </w:r>
      <w:r w:rsidR="007E62E0" w:rsidRPr="00C91218">
        <w:rPr>
          <w:rFonts w:eastAsiaTheme="minorHAnsi"/>
        </w:rPr>
        <w:t>rays of the extremities) in 2015–16 out of over 24 million diagnostic imaging services—and that growth has generally been in line with diagnostic imaging services overall. Because they are NR items, no details about who may have ‘requested’ them are held in the Medicare claims system.</w:t>
      </w:r>
    </w:p>
    <w:p w14:paraId="039493A0" w14:textId="5DC6EB9B" w:rsidR="00B97BFC" w:rsidRPr="00C91218" w:rsidRDefault="00B97BFC" w:rsidP="00C91218">
      <w:pPr>
        <w:spacing w:line="240" w:lineRule="auto"/>
        <w:rPr>
          <w:rFonts w:eastAsiaTheme="minorHAnsi"/>
        </w:rPr>
      </w:pPr>
      <w:r w:rsidRPr="00C91218">
        <w:rPr>
          <w:rFonts w:eastAsiaTheme="minorHAnsi"/>
        </w:rPr>
        <w:t>It is understood that some allied health pract</w:t>
      </w:r>
      <w:r w:rsidR="00345B0D">
        <w:rPr>
          <w:rFonts w:eastAsiaTheme="minorHAnsi"/>
        </w:rPr>
        <w:t>itioners—e.g. physiotherapists—we</w:t>
      </w:r>
      <w:r w:rsidRPr="00C91218">
        <w:rPr>
          <w:rFonts w:eastAsiaTheme="minorHAnsi"/>
        </w:rPr>
        <w:t xml:space="preserve">re ‘requesting’ services such as knee x-rays which are beyond the scope of their prescribed services. The services which physiotherapists </w:t>
      </w:r>
      <w:proofErr w:type="gramStart"/>
      <w:r w:rsidRPr="00C91218">
        <w:rPr>
          <w:rFonts w:eastAsiaTheme="minorHAnsi"/>
        </w:rPr>
        <w:t>are able to</w:t>
      </w:r>
      <w:proofErr w:type="gramEnd"/>
      <w:r w:rsidRPr="00C91218">
        <w:rPr>
          <w:rFonts w:eastAsiaTheme="minorHAnsi"/>
        </w:rPr>
        <w:t xml:space="preserve"> explicitly request are x-rays of the hip joint, pelvic girdle and a number of spine items, which are all R items without NR equivalents. Physiotherapists cannot request for Medicare purposes any other items, including other services with NR equivalents as noted above. </w:t>
      </w:r>
    </w:p>
    <w:p w14:paraId="14EEB9A8" w14:textId="77777777" w:rsidR="00B97BFC" w:rsidRPr="00C91218" w:rsidRDefault="00B97BFC" w:rsidP="00C91218">
      <w:pPr>
        <w:spacing w:line="240" w:lineRule="auto"/>
        <w:rPr>
          <w:rFonts w:eastAsiaTheme="minorHAnsi"/>
        </w:rPr>
      </w:pPr>
      <w:r w:rsidRPr="00C91218">
        <w:rPr>
          <w:rFonts w:eastAsiaTheme="minorHAnsi"/>
        </w:rPr>
        <w:t xml:space="preserve">A ‘request’ for an NR service has no basis in legislation. An argument could be made therefore that billing of NR services has the effect of allowing Medicare funding for services that are beyond the explicit requesting rights of such practitioners. Furthermore, if a radiologist provides an NR service when asked by a physiotherapist (or other provider with restricted requesting rights), the radiologist is the person who is responsible for the clinical relevance of the service, that is, the radiologist is required to have turned their mind to the need for the service. </w:t>
      </w:r>
    </w:p>
    <w:p w14:paraId="6E291E20" w14:textId="59153136" w:rsidR="00B64A7C" w:rsidRPr="00C91218" w:rsidRDefault="00C91218" w:rsidP="00C91218">
      <w:pPr>
        <w:spacing w:line="240" w:lineRule="auto"/>
        <w:rPr>
          <w:rFonts w:eastAsiaTheme="minorHAnsi"/>
        </w:rPr>
      </w:pPr>
      <w:r w:rsidRPr="00C91218">
        <w:rPr>
          <w:rFonts w:eastAsiaTheme="minorHAnsi"/>
        </w:rPr>
        <w:lastRenderedPageBreak/>
        <w:t xml:space="preserve">The Committee designed the </w:t>
      </w:r>
      <w:r w:rsidR="00B64A7C" w:rsidRPr="00C91218">
        <w:rPr>
          <w:rFonts w:eastAsiaTheme="minorHAnsi"/>
        </w:rPr>
        <w:t>following principles</w:t>
      </w:r>
      <w:r w:rsidRPr="00C91218">
        <w:rPr>
          <w:rFonts w:eastAsiaTheme="minorHAnsi"/>
        </w:rPr>
        <w:t xml:space="preserve"> that were subsequently</w:t>
      </w:r>
      <w:r w:rsidRPr="00990EF8">
        <w:rPr>
          <w:rFonts w:eastAsiaTheme="minorHAnsi"/>
        </w:rPr>
        <w:t xml:space="preserve"> endorsed by the </w:t>
      </w:r>
      <w:r w:rsidR="00B64A7C" w:rsidRPr="00990EF8">
        <w:rPr>
          <w:rFonts w:eastAsiaTheme="minorHAnsi"/>
        </w:rPr>
        <w:t xml:space="preserve">Taskforce </w:t>
      </w:r>
      <w:r w:rsidRPr="00990EF8">
        <w:rPr>
          <w:rFonts w:eastAsiaTheme="minorHAnsi"/>
        </w:rPr>
        <w:t xml:space="preserve">at its meeting on </w:t>
      </w:r>
      <w:r w:rsidR="00B64A7C" w:rsidRPr="00990EF8">
        <w:rPr>
          <w:rFonts w:eastAsiaTheme="minorHAnsi"/>
        </w:rPr>
        <w:t>18 September 2018</w:t>
      </w:r>
      <w:r w:rsidR="007D7668" w:rsidRPr="00990EF8">
        <w:rPr>
          <w:rFonts w:eastAsiaTheme="minorHAnsi"/>
        </w:rPr>
        <w:t xml:space="preserve"> </w:t>
      </w:r>
      <w:r w:rsidR="007D7668">
        <w:rPr>
          <w:rFonts w:eastAsiaTheme="minorHAnsi"/>
        </w:rPr>
        <w:t xml:space="preserve">and delivered to DICC for use </w:t>
      </w:r>
      <w:r w:rsidR="00BF209C">
        <w:rPr>
          <w:rFonts w:eastAsiaTheme="minorHAnsi"/>
        </w:rPr>
        <w:t>in its draft</w:t>
      </w:r>
      <w:r w:rsidR="007D7668">
        <w:rPr>
          <w:rFonts w:eastAsiaTheme="minorHAnsi"/>
        </w:rPr>
        <w:t xml:space="preserve"> report</w:t>
      </w:r>
      <w:r w:rsidR="00BF209C">
        <w:rPr>
          <w:rFonts w:eastAsiaTheme="minorHAnsi"/>
        </w:rPr>
        <w:t xml:space="preserve"> and recommendations to Government</w:t>
      </w:r>
      <w:r w:rsidR="007D7668">
        <w:rPr>
          <w:rStyle w:val="FootnoteReference"/>
          <w:rFonts w:eastAsiaTheme="minorHAnsi"/>
        </w:rPr>
        <w:footnoteReference w:id="19"/>
      </w:r>
      <w:r w:rsidR="007D7668">
        <w:rPr>
          <w:rFonts w:eastAsiaTheme="minorHAnsi"/>
        </w:rPr>
        <w:t>:</w:t>
      </w:r>
    </w:p>
    <w:p w14:paraId="3A759AC0" w14:textId="08D45994" w:rsidR="00B64A7C" w:rsidRPr="00C91218" w:rsidRDefault="00B64A7C" w:rsidP="008C345B">
      <w:pPr>
        <w:pStyle w:val="ListParagraph"/>
        <w:numPr>
          <w:ilvl w:val="1"/>
          <w:numId w:val="15"/>
        </w:numPr>
        <w:spacing w:before="0" w:after="0" w:line="240" w:lineRule="auto"/>
        <w:ind w:left="709" w:right="95" w:hanging="441"/>
      </w:pPr>
      <w:r w:rsidRPr="00C91218">
        <w:t>Diagnostic imaging services rendered by practition</w:t>
      </w:r>
      <w:r w:rsidR="00C91218" w:rsidRPr="00C91218">
        <w:t>ers on their own patients (self</w:t>
      </w:r>
      <w:r w:rsidR="00C91218" w:rsidRPr="00C91218">
        <w:noBreakHyphen/>
      </w:r>
      <w:r w:rsidRPr="00C91218">
        <w:t>determined services) should attract a lower rebate than requested diagnostic imaging services.</w:t>
      </w:r>
    </w:p>
    <w:p w14:paraId="4CBE8B98" w14:textId="77777777" w:rsidR="00B64A7C" w:rsidRPr="00C91218" w:rsidRDefault="00B64A7C" w:rsidP="008C345B">
      <w:pPr>
        <w:pStyle w:val="ListParagraph"/>
        <w:numPr>
          <w:ilvl w:val="1"/>
          <w:numId w:val="15"/>
        </w:numPr>
        <w:spacing w:before="0" w:after="0" w:line="240" w:lineRule="auto"/>
        <w:ind w:left="709" w:right="95" w:hanging="441"/>
      </w:pPr>
      <w:r w:rsidRPr="00C91218">
        <w:t xml:space="preserve">Before a Medicare funded diagnostic </w:t>
      </w:r>
      <w:proofErr w:type="gramStart"/>
      <w:r w:rsidRPr="00C91218">
        <w:t>imaging</w:t>
      </w:r>
      <w:proofErr w:type="gramEnd"/>
      <w:r w:rsidRPr="00C91218">
        <w:t xml:space="preserve"> service is rendered, there must be a request form.</w:t>
      </w:r>
    </w:p>
    <w:p w14:paraId="44FE29E0" w14:textId="77777777" w:rsidR="00B64A7C" w:rsidRPr="00C91218" w:rsidRDefault="00B64A7C" w:rsidP="008C345B">
      <w:pPr>
        <w:pStyle w:val="ListParagraph"/>
        <w:numPr>
          <w:ilvl w:val="1"/>
          <w:numId w:val="15"/>
        </w:numPr>
        <w:spacing w:before="0" w:after="0" w:line="240" w:lineRule="auto"/>
        <w:ind w:left="709" w:right="95" w:hanging="441"/>
      </w:pPr>
      <w:r w:rsidRPr="00C91218">
        <w:t>All practitioners providing Medicare funded diagnostic imaging services must have qualifications and credentials relevant to, and appropriate for, the services they are providing.</w:t>
      </w:r>
    </w:p>
    <w:p w14:paraId="433FFB54" w14:textId="6922DAEF" w:rsidR="00B64A7C" w:rsidRPr="00C91218" w:rsidRDefault="00B64A7C" w:rsidP="008C345B">
      <w:pPr>
        <w:pStyle w:val="ListParagraph"/>
        <w:numPr>
          <w:ilvl w:val="1"/>
          <w:numId w:val="15"/>
        </w:numPr>
        <w:spacing w:before="0" w:after="0" w:line="240" w:lineRule="auto"/>
        <w:ind w:left="709" w:right="95" w:hanging="441"/>
      </w:pPr>
      <w:r w:rsidRPr="00C91218">
        <w:t>The findings of a self-determined service must be recorded in the patient’s record.</w:t>
      </w:r>
      <w:r w:rsidR="00B95F07">
        <w:t xml:space="preserve"> </w:t>
      </w:r>
      <w:r w:rsidRPr="00C91218">
        <w:t xml:space="preserve">Diagnostic imaging reports and the findings of any self-determined services should be made available in the patient’s </w:t>
      </w:r>
      <w:proofErr w:type="spellStart"/>
      <w:r w:rsidRPr="00C91218">
        <w:t>Myhealth</w:t>
      </w:r>
      <w:proofErr w:type="spellEnd"/>
      <w:r w:rsidRPr="00C91218">
        <w:t xml:space="preserve"> record.</w:t>
      </w:r>
      <w:bookmarkStart w:id="124" w:name="_Toc528313787"/>
    </w:p>
    <w:p w14:paraId="08999E76" w14:textId="5FF63FB6" w:rsidR="00B64A7C" w:rsidRPr="00BD0E36" w:rsidRDefault="00B24260" w:rsidP="00BF209C">
      <w:pPr>
        <w:pStyle w:val="Heading2"/>
        <w:spacing w:line="240" w:lineRule="auto"/>
        <w:ind w:right="95"/>
        <w:rPr>
          <w:rFonts w:cstheme="minorHAnsi"/>
          <w:sz w:val="28"/>
          <w:szCs w:val="28"/>
        </w:rPr>
      </w:pPr>
      <w:bookmarkStart w:id="125" w:name="_Toc11335996"/>
      <w:bookmarkStart w:id="126" w:name="_Toc11336493"/>
      <w:bookmarkStart w:id="127" w:name="_Toc11337049"/>
      <w:bookmarkStart w:id="128" w:name="_Toc11337196"/>
      <w:bookmarkStart w:id="129" w:name="_Toc11338177"/>
      <w:bookmarkStart w:id="130" w:name="_Toc11338956"/>
      <w:bookmarkStart w:id="131" w:name="_Toc11339615"/>
      <w:bookmarkStart w:id="132" w:name="_Toc11662014"/>
      <w:bookmarkStart w:id="133" w:name="_Toc11856750"/>
      <w:bookmarkStart w:id="134" w:name="_Toc11857028"/>
      <w:bookmarkStart w:id="135" w:name="_Toc11861967"/>
      <w:bookmarkStart w:id="136" w:name="_Toc11918457"/>
      <w:bookmarkStart w:id="137" w:name="_Toc11920037"/>
      <w:bookmarkStart w:id="138" w:name="_Toc11928330"/>
      <w:bookmarkStart w:id="139" w:name="_Toc19273948"/>
      <w:bookmarkStart w:id="140" w:name="_Toc19275092"/>
      <w:bookmarkStart w:id="141" w:name="_Toc20404404"/>
      <w:bookmarkStart w:id="142" w:name="_Toc20740448"/>
      <w:bookmarkStart w:id="143" w:name="_Toc20749042"/>
      <w:bookmarkStart w:id="144" w:name="_Toc20749358"/>
      <w:bookmarkStart w:id="145" w:name="_Toc20840005"/>
      <w:bookmarkStart w:id="146" w:name="_Toc20907576"/>
      <w:bookmarkStart w:id="147" w:name="_Toc20908445"/>
      <w:bookmarkStart w:id="148" w:name="_Toc20914378"/>
      <w:bookmarkStart w:id="149" w:name="_Toc22120853"/>
      <w:bookmarkStart w:id="150" w:name="_Toc23773485"/>
      <w:bookmarkStart w:id="151" w:name="_Toc24111248"/>
      <w:bookmarkStart w:id="152" w:name="_Toc25763978"/>
      <w:bookmarkStart w:id="153" w:name="_Toc25767883"/>
      <w:bookmarkStart w:id="154" w:name="_Toc25843716"/>
      <w:r>
        <w:t>B</w:t>
      </w:r>
      <w:r w:rsidR="00B243BC">
        <w:t>.10</w:t>
      </w:r>
      <w:r w:rsidR="00907488" w:rsidRPr="00BF209C">
        <w:t xml:space="preserve">.2 </w:t>
      </w:r>
      <w:r w:rsidR="00B64A7C" w:rsidRPr="00BF209C">
        <w:t>Multiple services rules in diagnostic imaging</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0860B949" w14:textId="10089E14" w:rsidR="00B97BFC" w:rsidRPr="00366844" w:rsidRDefault="00A32397" w:rsidP="00366844">
      <w:pPr>
        <w:spacing w:line="240" w:lineRule="auto"/>
        <w:rPr>
          <w:rFonts w:eastAsiaTheme="minorHAnsi"/>
        </w:rPr>
      </w:pPr>
      <w:r w:rsidRPr="00366844">
        <w:rPr>
          <w:rFonts w:eastAsiaTheme="minorHAnsi"/>
        </w:rPr>
        <w:t xml:space="preserve">DICC was keen to resolve a known issue where, in some instances, patient and provider claims for </w:t>
      </w:r>
      <w:r w:rsidR="00B97BFC" w:rsidRPr="00366844">
        <w:rPr>
          <w:rFonts w:eastAsiaTheme="minorHAnsi"/>
        </w:rPr>
        <w:t xml:space="preserve">restricted items </w:t>
      </w:r>
      <w:r w:rsidRPr="00366844">
        <w:rPr>
          <w:rFonts w:eastAsiaTheme="minorHAnsi"/>
        </w:rPr>
        <w:t xml:space="preserve">were being </w:t>
      </w:r>
      <w:r w:rsidR="00B97BFC" w:rsidRPr="00366844">
        <w:rPr>
          <w:rFonts w:eastAsiaTheme="minorHAnsi"/>
        </w:rPr>
        <w:t>rejected</w:t>
      </w:r>
      <w:r w:rsidR="00A942BF">
        <w:rPr>
          <w:rFonts w:eastAsiaTheme="minorHAnsi"/>
        </w:rPr>
        <w:t xml:space="preserve"> under multiple service restrictions</w:t>
      </w:r>
      <w:r w:rsidR="00A942BF">
        <w:rPr>
          <w:rStyle w:val="FootnoteReference"/>
          <w:rFonts w:eastAsiaTheme="minorHAnsi"/>
        </w:rPr>
        <w:footnoteReference w:id="20"/>
      </w:r>
      <w:r w:rsidR="00B97BFC" w:rsidRPr="00366844">
        <w:rPr>
          <w:rFonts w:eastAsiaTheme="minorHAnsi"/>
        </w:rPr>
        <w:t xml:space="preserve">. </w:t>
      </w:r>
      <w:r w:rsidRPr="00366844">
        <w:rPr>
          <w:rFonts w:eastAsiaTheme="minorHAnsi"/>
        </w:rPr>
        <w:t xml:space="preserve">In some instances the restriction had a logical explanation; for </w:t>
      </w:r>
      <w:r w:rsidR="00B97BFC" w:rsidRPr="00366844">
        <w:rPr>
          <w:rFonts w:eastAsiaTheme="minorHAnsi"/>
        </w:rPr>
        <w:t xml:space="preserve">example, a benefit not being payable within 24 hours of a previous service for both the urinary tract (item 55038) and abdominal ultrasound (item 55036) is because item 55036 also includes a urinary tract examination. </w:t>
      </w:r>
    </w:p>
    <w:p w14:paraId="14120D46" w14:textId="7795E373" w:rsidR="00366844" w:rsidRDefault="00366844" w:rsidP="00366844">
      <w:pPr>
        <w:spacing w:line="240" w:lineRule="auto"/>
        <w:rPr>
          <w:rFonts w:eastAsiaTheme="minorHAnsi"/>
        </w:rPr>
      </w:pPr>
      <w:r>
        <w:rPr>
          <w:rFonts w:eastAsiaTheme="minorHAnsi"/>
        </w:rPr>
        <w:t>For other restrictions the reasoning was less clear. These included restrictions on claiming:</w:t>
      </w:r>
    </w:p>
    <w:p w14:paraId="01B0E3A4" w14:textId="4635693C" w:rsidR="00B97BFC" w:rsidRPr="00366844" w:rsidRDefault="00B97BFC" w:rsidP="008C345B">
      <w:pPr>
        <w:pStyle w:val="ListParagraph"/>
        <w:numPr>
          <w:ilvl w:val="1"/>
          <w:numId w:val="15"/>
        </w:numPr>
        <w:spacing w:before="0" w:after="0" w:line="240" w:lineRule="auto"/>
        <w:ind w:left="709" w:right="95" w:hanging="441"/>
        <w:rPr>
          <w:rFonts w:eastAsiaTheme="minorHAnsi"/>
        </w:rPr>
      </w:pPr>
      <w:r w:rsidRPr="00366844">
        <w:rPr>
          <w:rFonts w:eastAsiaTheme="minorHAnsi"/>
        </w:rPr>
        <w:t xml:space="preserve">abdominal ultrasound and pelvic ultrasound (item 55065) </w:t>
      </w:r>
      <w:r w:rsidR="00366844">
        <w:rPr>
          <w:rFonts w:eastAsiaTheme="minorHAnsi"/>
        </w:rPr>
        <w:t xml:space="preserve">at the same </w:t>
      </w:r>
      <w:proofErr w:type="gramStart"/>
      <w:r w:rsidR="00366844">
        <w:rPr>
          <w:rFonts w:eastAsiaTheme="minorHAnsi"/>
        </w:rPr>
        <w:t>time;</w:t>
      </w:r>
      <w:proofErr w:type="gramEnd"/>
      <w:r w:rsidR="00366844">
        <w:rPr>
          <w:rFonts w:eastAsiaTheme="minorHAnsi"/>
        </w:rPr>
        <w:t xml:space="preserve"> </w:t>
      </w:r>
    </w:p>
    <w:p w14:paraId="7A19ADF1" w14:textId="79F3DB77" w:rsidR="00B97BFC" w:rsidRPr="00366844" w:rsidRDefault="00B97BFC" w:rsidP="008C345B">
      <w:pPr>
        <w:pStyle w:val="ListParagraph"/>
        <w:numPr>
          <w:ilvl w:val="1"/>
          <w:numId w:val="15"/>
        </w:numPr>
        <w:spacing w:before="0" w:after="0" w:line="240" w:lineRule="auto"/>
        <w:ind w:left="709" w:right="95" w:hanging="441"/>
      </w:pPr>
      <w:r w:rsidRPr="00366844">
        <w:t>general ultrasound (except the interventional items), obstetric and gynaecological ultrasound and musculoskeletal ultrasound with either cardiac or vascular ultrasound.</w:t>
      </w:r>
    </w:p>
    <w:p w14:paraId="4632EC91" w14:textId="6D777665" w:rsidR="00B97BFC" w:rsidRPr="00366844" w:rsidRDefault="00B97BFC" w:rsidP="008C345B">
      <w:pPr>
        <w:pStyle w:val="ListParagraph"/>
        <w:numPr>
          <w:ilvl w:val="1"/>
          <w:numId w:val="15"/>
        </w:numPr>
        <w:spacing w:before="0" w:after="0" w:line="240" w:lineRule="auto"/>
        <w:ind w:left="709" w:right="95" w:hanging="441"/>
      </w:pPr>
      <w:r w:rsidRPr="00366844">
        <w:t>cardiac ultrasound with vascular ultrasound, even where entirely different body areas are being examined.</w:t>
      </w:r>
    </w:p>
    <w:p w14:paraId="2AAA4461" w14:textId="37092EB6" w:rsidR="00B97BFC" w:rsidRPr="00366844" w:rsidRDefault="00B97BFC" w:rsidP="008C345B">
      <w:pPr>
        <w:pStyle w:val="ListParagraph"/>
        <w:numPr>
          <w:ilvl w:val="1"/>
          <w:numId w:val="15"/>
        </w:numPr>
        <w:spacing w:before="0" w:after="0" w:line="240" w:lineRule="auto"/>
        <w:ind w:left="709" w:right="95" w:hanging="441"/>
      </w:pPr>
      <w:r w:rsidRPr="00366844">
        <w:t>vascular ultrasound with urological ultrasound (which covers prostate examinations only).</w:t>
      </w:r>
    </w:p>
    <w:p w14:paraId="610DFE93" w14:textId="63CD3A32" w:rsidR="00B97BFC" w:rsidRPr="00366844" w:rsidRDefault="00B97BFC" w:rsidP="008C345B">
      <w:pPr>
        <w:pStyle w:val="ListParagraph"/>
        <w:numPr>
          <w:ilvl w:val="1"/>
          <w:numId w:val="15"/>
        </w:numPr>
        <w:spacing w:before="0" w:after="0" w:line="240" w:lineRule="auto"/>
        <w:ind w:left="709" w:right="95" w:hanging="441"/>
      </w:pPr>
      <w:r w:rsidRPr="00366844">
        <w:t xml:space="preserve">general interventional ultrasound items (items 55026 and 55054) with other general ‘diagnostic’ ultrasound items. </w:t>
      </w:r>
    </w:p>
    <w:p w14:paraId="70EC3639" w14:textId="7C493F3C" w:rsidR="00B97BFC" w:rsidRPr="00366844" w:rsidRDefault="00B97BFC" w:rsidP="008C345B">
      <w:pPr>
        <w:pStyle w:val="ListParagraph"/>
        <w:numPr>
          <w:ilvl w:val="1"/>
          <w:numId w:val="15"/>
        </w:numPr>
        <w:spacing w:before="0" w:after="0" w:line="240" w:lineRule="auto"/>
        <w:ind w:left="709" w:right="95" w:hanging="441"/>
      </w:pPr>
      <w:r w:rsidRPr="00366844">
        <w:t>any other diagnostic imaging item being claimed with the interventional CT items, items 57341 and 57345. A similar restriction applies to fluoroscopy interventional items 60506, 60507, 60509, 60510, 61109 and 61110.</w:t>
      </w:r>
    </w:p>
    <w:p w14:paraId="74D9B255" w14:textId="62873F96" w:rsidR="00B95F07" w:rsidRDefault="00B95F07" w:rsidP="00B95F07">
      <w:pPr>
        <w:spacing w:line="240" w:lineRule="auto"/>
      </w:pPr>
      <w:r>
        <w:rPr>
          <w:rFonts w:eastAsiaTheme="minorHAnsi"/>
        </w:rPr>
        <w:t xml:space="preserve">DICC was concerned that, in </w:t>
      </w:r>
      <w:r w:rsidR="003409CC">
        <w:rPr>
          <w:rFonts w:eastAsiaTheme="minorHAnsi"/>
        </w:rPr>
        <w:t xml:space="preserve">practice, </w:t>
      </w:r>
      <w:r w:rsidR="00366844" w:rsidRPr="00366844">
        <w:rPr>
          <w:rFonts w:eastAsiaTheme="minorHAnsi"/>
        </w:rPr>
        <w:t xml:space="preserve">restrictions made it necessary for the patient to attend on two separate days, </w:t>
      </w:r>
      <w:r w:rsidR="003409CC">
        <w:rPr>
          <w:rFonts w:eastAsiaTheme="minorHAnsi"/>
        </w:rPr>
        <w:t xml:space="preserve">which incurred </w:t>
      </w:r>
      <w:r w:rsidR="00B97BFC" w:rsidRPr="00366844">
        <w:t xml:space="preserve">additional </w:t>
      </w:r>
      <w:r w:rsidR="003409CC">
        <w:t xml:space="preserve">out of pocked costs and associated expense for the </w:t>
      </w:r>
      <w:r w:rsidR="00B97BFC" w:rsidRPr="00366844">
        <w:t>patient and their family members or carers</w:t>
      </w:r>
      <w:r w:rsidR="003409CC">
        <w:t xml:space="preserve"> </w:t>
      </w:r>
      <w:r w:rsidR="00366844" w:rsidRPr="00366844">
        <w:t>and</w:t>
      </w:r>
      <w:r w:rsidR="003409CC">
        <w:t xml:space="preserve"> a propensity for patients to not </w:t>
      </w:r>
      <w:r w:rsidR="00366844" w:rsidRPr="00366844">
        <w:t xml:space="preserve">re-present for a second procedure. </w:t>
      </w:r>
    </w:p>
    <w:p w14:paraId="09DFB110" w14:textId="77777777" w:rsidR="00A942BF" w:rsidRPr="00A942BF" w:rsidRDefault="00A942BF" w:rsidP="00A942BF">
      <w:pPr>
        <w:spacing w:line="240" w:lineRule="auto"/>
        <w:rPr>
          <w:rFonts w:eastAsiaTheme="minorHAnsi"/>
        </w:rPr>
      </w:pPr>
      <w:r w:rsidRPr="00A942BF">
        <w:rPr>
          <w:rFonts w:eastAsiaTheme="minorHAnsi"/>
        </w:rPr>
        <w:t xml:space="preserve">At its meetings in March and June 2018, DICC developed eight draft recommendations around proposed changes to item level restrictions. </w:t>
      </w:r>
      <w:r w:rsidRPr="00990EF8">
        <w:rPr>
          <w:rFonts w:eastAsiaTheme="minorHAnsi"/>
        </w:rPr>
        <w:t xml:space="preserve">These recommendations were referred to the Taskforce for consideration at its meeting on 2 August 2018, with the Taskforce referring the </w:t>
      </w:r>
      <w:r w:rsidRPr="00990EF8">
        <w:rPr>
          <w:rFonts w:eastAsiaTheme="minorHAnsi"/>
        </w:rPr>
        <w:lastRenderedPageBreak/>
        <w:t>recommendations to the Committee for advice,</w:t>
      </w:r>
      <w:r w:rsidRPr="00990EF8">
        <w:rPr>
          <w:rFonts w:eastAsiaTheme="minorHAnsi"/>
          <w:b/>
        </w:rPr>
        <w:t xml:space="preserve"> </w:t>
      </w:r>
      <w:r w:rsidRPr="00A942BF">
        <w:rPr>
          <w:rFonts w:eastAsiaTheme="minorHAnsi"/>
        </w:rPr>
        <w:t>in the context of multiple services rules and item level restrictions on diagnostic imaging services more broadly.</w:t>
      </w:r>
    </w:p>
    <w:p w14:paraId="64530BB8" w14:textId="77777777" w:rsidR="00B95F07" w:rsidRPr="00B95F07" w:rsidRDefault="00B95F07" w:rsidP="00B95F07">
      <w:pPr>
        <w:spacing w:line="240" w:lineRule="auto"/>
        <w:rPr>
          <w:rFonts w:eastAsiaTheme="minorHAnsi"/>
        </w:rPr>
      </w:pPr>
      <w:r>
        <w:rPr>
          <w:rFonts w:eastAsiaTheme="minorHAnsi"/>
        </w:rPr>
        <w:t xml:space="preserve">The eight draft recommendations provided for Committee advice were: </w:t>
      </w:r>
    </w:p>
    <w:p w14:paraId="60F5798B" w14:textId="77777777" w:rsidR="00B95F07" w:rsidRPr="003409CC" w:rsidRDefault="00B95F07" w:rsidP="008C345B">
      <w:pPr>
        <w:spacing w:before="0" w:after="0" w:line="240" w:lineRule="auto"/>
        <w:ind w:right="95"/>
      </w:pPr>
      <w:r w:rsidRPr="003409CC">
        <w:t xml:space="preserve">Amend the item descriptors for items 55065 and 55067 (ultrasound of the pelvis) to remove co-claiming restrictions with items 55014 and 55036 (ultrasound of the abdomen). </w:t>
      </w:r>
    </w:p>
    <w:p w14:paraId="4444B252" w14:textId="7EBAED4F" w:rsidR="00B95F07" w:rsidRPr="003409CC" w:rsidRDefault="00B95F07" w:rsidP="008C345B">
      <w:pPr>
        <w:spacing w:before="0" w:after="0" w:line="240" w:lineRule="auto"/>
        <w:ind w:right="95"/>
      </w:pPr>
      <w:r w:rsidRPr="003409CC">
        <w:t>Amend the item descriptors for general ultrasound (not including interventional items), obstetric and gynaecological and musculos</w:t>
      </w:r>
      <w:r w:rsidR="00345B0D">
        <w:t>keletal ultrasound to remove co</w:t>
      </w:r>
      <w:r w:rsidR="00345B0D">
        <w:noBreakHyphen/>
      </w:r>
      <w:r w:rsidRPr="003409CC">
        <w:t>claiming restrictions with cardiac or vascular ultrasound (</w:t>
      </w:r>
      <w:proofErr w:type="gramStart"/>
      <w:r w:rsidRPr="003409CC">
        <w:t>with the exception of</w:t>
      </w:r>
      <w:proofErr w:type="gramEnd"/>
      <w:r w:rsidRPr="003409CC">
        <w:t xml:space="preserve"> lower leg ultrasound).</w:t>
      </w:r>
    </w:p>
    <w:p w14:paraId="1A79D20D" w14:textId="77777777" w:rsidR="00B95F07" w:rsidRPr="003409CC" w:rsidRDefault="00B95F07" w:rsidP="008C345B">
      <w:pPr>
        <w:spacing w:before="0" w:after="0" w:line="240" w:lineRule="auto"/>
        <w:ind w:right="95"/>
      </w:pPr>
      <w:r w:rsidRPr="003409CC">
        <w:t>Create separate items for unilateral and bilateral musculoskeletal ultrasound items with an appropriate fee for each.</w:t>
      </w:r>
    </w:p>
    <w:p w14:paraId="4E7C0388" w14:textId="77777777" w:rsidR="00B95F07" w:rsidRPr="00E85B93" w:rsidRDefault="00B95F07" w:rsidP="008C345B">
      <w:pPr>
        <w:spacing w:before="0" w:after="0" w:line="240" w:lineRule="auto"/>
        <w:ind w:right="95"/>
      </w:pPr>
      <w:r w:rsidRPr="003409CC">
        <w:t>Amend the item descriptors for interventional CT (items 57341 and 57345) and interventional fluoroscopy (items 60506, 60507, 60509, 60510, 61109 and 61110) to change the restriction with a diagnostic imaging service of any type to only services in their own subgroups.</w:t>
      </w:r>
    </w:p>
    <w:p w14:paraId="06A044D6" w14:textId="77777777" w:rsidR="00B95F07" w:rsidRPr="003409CC" w:rsidRDefault="00B95F07" w:rsidP="008C345B">
      <w:pPr>
        <w:spacing w:before="0" w:after="0" w:line="240" w:lineRule="auto"/>
        <w:ind w:right="95"/>
      </w:pPr>
      <w:r w:rsidRPr="003409CC">
        <w:t>Create a new item for MRI for the evaluation of cervical cancer for initial staging or</w:t>
      </w:r>
      <w:r>
        <w:t xml:space="preserve"> re</w:t>
      </w:r>
      <w:r>
        <w:noBreakHyphen/>
      </w:r>
      <w:r w:rsidRPr="003409CC">
        <w:t>staging with a time period restriction of two services per 12-month period.</w:t>
      </w:r>
    </w:p>
    <w:p w14:paraId="4D7D83B5" w14:textId="6E51A56A" w:rsidR="00B95F07" w:rsidRPr="003409CC" w:rsidRDefault="00345B0D" w:rsidP="008C345B">
      <w:pPr>
        <w:spacing w:before="0" w:after="0" w:line="240" w:lineRule="auto"/>
        <w:ind w:right="95"/>
      </w:pPr>
      <w:r>
        <w:t xml:space="preserve">Create a new item </w:t>
      </w:r>
      <w:r w:rsidR="00B95F07" w:rsidRPr="003409CC">
        <w:t>for MRI for the evaluation of rectal cancer for initial staging or re-staging with a time period restriction of two services per 12-month period.</w:t>
      </w:r>
    </w:p>
    <w:p w14:paraId="633298E8" w14:textId="44E6EC1C" w:rsidR="00B95F07" w:rsidRPr="003409CC" w:rsidRDefault="00B95F07" w:rsidP="008C345B">
      <w:pPr>
        <w:spacing w:before="0" w:after="0" w:line="240" w:lineRule="auto"/>
        <w:ind w:right="95"/>
      </w:pPr>
      <w:r w:rsidRPr="003409CC">
        <w:t>The time period restriction on MRI for PIP br</w:t>
      </w:r>
      <w:r w:rsidR="00345B0D">
        <w:t>east implants be changed from 1 </w:t>
      </w:r>
      <w:r w:rsidRPr="003409CC">
        <w:t>service per 12 months to 1 service every 24 months.</w:t>
      </w:r>
    </w:p>
    <w:p w14:paraId="2720FA8A" w14:textId="77777777" w:rsidR="00B95F07" w:rsidRPr="003409CC" w:rsidRDefault="00B95F07" w:rsidP="008C345B">
      <w:pPr>
        <w:spacing w:before="0" w:after="0" w:line="240" w:lineRule="auto"/>
        <w:ind w:right="95"/>
      </w:pPr>
      <w:r w:rsidRPr="003409CC">
        <w:t>The word “lifetime” be removed from the DIST with regards to time period restrictions on imaging services for cancer patients.</w:t>
      </w:r>
    </w:p>
    <w:p w14:paraId="6EB28CA9" w14:textId="68EDCC6B" w:rsidR="00B64A7C" w:rsidRPr="00A942BF" w:rsidRDefault="00B64A7C" w:rsidP="00A942BF">
      <w:pPr>
        <w:spacing w:line="240" w:lineRule="auto"/>
        <w:rPr>
          <w:rFonts w:eastAsiaTheme="minorHAnsi"/>
        </w:rPr>
      </w:pPr>
      <w:r w:rsidRPr="00990EF8">
        <w:rPr>
          <w:rFonts w:eastAsiaTheme="minorHAnsi"/>
        </w:rPr>
        <w:t xml:space="preserve">The Committee </w:t>
      </w:r>
      <w:r w:rsidR="00B243BC" w:rsidRPr="00990EF8">
        <w:rPr>
          <w:rFonts w:eastAsiaTheme="minorHAnsi"/>
        </w:rPr>
        <w:t xml:space="preserve">delivered </w:t>
      </w:r>
      <w:r w:rsidR="00A942BF" w:rsidRPr="00990EF8">
        <w:rPr>
          <w:rFonts w:eastAsiaTheme="minorHAnsi"/>
        </w:rPr>
        <w:t xml:space="preserve">the </w:t>
      </w:r>
      <w:r w:rsidRPr="00990EF8">
        <w:rPr>
          <w:rFonts w:eastAsiaTheme="minorHAnsi"/>
        </w:rPr>
        <w:t>principles</w:t>
      </w:r>
      <w:r w:rsidR="00B243BC" w:rsidRPr="00990EF8">
        <w:rPr>
          <w:rFonts w:eastAsiaTheme="minorHAnsi"/>
        </w:rPr>
        <w:t xml:space="preserve"> </w:t>
      </w:r>
      <w:r w:rsidR="002648BA" w:rsidRPr="00990EF8">
        <w:rPr>
          <w:rFonts w:eastAsiaTheme="minorHAnsi"/>
        </w:rPr>
        <w:t xml:space="preserve">below </w:t>
      </w:r>
      <w:r w:rsidR="00B243BC" w:rsidRPr="00990EF8">
        <w:rPr>
          <w:rFonts w:eastAsiaTheme="minorHAnsi"/>
        </w:rPr>
        <w:t xml:space="preserve">for Taskforce endorsement at the </w:t>
      </w:r>
      <w:r w:rsidRPr="00990EF8">
        <w:rPr>
          <w:rFonts w:eastAsiaTheme="minorHAnsi"/>
        </w:rPr>
        <w:t xml:space="preserve">meeting of </w:t>
      </w:r>
      <w:r w:rsidR="00B243BC" w:rsidRPr="00990EF8">
        <w:rPr>
          <w:rFonts w:eastAsiaTheme="minorHAnsi"/>
        </w:rPr>
        <w:t>18 </w:t>
      </w:r>
      <w:r w:rsidRPr="00990EF8">
        <w:rPr>
          <w:rFonts w:eastAsiaTheme="minorHAnsi"/>
        </w:rPr>
        <w:t>September 2018</w:t>
      </w:r>
      <w:r w:rsidRPr="00A942BF">
        <w:rPr>
          <w:rFonts w:eastAsiaTheme="minorHAnsi"/>
        </w:rPr>
        <w:t xml:space="preserve">. </w:t>
      </w:r>
      <w:r w:rsidR="002648BA">
        <w:rPr>
          <w:rFonts w:eastAsiaTheme="minorHAnsi"/>
        </w:rPr>
        <w:t xml:space="preserve">Taskforce </w:t>
      </w:r>
      <w:r w:rsidR="00B243BC">
        <w:rPr>
          <w:rFonts w:eastAsiaTheme="minorHAnsi"/>
        </w:rPr>
        <w:t xml:space="preserve">endorsed </w:t>
      </w:r>
      <w:r w:rsidR="002648BA">
        <w:rPr>
          <w:rFonts w:eastAsiaTheme="minorHAnsi"/>
        </w:rPr>
        <w:t xml:space="preserve">the principles, for DICC’s consideration when finalising recommendations </w:t>
      </w:r>
      <w:r w:rsidR="00B243BC">
        <w:rPr>
          <w:rFonts w:eastAsiaTheme="minorHAnsi"/>
        </w:rPr>
        <w:t xml:space="preserve">in their </w:t>
      </w:r>
      <w:r w:rsidR="00A942BF">
        <w:rPr>
          <w:rFonts w:eastAsiaTheme="minorHAnsi"/>
        </w:rPr>
        <w:t>draft report</w:t>
      </w:r>
      <w:r w:rsidRPr="00A942BF">
        <w:rPr>
          <w:rFonts w:eastAsiaTheme="minorHAnsi"/>
        </w:rPr>
        <w:t>.</w:t>
      </w:r>
    </w:p>
    <w:p w14:paraId="3A5D8468" w14:textId="77777777" w:rsidR="00C93614" w:rsidRDefault="00B64A7C" w:rsidP="00C93614">
      <w:pPr>
        <w:pStyle w:val="ListParagraph"/>
        <w:numPr>
          <w:ilvl w:val="1"/>
          <w:numId w:val="15"/>
        </w:numPr>
        <w:spacing w:before="0" w:after="0" w:line="240" w:lineRule="auto"/>
        <w:ind w:left="709" w:right="95" w:hanging="441"/>
      </w:pPr>
      <w:r w:rsidRPr="007C2729">
        <w:t>The MBS should not discourage or prevent clinically necessary services being performed.</w:t>
      </w:r>
    </w:p>
    <w:p w14:paraId="606AF9B9" w14:textId="77777777" w:rsidR="00C93614" w:rsidRDefault="007C2729" w:rsidP="00C93614">
      <w:pPr>
        <w:pStyle w:val="ListParagraph"/>
        <w:numPr>
          <w:ilvl w:val="1"/>
          <w:numId w:val="15"/>
        </w:numPr>
        <w:spacing w:before="0" w:after="0" w:line="240" w:lineRule="auto"/>
        <w:ind w:left="709" w:right="95" w:hanging="441"/>
      </w:pPr>
      <w:r>
        <w:t>Multiple service rules</w:t>
      </w:r>
      <w:r w:rsidR="00B64A7C" w:rsidRPr="007C2729">
        <w:t xml:space="preserve"> should not discourage or prevent multiple services being performed on a single occasion where clinically appropriate.</w:t>
      </w:r>
    </w:p>
    <w:p w14:paraId="7FBF7FCB" w14:textId="50F4F515" w:rsidR="00B64A7C" w:rsidRPr="007C2729" w:rsidRDefault="007C2729" w:rsidP="00C93614">
      <w:pPr>
        <w:pStyle w:val="ListParagraph"/>
        <w:numPr>
          <w:ilvl w:val="1"/>
          <w:numId w:val="15"/>
        </w:numPr>
        <w:spacing w:before="0" w:after="0" w:line="240" w:lineRule="auto"/>
        <w:ind w:left="709" w:right="95" w:hanging="441"/>
      </w:pPr>
      <w:r>
        <w:t xml:space="preserve">Multiple service rules </w:t>
      </w:r>
      <w:r w:rsidR="00B64A7C" w:rsidRPr="007C2729">
        <w:t>should not promote the disaggregation of ‘single’ services where this is not clinically appropriate and motivated by financial concerns.</w:t>
      </w:r>
    </w:p>
    <w:p w14:paraId="7096934B" w14:textId="21C8270B" w:rsidR="00B64A7C" w:rsidRPr="007C2729" w:rsidRDefault="007C2729" w:rsidP="00C93614">
      <w:pPr>
        <w:pStyle w:val="ListParagraph"/>
        <w:numPr>
          <w:ilvl w:val="1"/>
          <w:numId w:val="15"/>
        </w:numPr>
        <w:spacing w:before="0" w:after="0" w:line="240" w:lineRule="auto"/>
        <w:ind w:left="709" w:right="95" w:hanging="441"/>
      </w:pPr>
      <w:r>
        <w:t xml:space="preserve">Multiple service rules </w:t>
      </w:r>
      <w:r w:rsidR="00B64A7C" w:rsidRPr="007C2729">
        <w:t>should take account of financial efficiencies for providers.</w:t>
      </w:r>
    </w:p>
    <w:p w14:paraId="0A389687" w14:textId="77777777" w:rsidR="007C2729" w:rsidRDefault="007C2729" w:rsidP="00C93614">
      <w:pPr>
        <w:pStyle w:val="ListParagraph"/>
        <w:numPr>
          <w:ilvl w:val="1"/>
          <w:numId w:val="15"/>
        </w:numPr>
        <w:spacing w:before="0" w:after="0" w:line="240" w:lineRule="auto"/>
        <w:ind w:left="709" w:right="95" w:hanging="441"/>
      </w:pPr>
      <w:r>
        <w:t>Multiple service rules</w:t>
      </w:r>
      <w:r w:rsidR="00B64A7C" w:rsidRPr="007C2729">
        <w:t xml:space="preserve"> should not impact adversely on patient convenience.</w:t>
      </w:r>
    </w:p>
    <w:p w14:paraId="45D80E45" w14:textId="6F32197D" w:rsidR="00B64A7C" w:rsidRPr="007C2729" w:rsidRDefault="007C2729" w:rsidP="00C93614">
      <w:pPr>
        <w:pStyle w:val="ListParagraph"/>
        <w:numPr>
          <w:ilvl w:val="1"/>
          <w:numId w:val="15"/>
        </w:numPr>
        <w:spacing w:before="0" w:after="0" w:line="240" w:lineRule="auto"/>
        <w:ind w:left="709" w:right="95" w:hanging="441"/>
      </w:pPr>
      <w:r>
        <w:t>M</w:t>
      </w:r>
      <w:r w:rsidRPr="007C2729">
        <w:rPr>
          <w:rFonts w:eastAsiaTheme="minorHAnsi"/>
        </w:rPr>
        <w:t xml:space="preserve">ultiple service rules </w:t>
      </w:r>
      <w:r w:rsidR="00B64A7C" w:rsidRPr="007C2729">
        <w:rPr>
          <w:rFonts w:eastAsiaTheme="minorHAnsi"/>
        </w:rPr>
        <w:t>should apply with respect to the request form rather than when the intervention is undertaken i.e. If the request form is</w:t>
      </w:r>
      <w:r w:rsidRPr="007C2729">
        <w:rPr>
          <w:rFonts w:eastAsiaTheme="minorHAnsi"/>
        </w:rPr>
        <w:t xml:space="preserve"> for right and left sides, the multiple service rule</w:t>
      </w:r>
      <w:r w:rsidR="00B64A7C" w:rsidRPr="007C2729">
        <w:rPr>
          <w:rFonts w:eastAsiaTheme="minorHAnsi"/>
        </w:rPr>
        <w:t xml:space="preserve"> is applied whenever the tests are performed.</w:t>
      </w:r>
    </w:p>
    <w:p w14:paraId="0CA853DF" w14:textId="57331BA6" w:rsidR="00B64A7C" w:rsidRPr="00B243BC" w:rsidRDefault="00B24260" w:rsidP="00B243BC">
      <w:pPr>
        <w:pStyle w:val="Heading2"/>
        <w:spacing w:line="240" w:lineRule="auto"/>
        <w:ind w:right="95"/>
      </w:pPr>
      <w:bookmarkStart w:id="155" w:name="_Toc528313788"/>
      <w:bookmarkStart w:id="156" w:name="_Toc11335997"/>
      <w:bookmarkStart w:id="157" w:name="_Toc11336494"/>
      <w:bookmarkStart w:id="158" w:name="_Toc11337050"/>
      <w:bookmarkStart w:id="159" w:name="_Toc11337197"/>
      <w:bookmarkStart w:id="160" w:name="_Toc11338178"/>
      <w:bookmarkStart w:id="161" w:name="_Toc11338957"/>
      <w:bookmarkStart w:id="162" w:name="_Toc11339616"/>
      <w:bookmarkStart w:id="163" w:name="_Toc11662015"/>
      <w:bookmarkStart w:id="164" w:name="_Toc11856751"/>
      <w:bookmarkStart w:id="165" w:name="_Toc11857029"/>
      <w:bookmarkStart w:id="166" w:name="_Toc11861968"/>
      <w:bookmarkStart w:id="167" w:name="_Toc11918458"/>
      <w:bookmarkStart w:id="168" w:name="_Toc11920038"/>
      <w:bookmarkStart w:id="169" w:name="_Toc11928331"/>
      <w:bookmarkStart w:id="170" w:name="_Toc19273949"/>
      <w:bookmarkStart w:id="171" w:name="_Toc19275093"/>
      <w:bookmarkStart w:id="172" w:name="_Toc20404405"/>
      <w:bookmarkStart w:id="173" w:name="_Toc20740449"/>
      <w:bookmarkStart w:id="174" w:name="_Toc20749043"/>
      <w:bookmarkStart w:id="175" w:name="_Toc20749359"/>
      <w:bookmarkStart w:id="176" w:name="_Toc20840006"/>
      <w:bookmarkStart w:id="177" w:name="_Toc20907577"/>
      <w:bookmarkStart w:id="178" w:name="_Toc20908446"/>
      <w:bookmarkStart w:id="179" w:name="_Toc20914379"/>
      <w:bookmarkStart w:id="180" w:name="_Toc22120854"/>
      <w:bookmarkStart w:id="181" w:name="_Toc23773486"/>
      <w:bookmarkStart w:id="182" w:name="_Toc24111249"/>
      <w:bookmarkStart w:id="183" w:name="_Toc25763979"/>
      <w:bookmarkStart w:id="184" w:name="_Toc25767884"/>
      <w:bookmarkStart w:id="185" w:name="_Toc25843717"/>
      <w:r>
        <w:t>B</w:t>
      </w:r>
      <w:r w:rsidR="00B243BC">
        <w:t>.10</w:t>
      </w:r>
      <w:r w:rsidR="00907488" w:rsidRPr="00B243BC">
        <w:t xml:space="preserve">.3 </w:t>
      </w:r>
      <w:r w:rsidR="00B64A7C" w:rsidRPr="00B243BC">
        <w:t>Imaging test substitution by radiologists</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7BAFA80E" w14:textId="77777777" w:rsidR="005A58B8" w:rsidRDefault="00B64A7C" w:rsidP="00724883">
      <w:pPr>
        <w:spacing w:line="240" w:lineRule="auto"/>
        <w:rPr>
          <w:rFonts w:eastAsiaTheme="minorHAnsi"/>
        </w:rPr>
      </w:pPr>
      <w:r w:rsidRPr="00724883">
        <w:rPr>
          <w:rFonts w:eastAsiaTheme="minorHAnsi"/>
        </w:rPr>
        <w:t xml:space="preserve">At its meeting of 21 June 2018, the DICC considered the issue of imaging test substitution and, in particular, a proposal that proposed a mechanism be developed to allow radiologists (and other imaging specialists who analogously undertake arm’s length referral for imaging) to substitute the requested test with a clinically more appropriate test. </w:t>
      </w:r>
    </w:p>
    <w:p w14:paraId="16BCFE69" w14:textId="34278B6F" w:rsidR="005A58B8" w:rsidRDefault="005A58B8" w:rsidP="005A58B8">
      <w:pPr>
        <w:spacing w:line="240" w:lineRule="auto"/>
        <w:rPr>
          <w:rFonts w:eastAsiaTheme="minorHAnsi"/>
        </w:rPr>
      </w:pPr>
      <w:r>
        <w:rPr>
          <w:rFonts w:eastAsiaTheme="minorHAnsi"/>
        </w:rPr>
        <w:t xml:space="preserve">DICC identified that the proposal had significant </w:t>
      </w:r>
      <w:r w:rsidR="00724883" w:rsidRPr="00724883">
        <w:rPr>
          <w:rFonts w:eastAsiaTheme="minorHAnsi"/>
        </w:rPr>
        <w:t xml:space="preserve">potential to </w:t>
      </w:r>
      <w:r w:rsidR="00B64A7C" w:rsidRPr="00724883">
        <w:rPr>
          <w:rFonts w:eastAsiaTheme="minorHAnsi"/>
        </w:rPr>
        <w:t>enhance delivery of individual patient care</w:t>
      </w:r>
      <w:r>
        <w:rPr>
          <w:rFonts w:eastAsiaTheme="minorHAnsi"/>
        </w:rPr>
        <w:t>, specifically</w:t>
      </w:r>
      <w:r w:rsidR="002A56C7">
        <w:rPr>
          <w:rFonts w:eastAsiaTheme="minorHAnsi"/>
        </w:rPr>
        <w:t xml:space="preserve"> that</w:t>
      </w:r>
      <w:r>
        <w:rPr>
          <w:rFonts w:eastAsiaTheme="minorHAnsi"/>
        </w:rPr>
        <w:t xml:space="preserve">: </w:t>
      </w:r>
    </w:p>
    <w:p w14:paraId="76FB101D" w14:textId="3FBDC763" w:rsidR="00B64A7C" w:rsidRPr="005A58B8" w:rsidRDefault="002A56C7" w:rsidP="00C93614">
      <w:pPr>
        <w:pStyle w:val="ListParagraph"/>
        <w:numPr>
          <w:ilvl w:val="1"/>
          <w:numId w:val="15"/>
        </w:numPr>
        <w:spacing w:before="0" w:after="0" w:line="240" w:lineRule="auto"/>
        <w:ind w:left="709" w:right="95" w:hanging="441"/>
      </w:pPr>
      <w:r>
        <w:t xml:space="preserve">Patients should </w:t>
      </w:r>
      <w:r w:rsidR="00B64A7C" w:rsidRPr="005A58B8">
        <w:t xml:space="preserve">undergo the most appropriate diagnostic imaging examination (or a combination of examinations) to address </w:t>
      </w:r>
      <w:r>
        <w:t xml:space="preserve">a specific </w:t>
      </w:r>
      <w:r w:rsidR="00B64A7C" w:rsidRPr="005A58B8">
        <w:t>problem or answer the clinical question safely, effectively, accurately, and in the least number of steps; with due regard to radiation protection, patient preference, and locally available skills and resources.</w:t>
      </w:r>
    </w:p>
    <w:p w14:paraId="18A61136" w14:textId="77777777" w:rsidR="00B64A7C" w:rsidRPr="005A58B8" w:rsidRDefault="00B64A7C" w:rsidP="00C93614">
      <w:pPr>
        <w:pStyle w:val="ListParagraph"/>
        <w:numPr>
          <w:ilvl w:val="1"/>
          <w:numId w:val="15"/>
        </w:numPr>
        <w:spacing w:before="0" w:after="0" w:line="240" w:lineRule="auto"/>
        <w:ind w:left="709" w:right="95" w:hanging="441"/>
      </w:pPr>
      <w:r w:rsidRPr="005A58B8">
        <w:t>It is clinically suboptimal, and may fail the principle of radiation exposure justification, for the patient to undergo an inappropriate (or even futile) imaging examination.</w:t>
      </w:r>
    </w:p>
    <w:p w14:paraId="35EF1504" w14:textId="77777777" w:rsidR="00B64A7C" w:rsidRPr="005A58B8" w:rsidRDefault="00B64A7C" w:rsidP="00C93614">
      <w:pPr>
        <w:pStyle w:val="ListParagraph"/>
        <w:numPr>
          <w:ilvl w:val="1"/>
          <w:numId w:val="15"/>
        </w:numPr>
        <w:spacing w:before="0" w:after="0" w:line="240" w:lineRule="auto"/>
        <w:ind w:left="709" w:right="95" w:hanging="441"/>
      </w:pPr>
      <w:r w:rsidRPr="005A58B8">
        <w:lastRenderedPageBreak/>
        <w:t>The clinical radiologist is the suitably trained and logically positioned medical specialist to arrest inappropriately requested examinations, and to substitute appropriate ones.</w:t>
      </w:r>
    </w:p>
    <w:p w14:paraId="22F44785" w14:textId="77777777" w:rsidR="002A56C7" w:rsidRDefault="002A56C7" w:rsidP="002A56C7">
      <w:pPr>
        <w:spacing w:line="240" w:lineRule="auto"/>
      </w:pPr>
      <w:r w:rsidRPr="002A56C7">
        <w:rPr>
          <w:rFonts w:eastAsiaTheme="minorHAnsi"/>
        </w:rPr>
        <w:t>The DICC was keen to ensure that:</w:t>
      </w:r>
    </w:p>
    <w:p w14:paraId="30061079" w14:textId="357D4CB3" w:rsidR="00B64A7C" w:rsidRPr="005A58B8" w:rsidRDefault="00B64A7C" w:rsidP="00C93614">
      <w:pPr>
        <w:pStyle w:val="ListParagraph"/>
        <w:numPr>
          <w:ilvl w:val="1"/>
          <w:numId w:val="15"/>
        </w:numPr>
        <w:spacing w:before="0" w:after="0" w:line="240" w:lineRule="auto"/>
        <w:ind w:left="709" w:right="95" w:hanging="441"/>
      </w:pPr>
      <w:r w:rsidRPr="005A58B8">
        <w:t>The imaging investigation that the radiologist substitutes should be the most appropriate to answer the clinical question at hand, given considerations of radiation safety, patient safety, accuracy of imaging test for the differential diagnosis or clinical task at hand, patient preference and local expertise.</w:t>
      </w:r>
    </w:p>
    <w:p w14:paraId="73B2B983" w14:textId="77777777" w:rsidR="00B64A7C" w:rsidRPr="005A58B8" w:rsidRDefault="00B64A7C" w:rsidP="00C93614">
      <w:pPr>
        <w:pStyle w:val="ListParagraph"/>
        <w:numPr>
          <w:ilvl w:val="1"/>
          <w:numId w:val="15"/>
        </w:numPr>
        <w:spacing w:before="0" w:after="0" w:line="240" w:lineRule="auto"/>
        <w:ind w:left="709" w:right="95" w:hanging="441"/>
      </w:pPr>
      <w:r w:rsidRPr="005A58B8">
        <w:t>The substitution should happen on direct instruction by the radiologist, with appropriate documentation of the justification as above.</w:t>
      </w:r>
    </w:p>
    <w:p w14:paraId="2A83C257" w14:textId="77777777" w:rsidR="00B64A7C" w:rsidRPr="002A56C7" w:rsidRDefault="00B64A7C" w:rsidP="00C93614">
      <w:pPr>
        <w:pStyle w:val="ListParagraph"/>
        <w:numPr>
          <w:ilvl w:val="1"/>
          <w:numId w:val="15"/>
        </w:numPr>
        <w:spacing w:before="0" w:after="0" w:line="240" w:lineRule="auto"/>
        <w:ind w:left="709" w:right="95" w:hanging="441"/>
      </w:pPr>
      <w:r w:rsidRPr="002A56C7">
        <w:t xml:space="preserve">The funding for the substituted test should be the same as for the test which is being substituted; this is in order to prevent any real or perceived perverse incentive to substitute tests. </w:t>
      </w:r>
    </w:p>
    <w:p w14:paraId="1BC33EE0" w14:textId="77777777" w:rsidR="00B64A7C" w:rsidRPr="002A56C7" w:rsidRDefault="00B64A7C" w:rsidP="00C93614">
      <w:pPr>
        <w:pStyle w:val="ListParagraph"/>
        <w:numPr>
          <w:ilvl w:val="1"/>
          <w:numId w:val="15"/>
        </w:numPr>
        <w:spacing w:before="0" w:after="0" w:line="240" w:lineRule="auto"/>
        <w:ind w:left="709" w:right="95" w:hanging="441"/>
      </w:pPr>
      <w:r w:rsidRPr="002A56C7">
        <w:t>Such substitution should be allowed to happen at the clinical judgement and discretion of the supervising radiologist unless an exception occurs.</w:t>
      </w:r>
    </w:p>
    <w:p w14:paraId="2C4FE4DA" w14:textId="2DE1471F" w:rsidR="00B64A7C" w:rsidRPr="002A56C7" w:rsidRDefault="002A56C7" w:rsidP="00C93614">
      <w:pPr>
        <w:pStyle w:val="ListParagraph"/>
        <w:numPr>
          <w:ilvl w:val="1"/>
          <w:numId w:val="15"/>
        </w:numPr>
        <w:spacing w:before="0" w:after="0" w:line="240" w:lineRule="auto"/>
        <w:ind w:left="709" w:right="95" w:hanging="441"/>
      </w:pPr>
      <w:r>
        <w:t>The substitution should</w:t>
      </w:r>
      <w:r w:rsidR="00B64A7C" w:rsidRPr="002A56C7">
        <w:t xml:space="preserve"> be discussed with the patient, including the justification and the reasons for the substitution, a</w:t>
      </w:r>
      <w:r>
        <w:t>nd be acceptable to the patient. Noting that any change would need to take into consideration the time required to discuss and select an imaging test.</w:t>
      </w:r>
    </w:p>
    <w:p w14:paraId="100B51FF" w14:textId="77777777" w:rsidR="00B64A7C" w:rsidRPr="002A56C7" w:rsidRDefault="00B64A7C" w:rsidP="00C93614">
      <w:pPr>
        <w:pStyle w:val="ListParagraph"/>
        <w:numPr>
          <w:ilvl w:val="1"/>
          <w:numId w:val="15"/>
        </w:numPr>
        <w:spacing w:before="0" w:after="0" w:line="240" w:lineRule="auto"/>
        <w:ind w:left="709" w:right="95" w:hanging="441"/>
      </w:pPr>
      <w:r w:rsidRPr="002A56C7">
        <w:t>Paperless and electronic request forms should have a mechanism for the referrer to indicate that the referrer does not wish for substitution to happen without prior consultation with the referrer; this mechanism is analogous to the PBS prescription mechanism which states medication substitution is not to occur.</w:t>
      </w:r>
    </w:p>
    <w:p w14:paraId="1D554C1A" w14:textId="75687E34" w:rsidR="00B64A7C" w:rsidRPr="002A56C7" w:rsidRDefault="002A56C7" w:rsidP="00C93614">
      <w:pPr>
        <w:pStyle w:val="ListParagraph"/>
        <w:numPr>
          <w:ilvl w:val="1"/>
          <w:numId w:val="15"/>
        </w:numPr>
        <w:spacing w:before="0" w:after="0" w:line="240" w:lineRule="auto"/>
        <w:ind w:left="709" w:right="95" w:hanging="441"/>
      </w:pPr>
      <w:r>
        <w:t xml:space="preserve">Any change would not affect the current process to change a referral, i.e. change occurs </w:t>
      </w:r>
      <w:r w:rsidR="00B64A7C" w:rsidRPr="002A56C7">
        <w:t xml:space="preserve">following direct contact between the referrer and the supervising radiologist and case discussion.  </w:t>
      </w:r>
    </w:p>
    <w:p w14:paraId="4F1BDAA3" w14:textId="77777777" w:rsidR="002A56C7" w:rsidRDefault="002A56C7" w:rsidP="00C93614">
      <w:pPr>
        <w:pStyle w:val="ListParagraph"/>
        <w:numPr>
          <w:ilvl w:val="1"/>
          <w:numId w:val="15"/>
        </w:numPr>
        <w:spacing w:before="0" w:after="0" w:line="240" w:lineRule="auto"/>
        <w:ind w:left="709" w:right="95" w:hanging="441"/>
      </w:pPr>
      <w:r>
        <w:t xml:space="preserve">Education on any change </w:t>
      </w:r>
      <w:r w:rsidR="00B64A7C" w:rsidRPr="002A56C7">
        <w:t>should be promoted and advocated. This should include decision support algorithms bas</w:t>
      </w:r>
      <w:r>
        <w:t>ed on valid clinical evidence as t</w:t>
      </w:r>
      <w:r w:rsidR="00B64A7C" w:rsidRPr="002A56C7">
        <w:t>hese two approaches for raising the quality of patient care are complementary to one another.</w:t>
      </w:r>
    </w:p>
    <w:p w14:paraId="0DE14F64" w14:textId="569DABB1" w:rsidR="00B64A7C" w:rsidRPr="002A56C7" w:rsidRDefault="002A56C7" w:rsidP="00C93614">
      <w:pPr>
        <w:pStyle w:val="ListParagraph"/>
        <w:keepNext/>
        <w:numPr>
          <w:ilvl w:val="1"/>
          <w:numId w:val="15"/>
        </w:numPr>
        <w:spacing w:before="240" w:after="0" w:line="240" w:lineRule="auto"/>
        <w:ind w:left="709" w:right="95" w:hanging="441"/>
        <w:outlineLvl w:val="2"/>
        <w:rPr>
          <w:rFonts w:eastAsia="Calibri" w:cstheme="minorHAnsi"/>
          <w:b/>
          <w:bCs/>
          <w:i/>
          <w:color w:val="B56012"/>
          <w:lang w:val="en-US"/>
        </w:rPr>
      </w:pPr>
      <w:r>
        <w:t xml:space="preserve">Any education should also seek to improve information recorded on the request form to ensure the receiving party has sufficient information on which to base a clinical decision. </w:t>
      </w:r>
    </w:p>
    <w:p w14:paraId="3E93A8D4" w14:textId="2F7B9299" w:rsidR="00B64A7C" w:rsidRPr="00714D6C" w:rsidRDefault="00B64A7C" w:rsidP="00714D6C">
      <w:pPr>
        <w:spacing w:line="240" w:lineRule="auto"/>
        <w:rPr>
          <w:rFonts w:eastAsiaTheme="minorHAnsi"/>
          <w:b/>
          <w:color w:val="FF0000"/>
        </w:rPr>
      </w:pPr>
      <w:r w:rsidRPr="00714D6C">
        <w:rPr>
          <w:rFonts w:eastAsiaTheme="minorHAnsi"/>
        </w:rPr>
        <w:t>T</w:t>
      </w:r>
      <w:r w:rsidR="002A56C7" w:rsidRPr="00714D6C">
        <w:rPr>
          <w:rFonts w:eastAsiaTheme="minorHAnsi"/>
        </w:rPr>
        <w:t xml:space="preserve">he Committee determined that the current </w:t>
      </w:r>
      <w:r w:rsidRPr="00714D6C">
        <w:rPr>
          <w:rFonts w:eastAsiaTheme="minorHAnsi"/>
        </w:rPr>
        <w:t xml:space="preserve">MBS </w:t>
      </w:r>
      <w:r w:rsidR="002A56C7" w:rsidRPr="00714D6C">
        <w:rPr>
          <w:rFonts w:eastAsiaTheme="minorHAnsi"/>
        </w:rPr>
        <w:t xml:space="preserve">inadvertently encourages </w:t>
      </w:r>
      <w:r w:rsidRPr="00714D6C">
        <w:rPr>
          <w:rFonts w:eastAsiaTheme="minorHAnsi"/>
        </w:rPr>
        <w:t xml:space="preserve">less than optimal patient care </w:t>
      </w:r>
      <w:r w:rsidR="00714D6C" w:rsidRPr="00714D6C">
        <w:rPr>
          <w:rFonts w:eastAsiaTheme="minorHAnsi"/>
        </w:rPr>
        <w:t xml:space="preserve">by limiting the ability of the </w:t>
      </w:r>
      <w:r w:rsidRPr="00714D6C">
        <w:rPr>
          <w:rFonts w:eastAsiaTheme="minorHAnsi"/>
        </w:rPr>
        <w:t xml:space="preserve">radiologist </w:t>
      </w:r>
      <w:r w:rsidR="00714D6C" w:rsidRPr="00714D6C">
        <w:rPr>
          <w:rFonts w:eastAsiaTheme="minorHAnsi"/>
        </w:rPr>
        <w:t xml:space="preserve">to select another test that would be </w:t>
      </w:r>
      <w:r w:rsidRPr="00714D6C">
        <w:rPr>
          <w:rFonts w:eastAsiaTheme="minorHAnsi"/>
        </w:rPr>
        <w:t xml:space="preserve">‘better’. </w:t>
      </w:r>
      <w:r w:rsidR="00714D6C" w:rsidRPr="00990EF8">
        <w:rPr>
          <w:rFonts w:eastAsiaTheme="minorHAnsi"/>
        </w:rPr>
        <w:t xml:space="preserve">The </w:t>
      </w:r>
      <w:r w:rsidRPr="00990EF8">
        <w:rPr>
          <w:rFonts w:eastAsiaTheme="minorHAnsi"/>
        </w:rPr>
        <w:t>Committee made the following recommendations</w:t>
      </w:r>
      <w:r w:rsidR="00714D6C" w:rsidRPr="00990EF8">
        <w:rPr>
          <w:rFonts w:eastAsiaTheme="minorHAnsi"/>
        </w:rPr>
        <w:t>, Taskforce endorsed the principles at its meeting of 18 September 2018, for DICC’s consideration when finalising recommendations in their draft report.</w:t>
      </w:r>
    </w:p>
    <w:p w14:paraId="41C09732" w14:textId="30F3F65B" w:rsidR="00B64A7C" w:rsidRPr="00714D6C" w:rsidRDefault="00B64A7C" w:rsidP="00C93614">
      <w:pPr>
        <w:pStyle w:val="ListParagraph"/>
        <w:numPr>
          <w:ilvl w:val="0"/>
          <w:numId w:val="35"/>
        </w:numPr>
        <w:spacing w:line="240" w:lineRule="auto"/>
        <w:ind w:right="95"/>
      </w:pPr>
      <w:r w:rsidRPr="00714D6C">
        <w:t>A clinical radiologist may substitute a requested diagnostic imaging examination with a more appropriate examination, provided that:</w:t>
      </w:r>
    </w:p>
    <w:p w14:paraId="14752C43" w14:textId="77777777" w:rsidR="00B64A7C" w:rsidRPr="00714D6C" w:rsidRDefault="00B64A7C" w:rsidP="00C93614">
      <w:pPr>
        <w:pStyle w:val="ListParagraph"/>
        <w:numPr>
          <w:ilvl w:val="1"/>
          <w:numId w:val="28"/>
        </w:numPr>
        <w:spacing w:before="0" w:after="0" w:line="240" w:lineRule="auto"/>
        <w:ind w:right="95"/>
      </w:pPr>
      <w:r w:rsidRPr="00714D6C">
        <w:t xml:space="preserve">the substitution is in the patient’s best interest </w:t>
      </w:r>
    </w:p>
    <w:p w14:paraId="6E2FCAAC" w14:textId="77777777" w:rsidR="00B64A7C" w:rsidRPr="00714D6C" w:rsidRDefault="00B64A7C" w:rsidP="00C93614">
      <w:pPr>
        <w:pStyle w:val="ListParagraph"/>
        <w:numPr>
          <w:ilvl w:val="1"/>
          <w:numId w:val="28"/>
        </w:numPr>
        <w:spacing w:before="0" w:after="0" w:line="240" w:lineRule="auto"/>
        <w:ind w:right="95"/>
      </w:pPr>
      <w:r w:rsidRPr="00714D6C">
        <w:t>all reasonable efforts have been made to discuss the substitution with the referrer*</w:t>
      </w:r>
    </w:p>
    <w:p w14:paraId="3A7F1B80" w14:textId="77777777" w:rsidR="00B64A7C" w:rsidRPr="00714D6C" w:rsidRDefault="00B64A7C" w:rsidP="00C93614">
      <w:pPr>
        <w:pStyle w:val="ListParagraph"/>
        <w:numPr>
          <w:ilvl w:val="1"/>
          <w:numId w:val="28"/>
        </w:numPr>
        <w:spacing w:before="0" w:after="0" w:line="240" w:lineRule="auto"/>
        <w:ind w:right="95"/>
      </w:pPr>
      <w:r w:rsidRPr="00714D6C">
        <w:t>the decision to substitute has been made by the clinical radiologist and may not be delegated</w:t>
      </w:r>
    </w:p>
    <w:p w14:paraId="394ED072" w14:textId="77777777" w:rsidR="00B64A7C" w:rsidRPr="00714D6C" w:rsidRDefault="00B64A7C" w:rsidP="00C93614">
      <w:pPr>
        <w:pStyle w:val="ListParagraph"/>
        <w:numPr>
          <w:ilvl w:val="1"/>
          <w:numId w:val="28"/>
        </w:numPr>
        <w:spacing w:before="0" w:after="0" w:line="240" w:lineRule="auto"/>
        <w:ind w:right="95"/>
      </w:pPr>
      <w:r w:rsidRPr="00714D6C">
        <w:t>the clinical radiologist must discuss the substitution with the patient and obtain consent for the substitution. This discussion cannot be delegated.</w:t>
      </w:r>
    </w:p>
    <w:p w14:paraId="1F9F822D" w14:textId="77777777" w:rsidR="00B64A7C" w:rsidRPr="00714D6C" w:rsidRDefault="00B64A7C" w:rsidP="00714D6C">
      <w:pPr>
        <w:spacing w:before="0" w:after="0" w:line="240" w:lineRule="auto"/>
        <w:ind w:left="709"/>
        <w:rPr>
          <w:i/>
        </w:rPr>
      </w:pPr>
      <w:r w:rsidRPr="00714D6C">
        <w:rPr>
          <w:i/>
        </w:rPr>
        <w:t>*If contact with the referrer does not occur, substitution can still proceed, but the lower Medicare rebate of the referred examination and the substituted examination will apply.</w:t>
      </w:r>
    </w:p>
    <w:p w14:paraId="6E69D3FA" w14:textId="0538BC55" w:rsidR="00714D6C" w:rsidRDefault="00B64A7C" w:rsidP="00C93614">
      <w:pPr>
        <w:pStyle w:val="ListParagraph"/>
        <w:numPr>
          <w:ilvl w:val="0"/>
          <w:numId w:val="35"/>
        </w:numPr>
        <w:spacing w:before="0" w:after="120" w:line="240" w:lineRule="auto"/>
        <w:ind w:right="96"/>
      </w:pPr>
      <w:r w:rsidRPr="00714D6C">
        <w:t xml:space="preserve">Where the clinical radiologist </w:t>
      </w:r>
      <w:proofErr w:type="gramStart"/>
      <w:r w:rsidRPr="00714D6C">
        <w:t>is able to</w:t>
      </w:r>
      <w:proofErr w:type="gramEnd"/>
      <w:r w:rsidRPr="00714D6C">
        <w:t xml:space="preserve"> contact the referrer, the rebate for the substituted test applies. A record of the conversation between the clinical radiologist and referrer must be made in the imaging report and this will replace the need for an altered referral.</w:t>
      </w:r>
    </w:p>
    <w:p w14:paraId="6E3B95A4" w14:textId="5A9A5989" w:rsidR="00B64A7C" w:rsidRPr="00714D6C" w:rsidRDefault="00B64A7C" w:rsidP="00C93614">
      <w:pPr>
        <w:pStyle w:val="ListParagraph"/>
        <w:numPr>
          <w:ilvl w:val="0"/>
          <w:numId w:val="35"/>
        </w:numPr>
        <w:spacing w:before="0" w:after="120" w:line="240" w:lineRule="auto"/>
        <w:ind w:left="714" w:right="96" w:hanging="357"/>
      </w:pPr>
      <w:r w:rsidRPr="00714D6C">
        <w:lastRenderedPageBreak/>
        <w:t>Where the clinical radiologist is unable to contact the referrer, the reason for the substitution must be recorded in the imaging report and the lower Medicare rebate of the referred test and the substituted test applies.</w:t>
      </w:r>
    </w:p>
    <w:p w14:paraId="7EE8B7C6" w14:textId="52D61D76" w:rsidR="00B64A7C" w:rsidRPr="0023786B" w:rsidRDefault="00B24260" w:rsidP="00907488">
      <w:pPr>
        <w:pStyle w:val="Heading2"/>
        <w:rPr>
          <w:rFonts w:cstheme="minorHAnsi"/>
          <w:sz w:val="28"/>
          <w:szCs w:val="28"/>
        </w:rPr>
      </w:pPr>
      <w:bookmarkStart w:id="186" w:name="_Toc528313789"/>
      <w:bookmarkStart w:id="187" w:name="_Toc11335998"/>
      <w:bookmarkStart w:id="188" w:name="_Toc11336495"/>
      <w:bookmarkStart w:id="189" w:name="_Toc11337051"/>
      <w:bookmarkStart w:id="190" w:name="_Toc11337198"/>
      <w:bookmarkStart w:id="191" w:name="_Toc11338179"/>
      <w:bookmarkStart w:id="192" w:name="_Toc11338958"/>
      <w:bookmarkStart w:id="193" w:name="_Toc11339617"/>
      <w:bookmarkStart w:id="194" w:name="_Toc11662016"/>
      <w:bookmarkStart w:id="195" w:name="_Toc11856752"/>
      <w:bookmarkStart w:id="196" w:name="_Toc11857030"/>
      <w:bookmarkStart w:id="197" w:name="_Toc11861969"/>
      <w:bookmarkStart w:id="198" w:name="_Toc11918459"/>
      <w:bookmarkStart w:id="199" w:name="_Toc11920039"/>
      <w:bookmarkStart w:id="200" w:name="_Toc11928332"/>
      <w:bookmarkStart w:id="201" w:name="_Toc19273950"/>
      <w:bookmarkStart w:id="202" w:name="_Toc19275094"/>
      <w:bookmarkStart w:id="203" w:name="_Toc20404406"/>
      <w:bookmarkStart w:id="204" w:name="_Toc20740450"/>
      <w:bookmarkStart w:id="205" w:name="_Toc20749044"/>
      <w:bookmarkStart w:id="206" w:name="_Toc20749360"/>
      <w:bookmarkStart w:id="207" w:name="_Toc20840007"/>
      <w:bookmarkStart w:id="208" w:name="_Toc20907578"/>
      <w:bookmarkStart w:id="209" w:name="_Toc20908447"/>
      <w:bookmarkStart w:id="210" w:name="_Toc20914380"/>
      <w:bookmarkStart w:id="211" w:name="_Toc22120855"/>
      <w:bookmarkStart w:id="212" w:name="_Toc23773487"/>
      <w:bookmarkStart w:id="213" w:name="_Toc24111250"/>
      <w:bookmarkStart w:id="214" w:name="_Toc25763980"/>
      <w:bookmarkStart w:id="215" w:name="_Toc25767885"/>
      <w:bookmarkStart w:id="216" w:name="_Toc25843718"/>
      <w:r>
        <w:rPr>
          <w:rFonts w:cstheme="minorHAnsi"/>
          <w:sz w:val="28"/>
          <w:szCs w:val="28"/>
        </w:rPr>
        <w:t>B</w:t>
      </w:r>
      <w:r w:rsidR="00B243BC">
        <w:rPr>
          <w:rFonts w:cstheme="minorHAnsi"/>
          <w:sz w:val="28"/>
          <w:szCs w:val="28"/>
        </w:rPr>
        <w:t>.10</w:t>
      </w:r>
      <w:r w:rsidR="00907488" w:rsidRPr="0023786B">
        <w:rPr>
          <w:rFonts w:cstheme="minorHAnsi"/>
          <w:sz w:val="28"/>
          <w:szCs w:val="28"/>
        </w:rPr>
        <w:t xml:space="preserve">.4 </w:t>
      </w:r>
      <w:r w:rsidR="00B64A7C" w:rsidRPr="0023786B">
        <w:rPr>
          <w:rFonts w:cstheme="minorHAnsi"/>
          <w:sz w:val="28"/>
          <w:szCs w:val="28"/>
        </w:rPr>
        <w:t>Computed tomography angiography frequency limits</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4C3D917A" w14:textId="6D77511C" w:rsidR="00B64A7C" w:rsidRPr="00714D6C" w:rsidRDefault="00B64A7C" w:rsidP="00714D6C">
      <w:pPr>
        <w:spacing w:line="240" w:lineRule="auto"/>
        <w:rPr>
          <w:rFonts w:eastAsiaTheme="minorHAnsi"/>
        </w:rPr>
      </w:pPr>
      <w:r w:rsidRPr="00714D6C">
        <w:rPr>
          <w:rFonts w:eastAsiaTheme="minorHAnsi"/>
        </w:rPr>
        <w:t>The DICC reviewed MBS item 573</w:t>
      </w:r>
      <w:r w:rsidR="00F47747">
        <w:rPr>
          <w:rFonts w:eastAsiaTheme="minorHAnsi"/>
        </w:rPr>
        <w:t>50 (CT spiral angiography). At the time of review, the item descriptor was</w:t>
      </w:r>
      <w:r w:rsidRPr="00714D6C">
        <w:rPr>
          <w:rFonts w:eastAsiaTheme="minorHAnsi"/>
        </w:rPr>
        <w:t>:</w:t>
      </w:r>
    </w:p>
    <w:p w14:paraId="7102D560" w14:textId="77777777" w:rsidR="00B64A7C" w:rsidRPr="00714D6C" w:rsidRDefault="00B64A7C" w:rsidP="00714D6C">
      <w:pPr>
        <w:shd w:val="clear" w:color="auto" w:fill="FFFFFF"/>
        <w:spacing w:before="0" w:after="0" w:line="240" w:lineRule="auto"/>
        <w:ind w:left="720"/>
        <w:rPr>
          <w:rFonts w:eastAsia="Calibri" w:cstheme="minorHAnsi"/>
          <w:color w:val="222222"/>
        </w:rPr>
      </w:pPr>
      <w:r w:rsidRPr="00714D6C">
        <w:rPr>
          <w:rFonts w:eastAsia="Calibri" w:cstheme="minorHAnsi"/>
          <w:color w:val="222222"/>
        </w:rPr>
        <w:t xml:space="preserve">COMPUTED TOMOGRAPHY - spiral angiography with intravenous contrast medium, including any scans performed before intravenous contrast injection - 1 or more spiral data acquisitions, including image editing, and maximum intensity projections or </w:t>
      </w:r>
      <w:proofErr w:type="gramStart"/>
      <w:r w:rsidRPr="00714D6C">
        <w:rPr>
          <w:rFonts w:eastAsia="Calibri" w:cstheme="minorHAnsi"/>
          <w:color w:val="222222"/>
        </w:rPr>
        <w:t>3 dimensional</w:t>
      </w:r>
      <w:proofErr w:type="gramEnd"/>
      <w:r w:rsidRPr="00714D6C">
        <w:rPr>
          <w:rFonts w:eastAsia="Calibri" w:cstheme="minorHAnsi"/>
          <w:color w:val="222222"/>
        </w:rPr>
        <w:t xml:space="preserve"> surface shaded display, with hardcopy recording of multiple projections, where: </w:t>
      </w:r>
    </w:p>
    <w:p w14:paraId="14C0BED6" w14:textId="77777777" w:rsidR="00B64A7C" w:rsidRPr="00714D6C" w:rsidRDefault="00B64A7C" w:rsidP="00714D6C">
      <w:pPr>
        <w:shd w:val="clear" w:color="auto" w:fill="FFFFFF"/>
        <w:spacing w:before="0" w:after="0" w:line="240" w:lineRule="auto"/>
        <w:ind w:left="720"/>
        <w:rPr>
          <w:rFonts w:eastAsia="Calibri" w:cstheme="minorHAnsi"/>
          <w:color w:val="222222"/>
        </w:rPr>
      </w:pPr>
      <w:r w:rsidRPr="00714D6C">
        <w:rPr>
          <w:rFonts w:eastAsia="Calibri" w:cstheme="minorHAnsi"/>
          <w:color w:val="222222"/>
        </w:rPr>
        <w:t>(a)    the service is not a service to which another item in this group applies; and </w:t>
      </w:r>
    </w:p>
    <w:p w14:paraId="4165CE11" w14:textId="77777777" w:rsidR="00B64A7C" w:rsidRPr="00714D6C" w:rsidRDefault="00B64A7C" w:rsidP="00714D6C">
      <w:pPr>
        <w:shd w:val="clear" w:color="auto" w:fill="FFFFFF"/>
        <w:spacing w:before="0" w:after="0" w:line="240" w:lineRule="auto"/>
        <w:ind w:left="720"/>
        <w:rPr>
          <w:rFonts w:eastAsia="Calibri" w:cstheme="minorHAnsi"/>
          <w:color w:val="222222"/>
        </w:rPr>
      </w:pPr>
      <w:r w:rsidRPr="00714D6C">
        <w:rPr>
          <w:rFonts w:eastAsia="Calibri" w:cstheme="minorHAnsi"/>
          <w:color w:val="222222"/>
        </w:rPr>
        <w:t>(b)    the service is performed for the exclusion of arterial stenosis, occlusion, aneurysm or embolism; and </w:t>
      </w:r>
    </w:p>
    <w:p w14:paraId="799F3019" w14:textId="77777777" w:rsidR="00B64A7C" w:rsidRPr="00714D6C" w:rsidRDefault="00B64A7C" w:rsidP="00714D6C">
      <w:pPr>
        <w:shd w:val="clear" w:color="auto" w:fill="FFFFFF"/>
        <w:spacing w:before="0" w:after="0" w:line="240" w:lineRule="auto"/>
        <w:ind w:left="720"/>
        <w:rPr>
          <w:rFonts w:eastAsia="Calibri" w:cstheme="minorHAnsi"/>
          <w:color w:val="222222"/>
        </w:rPr>
      </w:pPr>
      <w:r w:rsidRPr="00714D6C">
        <w:rPr>
          <w:rFonts w:eastAsia="Calibri" w:cstheme="minorHAnsi"/>
          <w:color w:val="222222"/>
        </w:rPr>
        <w:t>(c)    the service has not been performed on the same patient within the previous 12 months; and </w:t>
      </w:r>
    </w:p>
    <w:p w14:paraId="6B052BAF" w14:textId="77777777" w:rsidR="00B64A7C" w:rsidRPr="00714D6C" w:rsidRDefault="00B64A7C" w:rsidP="00714D6C">
      <w:pPr>
        <w:shd w:val="clear" w:color="auto" w:fill="FFFFFF"/>
        <w:spacing w:before="0" w:after="0" w:line="240" w:lineRule="auto"/>
        <w:ind w:left="720"/>
        <w:rPr>
          <w:rFonts w:eastAsia="Calibri" w:cstheme="minorHAnsi"/>
          <w:color w:val="222222"/>
        </w:rPr>
      </w:pPr>
      <w:r w:rsidRPr="00714D6C">
        <w:rPr>
          <w:rFonts w:eastAsia="Calibri" w:cstheme="minorHAnsi"/>
          <w:color w:val="222222"/>
        </w:rPr>
        <w:t>(d)    the service is not a study performed to image the coronary arteries (R) (K) (</w:t>
      </w:r>
      <w:proofErr w:type="spellStart"/>
      <w:r w:rsidRPr="00714D6C">
        <w:rPr>
          <w:rFonts w:eastAsia="Calibri" w:cstheme="minorHAnsi"/>
          <w:color w:val="222222"/>
        </w:rPr>
        <w:t>Anaes</w:t>
      </w:r>
      <w:proofErr w:type="spellEnd"/>
      <w:r w:rsidRPr="00714D6C">
        <w:rPr>
          <w:rFonts w:eastAsia="Calibri" w:cstheme="minorHAnsi"/>
          <w:color w:val="222222"/>
        </w:rPr>
        <w:t>.)</w:t>
      </w:r>
    </w:p>
    <w:p w14:paraId="4069DB79" w14:textId="77777777" w:rsidR="00B64A7C" w:rsidRPr="00714D6C" w:rsidRDefault="009E44A7" w:rsidP="00714D6C">
      <w:pPr>
        <w:shd w:val="clear" w:color="auto" w:fill="FFFFFF"/>
        <w:spacing w:before="0" w:after="0" w:line="240" w:lineRule="auto"/>
        <w:ind w:left="720"/>
        <w:rPr>
          <w:rFonts w:eastAsia="Calibri" w:cstheme="minorHAnsi"/>
          <w:color w:val="000000"/>
        </w:rPr>
      </w:pPr>
      <w:hyperlink r:id="rId14" w:history="1">
        <w:r w:rsidR="00B64A7C" w:rsidRPr="00714D6C">
          <w:rPr>
            <w:rFonts w:eastAsia="Calibri" w:cstheme="minorHAnsi"/>
            <w:color w:val="000000"/>
            <w:u w:val="single"/>
          </w:rPr>
          <w:t>Bulk bill incentive</w:t>
        </w:r>
      </w:hyperlink>
    </w:p>
    <w:p w14:paraId="38159763" w14:textId="77777777" w:rsidR="00B64A7C" w:rsidRPr="00714D6C" w:rsidRDefault="00B64A7C" w:rsidP="00714D6C">
      <w:pPr>
        <w:shd w:val="clear" w:color="auto" w:fill="FFFFFF"/>
        <w:spacing w:before="0" w:after="0" w:line="240" w:lineRule="auto"/>
        <w:ind w:left="720"/>
        <w:rPr>
          <w:rFonts w:eastAsia="Calibri" w:cstheme="minorHAnsi"/>
          <w:color w:val="000000"/>
        </w:rPr>
      </w:pPr>
      <w:r w:rsidRPr="00714D6C">
        <w:rPr>
          <w:rFonts w:eastAsia="Calibri" w:cstheme="minorHAnsi"/>
          <w:b/>
          <w:bCs/>
          <w:color w:val="000000"/>
        </w:rPr>
        <w:t>Fee:</w:t>
      </w:r>
      <w:r w:rsidRPr="00714D6C">
        <w:rPr>
          <w:rFonts w:eastAsia="Calibri" w:cstheme="minorHAnsi"/>
          <w:color w:val="000000"/>
        </w:rPr>
        <w:t> $510.00 </w:t>
      </w:r>
      <w:r w:rsidRPr="00714D6C">
        <w:rPr>
          <w:rFonts w:eastAsia="Calibri" w:cstheme="minorHAnsi"/>
          <w:b/>
          <w:bCs/>
          <w:color w:val="000000"/>
        </w:rPr>
        <w:t>Benefit:</w:t>
      </w:r>
      <w:r w:rsidRPr="00714D6C">
        <w:rPr>
          <w:rFonts w:eastAsia="Calibri" w:cstheme="minorHAnsi"/>
          <w:color w:val="000000"/>
        </w:rPr>
        <w:t> 75% = $382.50 85% = $433.50</w:t>
      </w:r>
    </w:p>
    <w:p w14:paraId="2F5D700E" w14:textId="77777777" w:rsidR="00B64A7C" w:rsidRPr="00714D6C" w:rsidRDefault="00B64A7C" w:rsidP="00714D6C">
      <w:pPr>
        <w:shd w:val="clear" w:color="auto" w:fill="FFFFFF"/>
        <w:spacing w:before="0" w:after="0" w:line="240" w:lineRule="auto"/>
        <w:ind w:left="720"/>
        <w:rPr>
          <w:rFonts w:eastAsia="Calibri" w:cstheme="minorHAnsi"/>
          <w:color w:val="000000"/>
        </w:rPr>
      </w:pPr>
      <w:r w:rsidRPr="00714D6C">
        <w:rPr>
          <w:rFonts w:eastAsia="Calibri" w:cstheme="minorHAnsi"/>
          <w:color w:val="000000"/>
        </w:rPr>
        <w:t>(See para </w:t>
      </w:r>
      <w:hyperlink r:id="rId15" w:history="1">
        <w:r w:rsidRPr="00714D6C">
          <w:rPr>
            <w:rFonts w:eastAsia="Calibri" w:cstheme="minorHAnsi"/>
            <w:color w:val="000000"/>
            <w:u w:val="single"/>
          </w:rPr>
          <w:t>IN.0.19</w:t>
        </w:r>
      </w:hyperlink>
      <w:r w:rsidRPr="00714D6C">
        <w:rPr>
          <w:rFonts w:eastAsia="Calibri" w:cstheme="minorHAnsi"/>
          <w:color w:val="000000"/>
        </w:rPr>
        <w:t> of explanatory notes to this Category)</w:t>
      </w:r>
    </w:p>
    <w:p w14:paraId="2EA0A0AE" w14:textId="134EF547" w:rsidR="00B64A7C" w:rsidRPr="00714D6C" w:rsidRDefault="00B64A7C" w:rsidP="00714D6C">
      <w:pPr>
        <w:spacing w:line="240" w:lineRule="auto"/>
        <w:rPr>
          <w:rFonts w:eastAsiaTheme="minorHAnsi"/>
        </w:rPr>
      </w:pPr>
      <w:r w:rsidRPr="00714D6C">
        <w:rPr>
          <w:rFonts w:eastAsiaTheme="minorHAnsi"/>
        </w:rPr>
        <w:t>The DICC agreed that the current restriction for the item of one</w:t>
      </w:r>
      <w:r w:rsidR="00714D6C" w:rsidRPr="00714D6C">
        <w:rPr>
          <w:rFonts w:eastAsiaTheme="minorHAnsi"/>
        </w:rPr>
        <w:t xml:space="preserve"> service per 12-month period was inadequate. One example </w:t>
      </w:r>
      <w:r w:rsidRPr="00714D6C">
        <w:rPr>
          <w:rFonts w:eastAsiaTheme="minorHAnsi"/>
        </w:rPr>
        <w:t xml:space="preserve">was for computed tomography angiography (CTA) of the vessels of the head and neck in the setting of cerebrovascular accident, where it was agreed a limit of one service per 12 months is insufficient. </w:t>
      </w:r>
    </w:p>
    <w:p w14:paraId="4DD0093C" w14:textId="15F8D6DE" w:rsidR="00B64A7C" w:rsidRDefault="00714D6C" w:rsidP="00714D6C">
      <w:pPr>
        <w:spacing w:line="240" w:lineRule="auto"/>
        <w:rPr>
          <w:rFonts w:eastAsiaTheme="minorHAnsi"/>
        </w:rPr>
      </w:pPr>
      <w:r w:rsidRPr="00714D6C">
        <w:rPr>
          <w:rFonts w:eastAsiaTheme="minorHAnsi"/>
        </w:rPr>
        <w:t xml:space="preserve">DICC liaised with </w:t>
      </w:r>
      <w:r w:rsidR="00B64A7C" w:rsidRPr="00714D6C">
        <w:rPr>
          <w:rFonts w:eastAsiaTheme="minorHAnsi"/>
        </w:rPr>
        <w:t>the Neurosurgery and Neurology Clinical Committee (NNCC) and Vascular Clinical Committee (VCC) regarding their view on appropriate time period restrictions for CTA for different anatomical regions</w:t>
      </w:r>
      <w:r>
        <w:rPr>
          <w:rFonts w:eastAsiaTheme="minorHAnsi"/>
        </w:rPr>
        <w:t xml:space="preserve"> and requested consideration by the Committee.</w:t>
      </w:r>
    </w:p>
    <w:p w14:paraId="0657BB39" w14:textId="16440576" w:rsidR="00714D6C" w:rsidRPr="00714D6C" w:rsidRDefault="00714D6C" w:rsidP="00714D6C">
      <w:pPr>
        <w:spacing w:line="240" w:lineRule="auto"/>
        <w:rPr>
          <w:rFonts w:eastAsiaTheme="minorHAnsi"/>
        </w:rPr>
      </w:pPr>
      <w:r>
        <w:rPr>
          <w:rFonts w:eastAsiaTheme="minorHAnsi"/>
        </w:rPr>
        <w:t>The</w:t>
      </w:r>
      <w:r w:rsidR="00345B0D">
        <w:rPr>
          <w:rFonts w:eastAsiaTheme="minorHAnsi"/>
        </w:rPr>
        <w:t xml:space="preserve"> </w:t>
      </w:r>
      <w:r w:rsidR="008A29A3">
        <w:rPr>
          <w:rFonts w:eastAsiaTheme="minorHAnsi"/>
        </w:rPr>
        <w:t xml:space="preserve">Committee </w:t>
      </w:r>
      <w:r w:rsidR="00BD3746">
        <w:rPr>
          <w:rFonts w:eastAsiaTheme="minorHAnsi"/>
        </w:rPr>
        <w:t xml:space="preserve">acknowledged that limits had been placed in response to ‘over ordering’, however the </w:t>
      </w:r>
      <w:r>
        <w:rPr>
          <w:rFonts w:eastAsiaTheme="minorHAnsi"/>
        </w:rPr>
        <w:t xml:space="preserve">Committee </w:t>
      </w:r>
      <w:r w:rsidR="00BD3746">
        <w:rPr>
          <w:rFonts w:eastAsiaTheme="minorHAnsi"/>
        </w:rPr>
        <w:t xml:space="preserve">advised that </w:t>
      </w:r>
      <w:r>
        <w:rPr>
          <w:rFonts w:eastAsiaTheme="minorHAnsi"/>
        </w:rPr>
        <w:t xml:space="preserve">the number of interventions or investigations </w:t>
      </w:r>
      <w:r w:rsidR="00BD3746">
        <w:rPr>
          <w:rFonts w:eastAsiaTheme="minorHAnsi"/>
        </w:rPr>
        <w:t xml:space="preserve">should not </w:t>
      </w:r>
      <w:r>
        <w:rPr>
          <w:rFonts w:eastAsiaTheme="minorHAnsi"/>
        </w:rPr>
        <w:t>be limited over prescriptive time periods, given that clinical situations could be envisaged where these limitations could compromise optimal individual patient care</w:t>
      </w:r>
      <w:r w:rsidR="00BD3746">
        <w:rPr>
          <w:rFonts w:eastAsiaTheme="minorHAnsi"/>
        </w:rPr>
        <w:t xml:space="preserve">. The Committee proposed the use of alternative limitations, e.g. limiting abdominal, cerebral and lower limb angiography ordering to specialists.  </w:t>
      </w:r>
    </w:p>
    <w:p w14:paraId="184D701E" w14:textId="6EC223ED" w:rsidR="00B64A7C" w:rsidRPr="00990EF8" w:rsidRDefault="00BD3746" w:rsidP="00BD3746">
      <w:pPr>
        <w:spacing w:line="240" w:lineRule="auto"/>
        <w:rPr>
          <w:rFonts w:eastAsiaTheme="minorHAnsi"/>
        </w:rPr>
      </w:pPr>
      <w:r w:rsidRPr="00990EF8">
        <w:rPr>
          <w:rFonts w:eastAsiaTheme="minorHAnsi"/>
        </w:rPr>
        <w:t>The Committee outlined its advice to DICC for noting at the Taskforce meeting of 18 September </w:t>
      </w:r>
      <w:r w:rsidR="00B64A7C" w:rsidRPr="00990EF8">
        <w:rPr>
          <w:rFonts w:eastAsiaTheme="minorHAnsi"/>
        </w:rPr>
        <w:t>2018.</w:t>
      </w:r>
    </w:p>
    <w:p w14:paraId="78197536" w14:textId="77777777" w:rsidR="00345B0D" w:rsidRDefault="00345B0D">
      <w:pPr>
        <w:spacing w:before="0" w:after="0" w:line="240" w:lineRule="auto"/>
        <w:rPr>
          <w:rFonts w:eastAsiaTheme="minorHAnsi" w:cstheme="minorHAnsi"/>
          <w:b/>
          <w:bCs/>
          <w:iCs/>
          <w:color w:val="01653F"/>
          <w:sz w:val="28"/>
          <w:szCs w:val="28"/>
          <w:lang w:val="en-US" w:eastAsia="en-US"/>
        </w:rPr>
      </w:pPr>
      <w:bookmarkStart w:id="217" w:name="_Toc11320343"/>
      <w:bookmarkStart w:id="218" w:name="_Toc11857031"/>
      <w:bookmarkStart w:id="219" w:name="_Toc20749045"/>
      <w:r>
        <w:rPr>
          <w:rFonts w:cstheme="minorHAnsi"/>
          <w:sz w:val="28"/>
          <w:szCs w:val="28"/>
        </w:rPr>
        <w:br w:type="page"/>
      </w:r>
    </w:p>
    <w:p w14:paraId="5F0E6A3A" w14:textId="37CABF4B" w:rsidR="002F2475" w:rsidRPr="0023786B" w:rsidRDefault="00B24260" w:rsidP="002F2475">
      <w:pPr>
        <w:pStyle w:val="Heading2"/>
        <w:rPr>
          <w:rFonts w:cstheme="minorHAnsi"/>
          <w:sz w:val="28"/>
          <w:szCs w:val="28"/>
        </w:rPr>
      </w:pPr>
      <w:bookmarkStart w:id="220" w:name="_Toc25843719"/>
      <w:r>
        <w:rPr>
          <w:rFonts w:cstheme="minorHAnsi"/>
          <w:sz w:val="28"/>
          <w:szCs w:val="28"/>
        </w:rPr>
        <w:lastRenderedPageBreak/>
        <w:t>B</w:t>
      </w:r>
      <w:r w:rsidR="00614181">
        <w:rPr>
          <w:rFonts w:cstheme="minorHAnsi"/>
          <w:sz w:val="28"/>
          <w:szCs w:val="28"/>
        </w:rPr>
        <w:t>.11</w:t>
      </w:r>
      <w:r w:rsidR="00907488" w:rsidRPr="0023786B">
        <w:rPr>
          <w:rFonts w:cstheme="minorHAnsi"/>
          <w:sz w:val="28"/>
          <w:szCs w:val="28"/>
        </w:rPr>
        <w:t xml:space="preserve"> </w:t>
      </w:r>
      <w:r w:rsidR="002F2475" w:rsidRPr="0023786B">
        <w:rPr>
          <w:rFonts w:cstheme="minorHAnsi"/>
          <w:sz w:val="28"/>
          <w:szCs w:val="28"/>
        </w:rPr>
        <w:t>Referral from the Cardiac Services Clinical Committee</w:t>
      </w:r>
      <w:bookmarkEnd w:id="217"/>
      <w:bookmarkEnd w:id="218"/>
      <w:bookmarkEnd w:id="219"/>
      <w:bookmarkEnd w:id="220"/>
    </w:p>
    <w:p w14:paraId="7E39B5BD" w14:textId="5E4CEB27" w:rsidR="00505E29" w:rsidRDefault="00B24260" w:rsidP="00505E29">
      <w:pPr>
        <w:pStyle w:val="Heading2"/>
        <w:spacing w:line="240" w:lineRule="auto"/>
        <w:ind w:right="95"/>
      </w:pPr>
      <w:bookmarkStart w:id="221" w:name="_Toc20404408"/>
      <w:bookmarkStart w:id="222" w:name="_Toc20740452"/>
      <w:bookmarkStart w:id="223" w:name="_Toc20749046"/>
      <w:bookmarkStart w:id="224" w:name="_Toc20749362"/>
      <w:bookmarkStart w:id="225" w:name="_Toc20840009"/>
      <w:bookmarkStart w:id="226" w:name="_Toc22120857"/>
      <w:bookmarkStart w:id="227" w:name="_Toc23773489"/>
      <w:bookmarkStart w:id="228" w:name="_Toc24111252"/>
      <w:bookmarkStart w:id="229" w:name="_Toc25763982"/>
      <w:bookmarkStart w:id="230" w:name="_Toc25767887"/>
      <w:bookmarkStart w:id="231" w:name="_Toc25843720"/>
      <w:r>
        <w:t>B</w:t>
      </w:r>
      <w:r w:rsidR="00505E29">
        <w:t>.11.1 Standby services</w:t>
      </w:r>
      <w:bookmarkEnd w:id="221"/>
      <w:bookmarkEnd w:id="222"/>
      <w:bookmarkEnd w:id="223"/>
      <w:bookmarkEnd w:id="224"/>
      <w:bookmarkEnd w:id="225"/>
      <w:bookmarkEnd w:id="226"/>
      <w:bookmarkEnd w:id="227"/>
      <w:bookmarkEnd w:id="228"/>
      <w:bookmarkEnd w:id="229"/>
      <w:bookmarkEnd w:id="230"/>
      <w:bookmarkEnd w:id="231"/>
    </w:p>
    <w:p w14:paraId="49657FB0" w14:textId="31B735A1" w:rsidR="00F47747" w:rsidRPr="007661FF" w:rsidRDefault="00F47747" w:rsidP="007661FF">
      <w:pPr>
        <w:spacing w:line="240" w:lineRule="auto"/>
        <w:rPr>
          <w:rFonts w:eastAsiaTheme="minorHAnsi"/>
        </w:rPr>
      </w:pPr>
      <w:r w:rsidRPr="007661FF">
        <w:rPr>
          <w:rFonts w:eastAsiaTheme="minorHAnsi"/>
        </w:rPr>
        <w:t xml:space="preserve">The </w:t>
      </w:r>
      <w:r w:rsidR="002F2475" w:rsidRPr="007661FF">
        <w:rPr>
          <w:rFonts w:eastAsiaTheme="minorHAnsi"/>
        </w:rPr>
        <w:t>Cardiac Ser</w:t>
      </w:r>
      <w:r w:rsidRPr="007661FF">
        <w:rPr>
          <w:rFonts w:eastAsiaTheme="minorHAnsi"/>
        </w:rPr>
        <w:t xml:space="preserve">vices Clinical Committee’s </w:t>
      </w:r>
      <w:r w:rsidR="002F2475" w:rsidRPr="007661FF">
        <w:rPr>
          <w:rFonts w:eastAsiaTheme="minorHAnsi"/>
        </w:rPr>
        <w:t xml:space="preserve">(CSCC) </w:t>
      </w:r>
      <w:r w:rsidRPr="007661FF">
        <w:rPr>
          <w:rFonts w:eastAsiaTheme="minorHAnsi"/>
        </w:rPr>
        <w:t xml:space="preserve">draft report to the Taskforce included a recommendation to divide existing </w:t>
      </w:r>
      <w:r w:rsidR="002F2475" w:rsidRPr="007661FF">
        <w:rPr>
          <w:rFonts w:eastAsiaTheme="minorHAnsi"/>
        </w:rPr>
        <w:t xml:space="preserve">MBS item 38358 into two. </w:t>
      </w:r>
      <w:r w:rsidRPr="007661FF">
        <w:rPr>
          <w:rFonts w:eastAsiaTheme="minorHAnsi"/>
        </w:rPr>
        <w:t xml:space="preserve">At the time </w:t>
      </w:r>
      <w:r w:rsidR="004E2AE4">
        <w:rPr>
          <w:rFonts w:eastAsiaTheme="minorHAnsi"/>
        </w:rPr>
        <w:t xml:space="preserve">of review the </w:t>
      </w:r>
      <w:r w:rsidRPr="007661FF">
        <w:rPr>
          <w:rFonts w:eastAsiaTheme="minorHAnsi"/>
        </w:rPr>
        <w:t xml:space="preserve">item descriptor was: </w:t>
      </w:r>
    </w:p>
    <w:p w14:paraId="3BEAC5A9" w14:textId="77777777" w:rsidR="004E2AE4" w:rsidRDefault="00F47747" w:rsidP="004E2AE4">
      <w:pPr>
        <w:shd w:val="clear" w:color="auto" w:fill="FFFFFF"/>
        <w:spacing w:before="0" w:after="0" w:line="240" w:lineRule="auto"/>
        <w:ind w:left="720"/>
        <w:rPr>
          <w:rFonts w:eastAsia="Calibri" w:cstheme="minorHAnsi"/>
          <w:color w:val="222222"/>
        </w:rPr>
      </w:pPr>
      <w:r w:rsidRPr="00F47747">
        <w:rPr>
          <w:rFonts w:eastAsia="Calibri" w:cstheme="minorHAnsi"/>
          <w:color w:val="222222"/>
        </w:rPr>
        <w:t xml:space="preserve">Extraction of chronically implanted transvenous pacing or defibrillator lead or leads, by percutaneous method where the leads have been in situ for greater than six months and require removal with locking stylets, snares and/or extraction sheaths in a facility where cardiac surgery is available, in association with item 61109 or 60509 </w:t>
      </w:r>
      <w:r w:rsidRPr="00F47747">
        <w:rPr>
          <w:rFonts w:ascii="Helvetica" w:hAnsi="Helvetica" w:cs="Helvetica"/>
          <w:color w:val="222222"/>
          <w:sz w:val="20"/>
          <w:szCs w:val="20"/>
        </w:rPr>
        <w:br/>
        <w:t>(</w:t>
      </w:r>
      <w:proofErr w:type="spellStart"/>
      <w:r w:rsidRPr="00F47747">
        <w:rPr>
          <w:rFonts w:ascii="Helvetica" w:hAnsi="Helvetica" w:cs="Helvetica"/>
          <w:color w:val="222222"/>
          <w:sz w:val="20"/>
          <w:szCs w:val="20"/>
        </w:rPr>
        <w:t>Anaes</w:t>
      </w:r>
      <w:proofErr w:type="spellEnd"/>
      <w:r w:rsidRPr="00F47747">
        <w:rPr>
          <w:rFonts w:ascii="Helvetica" w:hAnsi="Helvetica" w:cs="Helvetica"/>
          <w:color w:val="222222"/>
          <w:sz w:val="20"/>
          <w:szCs w:val="20"/>
        </w:rPr>
        <w:t>.) (Assist.)</w:t>
      </w:r>
    </w:p>
    <w:p w14:paraId="520BD093" w14:textId="068831B1" w:rsidR="00F47747" w:rsidRPr="00B400FE" w:rsidRDefault="00F47747" w:rsidP="00B400FE">
      <w:pPr>
        <w:shd w:val="clear" w:color="auto" w:fill="FFFFFF"/>
        <w:spacing w:before="0" w:after="0" w:line="240" w:lineRule="auto"/>
        <w:ind w:left="720"/>
        <w:rPr>
          <w:rFonts w:eastAsia="Calibri" w:cstheme="minorHAnsi"/>
          <w:color w:val="222222"/>
        </w:rPr>
      </w:pPr>
      <w:r w:rsidRPr="00F47747">
        <w:rPr>
          <w:rFonts w:ascii="Helvetica" w:hAnsi="Helvetica" w:cs="Helvetica"/>
          <w:b/>
          <w:bCs/>
          <w:color w:val="222222"/>
          <w:sz w:val="20"/>
          <w:szCs w:val="20"/>
        </w:rPr>
        <w:t>Fee:</w:t>
      </w:r>
      <w:r w:rsidRPr="00F47747">
        <w:rPr>
          <w:rFonts w:ascii="Helvetica" w:hAnsi="Helvetica" w:cs="Helvetica"/>
          <w:color w:val="222222"/>
          <w:sz w:val="20"/>
          <w:szCs w:val="20"/>
        </w:rPr>
        <w:t xml:space="preserve"> $2,913.95 </w:t>
      </w:r>
      <w:r w:rsidRPr="00F47747">
        <w:rPr>
          <w:rFonts w:ascii="Helvetica" w:hAnsi="Helvetica" w:cs="Helvetica"/>
          <w:b/>
          <w:bCs/>
          <w:color w:val="222222"/>
          <w:sz w:val="20"/>
          <w:szCs w:val="20"/>
        </w:rPr>
        <w:t>Benefit:</w:t>
      </w:r>
      <w:r w:rsidRPr="00F47747">
        <w:rPr>
          <w:rFonts w:ascii="Helvetica" w:hAnsi="Helvetica" w:cs="Helvetica"/>
          <w:color w:val="222222"/>
          <w:sz w:val="20"/>
          <w:szCs w:val="20"/>
        </w:rPr>
        <w:t xml:space="preserve"> 75% = $2,185.50 </w:t>
      </w:r>
    </w:p>
    <w:p w14:paraId="3DE97AE4" w14:textId="5E11F8E3" w:rsidR="004E2AE4" w:rsidRPr="004E2AE4" w:rsidRDefault="004E2AE4" w:rsidP="004E2AE4">
      <w:pPr>
        <w:spacing w:line="240" w:lineRule="auto"/>
        <w:rPr>
          <w:rFonts w:eastAsiaTheme="minorHAnsi"/>
        </w:rPr>
      </w:pPr>
      <w:r w:rsidRPr="004E2AE4">
        <w:rPr>
          <w:rFonts w:eastAsiaTheme="minorHAnsi"/>
        </w:rPr>
        <w:t xml:space="preserve">CSCC recommended that 2 items be created. Item 38358 would </w:t>
      </w:r>
      <w:proofErr w:type="gramStart"/>
      <w:r w:rsidRPr="004E2AE4">
        <w:rPr>
          <w:rFonts w:eastAsiaTheme="minorHAnsi"/>
        </w:rPr>
        <w:t>remain</w:t>
      </w:r>
      <w:proofErr w:type="gramEnd"/>
      <w:r w:rsidRPr="004E2AE4">
        <w:rPr>
          <w:rFonts w:eastAsiaTheme="minorHAnsi"/>
        </w:rPr>
        <w:t xml:space="preserve"> but the fee would be reduced to </w:t>
      </w:r>
      <w:r w:rsidR="002F2475" w:rsidRPr="004E2AE4">
        <w:rPr>
          <w:rFonts w:eastAsiaTheme="minorHAnsi"/>
        </w:rPr>
        <w:t>60 per cent of the existing MBS fee</w:t>
      </w:r>
      <w:r w:rsidRPr="004E2AE4">
        <w:rPr>
          <w:rFonts w:eastAsiaTheme="minorHAnsi"/>
        </w:rPr>
        <w:t>, claimable by a non-cardiac surgeon for the lead extraction. The new item would</w:t>
      </w:r>
      <w:r>
        <w:rPr>
          <w:rFonts w:eastAsiaTheme="minorHAnsi"/>
        </w:rPr>
        <w:t xml:space="preserve"> ‘mirror’ </w:t>
      </w:r>
      <w:proofErr w:type="gramStart"/>
      <w:r>
        <w:rPr>
          <w:rFonts w:eastAsiaTheme="minorHAnsi"/>
        </w:rPr>
        <w:t>38358, but</w:t>
      </w:r>
      <w:proofErr w:type="gramEnd"/>
      <w:r>
        <w:rPr>
          <w:rFonts w:eastAsiaTheme="minorHAnsi"/>
        </w:rPr>
        <w:t xml:space="preserve"> would</w:t>
      </w:r>
      <w:r w:rsidRPr="004E2AE4">
        <w:rPr>
          <w:rFonts w:eastAsiaTheme="minorHAnsi"/>
        </w:rPr>
        <w:t xml:space="preserve"> provide </w:t>
      </w:r>
      <w:r w:rsidR="002F2475" w:rsidRPr="004E2AE4">
        <w:rPr>
          <w:rFonts w:eastAsiaTheme="minorHAnsi"/>
        </w:rPr>
        <w:t xml:space="preserve">40 per cent </w:t>
      </w:r>
      <w:r>
        <w:rPr>
          <w:rFonts w:eastAsiaTheme="minorHAnsi"/>
        </w:rPr>
        <w:t xml:space="preserve">of the existing MBS fee and be </w:t>
      </w:r>
      <w:r w:rsidRPr="004E2AE4">
        <w:rPr>
          <w:rFonts w:eastAsiaTheme="minorHAnsi"/>
        </w:rPr>
        <w:t>claimable by a separate, stand</w:t>
      </w:r>
      <w:r w:rsidRPr="004E2AE4">
        <w:rPr>
          <w:rFonts w:eastAsiaTheme="minorHAnsi"/>
        </w:rPr>
        <w:noBreakHyphen/>
        <w:t xml:space="preserve">by cardiac surgeon, called on to </w:t>
      </w:r>
      <w:r w:rsidR="002F2475" w:rsidRPr="004E2AE4">
        <w:rPr>
          <w:rFonts w:eastAsiaTheme="minorHAnsi"/>
        </w:rPr>
        <w:t>operate if required.</w:t>
      </w:r>
      <w:r w:rsidRPr="004E2AE4">
        <w:rPr>
          <w:rFonts w:eastAsiaTheme="minorHAnsi"/>
        </w:rPr>
        <w:t xml:space="preserve"> </w:t>
      </w:r>
      <w:r>
        <w:rPr>
          <w:rFonts w:eastAsiaTheme="minorHAnsi"/>
        </w:rPr>
        <w:t xml:space="preserve">This recommendation was deemed necessary to provide for </w:t>
      </w:r>
      <w:r w:rsidRPr="004E2AE4">
        <w:rPr>
          <w:rFonts w:eastAsiaTheme="minorHAnsi"/>
        </w:rPr>
        <w:t xml:space="preserve">situations where the stand-by cardiac surgeon </w:t>
      </w:r>
      <w:r>
        <w:rPr>
          <w:rFonts w:eastAsiaTheme="minorHAnsi"/>
        </w:rPr>
        <w:t xml:space="preserve">is </w:t>
      </w:r>
      <w:r w:rsidRPr="004E2AE4">
        <w:rPr>
          <w:rFonts w:eastAsiaTheme="minorHAnsi"/>
        </w:rPr>
        <w:t xml:space="preserve">required to be </w:t>
      </w:r>
      <w:r w:rsidR="002F2475" w:rsidRPr="004E2AE4">
        <w:rPr>
          <w:rFonts w:eastAsiaTheme="minorHAnsi"/>
        </w:rPr>
        <w:t>present for the full duration of lead extraction, excluding low risk pre</w:t>
      </w:r>
      <w:r w:rsidR="00345B0D">
        <w:rPr>
          <w:rFonts w:eastAsiaTheme="minorHAnsi"/>
        </w:rPr>
        <w:t xml:space="preserve"> </w:t>
      </w:r>
      <w:r w:rsidR="002F2475" w:rsidRPr="004E2AE4">
        <w:rPr>
          <w:rFonts w:eastAsiaTheme="minorHAnsi"/>
        </w:rPr>
        <w:t xml:space="preserve">and </w:t>
      </w:r>
      <w:r w:rsidR="008A29A3" w:rsidRPr="004E2AE4">
        <w:rPr>
          <w:rFonts w:eastAsiaTheme="minorHAnsi"/>
        </w:rPr>
        <w:t>post-extraction</w:t>
      </w:r>
      <w:r w:rsidR="002F2475" w:rsidRPr="004E2AE4">
        <w:rPr>
          <w:rFonts w:eastAsiaTheme="minorHAnsi"/>
        </w:rPr>
        <w:t xml:space="preserve"> phases, and be able to immediately scrub and perform a thoracotomy if major complications should occur. </w:t>
      </w:r>
    </w:p>
    <w:p w14:paraId="7A0EF674" w14:textId="6A6849F0" w:rsidR="002F2475" w:rsidRPr="004E2AE4" w:rsidRDefault="002F2475" w:rsidP="004E2AE4">
      <w:pPr>
        <w:spacing w:line="240" w:lineRule="auto"/>
        <w:rPr>
          <w:rFonts w:eastAsiaTheme="minorHAnsi"/>
        </w:rPr>
      </w:pPr>
      <w:r w:rsidRPr="004E2AE4">
        <w:rPr>
          <w:rFonts w:eastAsiaTheme="minorHAnsi"/>
        </w:rPr>
        <w:t xml:space="preserve">The CSCC were of the view that the role of a surgeon who is physically present and on stand-by for the procedure is not the same as the role of an assistant (although it is similar) and if a cardiac surgeon performs the procedure, a stand-by surgeon is not required or billable. </w:t>
      </w:r>
    </w:p>
    <w:p w14:paraId="2B11B195" w14:textId="021DD530" w:rsidR="002F2475" w:rsidRPr="004E2AE4" w:rsidRDefault="004E2AE4" w:rsidP="004E2AE4">
      <w:pPr>
        <w:spacing w:line="240" w:lineRule="auto"/>
        <w:rPr>
          <w:rFonts w:eastAsiaTheme="minorHAnsi"/>
        </w:rPr>
      </w:pPr>
      <w:r w:rsidRPr="004E2AE4">
        <w:rPr>
          <w:rFonts w:eastAsiaTheme="minorHAnsi"/>
        </w:rPr>
        <w:t xml:space="preserve">This recommendation was provided for </w:t>
      </w:r>
      <w:r w:rsidR="002F2475" w:rsidRPr="004E2AE4">
        <w:rPr>
          <w:rFonts w:eastAsiaTheme="minorHAnsi"/>
        </w:rPr>
        <w:t xml:space="preserve">Taskforce </w:t>
      </w:r>
      <w:r w:rsidRPr="004E2AE4">
        <w:rPr>
          <w:rFonts w:eastAsiaTheme="minorHAnsi"/>
        </w:rPr>
        <w:t xml:space="preserve">consideration at the meeting of </w:t>
      </w:r>
      <w:r w:rsidR="002F2475" w:rsidRPr="004E2AE4">
        <w:rPr>
          <w:rFonts w:eastAsiaTheme="minorHAnsi"/>
        </w:rPr>
        <w:t xml:space="preserve">7 March </w:t>
      </w:r>
      <w:r w:rsidRPr="004E2AE4">
        <w:rPr>
          <w:rFonts w:eastAsiaTheme="minorHAnsi"/>
        </w:rPr>
        <w:t xml:space="preserve">2017 and again on 11 April 2018. The Taskforce did not </w:t>
      </w:r>
      <w:r w:rsidR="002F2475" w:rsidRPr="004E2AE4">
        <w:rPr>
          <w:rFonts w:eastAsiaTheme="minorHAnsi"/>
        </w:rPr>
        <w:t xml:space="preserve">support the creation of a new MBS item for a cardiac surgeon to be on stand-by for the extraction of chronically implanted leads. </w:t>
      </w:r>
    </w:p>
    <w:p w14:paraId="60D67B44" w14:textId="77777777" w:rsidR="002F2475" w:rsidRPr="00CB59BD" w:rsidRDefault="002F2475" w:rsidP="00CB59BD">
      <w:pPr>
        <w:spacing w:line="240" w:lineRule="auto"/>
        <w:rPr>
          <w:rFonts w:eastAsiaTheme="minorHAnsi"/>
        </w:rPr>
      </w:pPr>
      <w:r w:rsidRPr="00CB59BD">
        <w:rPr>
          <w:rFonts w:eastAsiaTheme="minorHAnsi"/>
        </w:rPr>
        <w:t>Cardiac surgeons subsequently expressed concern with the Taskforce decision, on the grounds a stand-by surgeon is a requirement endorsed in guidelines of the Cardiac Society of Australia and New Zealand and the Australia and New Zealand Society of Cardiothoracic Surgeons.</w:t>
      </w:r>
    </w:p>
    <w:p w14:paraId="5208A341" w14:textId="3D9249D1" w:rsidR="002F2475" w:rsidRPr="00CB59BD" w:rsidRDefault="00CB59BD" w:rsidP="00CB59BD">
      <w:pPr>
        <w:spacing w:line="240" w:lineRule="auto"/>
        <w:rPr>
          <w:rFonts w:eastAsiaTheme="minorHAnsi"/>
        </w:rPr>
      </w:pPr>
      <w:r>
        <w:rPr>
          <w:rFonts w:eastAsiaTheme="minorHAnsi"/>
        </w:rPr>
        <w:t>The</w:t>
      </w:r>
      <w:r w:rsidR="002F2475" w:rsidRPr="00CB59BD">
        <w:rPr>
          <w:rFonts w:eastAsiaTheme="minorHAnsi"/>
        </w:rPr>
        <w:t xml:space="preserve"> Taskforce </w:t>
      </w:r>
      <w:r>
        <w:rPr>
          <w:rFonts w:eastAsiaTheme="minorHAnsi"/>
        </w:rPr>
        <w:t xml:space="preserve">requested advice from the Committee to </w:t>
      </w:r>
      <w:r w:rsidR="002F2475" w:rsidRPr="00CB59BD">
        <w:rPr>
          <w:rFonts w:eastAsiaTheme="minorHAnsi"/>
        </w:rPr>
        <w:t xml:space="preserve">consider the </w:t>
      </w:r>
      <w:r>
        <w:rPr>
          <w:rFonts w:eastAsiaTheme="minorHAnsi"/>
        </w:rPr>
        <w:t xml:space="preserve">matter in relation to MBS </w:t>
      </w:r>
      <w:r w:rsidR="002F2475" w:rsidRPr="00CB59BD">
        <w:rPr>
          <w:rFonts w:eastAsiaTheme="minorHAnsi"/>
        </w:rPr>
        <w:t xml:space="preserve">principles </w:t>
      </w:r>
      <w:r>
        <w:rPr>
          <w:rFonts w:eastAsiaTheme="minorHAnsi"/>
        </w:rPr>
        <w:t xml:space="preserve">and rules </w:t>
      </w:r>
      <w:r w:rsidR="002F2475" w:rsidRPr="00CB59BD">
        <w:rPr>
          <w:rFonts w:eastAsiaTheme="minorHAnsi"/>
        </w:rPr>
        <w:t>around MBS funding for stand-by services.</w:t>
      </w:r>
      <w:r>
        <w:rPr>
          <w:rFonts w:eastAsiaTheme="minorHAnsi"/>
        </w:rPr>
        <w:t xml:space="preserve"> </w:t>
      </w:r>
      <w:r w:rsidR="002F2475" w:rsidRPr="0013743B">
        <w:rPr>
          <w:rFonts w:eastAsiaTheme="minorHAnsi"/>
        </w:rPr>
        <w:t xml:space="preserve">The Committee discussed the CSCC recommendation at its meeting of 26 June 2018. Members noted that the procedure at issue is both hazardous and rare. In 2016-17, there was a total of 139 uses of item 38358 across Australia. Even if </w:t>
      </w:r>
      <w:r w:rsidRPr="0013743B">
        <w:rPr>
          <w:rFonts w:eastAsiaTheme="minorHAnsi"/>
        </w:rPr>
        <w:t>a cardiac surgeon were on stand</w:t>
      </w:r>
      <w:r w:rsidRPr="0013743B">
        <w:rPr>
          <w:rFonts w:eastAsiaTheme="minorHAnsi"/>
        </w:rPr>
        <w:noBreakHyphen/>
      </w:r>
      <w:r w:rsidR="002F2475" w:rsidRPr="0013743B">
        <w:rPr>
          <w:rFonts w:eastAsiaTheme="minorHAnsi"/>
        </w:rPr>
        <w:t>by, there would still be a potential</w:t>
      </w:r>
      <w:r w:rsidR="0013743B" w:rsidRPr="0013743B">
        <w:rPr>
          <w:rFonts w:eastAsiaTheme="minorHAnsi"/>
        </w:rPr>
        <w:t xml:space="preserve">ly harmful delay in the surgeon and that the procedure should be performed by a specialist cardiac surgeon to ensure the capacity to perform a thoracotomy </w:t>
      </w:r>
      <w:r w:rsidR="002F2475" w:rsidRPr="0013743B">
        <w:rPr>
          <w:rFonts w:eastAsiaTheme="minorHAnsi"/>
        </w:rPr>
        <w:t xml:space="preserve">and </w:t>
      </w:r>
      <w:r w:rsidR="0013743B" w:rsidRPr="0013743B">
        <w:rPr>
          <w:rFonts w:eastAsiaTheme="minorHAnsi"/>
        </w:rPr>
        <w:t xml:space="preserve">other </w:t>
      </w:r>
      <w:r w:rsidR="002F2475" w:rsidRPr="0013743B">
        <w:rPr>
          <w:rFonts w:eastAsiaTheme="minorHAnsi"/>
        </w:rPr>
        <w:t>subsequent surgery as necessary. Members also noted that the adoption of the proposal would set a highly undesirable precedent in paying a Medicare benefit for a service which does not meet the definition of ‘clinically relevant’.</w:t>
      </w:r>
    </w:p>
    <w:p w14:paraId="306BD8A5" w14:textId="1A1A21A8" w:rsidR="002F2475" w:rsidRPr="00990EF8" w:rsidRDefault="00CB59BD" w:rsidP="0013743B">
      <w:pPr>
        <w:spacing w:line="240" w:lineRule="auto"/>
        <w:rPr>
          <w:rFonts w:eastAsiaTheme="minorHAnsi"/>
        </w:rPr>
      </w:pPr>
      <w:r w:rsidRPr="00990EF8">
        <w:rPr>
          <w:rFonts w:eastAsiaTheme="minorHAnsi"/>
        </w:rPr>
        <w:t>The Committee did not support the recomm</w:t>
      </w:r>
      <w:r w:rsidR="0013743B" w:rsidRPr="00990EF8">
        <w:rPr>
          <w:rFonts w:eastAsiaTheme="minorHAnsi"/>
        </w:rPr>
        <w:t xml:space="preserve">endation and provided advice to the Taskforce that the </w:t>
      </w:r>
      <w:r w:rsidR="002F2475" w:rsidRPr="00990EF8">
        <w:rPr>
          <w:rFonts w:eastAsiaTheme="minorHAnsi"/>
        </w:rPr>
        <w:t xml:space="preserve">introduction of stand-by items in any clinical setting and, in relation to item </w:t>
      </w:r>
      <w:proofErr w:type="gramStart"/>
      <w:r w:rsidR="002F2475" w:rsidRPr="00990EF8">
        <w:rPr>
          <w:rFonts w:eastAsiaTheme="minorHAnsi"/>
        </w:rPr>
        <w:t>38358 in particular,</w:t>
      </w:r>
      <w:r w:rsidR="0013743B" w:rsidRPr="00990EF8">
        <w:rPr>
          <w:rFonts w:eastAsiaTheme="minorHAnsi"/>
        </w:rPr>
        <w:t xml:space="preserve"> should</w:t>
      </w:r>
      <w:proofErr w:type="gramEnd"/>
      <w:r w:rsidR="0013743B" w:rsidRPr="00990EF8">
        <w:rPr>
          <w:rFonts w:eastAsiaTheme="minorHAnsi"/>
        </w:rPr>
        <w:t xml:space="preserve"> be rejected</w:t>
      </w:r>
      <w:r w:rsidR="00907488" w:rsidRPr="00990EF8">
        <w:rPr>
          <w:rFonts w:eastAsiaTheme="minorHAnsi"/>
        </w:rPr>
        <w:t>.</w:t>
      </w:r>
    </w:p>
    <w:p w14:paraId="727533EC" w14:textId="44F61CDD" w:rsidR="002C3EC4" w:rsidRDefault="00B24260" w:rsidP="0023786B">
      <w:pPr>
        <w:pStyle w:val="Heading2"/>
        <w:rPr>
          <w:rFonts w:cstheme="minorHAnsi"/>
          <w:sz w:val="28"/>
          <w:szCs w:val="28"/>
        </w:rPr>
      </w:pPr>
      <w:bookmarkStart w:id="232" w:name="_Toc20749047"/>
      <w:bookmarkStart w:id="233" w:name="_Toc25843721"/>
      <w:bookmarkStart w:id="234" w:name="_Toc528313777"/>
      <w:r>
        <w:rPr>
          <w:rFonts w:cstheme="minorHAnsi"/>
          <w:sz w:val="28"/>
          <w:szCs w:val="28"/>
        </w:rPr>
        <w:lastRenderedPageBreak/>
        <w:t>B</w:t>
      </w:r>
      <w:r w:rsidR="00614181">
        <w:rPr>
          <w:rFonts w:cstheme="minorHAnsi"/>
          <w:sz w:val="28"/>
          <w:szCs w:val="28"/>
        </w:rPr>
        <w:t>.12</w:t>
      </w:r>
      <w:r w:rsidR="0023786B">
        <w:rPr>
          <w:rFonts w:cstheme="minorHAnsi"/>
          <w:sz w:val="28"/>
          <w:szCs w:val="28"/>
        </w:rPr>
        <w:t xml:space="preserve"> </w:t>
      </w:r>
      <w:r w:rsidR="00B64A7C" w:rsidRPr="0023786B">
        <w:rPr>
          <w:rFonts w:cstheme="minorHAnsi"/>
          <w:sz w:val="28"/>
          <w:szCs w:val="28"/>
        </w:rPr>
        <w:t>Referra</w:t>
      </w:r>
      <w:r w:rsidR="002C3EC4">
        <w:rPr>
          <w:rFonts w:cstheme="minorHAnsi"/>
          <w:sz w:val="28"/>
          <w:szCs w:val="28"/>
        </w:rPr>
        <w:t>l from the Department of Health</w:t>
      </w:r>
      <w:bookmarkEnd w:id="232"/>
      <w:bookmarkEnd w:id="233"/>
    </w:p>
    <w:p w14:paraId="3462F83A" w14:textId="0DD1BD76" w:rsidR="00B64A7C" w:rsidRPr="002C3EC4" w:rsidRDefault="00B24260" w:rsidP="002C3EC4">
      <w:pPr>
        <w:pStyle w:val="Heading2"/>
        <w:spacing w:line="240" w:lineRule="auto"/>
        <w:ind w:right="95"/>
      </w:pPr>
      <w:bookmarkStart w:id="235" w:name="_Toc20404410"/>
      <w:bookmarkStart w:id="236" w:name="_Toc20740454"/>
      <w:bookmarkStart w:id="237" w:name="_Toc20749048"/>
      <w:bookmarkStart w:id="238" w:name="_Toc20749364"/>
      <w:bookmarkStart w:id="239" w:name="_Toc20840011"/>
      <w:bookmarkStart w:id="240" w:name="_Toc20908451"/>
      <w:bookmarkStart w:id="241" w:name="_Toc23773491"/>
      <w:bookmarkStart w:id="242" w:name="_Toc24111254"/>
      <w:bookmarkStart w:id="243" w:name="_Toc25763984"/>
      <w:bookmarkStart w:id="244" w:name="_Toc25767889"/>
      <w:bookmarkStart w:id="245" w:name="_Toc25843722"/>
      <w:r>
        <w:t>B</w:t>
      </w:r>
      <w:r w:rsidR="002C3EC4">
        <w:t xml:space="preserve">.12.1 </w:t>
      </w:r>
      <w:r w:rsidR="00B64A7C" w:rsidRPr="002C3EC4">
        <w:t>Compliance Budget measure</w:t>
      </w:r>
      <w:bookmarkEnd w:id="235"/>
      <w:bookmarkEnd w:id="236"/>
      <w:bookmarkEnd w:id="237"/>
      <w:bookmarkEnd w:id="238"/>
      <w:bookmarkEnd w:id="239"/>
      <w:bookmarkEnd w:id="240"/>
      <w:bookmarkEnd w:id="241"/>
      <w:bookmarkEnd w:id="242"/>
      <w:bookmarkEnd w:id="243"/>
      <w:bookmarkEnd w:id="244"/>
      <w:bookmarkEnd w:id="245"/>
    </w:p>
    <w:p w14:paraId="7A73006B" w14:textId="491B62DD" w:rsidR="002C3EC4" w:rsidRDefault="00B64A7C" w:rsidP="002C3EC4">
      <w:pPr>
        <w:spacing w:line="240" w:lineRule="auto"/>
        <w:rPr>
          <w:rFonts w:eastAsiaTheme="minorHAnsi"/>
        </w:rPr>
      </w:pPr>
      <w:r w:rsidRPr="002C3EC4">
        <w:rPr>
          <w:rFonts w:eastAsiaTheme="minorHAnsi"/>
        </w:rPr>
        <w:t xml:space="preserve">In the 2017-18 Budget, the Government announced its intention to strengthen the legislation for Medicare compliance activities. The </w:t>
      </w:r>
      <w:r w:rsidRPr="002C3EC4">
        <w:rPr>
          <w:rFonts w:eastAsiaTheme="minorHAnsi"/>
          <w:i/>
        </w:rPr>
        <w:t>Guaranteeing Medicare – Medicare Benefits Schedule – Improved Compliance</w:t>
      </w:r>
      <w:r w:rsidRPr="002C3EC4">
        <w:rPr>
          <w:rFonts w:eastAsiaTheme="minorHAnsi"/>
        </w:rPr>
        <w:t xml:space="preserve"> measure contained relevant amendments </w:t>
      </w:r>
      <w:r w:rsidR="00891BE4">
        <w:rPr>
          <w:rFonts w:eastAsiaTheme="minorHAnsi"/>
        </w:rPr>
        <w:t xml:space="preserve">to </w:t>
      </w:r>
      <w:r w:rsidRPr="002C3EC4">
        <w:rPr>
          <w:rFonts w:eastAsiaTheme="minorHAnsi"/>
        </w:rPr>
        <w:t xml:space="preserve">the </w:t>
      </w:r>
      <w:r w:rsidRPr="002C3EC4">
        <w:rPr>
          <w:rFonts w:eastAsiaTheme="minorHAnsi"/>
          <w:i/>
        </w:rPr>
        <w:t>Health Insurance Act 1973</w:t>
      </w:r>
      <w:r w:rsidRPr="002C3EC4">
        <w:rPr>
          <w:rFonts w:eastAsiaTheme="minorHAnsi"/>
        </w:rPr>
        <w:t xml:space="preserve"> (HIA), the </w:t>
      </w:r>
      <w:r w:rsidRPr="002C3EC4">
        <w:rPr>
          <w:rFonts w:eastAsiaTheme="minorHAnsi"/>
          <w:i/>
        </w:rPr>
        <w:t>Dental Benefits Act 2008</w:t>
      </w:r>
      <w:r w:rsidRPr="002C3EC4">
        <w:rPr>
          <w:rFonts w:eastAsiaTheme="minorHAnsi"/>
        </w:rPr>
        <w:t xml:space="preserve"> (BBA), and the </w:t>
      </w:r>
      <w:r w:rsidRPr="002C3EC4">
        <w:rPr>
          <w:rFonts w:eastAsiaTheme="minorHAnsi"/>
          <w:i/>
        </w:rPr>
        <w:t>National Health Act 1953</w:t>
      </w:r>
      <w:r w:rsidRPr="002C3EC4">
        <w:rPr>
          <w:rFonts w:eastAsiaTheme="minorHAnsi"/>
        </w:rPr>
        <w:t xml:space="preserve"> (NHA). </w:t>
      </w:r>
    </w:p>
    <w:p w14:paraId="5BB97F71" w14:textId="70553140" w:rsidR="00B64A7C" w:rsidRPr="002C3EC4" w:rsidRDefault="00B64A7C" w:rsidP="002C3EC4">
      <w:pPr>
        <w:spacing w:line="240" w:lineRule="auto"/>
        <w:rPr>
          <w:rFonts w:eastAsiaTheme="minorHAnsi"/>
        </w:rPr>
      </w:pPr>
      <w:r w:rsidRPr="002C3EC4">
        <w:rPr>
          <w:rFonts w:eastAsiaTheme="minorHAnsi"/>
        </w:rPr>
        <w:t xml:space="preserve">The Department </w:t>
      </w:r>
      <w:r w:rsidR="002C3EC4">
        <w:rPr>
          <w:rFonts w:eastAsiaTheme="minorHAnsi"/>
        </w:rPr>
        <w:t xml:space="preserve">provided the proposed legislative amendments to the Committee for consideration at </w:t>
      </w:r>
      <w:r w:rsidRPr="002C3EC4">
        <w:rPr>
          <w:rFonts w:eastAsiaTheme="minorHAnsi"/>
        </w:rPr>
        <w:t>the Committee’s meeting of 11 July 2017.</w:t>
      </w:r>
    </w:p>
    <w:p w14:paraId="30834E0F" w14:textId="235824ED" w:rsidR="002C3EC4" w:rsidRDefault="00C67EC2" w:rsidP="002C3EC4">
      <w:pPr>
        <w:spacing w:line="240" w:lineRule="auto"/>
        <w:rPr>
          <w:rFonts w:eastAsiaTheme="minorHAnsi"/>
        </w:rPr>
      </w:pPr>
      <w:r>
        <w:rPr>
          <w:rFonts w:eastAsiaTheme="minorHAnsi"/>
        </w:rPr>
        <w:t>The legislative amendments aimed to address</w:t>
      </w:r>
      <w:r w:rsidR="002C3EC4">
        <w:rPr>
          <w:rFonts w:eastAsiaTheme="minorHAnsi"/>
        </w:rPr>
        <w:t>:</w:t>
      </w:r>
    </w:p>
    <w:p w14:paraId="75157BD7" w14:textId="627CEA57" w:rsidR="002C3EC4" w:rsidRPr="00C67EC2" w:rsidRDefault="002C3EC4" w:rsidP="00C93614">
      <w:pPr>
        <w:pStyle w:val="ListParagraph"/>
        <w:numPr>
          <w:ilvl w:val="1"/>
          <w:numId w:val="15"/>
        </w:numPr>
        <w:spacing w:before="0" w:after="0" w:line="240" w:lineRule="auto"/>
        <w:ind w:left="709" w:right="95" w:hanging="441"/>
      </w:pPr>
      <w:r w:rsidRPr="00C67EC2">
        <w:t xml:space="preserve">a growing corporate presence in the medical system </w:t>
      </w:r>
      <w:r w:rsidR="008265CD">
        <w:t xml:space="preserve">requiring a shift in legislative focus from </w:t>
      </w:r>
      <w:r w:rsidRPr="00C67EC2">
        <w:t>only individual providers to corporate entiti</w:t>
      </w:r>
      <w:r w:rsidR="008265CD">
        <w:t xml:space="preserve">es with provider </w:t>
      </w:r>
      <w:proofErr w:type="gramStart"/>
      <w:r w:rsidR="008265CD">
        <w:t>employees;</w:t>
      </w:r>
      <w:proofErr w:type="gramEnd"/>
      <w:r w:rsidR="008265CD">
        <w:t xml:space="preserve"> </w:t>
      </w:r>
    </w:p>
    <w:p w14:paraId="0E1504EA" w14:textId="77777777" w:rsidR="008265CD" w:rsidRDefault="00B64A7C" w:rsidP="00C93614">
      <w:pPr>
        <w:pStyle w:val="ListParagraph"/>
        <w:numPr>
          <w:ilvl w:val="1"/>
          <w:numId w:val="15"/>
        </w:numPr>
        <w:spacing w:before="0" w:after="0" w:line="240" w:lineRule="auto"/>
        <w:ind w:left="709" w:right="95" w:hanging="441"/>
      </w:pPr>
      <w:r w:rsidRPr="00C67EC2">
        <w:t>inconsistencies between the three Acts</w:t>
      </w:r>
      <w:r w:rsidR="002C3EC4" w:rsidRPr="00C67EC2">
        <w:t xml:space="preserve"> whereby doctors and other MBS providers were subject to va</w:t>
      </w:r>
      <w:r w:rsidR="00C67EC2">
        <w:t xml:space="preserve">rying accountability and </w:t>
      </w:r>
      <w:proofErr w:type="gramStart"/>
      <w:r w:rsidR="00C67EC2">
        <w:t>penalties</w:t>
      </w:r>
      <w:r w:rsidR="008265CD">
        <w:t>;</w:t>
      </w:r>
      <w:proofErr w:type="gramEnd"/>
      <w:r w:rsidR="008265CD">
        <w:t xml:space="preserve"> and</w:t>
      </w:r>
    </w:p>
    <w:p w14:paraId="136286BC" w14:textId="6D3794BF" w:rsidR="00B64A7C" w:rsidRPr="008265CD" w:rsidRDefault="00873D10" w:rsidP="00C93614">
      <w:pPr>
        <w:pStyle w:val="ListParagraph"/>
        <w:numPr>
          <w:ilvl w:val="1"/>
          <w:numId w:val="15"/>
        </w:numPr>
        <w:spacing w:before="0" w:after="0" w:line="240" w:lineRule="auto"/>
        <w:ind w:left="709" w:right="95" w:hanging="441"/>
      </w:pPr>
      <w:r>
        <w:t xml:space="preserve">the need for strengthened recovery provisions for </w:t>
      </w:r>
      <w:r w:rsidR="008265CD">
        <w:t xml:space="preserve">providers that were found </w:t>
      </w:r>
      <w:r>
        <w:t>to have made non-compliant MBS claims</w:t>
      </w:r>
      <w:r w:rsidR="008265CD">
        <w:t xml:space="preserve">. </w:t>
      </w:r>
    </w:p>
    <w:bookmarkEnd w:id="234"/>
    <w:p w14:paraId="7D297CDB" w14:textId="213F0698" w:rsidR="00AA6F98" w:rsidRDefault="00AA6F98">
      <w:pPr>
        <w:spacing w:before="0" w:after="0" w:line="240" w:lineRule="auto"/>
        <w:rPr>
          <w:rFonts w:eastAsiaTheme="minorHAnsi"/>
        </w:rPr>
      </w:pPr>
      <w:r>
        <w:rPr>
          <w:rFonts w:eastAsiaTheme="minorHAnsi"/>
        </w:rPr>
        <w:br w:type="page"/>
      </w:r>
    </w:p>
    <w:p w14:paraId="21B3C840" w14:textId="570124C3" w:rsidR="00AA6F98" w:rsidRPr="00064F75" w:rsidRDefault="00AA6F98" w:rsidP="00AA6F98">
      <w:pPr>
        <w:pStyle w:val="Heading1"/>
        <w:spacing w:line="240" w:lineRule="auto"/>
        <w:ind w:left="720" w:right="95"/>
        <w:jc w:val="right"/>
      </w:pPr>
      <w:bookmarkStart w:id="246" w:name="_Toc20749049"/>
      <w:bookmarkStart w:id="247" w:name="_Toc25843723"/>
      <w:r>
        <w:lastRenderedPageBreak/>
        <w:t>Appendix C</w:t>
      </w:r>
      <w:bookmarkEnd w:id="246"/>
      <w:bookmarkEnd w:id="247"/>
    </w:p>
    <w:p w14:paraId="0915FE6B" w14:textId="602D251F" w:rsidR="00AA6F98" w:rsidRDefault="00103DD5" w:rsidP="00B400FE">
      <w:pPr>
        <w:pStyle w:val="Heading1"/>
        <w:spacing w:line="240" w:lineRule="auto"/>
        <w:ind w:left="720" w:right="95"/>
      </w:pPr>
      <w:bookmarkStart w:id="248" w:name="_Toc20749050"/>
      <w:bookmarkStart w:id="249" w:name="_Toc25843724"/>
      <w:r>
        <w:t>Consumer p</w:t>
      </w:r>
      <w:r w:rsidR="00AA6F98">
        <w:t>rinciples</w:t>
      </w:r>
      <w:bookmarkEnd w:id="248"/>
      <w:bookmarkEnd w:id="249"/>
    </w:p>
    <w:p w14:paraId="510D6181" w14:textId="3803F093" w:rsidR="00AA6F98" w:rsidRPr="00AA6F98" w:rsidRDefault="00AA6F98" w:rsidP="00AA6F98">
      <w:pPr>
        <w:spacing w:line="240" w:lineRule="auto"/>
        <w:rPr>
          <w:rFonts w:eastAsiaTheme="minorHAnsi"/>
        </w:rPr>
      </w:pPr>
      <w:r w:rsidRPr="00AA6F98">
        <w:rPr>
          <w:rFonts w:eastAsiaTheme="minorHAnsi"/>
        </w:rPr>
        <w:t>The Taskfo</w:t>
      </w:r>
      <w:r>
        <w:rPr>
          <w:rFonts w:eastAsiaTheme="minorHAnsi"/>
        </w:rPr>
        <w:t>rce’s Consumer Panel developed the following</w:t>
      </w:r>
      <w:r w:rsidRPr="00AA6F98">
        <w:rPr>
          <w:rFonts w:eastAsiaTheme="minorHAnsi"/>
        </w:rPr>
        <w:t xml:space="preserve"> set of</w:t>
      </w:r>
      <w:r>
        <w:rPr>
          <w:rFonts w:eastAsiaTheme="minorHAnsi"/>
        </w:rPr>
        <w:t xml:space="preserve"> Consumer Principles, </w:t>
      </w:r>
      <w:r w:rsidRPr="00AA6F98">
        <w:rPr>
          <w:rFonts w:eastAsiaTheme="minorHAnsi"/>
        </w:rPr>
        <w:t>to be applied in deliberations and decision-making to ensure a consumer-centred MBS</w:t>
      </w:r>
    </w:p>
    <w:p w14:paraId="204EE41E" w14:textId="2FC1B06F" w:rsidR="00AA6F98" w:rsidRPr="00AA6F98" w:rsidRDefault="00AA6F98" w:rsidP="00C93614">
      <w:pPr>
        <w:pStyle w:val="ListParagraph"/>
        <w:numPr>
          <w:ilvl w:val="0"/>
          <w:numId w:val="24"/>
        </w:numPr>
        <w:spacing w:before="0" w:after="120" w:line="240" w:lineRule="auto"/>
        <w:ind w:right="96"/>
      </w:pPr>
      <w:r w:rsidRPr="00AA6F98">
        <w:t xml:space="preserve">The MBS Review, and ongoing MBS management is co-designed. </w:t>
      </w:r>
    </w:p>
    <w:p w14:paraId="446A5BA0" w14:textId="2250ACAA" w:rsidR="00AA6F98" w:rsidRPr="00AA6F98" w:rsidRDefault="00AA6F98" w:rsidP="00AA6F98">
      <w:pPr>
        <w:pStyle w:val="ListParagraph"/>
        <w:spacing w:before="0" w:after="120" w:line="240" w:lineRule="auto"/>
        <w:ind w:left="714" w:right="96"/>
        <w:rPr>
          <w:i/>
        </w:rPr>
      </w:pPr>
      <w:r w:rsidRPr="00AA6F98">
        <w:rPr>
          <w:i/>
        </w:rPr>
        <w:t>Evidence-informed consumer engagement is integrated in the design, implementation, monitoring and evaluation of the MBS to ensure it meets the needs, values and preferences of consumers and the community</w:t>
      </w:r>
      <w:r w:rsidRPr="00AA6F98">
        <w:rPr>
          <w:rStyle w:val="FootnoteReference"/>
          <w:i/>
        </w:rPr>
        <w:footnoteReference w:id="21"/>
      </w:r>
      <w:r w:rsidRPr="00AA6F98">
        <w:rPr>
          <w:i/>
        </w:rPr>
        <w:t>, not just clinicians, industry and policy makers.</w:t>
      </w:r>
    </w:p>
    <w:p w14:paraId="103053EF" w14:textId="286A5D16" w:rsidR="00AA6F98" w:rsidRPr="00AA6F98" w:rsidRDefault="00AA6F98" w:rsidP="00C93614">
      <w:pPr>
        <w:pStyle w:val="ListParagraph"/>
        <w:numPr>
          <w:ilvl w:val="0"/>
          <w:numId w:val="24"/>
        </w:numPr>
        <w:spacing w:before="0" w:after="120" w:line="240" w:lineRule="auto"/>
        <w:ind w:left="714" w:right="96" w:hanging="357"/>
      </w:pPr>
      <w:r w:rsidRPr="00AA6F98">
        <w:t>The MBS Review supports the development of an Australian health care system that is safe and high quality; provides equity of access and outcome for patients; delivers improvements in patient outcomes; supports the efficient and effective use of resources; and is sustainable.</w:t>
      </w:r>
    </w:p>
    <w:p w14:paraId="2910A1A3" w14:textId="77777777" w:rsidR="00AA6F98" w:rsidRPr="00AA6F98" w:rsidRDefault="00AA6F98" w:rsidP="00C93614">
      <w:pPr>
        <w:pStyle w:val="ListParagraph"/>
        <w:numPr>
          <w:ilvl w:val="0"/>
          <w:numId w:val="24"/>
        </w:numPr>
        <w:spacing w:before="0" w:after="120" w:line="240" w:lineRule="auto"/>
        <w:ind w:left="714" w:right="96" w:hanging="357"/>
      </w:pPr>
      <w:r w:rsidRPr="00AA6F98">
        <w:t>Design and use of MBS Items support safe, evidence-based, high quality consumer-centred care.</w:t>
      </w:r>
    </w:p>
    <w:p w14:paraId="7E15AB53" w14:textId="77777777" w:rsidR="00AA6F98" w:rsidRPr="00AA6F98" w:rsidRDefault="00AA6F98" w:rsidP="00C93614">
      <w:pPr>
        <w:pStyle w:val="ListParagraph"/>
        <w:numPr>
          <w:ilvl w:val="0"/>
          <w:numId w:val="25"/>
        </w:numPr>
        <w:spacing w:before="0" w:after="120" w:line="240" w:lineRule="auto"/>
        <w:ind w:right="96"/>
        <w:rPr>
          <w:i/>
        </w:rPr>
      </w:pPr>
      <w:r w:rsidRPr="00AA6F98">
        <w:rPr>
          <w:i/>
        </w:rPr>
        <w:t xml:space="preserve">MBS items with significant potential health impacts are linked to contemporary clinical practice guidelines, each of which has a plain English version. </w:t>
      </w:r>
    </w:p>
    <w:p w14:paraId="4C5751F2" w14:textId="7D0D6974" w:rsidR="00AA6F98" w:rsidRPr="00AA6F98" w:rsidRDefault="00AA6F98" w:rsidP="00C93614">
      <w:pPr>
        <w:pStyle w:val="ListParagraph"/>
        <w:numPr>
          <w:ilvl w:val="0"/>
          <w:numId w:val="25"/>
        </w:numPr>
        <w:spacing w:before="0" w:after="120" w:line="240" w:lineRule="auto"/>
        <w:ind w:right="96"/>
        <w:rPr>
          <w:i/>
        </w:rPr>
      </w:pPr>
      <w:r w:rsidRPr="00AA6F98">
        <w:rPr>
          <w:i/>
        </w:rPr>
        <w:t xml:space="preserve">The MBS allows sufficient flexibility to tailor treatments and care to the specific needs of individual patients, which may not align directly with Guidelines, but where the variation is well considered and appropriate. </w:t>
      </w:r>
    </w:p>
    <w:p w14:paraId="4CEF9CF6" w14:textId="71A013C6" w:rsidR="00AA6F98" w:rsidRPr="00AA6F98" w:rsidRDefault="006072E9" w:rsidP="00C93614">
      <w:pPr>
        <w:pStyle w:val="ListParagraph"/>
        <w:numPr>
          <w:ilvl w:val="0"/>
          <w:numId w:val="24"/>
        </w:numPr>
        <w:spacing w:before="0" w:after="120" w:line="240" w:lineRule="auto"/>
        <w:ind w:left="714" w:right="96" w:hanging="357"/>
      </w:pPr>
      <w:r>
        <w:t>Design and use of MBS i</w:t>
      </w:r>
      <w:r w:rsidR="00AA6F98" w:rsidRPr="00AA6F98">
        <w:t>tems support</w:t>
      </w:r>
      <w:r>
        <w:t>s</w:t>
      </w:r>
      <w:r w:rsidR="00AA6F98" w:rsidRPr="00AA6F98">
        <w:t xml:space="preserve"> fair and equitable access and outcomes for all.</w:t>
      </w:r>
    </w:p>
    <w:p w14:paraId="1F65605C" w14:textId="69946B45" w:rsidR="00AA6F98" w:rsidRPr="00AA6F98" w:rsidRDefault="006072E9" w:rsidP="00AA6F98">
      <w:pPr>
        <w:pStyle w:val="ListParagraph"/>
        <w:spacing w:before="0" w:after="120" w:line="240" w:lineRule="auto"/>
        <w:ind w:left="714" w:right="96"/>
        <w:rPr>
          <w:i/>
        </w:rPr>
      </w:pPr>
      <w:r>
        <w:rPr>
          <w:i/>
        </w:rPr>
        <w:t>It will</w:t>
      </w:r>
      <w:r w:rsidR="00AA6F98" w:rsidRPr="00AA6F98">
        <w:rPr>
          <w:i/>
        </w:rPr>
        <w:t>:</w:t>
      </w:r>
    </w:p>
    <w:p w14:paraId="15120494" w14:textId="77777777" w:rsidR="00AA6F98" w:rsidRPr="00AA6F98" w:rsidRDefault="00AA6F98" w:rsidP="00C93614">
      <w:pPr>
        <w:pStyle w:val="ListParagraph"/>
        <w:numPr>
          <w:ilvl w:val="0"/>
          <w:numId w:val="25"/>
        </w:numPr>
        <w:spacing w:before="0" w:after="120" w:line="240" w:lineRule="auto"/>
        <w:ind w:right="96"/>
        <w:rPr>
          <w:i/>
        </w:rPr>
      </w:pPr>
      <w:r w:rsidRPr="00AA6F98">
        <w:rPr>
          <w:i/>
        </w:rPr>
        <w:t xml:space="preserve">Address geographic location as a barrier by proactively looking at scope of practice of more than one clinical group, and reimbursement for clinical services that reflects the cost of service provision in regional and remote settings  </w:t>
      </w:r>
    </w:p>
    <w:p w14:paraId="6C04ABEE" w14:textId="359F05F7" w:rsidR="00AA6F98" w:rsidRPr="00AA6F98" w:rsidRDefault="00AA6F98" w:rsidP="00C93614">
      <w:pPr>
        <w:pStyle w:val="ListParagraph"/>
        <w:numPr>
          <w:ilvl w:val="0"/>
          <w:numId w:val="25"/>
        </w:numPr>
        <w:spacing w:before="0" w:after="120" w:line="240" w:lineRule="auto"/>
        <w:ind w:right="96"/>
        <w:rPr>
          <w:i/>
        </w:rPr>
      </w:pPr>
      <w:r w:rsidRPr="00AA6F98">
        <w:rPr>
          <w:i/>
        </w:rPr>
        <w:t>Ensure changes to the MBS do not drive an unreasonable increase in out-of-pocket expenses, particularly for vulnerable groups such as people with, or at risk of, multiple chronic diseases.</w:t>
      </w:r>
    </w:p>
    <w:p w14:paraId="06EBCAB4" w14:textId="24A5586F" w:rsidR="00AA6F98" w:rsidRPr="00AA6F98" w:rsidRDefault="00AA6F98" w:rsidP="00C93614">
      <w:pPr>
        <w:pStyle w:val="ListParagraph"/>
        <w:numPr>
          <w:ilvl w:val="0"/>
          <w:numId w:val="24"/>
        </w:numPr>
        <w:spacing w:before="0" w:after="120" w:line="240" w:lineRule="auto"/>
        <w:ind w:left="714" w:right="96" w:hanging="357"/>
      </w:pPr>
      <w:r w:rsidRPr="00AA6F98">
        <w:t>The MBS ensures equality of access to medical services, regardless of whether it is provided in the public or private sector.  </w:t>
      </w:r>
    </w:p>
    <w:p w14:paraId="1ECC226D" w14:textId="5E2A51C1" w:rsidR="00AA6F98" w:rsidRPr="00AA6F98" w:rsidRDefault="00AA6F98" w:rsidP="00C93614">
      <w:pPr>
        <w:pStyle w:val="ListParagraph"/>
        <w:numPr>
          <w:ilvl w:val="0"/>
          <w:numId w:val="24"/>
        </w:numPr>
        <w:spacing w:before="0" w:after="120" w:line="240" w:lineRule="auto"/>
        <w:ind w:left="714" w:right="96" w:hanging="357"/>
      </w:pPr>
      <w:r w:rsidRPr="00AA6F98">
        <w:t>MBS review processes encompass assessment of individual and systemic heal</w:t>
      </w:r>
      <w:r>
        <w:t>th quality and economic benefit</w:t>
      </w:r>
    </w:p>
    <w:p w14:paraId="18516A92" w14:textId="0C46E080" w:rsidR="00AA6F98" w:rsidRPr="00AA6F98" w:rsidRDefault="00AA6F98" w:rsidP="00C93614">
      <w:pPr>
        <w:pStyle w:val="ListParagraph"/>
        <w:numPr>
          <w:ilvl w:val="0"/>
          <w:numId w:val="25"/>
        </w:numPr>
        <w:spacing w:before="0" w:after="120" w:line="240" w:lineRule="auto"/>
        <w:ind w:right="96"/>
        <w:rPr>
          <w:i/>
        </w:rPr>
      </w:pPr>
      <w:r w:rsidRPr="00AA6F98">
        <w:rPr>
          <w:i/>
        </w:rPr>
        <w:t>Real out of pocket (OOP) expenses for consumers are calculated when determining (relative) Item co</w:t>
      </w:r>
      <w:r w:rsidR="006072E9">
        <w:rPr>
          <w:i/>
        </w:rPr>
        <w:t xml:space="preserve">sts; a total OOP is calculated </w:t>
      </w:r>
      <w:r w:rsidRPr="00AA6F98">
        <w:rPr>
          <w:i/>
        </w:rPr>
        <w:t xml:space="preserve">where multiple services are associated with the condition being treated; and for long term conditions the OOP is calculated for a longer period and potentially for the entire patient journey. </w:t>
      </w:r>
    </w:p>
    <w:p w14:paraId="618EBADB" w14:textId="59B61A44" w:rsidR="00AA6F98" w:rsidRPr="00AA6F98" w:rsidRDefault="00AA6F98" w:rsidP="00C93614">
      <w:pPr>
        <w:pStyle w:val="ListParagraph"/>
        <w:numPr>
          <w:ilvl w:val="0"/>
          <w:numId w:val="25"/>
        </w:numPr>
        <w:spacing w:before="0" w:after="120" w:line="240" w:lineRule="auto"/>
        <w:ind w:right="96"/>
        <w:rPr>
          <w:i/>
        </w:rPr>
      </w:pPr>
      <w:r w:rsidRPr="00AA6F98">
        <w:rPr>
          <w:i/>
        </w:rPr>
        <w:t>Quality and economic benefit (or cost effectiveness) are two different things to be balanced one against the other, and not assessed as one parameter.</w:t>
      </w:r>
    </w:p>
    <w:p w14:paraId="1752C43E" w14:textId="47CB3240" w:rsidR="00AA6F98" w:rsidRPr="00AA6F98" w:rsidRDefault="00AA6F98" w:rsidP="00C93614">
      <w:pPr>
        <w:pStyle w:val="ListParagraph"/>
        <w:numPr>
          <w:ilvl w:val="0"/>
          <w:numId w:val="24"/>
        </w:numPr>
        <w:spacing w:before="0" w:after="120" w:line="240" w:lineRule="auto"/>
        <w:ind w:left="714" w:right="96" w:hanging="357"/>
        <w:rPr>
          <w:i/>
        </w:rPr>
      </w:pPr>
      <w:r w:rsidRPr="00AA6F98">
        <w:t>The MBS is a dynamic and responsive system that only funds servic</w:t>
      </w:r>
      <w:r>
        <w:t>es that improve health outcomes</w:t>
      </w:r>
      <w:r w:rsidR="006072E9">
        <w:t xml:space="preserve">, noting that this may </w:t>
      </w:r>
      <w:r w:rsidRPr="006072E9">
        <w:t>require new systems of data collection and analysis and new ways of public reporting.</w:t>
      </w:r>
    </w:p>
    <w:p w14:paraId="5D3F348C" w14:textId="4F5E0BA9" w:rsidR="00AA6F98" w:rsidRPr="00AA6F98" w:rsidRDefault="00AA6F98" w:rsidP="00C93614">
      <w:pPr>
        <w:pStyle w:val="ListParagraph"/>
        <w:numPr>
          <w:ilvl w:val="0"/>
          <w:numId w:val="24"/>
        </w:numPr>
        <w:spacing w:before="0" w:after="120" w:line="240" w:lineRule="auto"/>
        <w:ind w:left="714" w:right="96" w:hanging="357"/>
      </w:pPr>
      <w:r w:rsidRPr="00AA6F98">
        <w:t>Use of MBS data is maximised for public benefit, and with appropriate governance to ensure that public benefit does n</w:t>
      </w:r>
      <w:r>
        <w:t>ot cause harm to the individual</w:t>
      </w:r>
    </w:p>
    <w:p w14:paraId="27B6DF28" w14:textId="1481CF36" w:rsidR="00AA6F98" w:rsidRPr="00AA6F98" w:rsidRDefault="00AA6F98" w:rsidP="00C93614">
      <w:pPr>
        <w:pStyle w:val="ListParagraph"/>
        <w:numPr>
          <w:ilvl w:val="0"/>
          <w:numId w:val="25"/>
        </w:numPr>
        <w:spacing w:before="0" w:after="120" w:line="240" w:lineRule="auto"/>
        <w:ind w:right="96"/>
        <w:rPr>
          <w:i/>
        </w:rPr>
      </w:pPr>
      <w:r w:rsidRPr="00AA6F98">
        <w:rPr>
          <w:i/>
        </w:rPr>
        <w:lastRenderedPageBreak/>
        <w:t>Ongoing monitoring /post-market surveillance/data availability for research purposes is integrated into the use of the MBS to support evaluation a</w:t>
      </w:r>
      <w:r>
        <w:rPr>
          <w:i/>
        </w:rPr>
        <w:t>nd review for quality assurance.</w:t>
      </w:r>
    </w:p>
    <w:p w14:paraId="2D9BDC7F" w14:textId="77777777" w:rsidR="00AA6F98" w:rsidRPr="00AA6F98" w:rsidRDefault="00AA6F98" w:rsidP="00C93614">
      <w:pPr>
        <w:pStyle w:val="ListParagraph"/>
        <w:numPr>
          <w:ilvl w:val="0"/>
          <w:numId w:val="24"/>
        </w:numPr>
        <w:spacing w:before="0" w:after="120" w:line="240" w:lineRule="auto"/>
        <w:ind w:left="714" w:right="96" w:hanging="357"/>
      </w:pPr>
      <w:r w:rsidRPr="00AA6F98">
        <w:t xml:space="preserve">Lack of evidence does not always mean that an item is not effective and removed. It does confirm the imperative for data collection and post market surveillance that can meaningfully track the appropriate use of MBS items. </w:t>
      </w:r>
    </w:p>
    <w:p w14:paraId="332A21D3" w14:textId="0EDB55CF" w:rsidR="00AA6F98" w:rsidRPr="00AA6F98" w:rsidRDefault="00AA6F98" w:rsidP="00C93614">
      <w:pPr>
        <w:pStyle w:val="ListParagraph"/>
        <w:numPr>
          <w:ilvl w:val="0"/>
          <w:numId w:val="24"/>
        </w:numPr>
        <w:spacing w:before="0" w:after="120" w:line="240" w:lineRule="auto"/>
        <w:ind w:left="714" w:right="96" w:hanging="357"/>
      </w:pPr>
      <w:r w:rsidRPr="00AA6F98">
        <w:t xml:space="preserve">The </w:t>
      </w:r>
      <w:r>
        <w:t xml:space="preserve">MBS </w:t>
      </w:r>
      <w:r w:rsidRPr="00AA6F98">
        <w:t xml:space="preserve">Review does not remove access to a service where it is appropriate for the care of a small, defined patient group. </w:t>
      </w:r>
    </w:p>
    <w:p w14:paraId="78A23ECA" w14:textId="6E829D80" w:rsidR="00AA6F98" w:rsidRPr="006072E9" w:rsidRDefault="00AA6F98" w:rsidP="00C93614">
      <w:pPr>
        <w:pStyle w:val="ListParagraph"/>
        <w:numPr>
          <w:ilvl w:val="0"/>
          <w:numId w:val="25"/>
        </w:numPr>
        <w:spacing w:before="0" w:after="120" w:line="240" w:lineRule="auto"/>
        <w:ind w:right="96"/>
        <w:rPr>
          <w:i/>
        </w:rPr>
      </w:pPr>
      <w:r w:rsidRPr="006072E9">
        <w:rPr>
          <w:i/>
        </w:rPr>
        <w:t xml:space="preserve">If necessary, the descriptor can be amended to ensure Item use is targeted to the appropriate patients, and only accessed by the appropriately trained clinicians.  </w:t>
      </w:r>
    </w:p>
    <w:p w14:paraId="24E0A6A8" w14:textId="16D2B81C" w:rsidR="00AA6F98" w:rsidRPr="00AA6F98" w:rsidRDefault="00AA6F98" w:rsidP="00C93614">
      <w:pPr>
        <w:pStyle w:val="ListParagraph"/>
        <w:numPr>
          <w:ilvl w:val="0"/>
          <w:numId w:val="24"/>
        </w:numPr>
        <w:spacing w:before="0" w:after="120" w:line="240" w:lineRule="auto"/>
        <w:ind w:left="714" w:right="96" w:hanging="357"/>
      </w:pPr>
      <w:r w:rsidRPr="00AA6F98">
        <w:t>Patient Reported (Adverse) Outcomes Measures (PR[A]OMs), Patient Reported Experience Measures (PREMS) and other quality of life measures are considered along with clinical outcomes measures when determining safety, quality, efficiency, efficacy, access and currency of MBS Items.</w:t>
      </w:r>
    </w:p>
    <w:p w14:paraId="596652B3" w14:textId="77777777" w:rsidR="00AA6F98" w:rsidRPr="00AA6F98" w:rsidRDefault="00AA6F98" w:rsidP="00C93614">
      <w:pPr>
        <w:pStyle w:val="ListParagraph"/>
        <w:numPr>
          <w:ilvl w:val="0"/>
          <w:numId w:val="24"/>
        </w:numPr>
        <w:spacing w:before="0" w:after="120" w:line="240" w:lineRule="auto"/>
        <w:ind w:left="714" w:right="96" w:hanging="357"/>
      </w:pPr>
      <w:r w:rsidRPr="00AA6F98">
        <w:t>Implementation of the MBS:</w:t>
      </w:r>
    </w:p>
    <w:p w14:paraId="457F7B70" w14:textId="77777777" w:rsidR="00AA6F98" w:rsidRPr="006072E9" w:rsidRDefault="00AA6F98" w:rsidP="00C93614">
      <w:pPr>
        <w:pStyle w:val="ListParagraph"/>
        <w:numPr>
          <w:ilvl w:val="0"/>
          <w:numId w:val="25"/>
        </w:numPr>
        <w:spacing w:before="0" w:after="120" w:line="240" w:lineRule="auto"/>
        <w:ind w:right="96"/>
        <w:rPr>
          <w:i/>
        </w:rPr>
      </w:pPr>
      <w:r w:rsidRPr="006072E9">
        <w:rPr>
          <w:i/>
        </w:rPr>
        <w:t>Supports business practices that enable consumers to make fully informed decisions including clinical information and cost comparisons across public and private options</w:t>
      </w:r>
    </w:p>
    <w:p w14:paraId="46AF4C6E" w14:textId="77777777" w:rsidR="00AA6F98" w:rsidRPr="006072E9" w:rsidRDefault="00AA6F98" w:rsidP="00C93614">
      <w:pPr>
        <w:pStyle w:val="ListParagraph"/>
        <w:numPr>
          <w:ilvl w:val="0"/>
          <w:numId w:val="25"/>
        </w:numPr>
        <w:spacing w:before="0" w:after="120" w:line="240" w:lineRule="auto"/>
        <w:ind w:right="96"/>
        <w:rPr>
          <w:i/>
        </w:rPr>
      </w:pPr>
      <w:r w:rsidRPr="006072E9">
        <w:rPr>
          <w:i/>
        </w:rPr>
        <w:t>Inhibits listing of multiple Items for single consultations/treatments</w:t>
      </w:r>
    </w:p>
    <w:p w14:paraId="4E140282" w14:textId="77777777" w:rsidR="00AA6F98" w:rsidRPr="006072E9" w:rsidRDefault="00AA6F98" w:rsidP="00C93614">
      <w:pPr>
        <w:pStyle w:val="ListParagraph"/>
        <w:numPr>
          <w:ilvl w:val="0"/>
          <w:numId w:val="25"/>
        </w:numPr>
        <w:spacing w:before="0" w:after="120" w:line="240" w:lineRule="auto"/>
        <w:ind w:right="96"/>
        <w:rPr>
          <w:i/>
        </w:rPr>
      </w:pPr>
      <w:r w:rsidRPr="006072E9">
        <w:rPr>
          <w:i/>
        </w:rPr>
        <w:t xml:space="preserve">Addresses conflict of interest and full disclosure regarding any recommended device/service </w:t>
      </w:r>
    </w:p>
    <w:p w14:paraId="70B11A4D" w14:textId="12F0C384" w:rsidR="00AA6F98" w:rsidRPr="006072E9" w:rsidRDefault="00AA6F98" w:rsidP="00C93614">
      <w:pPr>
        <w:pStyle w:val="ListParagraph"/>
        <w:numPr>
          <w:ilvl w:val="0"/>
          <w:numId w:val="25"/>
        </w:numPr>
        <w:spacing w:before="0" w:after="120" w:line="240" w:lineRule="auto"/>
        <w:ind w:right="96"/>
        <w:rPr>
          <w:i/>
        </w:rPr>
      </w:pPr>
      <w:r w:rsidRPr="006072E9">
        <w:rPr>
          <w:i/>
        </w:rPr>
        <w:t>Uses the MBS to</w:t>
      </w:r>
      <w:r w:rsidR="006072E9" w:rsidRPr="006072E9">
        <w:rPr>
          <w:i/>
        </w:rPr>
        <w:t xml:space="preserve"> fund universal access to safe </w:t>
      </w:r>
      <w:r w:rsidRPr="006072E9">
        <w:rPr>
          <w:i/>
        </w:rPr>
        <w:t>health care, particularly for the most vulnerable – and not simply convenience of access</w:t>
      </w:r>
    </w:p>
    <w:p w14:paraId="554AFD73" w14:textId="77777777" w:rsidR="00AA6F98" w:rsidRPr="006072E9" w:rsidRDefault="00AA6F98" w:rsidP="00C93614">
      <w:pPr>
        <w:pStyle w:val="ListParagraph"/>
        <w:numPr>
          <w:ilvl w:val="0"/>
          <w:numId w:val="25"/>
        </w:numPr>
        <w:spacing w:before="0" w:after="120" w:line="240" w:lineRule="auto"/>
        <w:ind w:right="96"/>
        <w:rPr>
          <w:i/>
        </w:rPr>
      </w:pPr>
      <w:r w:rsidRPr="006072E9">
        <w:rPr>
          <w:i/>
        </w:rPr>
        <w:t>Is reported upon publicly in ways that ensure clinicians and corporate beneficiaries of Medicare are accountable to consumers as patients and taxpayers</w:t>
      </w:r>
    </w:p>
    <w:p w14:paraId="0321CD5A" w14:textId="1C227612" w:rsidR="00AA6F98" w:rsidRPr="006072E9" w:rsidRDefault="00AA6F98" w:rsidP="00C93614">
      <w:pPr>
        <w:pStyle w:val="ListParagraph"/>
        <w:numPr>
          <w:ilvl w:val="0"/>
          <w:numId w:val="25"/>
        </w:numPr>
        <w:spacing w:before="0" w:after="120" w:line="240" w:lineRule="auto"/>
        <w:ind w:right="96"/>
        <w:rPr>
          <w:i/>
        </w:rPr>
      </w:pPr>
      <w:r w:rsidRPr="006072E9">
        <w:rPr>
          <w:i/>
        </w:rPr>
        <w:t xml:space="preserve">Is quality assured and incentivised through professional practice measures such as training. </w:t>
      </w:r>
    </w:p>
    <w:p w14:paraId="42CFA3ED" w14:textId="77777777" w:rsidR="00AA6F98" w:rsidRPr="006072E9" w:rsidRDefault="00AA6F98" w:rsidP="006072E9">
      <w:pPr>
        <w:spacing w:before="0" w:after="120" w:line="240" w:lineRule="auto"/>
        <w:ind w:right="96"/>
        <w:rPr>
          <w:b/>
        </w:rPr>
      </w:pPr>
      <w:r w:rsidRPr="006072E9">
        <w:rPr>
          <w:b/>
        </w:rPr>
        <w:t>Additional considerations</w:t>
      </w:r>
    </w:p>
    <w:p w14:paraId="32D097B6" w14:textId="6FBDF351" w:rsidR="00AA6F98" w:rsidRPr="00AA6F98" w:rsidRDefault="00AA6F98" w:rsidP="006072E9">
      <w:pPr>
        <w:spacing w:before="0" w:after="120" w:line="240" w:lineRule="auto"/>
        <w:ind w:right="96"/>
      </w:pPr>
      <w:r w:rsidRPr="00AA6F98">
        <w:t xml:space="preserve">The Consumer Panel </w:t>
      </w:r>
      <w:r w:rsidR="006072E9">
        <w:t>notes</w:t>
      </w:r>
      <w:r w:rsidRPr="00AA6F98">
        <w:t xml:space="preserve"> that:</w:t>
      </w:r>
    </w:p>
    <w:p w14:paraId="0758FF15" w14:textId="0EEF9C23" w:rsidR="00AA6F98" w:rsidRPr="006072E9" w:rsidRDefault="00AA6F98" w:rsidP="00C93614">
      <w:pPr>
        <w:pStyle w:val="ListParagraph"/>
        <w:numPr>
          <w:ilvl w:val="0"/>
          <w:numId w:val="26"/>
        </w:numPr>
        <w:spacing w:before="0" w:after="120" w:line="240" w:lineRule="auto"/>
        <w:ind w:right="96"/>
      </w:pPr>
      <w:r w:rsidRPr="006072E9">
        <w:t>Further development of consumer principles is likely to include principles related to reporting, disclosure, transparency and regulatory oversight as well as communication and informed (financial) consent. For example:</w:t>
      </w:r>
    </w:p>
    <w:p w14:paraId="7C3E738F" w14:textId="77777777" w:rsidR="00AA6F98" w:rsidRPr="006072E9" w:rsidRDefault="00AA6F98" w:rsidP="00C93614">
      <w:pPr>
        <w:pStyle w:val="ListParagraph"/>
        <w:numPr>
          <w:ilvl w:val="0"/>
          <w:numId w:val="25"/>
        </w:numPr>
        <w:spacing w:before="0" w:after="120" w:line="240" w:lineRule="auto"/>
        <w:ind w:right="96"/>
      </w:pPr>
      <w:r w:rsidRPr="006072E9">
        <w:t>Not every health service has a consumer cost reimbursement via the MBS</w:t>
      </w:r>
    </w:p>
    <w:p w14:paraId="02E4383A" w14:textId="77777777" w:rsidR="00AA6F98" w:rsidRPr="006072E9" w:rsidRDefault="00AA6F98" w:rsidP="00C93614">
      <w:pPr>
        <w:pStyle w:val="ListParagraph"/>
        <w:numPr>
          <w:ilvl w:val="0"/>
          <w:numId w:val="25"/>
        </w:numPr>
        <w:spacing w:before="0" w:after="120" w:line="240" w:lineRule="auto"/>
        <w:ind w:right="96"/>
      </w:pPr>
      <w:r w:rsidRPr="006072E9">
        <w:t>Practitioners that exploit the MBS are reported to the regulatory authority</w:t>
      </w:r>
    </w:p>
    <w:p w14:paraId="084DC58B" w14:textId="77777777" w:rsidR="00AA6F98" w:rsidRPr="006072E9" w:rsidRDefault="00AA6F98" w:rsidP="00C93614">
      <w:pPr>
        <w:pStyle w:val="ListParagraph"/>
        <w:numPr>
          <w:ilvl w:val="0"/>
          <w:numId w:val="25"/>
        </w:numPr>
        <w:spacing w:before="0" w:after="120" w:line="240" w:lineRule="auto"/>
        <w:ind w:right="96"/>
      </w:pPr>
      <w:r w:rsidRPr="006072E9">
        <w:t>Simplicity where possible in the MBS supports professional conduct – and identification and management of alleged unprofessional conduct.</w:t>
      </w:r>
    </w:p>
    <w:p w14:paraId="2AA00904" w14:textId="4880CAC8" w:rsidR="00AA6F98" w:rsidRPr="006072E9" w:rsidRDefault="00AA6F98" w:rsidP="00C93614">
      <w:pPr>
        <w:pStyle w:val="ListParagraph"/>
        <w:numPr>
          <w:ilvl w:val="0"/>
          <w:numId w:val="26"/>
        </w:numPr>
        <w:spacing w:before="0" w:after="120" w:line="240" w:lineRule="auto"/>
        <w:ind w:right="96"/>
      </w:pPr>
      <w:r w:rsidRPr="006072E9">
        <w:t>All practitioners in the Review can be considered to have a C</w:t>
      </w:r>
      <w:r w:rsidR="006072E9">
        <w:t xml:space="preserve">onflict of Interest: </w:t>
      </w:r>
      <w:r w:rsidRPr="006072E9">
        <w:t>this is inevitable. Genuine, structured and supported consumer feedback in Review reports is required to ensure the conflicts have been successfully managed as well as to ensure the recommendations work in the best interes</w:t>
      </w:r>
      <w:r w:rsidR="006072E9">
        <w:t xml:space="preserve">ts of the consumers to whom the </w:t>
      </w:r>
      <w:r w:rsidRPr="006072E9">
        <w:t>reimbursements will be paid.</w:t>
      </w:r>
    </w:p>
    <w:p w14:paraId="7F5BA42B" w14:textId="77777777" w:rsidR="00AA6F98" w:rsidRPr="00AA6F98" w:rsidRDefault="00AA6F98" w:rsidP="00AA6F98">
      <w:pPr>
        <w:rPr>
          <w:lang w:val="en-US" w:eastAsia="en-US"/>
        </w:rPr>
      </w:pPr>
    </w:p>
    <w:p w14:paraId="1ABBEBC8" w14:textId="77777777" w:rsidR="008265CD" w:rsidRDefault="008265CD" w:rsidP="002C3EC4">
      <w:pPr>
        <w:spacing w:line="240" w:lineRule="auto"/>
        <w:rPr>
          <w:rFonts w:eastAsiaTheme="minorHAnsi"/>
        </w:rPr>
      </w:pPr>
    </w:p>
    <w:sectPr w:rsidR="008265CD" w:rsidSect="008C5A4A">
      <w:headerReference w:type="first" r:id="rId16"/>
      <w:pgSz w:w="11906" w:h="16838"/>
      <w:pgMar w:top="1560" w:right="1440" w:bottom="1418" w:left="1440" w:header="708" w:footer="3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35031" w14:textId="77777777" w:rsidR="009E44A7" w:rsidRDefault="009E44A7" w:rsidP="000D1CF6">
      <w:r>
        <w:separator/>
      </w:r>
    </w:p>
    <w:p w14:paraId="6D8820D2" w14:textId="77777777" w:rsidR="009E44A7" w:rsidRDefault="009E44A7" w:rsidP="000D1CF6"/>
  </w:endnote>
  <w:endnote w:type="continuationSeparator" w:id="0">
    <w:p w14:paraId="6F28FE87" w14:textId="77777777" w:rsidR="009E44A7" w:rsidRDefault="009E44A7" w:rsidP="000D1CF6">
      <w:r>
        <w:continuationSeparator/>
      </w:r>
    </w:p>
    <w:p w14:paraId="12B96AFF" w14:textId="77777777" w:rsidR="009E44A7" w:rsidRDefault="009E44A7" w:rsidP="000D1C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alatino">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Bold">
    <w:altName w:val="Times New Roman"/>
    <w:charset w:val="00"/>
    <w:family w:val="auto"/>
    <w:pitch w:val="variable"/>
    <w:sig w:usb0="00000001"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75CAC" w14:textId="538687F3" w:rsidR="009E44A7" w:rsidRDefault="009E44A7" w:rsidP="001346E6">
    <w:pPr>
      <w:pStyle w:val="Footer"/>
      <w:jc w:val="right"/>
    </w:pPr>
    <w:r>
      <w:rPr>
        <w:color w:val="01653F"/>
        <w:sz w:val="16"/>
      </w:rPr>
      <w:t>Second report of the MBS Principles and Rules Committee – November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9651232"/>
      <w:docPartObj>
        <w:docPartGallery w:val="Page Numbers (Bottom of Page)"/>
        <w:docPartUnique/>
      </w:docPartObj>
    </w:sdtPr>
    <w:sdtEndPr>
      <w:rPr>
        <w:noProof/>
      </w:rPr>
    </w:sdtEndPr>
    <w:sdtContent>
      <w:p w14:paraId="6BD82F59" w14:textId="08BCA62F" w:rsidR="009E44A7" w:rsidRDefault="009E44A7">
        <w:pPr>
          <w:pStyle w:val="Footer"/>
          <w:jc w:val="right"/>
        </w:pPr>
      </w:p>
    </w:sdtContent>
  </w:sdt>
  <w:p w14:paraId="6FF04490" w14:textId="638081C5" w:rsidR="009E44A7" w:rsidRDefault="009E44A7" w:rsidP="00103DD5">
    <w:pPr>
      <w:pStyle w:val="Footer"/>
      <w:jc w:val="right"/>
    </w:pPr>
    <w:r>
      <w:rPr>
        <w:color w:val="01653F"/>
        <w:sz w:val="16"/>
      </w:rPr>
      <w:t>Second report of the MBS Principles and Rules Committee – November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D2F7B" w14:textId="77777777" w:rsidR="009E44A7" w:rsidRDefault="009E44A7" w:rsidP="000D1CF6">
      <w:r>
        <w:separator/>
      </w:r>
    </w:p>
    <w:p w14:paraId="2C638496" w14:textId="77777777" w:rsidR="009E44A7" w:rsidRDefault="009E44A7" w:rsidP="000D1CF6"/>
  </w:footnote>
  <w:footnote w:type="continuationSeparator" w:id="0">
    <w:p w14:paraId="0020E30B" w14:textId="77777777" w:rsidR="009E44A7" w:rsidRDefault="009E44A7" w:rsidP="000D1CF6">
      <w:r>
        <w:continuationSeparator/>
      </w:r>
    </w:p>
    <w:p w14:paraId="08B2CE3B" w14:textId="77777777" w:rsidR="009E44A7" w:rsidRDefault="009E44A7" w:rsidP="000D1CF6"/>
  </w:footnote>
  <w:footnote w:id="1">
    <w:p w14:paraId="1B98C205" w14:textId="77777777" w:rsidR="009E44A7" w:rsidRPr="00123C48" w:rsidRDefault="009E44A7" w:rsidP="00EF6B02">
      <w:pPr>
        <w:pStyle w:val="FootnoteText"/>
        <w:rPr>
          <w:sz w:val="18"/>
          <w:szCs w:val="18"/>
        </w:rPr>
      </w:pPr>
      <w:r w:rsidRPr="00123C48">
        <w:rPr>
          <w:rStyle w:val="FootnoteReference"/>
          <w:sz w:val="18"/>
          <w:szCs w:val="18"/>
        </w:rPr>
        <w:footnoteRef/>
      </w:r>
      <w:r w:rsidRPr="00123C48">
        <w:rPr>
          <w:sz w:val="18"/>
          <w:szCs w:val="18"/>
        </w:rPr>
        <w:t xml:space="preserve"> GP stewardship principle: as outlined </w:t>
      </w:r>
      <w:r w:rsidRPr="00123C48">
        <w:rPr>
          <w:color w:val="000000" w:themeColor="text1"/>
          <w:sz w:val="18"/>
          <w:szCs w:val="18"/>
        </w:rPr>
        <w:t xml:space="preserve">in the 2017 phase 1 report and the 2018 phase 2 report from the General Practice and Primary Care Clinical Committee at: </w:t>
      </w:r>
      <w:hyperlink r:id="rId1" w:history="1">
        <w:r w:rsidRPr="00123C48">
          <w:rPr>
            <w:rStyle w:val="Hyperlink"/>
            <w:sz w:val="18"/>
            <w:szCs w:val="18"/>
          </w:rPr>
          <w:t>https://www1.health.gov.au/internet/main/publishing.nsf/Content/MBSR-closed-consult</w:t>
        </w:r>
      </w:hyperlink>
      <w:r w:rsidRPr="00123C48">
        <w:rPr>
          <w:color w:val="000000" w:themeColor="text1"/>
          <w:sz w:val="18"/>
          <w:szCs w:val="18"/>
        </w:rPr>
        <w:t xml:space="preserve"> </w:t>
      </w:r>
    </w:p>
  </w:footnote>
  <w:footnote w:id="2">
    <w:p w14:paraId="19738429" w14:textId="639A98F6" w:rsidR="009E44A7" w:rsidRPr="00BD30B6" w:rsidRDefault="009E44A7">
      <w:pPr>
        <w:pStyle w:val="FootnoteText"/>
        <w:rPr>
          <w:sz w:val="18"/>
          <w:szCs w:val="18"/>
        </w:rPr>
      </w:pPr>
      <w:r w:rsidRPr="00BD30B6">
        <w:rPr>
          <w:rStyle w:val="FootnoteReference"/>
          <w:sz w:val="18"/>
          <w:szCs w:val="18"/>
        </w:rPr>
        <w:footnoteRef/>
      </w:r>
      <w:r w:rsidRPr="00BD30B6">
        <w:rPr>
          <w:sz w:val="18"/>
          <w:szCs w:val="18"/>
        </w:rPr>
        <w:t xml:space="preserve"> Consumer Panel Members have served on approximately 31 clinical committees throughout the life of the MBS Review.</w:t>
      </w:r>
    </w:p>
  </w:footnote>
  <w:footnote w:id="3">
    <w:p w14:paraId="5BBBDE74" w14:textId="77777777" w:rsidR="009E44A7" w:rsidRPr="008D62B5" w:rsidRDefault="009E44A7" w:rsidP="008D62B5">
      <w:pPr>
        <w:pStyle w:val="EndnoteText"/>
        <w:rPr>
          <w:sz w:val="18"/>
          <w:szCs w:val="18"/>
        </w:rPr>
      </w:pPr>
      <w:r w:rsidRPr="00434D24">
        <w:rPr>
          <w:rStyle w:val="FootnoteReference"/>
          <w:sz w:val="18"/>
          <w:szCs w:val="18"/>
        </w:rPr>
        <w:footnoteRef/>
      </w:r>
      <w:r w:rsidRPr="00434D24">
        <w:rPr>
          <w:sz w:val="18"/>
          <w:szCs w:val="18"/>
        </w:rPr>
        <w:t xml:space="preserve"> What is the MBS and Medicare?  </w:t>
      </w:r>
      <w:hyperlink r:id="rId2" w:history="1">
        <w:r w:rsidRPr="00434D24">
          <w:rPr>
            <w:rStyle w:val="Hyperlink"/>
            <w:rFonts w:eastAsiaTheme="minorHAnsi"/>
            <w:sz w:val="18"/>
            <w:szCs w:val="18"/>
          </w:rPr>
          <w:t>http://www.msac.gov.au/internet/msac/publishing.nsf/content/factsheet-03</w:t>
        </w:r>
      </w:hyperlink>
    </w:p>
  </w:footnote>
  <w:footnote w:id="4">
    <w:p w14:paraId="4E508E70" w14:textId="77777777" w:rsidR="009E44A7" w:rsidRPr="00434D24" w:rsidRDefault="009E44A7" w:rsidP="0075557E">
      <w:pPr>
        <w:pStyle w:val="FootnoteText"/>
        <w:rPr>
          <w:sz w:val="18"/>
          <w:szCs w:val="18"/>
        </w:rPr>
      </w:pPr>
      <w:r w:rsidRPr="00434D24">
        <w:rPr>
          <w:rStyle w:val="FootnoteReference"/>
          <w:sz w:val="18"/>
          <w:szCs w:val="18"/>
        </w:rPr>
        <w:footnoteRef/>
      </w:r>
      <w:r w:rsidRPr="00434D24">
        <w:rPr>
          <w:sz w:val="18"/>
          <w:szCs w:val="18"/>
        </w:rPr>
        <w:t xml:space="preserve"> Health Professional Compliance </w:t>
      </w:r>
      <w:hyperlink r:id="rId3" w:history="1">
        <w:r w:rsidRPr="00434D24">
          <w:rPr>
            <w:rStyle w:val="Hyperlink"/>
            <w:rFonts w:eastAsiaTheme="minorHAnsi"/>
            <w:sz w:val="18"/>
            <w:szCs w:val="18"/>
          </w:rPr>
          <w:t>http://www.health.gov.au/internet/main/publishing.nsf/Content/health-compliance</w:t>
        </w:r>
      </w:hyperlink>
    </w:p>
  </w:footnote>
  <w:footnote w:id="5">
    <w:p w14:paraId="7C17F7AF" w14:textId="1B08843B" w:rsidR="009E44A7" w:rsidRPr="00123C48" w:rsidRDefault="009E44A7">
      <w:pPr>
        <w:pStyle w:val="FootnoteText"/>
        <w:rPr>
          <w:rFonts w:cstheme="minorHAnsi"/>
          <w:sz w:val="18"/>
          <w:szCs w:val="18"/>
        </w:rPr>
      </w:pPr>
      <w:r w:rsidRPr="00123C48">
        <w:rPr>
          <w:rStyle w:val="FootnoteReference"/>
          <w:rFonts w:cstheme="minorHAnsi"/>
          <w:sz w:val="18"/>
          <w:szCs w:val="18"/>
        </w:rPr>
        <w:footnoteRef/>
      </w:r>
      <w:r w:rsidRPr="00123C48">
        <w:rPr>
          <w:rFonts w:cstheme="minorHAnsi"/>
          <w:sz w:val="18"/>
          <w:szCs w:val="18"/>
        </w:rPr>
        <w:t xml:space="preserve"> Inappropriate practice: rather than being attributed to a </w:t>
      </w:r>
      <w:r w:rsidRPr="00123C48">
        <w:rPr>
          <w:rFonts w:cstheme="minorHAnsi"/>
          <w:i/>
          <w:sz w:val="18"/>
          <w:szCs w:val="18"/>
        </w:rPr>
        <w:t>mistake,</w:t>
      </w:r>
      <w:r w:rsidRPr="00123C48">
        <w:rPr>
          <w:rFonts w:cstheme="minorHAnsi"/>
          <w:sz w:val="18"/>
          <w:szCs w:val="18"/>
        </w:rPr>
        <w:t xml:space="preserve"> inappropriate practice is a deliberate servicing activity that would be unacceptable to the general body of peers.</w:t>
      </w:r>
    </w:p>
  </w:footnote>
  <w:footnote w:id="6">
    <w:p w14:paraId="13ECE5CD" w14:textId="0ADFCE61" w:rsidR="009E44A7" w:rsidRDefault="009E44A7" w:rsidP="000B009B">
      <w:pPr>
        <w:pStyle w:val="FootnoteText"/>
      </w:pPr>
      <w:r w:rsidRPr="00123C48">
        <w:rPr>
          <w:rStyle w:val="FootnoteReference"/>
          <w:rFonts w:cstheme="minorHAnsi"/>
          <w:sz w:val="18"/>
          <w:szCs w:val="18"/>
        </w:rPr>
        <w:footnoteRef/>
      </w:r>
      <w:r w:rsidRPr="00123C48">
        <w:rPr>
          <w:rFonts w:cstheme="minorHAnsi"/>
          <w:sz w:val="18"/>
          <w:szCs w:val="18"/>
        </w:rPr>
        <w:t xml:space="preserve"> Provider Benefits Integrity Hotline (tip-offs) 1800 314 808 </w:t>
      </w:r>
      <w:hyperlink r:id="rId4" w:history="1">
        <w:r w:rsidRPr="00123C48">
          <w:rPr>
            <w:rStyle w:val="Hyperlink"/>
            <w:rFonts w:eastAsiaTheme="minorHAnsi" w:cstheme="minorHAnsi"/>
            <w:sz w:val="18"/>
            <w:szCs w:val="18"/>
          </w:rPr>
          <w:t>provider.benefits.integrity@health.gov.au</w:t>
        </w:r>
      </w:hyperlink>
      <w:r w:rsidRPr="00123C48">
        <w:rPr>
          <w:rFonts w:cstheme="minorHAnsi"/>
          <w:sz w:val="18"/>
          <w:szCs w:val="18"/>
        </w:rPr>
        <w:t xml:space="preserve"> </w:t>
      </w:r>
      <w:hyperlink r:id="rId5" w:history="1">
        <w:r w:rsidRPr="00123C48">
          <w:rPr>
            <w:rStyle w:val="Hyperlink"/>
            <w:rFonts w:eastAsiaTheme="minorHAnsi" w:cstheme="minorHAnsi"/>
            <w:sz w:val="18"/>
            <w:szCs w:val="18"/>
          </w:rPr>
          <w:t>https://www1.health.gov.au/internet/main/publishing.nsf/Content/health-provider-tip-off</w:t>
        </w:r>
      </w:hyperlink>
    </w:p>
  </w:footnote>
  <w:footnote w:id="7">
    <w:p w14:paraId="3C7A3A53" w14:textId="77777777" w:rsidR="009E44A7" w:rsidRDefault="009E44A7" w:rsidP="00B34807">
      <w:pPr>
        <w:pStyle w:val="FootnoteText"/>
      </w:pPr>
      <w:r>
        <w:rPr>
          <w:rStyle w:val="FootnoteReference"/>
        </w:rPr>
        <w:footnoteRef/>
      </w:r>
      <w:r>
        <w:t xml:space="preserve"> </w:t>
      </w:r>
      <w:r w:rsidRPr="006B5384">
        <w:rPr>
          <w:sz w:val="18"/>
          <w:szCs w:val="18"/>
        </w:rPr>
        <w:t xml:space="preserve">‘Clinically Relevant’ as defined in the </w:t>
      </w:r>
      <w:r w:rsidRPr="006B5384">
        <w:rPr>
          <w:i/>
          <w:sz w:val="18"/>
          <w:szCs w:val="18"/>
        </w:rPr>
        <w:t>Health Insurance Act 1973</w:t>
      </w:r>
    </w:p>
  </w:footnote>
  <w:footnote w:id="8">
    <w:p w14:paraId="4A6B268E" w14:textId="77777777" w:rsidR="009E44A7" w:rsidRPr="00123C48" w:rsidRDefault="009E44A7" w:rsidP="00DF724C">
      <w:pPr>
        <w:pStyle w:val="FootnoteText"/>
        <w:rPr>
          <w:rFonts w:cstheme="minorHAnsi"/>
          <w:sz w:val="18"/>
          <w:szCs w:val="18"/>
        </w:rPr>
      </w:pPr>
      <w:r w:rsidRPr="00123C48">
        <w:rPr>
          <w:rStyle w:val="FootnoteReference"/>
          <w:rFonts w:cstheme="minorHAnsi"/>
          <w:sz w:val="18"/>
          <w:szCs w:val="18"/>
        </w:rPr>
        <w:footnoteRef/>
      </w:r>
      <w:r w:rsidRPr="00123C48">
        <w:rPr>
          <w:rFonts w:cstheme="minorHAnsi"/>
          <w:sz w:val="18"/>
          <w:szCs w:val="18"/>
        </w:rPr>
        <w:t xml:space="preserve"> More information on the Multiple Operation Rule can be found at: </w:t>
      </w:r>
      <w:hyperlink r:id="rId6" w:history="1">
        <w:r w:rsidRPr="00123C48">
          <w:rPr>
            <w:rStyle w:val="Hyperlink"/>
            <w:rFonts w:eastAsiaTheme="minorHAnsi" w:cstheme="minorHAnsi"/>
            <w:sz w:val="18"/>
            <w:szCs w:val="18"/>
          </w:rPr>
          <w:t>http://www9.health.gov.au/mbs/fullDisplay.cfm?type=note&amp;q=TN.8.2&amp;qt=noteID&amp;criteria=TN%2E8%2E2</w:t>
        </w:r>
      </w:hyperlink>
    </w:p>
  </w:footnote>
  <w:footnote w:id="9">
    <w:p w14:paraId="75C372B6" w14:textId="34BC75A6" w:rsidR="009E44A7" w:rsidRDefault="009E44A7" w:rsidP="003B03E4">
      <w:pPr>
        <w:spacing w:line="240" w:lineRule="auto"/>
        <w:ind w:right="95"/>
      </w:pPr>
      <w:r w:rsidRPr="00123C48">
        <w:rPr>
          <w:rStyle w:val="FootnoteReference"/>
          <w:sz w:val="18"/>
          <w:szCs w:val="18"/>
        </w:rPr>
        <w:footnoteRef/>
      </w:r>
      <w:r w:rsidRPr="00123C48">
        <w:rPr>
          <w:sz w:val="18"/>
          <w:szCs w:val="18"/>
        </w:rPr>
        <w:t xml:space="preserve"> </w:t>
      </w:r>
      <w:r w:rsidRPr="003B03E4">
        <w:rPr>
          <w:color w:val="000000" w:themeColor="text1"/>
          <w:sz w:val="18"/>
          <w:szCs w:val="18"/>
          <w:lang w:val="en-US"/>
        </w:rPr>
        <w:t>“Figurehead billing” definition: Every healthcare practitioner eligible to levy a claim to the MBS for a service provided has a provider number. There are situations where a provider’s number is used by a third party, often a corporate entity, to create an MBS claim. This is termed “Figurehead” billing.</w:t>
      </w:r>
    </w:p>
    <w:p w14:paraId="62A0746E" w14:textId="263C0DF8" w:rsidR="009E44A7" w:rsidRPr="00123C48" w:rsidRDefault="009E44A7">
      <w:pPr>
        <w:pStyle w:val="FootnoteText"/>
        <w:rPr>
          <w:sz w:val="18"/>
          <w:szCs w:val="18"/>
        </w:rPr>
      </w:pPr>
    </w:p>
  </w:footnote>
  <w:footnote w:id="10">
    <w:p w14:paraId="5709EEC0" w14:textId="6B1190A1" w:rsidR="009E44A7" w:rsidRPr="00123C48" w:rsidRDefault="009E44A7">
      <w:pPr>
        <w:pStyle w:val="FootnoteText"/>
        <w:rPr>
          <w:rFonts w:cstheme="minorHAnsi"/>
          <w:sz w:val="18"/>
          <w:szCs w:val="18"/>
        </w:rPr>
      </w:pPr>
      <w:r w:rsidRPr="00123C48">
        <w:rPr>
          <w:rStyle w:val="FootnoteReference"/>
          <w:rFonts w:cstheme="minorHAnsi"/>
          <w:sz w:val="18"/>
          <w:szCs w:val="18"/>
        </w:rPr>
        <w:footnoteRef/>
      </w:r>
      <w:r w:rsidRPr="00123C48">
        <w:rPr>
          <w:rFonts w:cstheme="minorHAnsi"/>
          <w:sz w:val="18"/>
          <w:szCs w:val="18"/>
        </w:rPr>
        <w:t xml:space="preserve"> Time taken would begin when the prepared patient entered the operating theatre (not the theatre complex) and would end when the patient leaves the operating theatre for recovery.</w:t>
      </w:r>
    </w:p>
  </w:footnote>
  <w:footnote w:id="11">
    <w:p w14:paraId="5B684DE1" w14:textId="61584280" w:rsidR="009E44A7" w:rsidRPr="00123C48" w:rsidRDefault="009E44A7">
      <w:pPr>
        <w:pStyle w:val="FootnoteText"/>
        <w:rPr>
          <w:sz w:val="18"/>
          <w:szCs w:val="18"/>
        </w:rPr>
      </w:pPr>
      <w:r w:rsidRPr="00123C48">
        <w:rPr>
          <w:rStyle w:val="FootnoteReference"/>
          <w:sz w:val="18"/>
          <w:szCs w:val="18"/>
        </w:rPr>
        <w:footnoteRef/>
      </w:r>
      <w:r w:rsidRPr="00123C48">
        <w:rPr>
          <w:sz w:val="18"/>
          <w:szCs w:val="18"/>
        </w:rPr>
        <w:t xml:space="preserve"> MBS Review Taskforce Terms of Reference: </w:t>
      </w:r>
      <w:hyperlink r:id="rId7" w:history="1">
        <w:r w:rsidRPr="00123C48">
          <w:rPr>
            <w:rStyle w:val="Hyperlink"/>
            <w:sz w:val="18"/>
            <w:szCs w:val="18"/>
          </w:rPr>
          <w:t>https://www1.health.gov.au/internet/main/publishing.nsf/Content/MBSR-tor</w:t>
        </w:r>
      </w:hyperlink>
      <w:r w:rsidRPr="00123C48">
        <w:rPr>
          <w:sz w:val="18"/>
          <w:szCs w:val="18"/>
        </w:rPr>
        <w:t xml:space="preserve"> </w:t>
      </w:r>
    </w:p>
  </w:footnote>
  <w:footnote w:id="12">
    <w:p w14:paraId="77FBD7C0" w14:textId="77777777" w:rsidR="009E44A7" w:rsidRDefault="009E44A7" w:rsidP="00DC54FA">
      <w:pPr>
        <w:pStyle w:val="FootnoteText"/>
      </w:pPr>
      <w:r>
        <w:rPr>
          <w:rStyle w:val="FootnoteReference"/>
        </w:rPr>
        <w:footnoteRef/>
      </w:r>
      <w:r>
        <w:t xml:space="preserve"> </w:t>
      </w:r>
      <w:r>
        <w:rPr>
          <w:sz w:val="18"/>
          <w:szCs w:val="18"/>
        </w:rPr>
        <w:t xml:space="preserve">More information on billing multiple MBS items is available at: </w:t>
      </w:r>
      <w:hyperlink r:id="rId8" w:history="1">
        <w:r w:rsidRPr="005146B8">
          <w:rPr>
            <w:rStyle w:val="Hyperlink"/>
            <w:sz w:val="18"/>
            <w:szCs w:val="18"/>
          </w:rPr>
          <w:t>https://www.humanservices.gov.au/organisations/health-professionals/topics/education-guide-billing-multiple-mbs-items/33231</w:t>
        </w:r>
      </w:hyperlink>
    </w:p>
  </w:footnote>
  <w:footnote w:id="13">
    <w:p w14:paraId="1D7208C0" w14:textId="3D8FD6C3" w:rsidR="009E44A7" w:rsidRDefault="009E44A7" w:rsidP="00DB7F70">
      <w:pPr>
        <w:pStyle w:val="FootnoteText"/>
      </w:pPr>
      <w:r>
        <w:rPr>
          <w:rStyle w:val="FootnoteReference"/>
        </w:rPr>
        <w:footnoteRef/>
      </w:r>
      <w:r>
        <w:t xml:space="preserve"> Standards replaced were the Rural and Remote Metropolitan Areas (RRMA) – developed using 1991 Census data; and the Australian Standard Geographical Classification – Remoteness Areas (ASGC-RA) – developed using 2006 Census data.</w:t>
      </w:r>
    </w:p>
  </w:footnote>
  <w:footnote w:id="14">
    <w:p w14:paraId="2D971571" w14:textId="7A8C8A58" w:rsidR="009E44A7" w:rsidRDefault="009E44A7">
      <w:pPr>
        <w:pStyle w:val="FootnoteText"/>
      </w:pPr>
      <w:r>
        <w:rPr>
          <w:rStyle w:val="FootnoteReference"/>
        </w:rPr>
        <w:footnoteRef/>
      </w:r>
      <w:r>
        <w:t xml:space="preserve"> More information on the Modified Monash Model can be found at: </w:t>
      </w:r>
      <w:hyperlink r:id="rId9" w:history="1">
        <w:r w:rsidRPr="001E1B83">
          <w:rPr>
            <w:rStyle w:val="Hyperlink"/>
          </w:rPr>
          <w:t>https://www.health.gov.au/health-workforce/health-workforce-classifications/modified-monash-model</w:t>
        </w:r>
      </w:hyperlink>
      <w:r>
        <w:t xml:space="preserve"> </w:t>
      </w:r>
    </w:p>
  </w:footnote>
  <w:footnote w:id="15">
    <w:p w14:paraId="0336F2C9" w14:textId="33B0B06F" w:rsidR="009E44A7" w:rsidRDefault="009E44A7">
      <w:pPr>
        <w:pStyle w:val="FootnoteText"/>
      </w:pPr>
      <w:r>
        <w:rPr>
          <w:rStyle w:val="FootnoteReference"/>
        </w:rPr>
        <w:footnoteRef/>
      </w:r>
      <w:r>
        <w:t xml:space="preserve"> </w:t>
      </w:r>
      <w:r>
        <w:rPr>
          <w:rStyle w:val="IntenseReference"/>
          <w:b w:val="0"/>
          <w:i w:val="0"/>
          <w:smallCaps w:val="0"/>
          <w:color w:val="000000" w:themeColor="text1"/>
          <w:spacing w:val="0"/>
        </w:rPr>
        <w:t xml:space="preserve">Medication misadventure can lead to serious outcomes and account for 2-3% of hospital admissions.  </w:t>
      </w:r>
      <w:r>
        <w:t xml:space="preserve">Reference </w:t>
      </w:r>
      <w:hyperlink r:id="rId10" w:history="1">
        <w:r w:rsidRPr="00445B03">
          <w:rPr>
            <w:rStyle w:val="Hyperlink"/>
          </w:rPr>
          <w:t>https://www.safetyandquality.gov.au/wp-content/uploads/2014/02/Literature-Review-Medication-Safety-in-Australia-2013.pdf</w:t>
        </w:r>
      </w:hyperlink>
    </w:p>
  </w:footnote>
  <w:footnote w:id="16">
    <w:p w14:paraId="20AD755A" w14:textId="6626478E" w:rsidR="009E44A7" w:rsidRDefault="009E44A7">
      <w:pPr>
        <w:pStyle w:val="FootnoteText"/>
      </w:pPr>
      <w:r>
        <w:rPr>
          <w:rStyle w:val="FootnoteReference"/>
        </w:rPr>
        <w:footnoteRef/>
      </w:r>
      <w:r>
        <w:t xml:space="preserve"> Reference </w:t>
      </w:r>
      <w:hyperlink r:id="rId11" w:history="1">
        <w:r w:rsidRPr="00445B03">
          <w:rPr>
            <w:rStyle w:val="Hyperlink"/>
          </w:rPr>
          <w:t>https://www.mja.com.au/journal/2018/208/3/administrative-encounters-general-practice-low-value-or-hidden-value-care</w:t>
        </w:r>
      </w:hyperlink>
    </w:p>
  </w:footnote>
  <w:footnote w:id="17">
    <w:p w14:paraId="44518951" w14:textId="77777777" w:rsidR="009E44A7" w:rsidRDefault="009E44A7" w:rsidP="0051025C">
      <w:pPr>
        <w:pStyle w:val="FootnoteText"/>
      </w:pPr>
      <w:r>
        <w:rPr>
          <w:rStyle w:val="FootnoteReference"/>
        </w:rPr>
        <w:footnoteRef/>
      </w:r>
      <w:r>
        <w:t xml:space="preserve"> Reference </w:t>
      </w:r>
      <w:hyperlink r:id="rId12" w:history="1">
        <w:r w:rsidRPr="00445B03">
          <w:rPr>
            <w:rStyle w:val="Hyperlink"/>
          </w:rPr>
          <w:t>https://www.smh.com.au/opinion/ivf-the-only-bonus-paid-should-be-a-baby-bonus-20170911-gyertn.html</w:t>
        </w:r>
      </w:hyperlink>
    </w:p>
  </w:footnote>
  <w:footnote w:id="18">
    <w:p w14:paraId="41CAABFE" w14:textId="6CC10E36" w:rsidR="009E44A7" w:rsidRDefault="009E44A7">
      <w:pPr>
        <w:pStyle w:val="FootnoteText"/>
      </w:pPr>
      <w:r>
        <w:rPr>
          <w:rStyle w:val="FootnoteReference"/>
        </w:rPr>
        <w:footnoteRef/>
      </w:r>
      <w:r>
        <w:t xml:space="preserve"> Draft report of the Specialist and Consultant Physician Consultation Clinical Committee can be found at: </w:t>
      </w:r>
      <w:hyperlink r:id="rId13" w:history="1">
        <w:r w:rsidRPr="001E1B83">
          <w:rPr>
            <w:rStyle w:val="Hyperlink"/>
          </w:rPr>
          <w:t>https://www1.health.gov.au/internet/main/publishing.nsf/Content/MBSR-closed-consult</w:t>
        </w:r>
      </w:hyperlink>
      <w:r>
        <w:t xml:space="preserve"> </w:t>
      </w:r>
    </w:p>
  </w:footnote>
  <w:footnote w:id="19">
    <w:p w14:paraId="73D23516" w14:textId="178EDEFB" w:rsidR="009E44A7" w:rsidRDefault="009E44A7">
      <w:pPr>
        <w:pStyle w:val="FootnoteText"/>
      </w:pPr>
      <w:r>
        <w:rPr>
          <w:rStyle w:val="FootnoteReference"/>
        </w:rPr>
        <w:footnoteRef/>
      </w:r>
      <w:r>
        <w:t xml:space="preserve"> Draft report of the Diagnostic Imaging Clinical Committee can be found at: </w:t>
      </w:r>
      <w:hyperlink r:id="rId14" w:history="1">
        <w:r w:rsidRPr="001E1B83">
          <w:rPr>
            <w:rStyle w:val="Hyperlink"/>
          </w:rPr>
          <w:t>https://www1.health.gov.au/internet/main/publishing.nsf/Content/MBSR-closed-consult</w:t>
        </w:r>
      </w:hyperlink>
      <w:r>
        <w:t xml:space="preserve"> </w:t>
      </w:r>
    </w:p>
  </w:footnote>
  <w:footnote w:id="20">
    <w:p w14:paraId="35A5319E" w14:textId="3639B3ED" w:rsidR="009E44A7" w:rsidRDefault="009E44A7">
      <w:pPr>
        <w:pStyle w:val="FootnoteText"/>
      </w:pPr>
      <w:r>
        <w:rPr>
          <w:rStyle w:val="FootnoteReference"/>
        </w:rPr>
        <w:footnoteRef/>
      </w:r>
      <w:r>
        <w:t xml:space="preserve"> More information on multiple services restrictions can be found at: </w:t>
      </w:r>
      <w:hyperlink r:id="rId15" w:anchor="a2" w:history="1">
        <w:r w:rsidRPr="001E1B83">
          <w:rPr>
            <w:rStyle w:val="Hyperlink"/>
          </w:rPr>
          <w:t>https://www.humanservices.gov.au/organisations/health-professionals/topics/education-guide-billing-multiple-mbs-items/33231#a2</w:t>
        </w:r>
      </w:hyperlink>
      <w:r>
        <w:t xml:space="preserve"> </w:t>
      </w:r>
    </w:p>
  </w:footnote>
  <w:footnote w:id="21">
    <w:p w14:paraId="7A1BD88E" w14:textId="07A0876B" w:rsidR="009E44A7" w:rsidRDefault="009E44A7">
      <w:pPr>
        <w:pStyle w:val="FootnoteText"/>
      </w:pPr>
      <w:r>
        <w:rPr>
          <w:rStyle w:val="FootnoteReference"/>
        </w:rPr>
        <w:footnoteRef/>
      </w:r>
      <w:r>
        <w:t xml:space="preserve"> As per the definition of consumer</w:t>
      </w:r>
      <w:r>
        <w:noBreakHyphen/>
        <w:t xml:space="preserve">centred care from the Australian Commission on Safety and Quality in Health Care at </w:t>
      </w:r>
      <w:hyperlink r:id="rId16" w:history="1">
        <w:r w:rsidRPr="00BA2CF4">
          <w:rPr>
            <w:rStyle w:val="Hyperlink"/>
          </w:rPr>
          <w:t>www.safetyandquality.gov.au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204E2" w14:textId="77777777" w:rsidR="009E44A7" w:rsidRDefault="009E44A7">
    <w:pPr>
      <w:pStyle w:val="Header"/>
    </w:pPr>
    <w:r>
      <w:rPr>
        <w:noProof/>
      </w:rPr>
      <w:drawing>
        <wp:anchor distT="0" distB="0" distL="114300" distR="114300" simplePos="0" relativeHeight="251659264" behindDoc="1" locked="0" layoutInCell="1" allowOverlap="1" wp14:anchorId="0EDBAC95" wp14:editId="5B057568">
          <wp:simplePos x="0" y="0"/>
          <wp:positionH relativeFrom="page">
            <wp:posOffset>1141095</wp:posOffset>
          </wp:positionH>
          <wp:positionV relativeFrom="paragraph">
            <wp:posOffset>0</wp:posOffset>
          </wp:positionV>
          <wp:extent cx="7562850" cy="10697357"/>
          <wp:effectExtent l="0" t="0" r="0" b="8890"/>
          <wp:wrapNone/>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2850" cy="10697357"/>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1121987"/>
      <w:docPartObj>
        <w:docPartGallery w:val="Page Numbers (Top of Page)"/>
        <w:docPartUnique/>
      </w:docPartObj>
    </w:sdtPr>
    <w:sdtEndPr>
      <w:rPr>
        <w:noProof/>
        <w:sz w:val="18"/>
        <w:szCs w:val="18"/>
      </w:rPr>
    </w:sdtEndPr>
    <w:sdtContent>
      <w:p w14:paraId="6E31B970" w14:textId="26753445" w:rsidR="009E44A7" w:rsidRPr="00517893" w:rsidRDefault="009E44A7" w:rsidP="00517893">
        <w:pPr>
          <w:pStyle w:val="Header"/>
          <w:jc w:val="right"/>
          <w:rPr>
            <w:sz w:val="18"/>
            <w:szCs w:val="18"/>
          </w:rPr>
        </w:pPr>
        <w:r w:rsidRPr="00103DD5">
          <w:rPr>
            <w:sz w:val="18"/>
            <w:szCs w:val="18"/>
          </w:rPr>
          <w:fldChar w:fldCharType="begin"/>
        </w:r>
        <w:r w:rsidRPr="00103DD5">
          <w:rPr>
            <w:sz w:val="18"/>
            <w:szCs w:val="18"/>
          </w:rPr>
          <w:instrText xml:space="preserve"> PAGE   \* MERGEFORMAT </w:instrText>
        </w:r>
        <w:r w:rsidRPr="00103DD5">
          <w:rPr>
            <w:sz w:val="18"/>
            <w:szCs w:val="18"/>
          </w:rPr>
          <w:fldChar w:fldCharType="separate"/>
        </w:r>
        <w:r>
          <w:rPr>
            <w:noProof/>
            <w:sz w:val="18"/>
            <w:szCs w:val="18"/>
          </w:rPr>
          <w:t>3</w:t>
        </w:r>
        <w:r w:rsidRPr="00103DD5">
          <w:rPr>
            <w:noProof/>
            <w:sz w:val="18"/>
            <w:szCs w:val="1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1144092"/>
      <w:docPartObj>
        <w:docPartGallery w:val="Page Numbers (Top of Page)"/>
        <w:docPartUnique/>
      </w:docPartObj>
    </w:sdtPr>
    <w:sdtEndPr>
      <w:rPr>
        <w:noProof/>
        <w:sz w:val="18"/>
        <w:szCs w:val="18"/>
      </w:rPr>
    </w:sdtEndPr>
    <w:sdtContent>
      <w:p w14:paraId="6F92EC8A" w14:textId="585A5118" w:rsidR="009E44A7" w:rsidRPr="00103DD5" w:rsidRDefault="009E44A7">
        <w:pPr>
          <w:pStyle w:val="Header"/>
          <w:jc w:val="right"/>
          <w:rPr>
            <w:sz w:val="18"/>
            <w:szCs w:val="18"/>
          </w:rPr>
        </w:pPr>
        <w:r w:rsidRPr="00103DD5">
          <w:rPr>
            <w:sz w:val="18"/>
            <w:szCs w:val="18"/>
          </w:rPr>
          <w:fldChar w:fldCharType="begin"/>
        </w:r>
        <w:r w:rsidRPr="00103DD5">
          <w:rPr>
            <w:sz w:val="18"/>
            <w:szCs w:val="18"/>
          </w:rPr>
          <w:instrText xml:space="preserve"> PAGE   \* MERGEFORMAT </w:instrText>
        </w:r>
        <w:r w:rsidRPr="00103DD5">
          <w:rPr>
            <w:sz w:val="18"/>
            <w:szCs w:val="18"/>
          </w:rPr>
          <w:fldChar w:fldCharType="separate"/>
        </w:r>
        <w:r>
          <w:rPr>
            <w:noProof/>
            <w:sz w:val="18"/>
            <w:szCs w:val="18"/>
          </w:rPr>
          <w:t>1</w:t>
        </w:r>
        <w:r w:rsidRPr="00103DD5">
          <w:rPr>
            <w:noProof/>
            <w:sz w:val="18"/>
            <w:szCs w:val="18"/>
          </w:rPr>
          <w:fldChar w:fldCharType="end"/>
        </w:r>
      </w:p>
    </w:sdtContent>
  </w:sdt>
  <w:p w14:paraId="32DC1832" w14:textId="77777777" w:rsidR="009E44A7" w:rsidRDefault="009E44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C1EB8"/>
    <w:multiLevelType w:val="hybridMultilevel"/>
    <w:tmpl w:val="2D3499C8"/>
    <w:lvl w:ilvl="0" w:tplc="502C384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EC0181"/>
    <w:multiLevelType w:val="hybridMultilevel"/>
    <w:tmpl w:val="E22A1CEE"/>
    <w:lvl w:ilvl="0" w:tplc="EA8A67AE">
      <w:start w:val="1"/>
      <w:numFmt w:val="decimal"/>
      <w:pStyle w:val="Rec2"/>
      <w:lvlText w:val="Recommendation 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0E2471"/>
    <w:multiLevelType w:val="hybridMultilevel"/>
    <w:tmpl w:val="058C17A0"/>
    <w:lvl w:ilvl="0" w:tplc="F8C417A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4D1D00"/>
    <w:multiLevelType w:val="hybridMultilevel"/>
    <w:tmpl w:val="7660D65C"/>
    <w:lvl w:ilvl="0" w:tplc="0C090001">
      <w:start w:val="1"/>
      <w:numFmt w:val="bullet"/>
      <w:lvlText w:val=""/>
      <w:lvlJc w:val="left"/>
      <w:pPr>
        <w:ind w:left="720" w:hanging="360"/>
      </w:pPr>
      <w:rPr>
        <w:rFonts w:ascii="Symbol" w:hAnsi="Symbol" w:hint="default"/>
      </w:rPr>
    </w:lvl>
    <w:lvl w:ilvl="1" w:tplc="0C09000F">
      <w:start w:val="1"/>
      <w:numFmt w:val="decimal"/>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886D8C"/>
    <w:multiLevelType w:val="hybridMultilevel"/>
    <w:tmpl w:val="6E2637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BB4224"/>
    <w:multiLevelType w:val="hybridMultilevel"/>
    <w:tmpl w:val="F8DA6C1E"/>
    <w:lvl w:ilvl="0" w:tplc="30604AEC">
      <w:start w:val="1"/>
      <w:numFmt w:val="bullet"/>
      <w:pStyle w:val="BoxBullet"/>
      <w:lvlText w:val="∆"/>
      <w:lvlJc w:val="left"/>
      <w:pPr>
        <w:tabs>
          <w:tab w:val="num" w:pos="357"/>
        </w:tabs>
        <w:ind w:left="357" w:hanging="357"/>
      </w:pPr>
      <w:rPr>
        <w:rFonts w:ascii="Calibri" w:hAnsi="Calibri" w:hint="default"/>
        <w:color w:val="B560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23834"/>
    <w:multiLevelType w:val="hybridMultilevel"/>
    <w:tmpl w:val="D1B6ABB6"/>
    <w:lvl w:ilvl="0" w:tplc="22323BB4">
      <w:start w:val="1"/>
      <w:numFmt w:val="upperLetter"/>
      <w:pStyle w:val="AppendixStyle1"/>
      <w:lvlText w:val="Appendix %1 - "/>
      <w:lvlJc w:val="left"/>
      <w:pPr>
        <w:ind w:left="360" w:hanging="360"/>
      </w:pPr>
      <w:rPr>
        <w:rFonts w:ascii="Calibri" w:hAnsi="Calibri" w:cs="Arial" w:hint="default"/>
        <w:sz w:val="32"/>
        <w:szCs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451FE3"/>
    <w:multiLevelType w:val="hybridMultilevel"/>
    <w:tmpl w:val="623E6E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3E7446"/>
    <w:multiLevelType w:val="hybridMultilevel"/>
    <w:tmpl w:val="820437BC"/>
    <w:lvl w:ilvl="0" w:tplc="88468DA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B3859BD"/>
    <w:multiLevelType w:val="hybridMultilevel"/>
    <w:tmpl w:val="9ED007BC"/>
    <w:lvl w:ilvl="0" w:tplc="028032A8">
      <w:start w:val="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131BE9"/>
    <w:multiLevelType w:val="hybridMultilevel"/>
    <w:tmpl w:val="6638E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D4EE7C6">
      <w:start w:val="1"/>
      <w:numFmt w:val="bullet"/>
      <w:pStyle w:val="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D71D5C"/>
    <w:multiLevelType w:val="hybridMultilevel"/>
    <w:tmpl w:val="30A0AEF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742B66"/>
    <w:multiLevelType w:val="hybridMultilevel"/>
    <w:tmpl w:val="4EF46102"/>
    <w:lvl w:ilvl="0" w:tplc="0C090001">
      <w:start w:val="1"/>
      <w:numFmt w:val="bullet"/>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512BD3"/>
    <w:multiLevelType w:val="hybridMultilevel"/>
    <w:tmpl w:val="23B8B488"/>
    <w:lvl w:ilvl="0" w:tplc="3B58F202">
      <w:start w:val="1"/>
      <w:numFmt w:val="decimal"/>
      <w:pStyle w:val="Rec"/>
      <w:lvlText w:val="Recommendation %1:"/>
      <w:lvlJc w:val="left"/>
      <w:pPr>
        <w:ind w:left="720" w:hanging="720"/>
      </w:pPr>
      <w:rPr>
        <w:rFonts w:hint="default"/>
      </w:rPr>
    </w:lvl>
    <w:lvl w:ilvl="1" w:tplc="04090019">
      <w:start w:val="1"/>
      <w:numFmt w:val="lowerLetter"/>
      <w:lvlText w:val="%2."/>
      <w:lvlJc w:val="left"/>
      <w:pPr>
        <w:ind w:left="1440" w:hanging="360"/>
      </w:pPr>
    </w:lvl>
    <w:lvl w:ilvl="2" w:tplc="340E8C68">
      <w:start w:val="1"/>
      <w:numFmt w:val="lowerRoman"/>
      <w:lvlText w:val="(%3)"/>
      <w:lvlJc w:val="left"/>
      <w:pPr>
        <w:ind w:left="2700" w:hanging="720"/>
      </w:pPr>
      <w:rPr>
        <w:rFonts w:hint="default"/>
      </w:rPr>
    </w:lvl>
    <w:lvl w:ilvl="3" w:tplc="60FCF71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751731"/>
    <w:multiLevelType w:val="hybridMultilevel"/>
    <w:tmpl w:val="BEA6A024"/>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A6C337B"/>
    <w:multiLevelType w:val="hybridMultilevel"/>
    <w:tmpl w:val="5C4C494C"/>
    <w:lvl w:ilvl="0" w:tplc="46F21776">
      <w:start w:val="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295487"/>
    <w:multiLevelType w:val="hybridMultilevel"/>
    <w:tmpl w:val="0E74E276"/>
    <w:lvl w:ilvl="0" w:tplc="2CEE0A36">
      <w:start w:val="1"/>
      <w:numFmt w:val="decimal"/>
      <w:pStyle w:val="BoxBulletNumbered"/>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3064F2"/>
    <w:multiLevelType w:val="hybridMultilevel"/>
    <w:tmpl w:val="D6CE5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B25E50"/>
    <w:multiLevelType w:val="multilevel"/>
    <w:tmpl w:val="C5ACF2F8"/>
    <w:lvl w:ilvl="0">
      <w:start w:val="1"/>
      <w:numFmt w:val="decimal"/>
      <w:pStyle w:val="Level1"/>
      <w:lvlText w:val="%1."/>
      <w:lvlJc w:val="left"/>
      <w:pPr>
        <w:tabs>
          <w:tab w:val="num" w:pos="720"/>
        </w:tabs>
        <w:ind w:left="720" w:hanging="720"/>
      </w:pPr>
      <w:rPr>
        <w:rFonts w:ascii="Arial" w:hAnsi="Arial" w:cs="Arial" w:hint="default"/>
        <w:b w:val="0"/>
        <w:i w:val="0"/>
        <w:sz w:val="24"/>
        <w:szCs w:val="24"/>
      </w:rPr>
    </w:lvl>
    <w:lvl w:ilvl="1">
      <w:start w:val="1"/>
      <w:numFmt w:val="decimal"/>
      <w:pStyle w:val="Level11"/>
      <w:lvlText w:val="%1.%2"/>
      <w:lvlJc w:val="left"/>
      <w:pPr>
        <w:tabs>
          <w:tab w:val="num" w:pos="720"/>
        </w:tabs>
        <w:ind w:left="720" w:hanging="720"/>
      </w:pPr>
      <w:rPr>
        <w:rFonts w:ascii="Palatino" w:hAnsi="Palatino" w:hint="default"/>
        <w:b w:val="0"/>
        <w:i w:val="0"/>
        <w:sz w:val="22"/>
        <w:szCs w:val="22"/>
      </w:rPr>
    </w:lvl>
    <w:lvl w:ilvl="2">
      <w:start w:val="1"/>
      <w:numFmt w:val="lowerLetter"/>
      <w:pStyle w:val="Levela"/>
      <w:lvlText w:val="(%3)"/>
      <w:lvlJc w:val="left"/>
      <w:pPr>
        <w:tabs>
          <w:tab w:val="num" w:pos="1440"/>
        </w:tabs>
        <w:ind w:left="1440" w:hanging="720"/>
      </w:pPr>
      <w:rPr>
        <w:rFonts w:ascii="Arial" w:hAnsi="Arial" w:cs="Arial" w:hint="default"/>
        <w:b w:val="0"/>
        <w:i w:val="0"/>
        <w:sz w:val="24"/>
        <w:szCs w:val="24"/>
      </w:rPr>
    </w:lvl>
    <w:lvl w:ilvl="3">
      <w:start w:val="1"/>
      <w:numFmt w:val="lowerRoman"/>
      <w:pStyle w:val="Leveli"/>
      <w:lvlText w:val="(%4)"/>
      <w:lvlJc w:val="left"/>
      <w:pPr>
        <w:tabs>
          <w:tab w:val="num" w:pos="2160"/>
        </w:tabs>
        <w:ind w:left="2160" w:hanging="720"/>
      </w:pPr>
      <w:rPr>
        <w:rFonts w:ascii="Arial" w:hAnsi="Arial" w:cs="Arial" w:hint="default"/>
        <w:b w:val="0"/>
        <w:i w:val="0"/>
        <w:sz w:val="24"/>
        <w:szCs w:val="24"/>
      </w:rPr>
    </w:lvl>
    <w:lvl w:ilvl="4">
      <w:start w:val="1"/>
      <w:numFmt w:val="upperLetter"/>
      <w:pStyle w:val="LevelA0"/>
      <w:lvlText w:val="(%5)"/>
      <w:lvlJc w:val="left"/>
      <w:pPr>
        <w:tabs>
          <w:tab w:val="num" w:pos="2880"/>
        </w:tabs>
        <w:ind w:left="2880" w:hanging="720"/>
      </w:pPr>
      <w:rPr>
        <w:rFonts w:ascii="Palatino" w:hAnsi="Palatino" w:hint="default"/>
        <w:b w:val="0"/>
        <w:i w:val="0"/>
        <w:sz w:val="22"/>
        <w:szCs w:val="22"/>
      </w:rPr>
    </w:lvl>
    <w:lvl w:ilvl="5">
      <w:start w:val="1"/>
      <w:numFmt w:val="upperRoman"/>
      <w:pStyle w:val="LevelI0"/>
      <w:lvlText w:val="(%6)"/>
      <w:lvlJc w:val="left"/>
      <w:pPr>
        <w:tabs>
          <w:tab w:val="num" w:pos="3600"/>
        </w:tabs>
        <w:ind w:left="3600" w:hanging="720"/>
      </w:pPr>
      <w:rPr>
        <w:rFonts w:ascii="Palatino" w:hAnsi="Palatino" w:hint="default"/>
        <w:b w:val="0"/>
        <w:i w:val="0"/>
        <w:sz w:val="22"/>
        <w:szCs w:val="22"/>
      </w:rPr>
    </w:lvl>
    <w:lvl w:ilvl="6">
      <w:start w:val="1"/>
      <w:numFmt w:val="none"/>
      <w:lvlText w:val=""/>
      <w:lvlJc w:val="left"/>
      <w:pPr>
        <w:tabs>
          <w:tab w:val="num" w:pos="0"/>
        </w:tabs>
        <w:ind w:left="0" w:firstLine="0"/>
      </w:pPr>
      <w:rPr>
        <w:rFonts w:ascii="Palatino" w:hAnsi="Palatino" w:hint="default"/>
        <w:sz w:val="22"/>
      </w:rPr>
    </w:lvl>
    <w:lvl w:ilvl="7">
      <w:start w:val="1"/>
      <w:numFmt w:val="none"/>
      <w:lvlText w:val=""/>
      <w:lvlJc w:val="left"/>
      <w:pPr>
        <w:tabs>
          <w:tab w:val="num" w:pos="0"/>
        </w:tabs>
        <w:ind w:left="0" w:firstLine="0"/>
      </w:pPr>
      <w:rPr>
        <w:rFonts w:ascii="Palatino" w:hAnsi="Palatino" w:hint="default"/>
        <w:sz w:val="22"/>
      </w:rPr>
    </w:lvl>
    <w:lvl w:ilvl="8">
      <w:start w:val="1"/>
      <w:numFmt w:val="none"/>
      <w:lvlText w:val=""/>
      <w:lvlJc w:val="left"/>
      <w:pPr>
        <w:tabs>
          <w:tab w:val="num" w:pos="0"/>
        </w:tabs>
        <w:ind w:left="0" w:firstLine="0"/>
      </w:pPr>
      <w:rPr>
        <w:rFonts w:ascii="Palatino" w:hAnsi="Palatino" w:hint="default"/>
        <w:sz w:val="22"/>
      </w:rPr>
    </w:lvl>
  </w:abstractNum>
  <w:abstractNum w:abstractNumId="19" w15:restartNumberingAfterBreak="0">
    <w:nsid w:val="334638F7"/>
    <w:multiLevelType w:val="hybridMultilevel"/>
    <w:tmpl w:val="2D569B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5E312CD"/>
    <w:multiLevelType w:val="hybridMultilevel"/>
    <w:tmpl w:val="F000C0EC"/>
    <w:lvl w:ilvl="0" w:tplc="A454945E">
      <w:start w:val="1"/>
      <w:numFmt w:val="decimal"/>
      <w:pStyle w:val="FigureCaption"/>
      <w:lvlText w:val="FIgure %1."/>
      <w:lvlJc w:val="left"/>
      <w:pPr>
        <w:tabs>
          <w:tab w:val="num" w:pos="851"/>
        </w:tabs>
        <w:ind w:left="851" w:hanging="85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025D2D"/>
    <w:multiLevelType w:val="hybridMultilevel"/>
    <w:tmpl w:val="E23A79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562004B"/>
    <w:multiLevelType w:val="hybridMultilevel"/>
    <w:tmpl w:val="A2924F04"/>
    <w:lvl w:ilvl="0" w:tplc="0C090003">
      <w:start w:val="1"/>
      <w:numFmt w:val="bullet"/>
      <w:lvlText w:val="o"/>
      <w:lvlJc w:val="left"/>
      <w:pPr>
        <w:ind w:left="1446" w:hanging="360"/>
      </w:pPr>
      <w:rPr>
        <w:rFonts w:ascii="Courier New" w:hAnsi="Courier New" w:cs="Courier New"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23" w15:restartNumberingAfterBreak="0">
    <w:nsid w:val="48A63C56"/>
    <w:multiLevelType w:val="hybridMultilevel"/>
    <w:tmpl w:val="E23A79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591851"/>
    <w:multiLevelType w:val="hybridMultilevel"/>
    <w:tmpl w:val="00007664"/>
    <w:lvl w:ilvl="0" w:tplc="13E46008">
      <w:start w:val="1"/>
      <w:numFmt w:val="lowerLetter"/>
      <w:pStyle w:val="BoxBulletSecond"/>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85349D"/>
    <w:multiLevelType w:val="hybridMultilevel"/>
    <w:tmpl w:val="98905C8A"/>
    <w:lvl w:ilvl="0" w:tplc="A7DAFA5E">
      <w:start w:val="1"/>
      <w:numFmt w:val="bullet"/>
      <w:pStyle w:val="Bullet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244178"/>
    <w:multiLevelType w:val="hybridMultilevel"/>
    <w:tmpl w:val="BEA6A024"/>
    <w:lvl w:ilvl="0" w:tplc="0C09000F">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C42529E"/>
    <w:multiLevelType w:val="hybridMultilevel"/>
    <w:tmpl w:val="63EE28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AB07AC"/>
    <w:multiLevelType w:val="hybridMultilevel"/>
    <w:tmpl w:val="3E688BF4"/>
    <w:lvl w:ilvl="0" w:tplc="60E498AA">
      <w:start w:val="1"/>
      <w:numFmt w:val="bullet"/>
      <w:pStyle w:val="Bullet-green"/>
      <w:lvlText w:val=""/>
      <w:lvlJc w:val="left"/>
      <w:pPr>
        <w:ind w:left="862" w:hanging="431"/>
      </w:pPr>
      <w:rPr>
        <w:rFonts w:ascii="Symbol" w:hAnsi="Symbol" w:hint="default"/>
        <w:b w:val="0"/>
        <w:bCs w:val="0"/>
        <w:i w:val="0"/>
        <w:iCs w:val="0"/>
        <w:caps w:val="0"/>
        <w:smallCaps w:val="0"/>
        <w:strike w:val="0"/>
        <w:dstrike w:val="0"/>
        <w:noProof w:val="0"/>
        <w:vanish w:val="0"/>
        <w:color w:val="01653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3003686">
      <w:start w:val="1"/>
      <w:numFmt w:val="bullet"/>
      <w:lvlText w:val=""/>
      <w:lvlJc w:val="left"/>
      <w:pPr>
        <w:ind w:left="2231" w:hanging="720"/>
      </w:pPr>
      <w:rPr>
        <w:rFonts w:ascii="Symbol" w:hAnsi="Symbol" w:hint="default"/>
      </w:rPr>
    </w:lvl>
    <w:lvl w:ilvl="2" w:tplc="04090005">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29" w15:restartNumberingAfterBreak="0">
    <w:nsid w:val="4E2515AE"/>
    <w:multiLevelType w:val="hybridMultilevel"/>
    <w:tmpl w:val="061CAB68"/>
    <w:lvl w:ilvl="0" w:tplc="8CFABEC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A2574B"/>
    <w:multiLevelType w:val="hybridMultilevel"/>
    <w:tmpl w:val="6764E8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5C0E4270"/>
    <w:multiLevelType w:val="multilevel"/>
    <w:tmpl w:val="ECDAE822"/>
    <w:lvl w:ilvl="0">
      <w:start w:val="1"/>
      <w:numFmt w:val="decimal"/>
      <w:lvlText w:val="%1."/>
      <w:lvlJc w:val="left"/>
      <w:pPr>
        <w:ind w:left="720" w:hanging="360"/>
      </w:pPr>
      <w:rPr>
        <w:rFonts w:hint="default"/>
      </w:rPr>
    </w:lvl>
    <w:lvl w:ilvl="1">
      <w:start w:val="1"/>
      <w:numFmt w:val="decimal"/>
      <w:isLgl/>
      <w:lvlText w:val="%1.%2"/>
      <w:lvlJc w:val="left"/>
      <w:pPr>
        <w:ind w:left="855" w:hanging="495"/>
      </w:pPr>
      <w:rPr>
        <w:rFonts w:hint="default"/>
        <w:b/>
        <w:color w:val="auto"/>
        <w:u w:val="single"/>
      </w:rPr>
    </w:lvl>
    <w:lvl w:ilvl="2">
      <w:start w:val="4"/>
      <w:numFmt w:val="decimal"/>
      <w:isLgl/>
      <w:lvlText w:val="%1.%2.%3"/>
      <w:lvlJc w:val="left"/>
      <w:pPr>
        <w:ind w:left="1080" w:hanging="720"/>
      </w:pPr>
      <w:rPr>
        <w:rFonts w:hint="default"/>
        <w:b/>
        <w:color w:val="auto"/>
        <w:u w:val="single"/>
      </w:rPr>
    </w:lvl>
    <w:lvl w:ilvl="3">
      <w:start w:val="1"/>
      <w:numFmt w:val="decimal"/>
      <w:isLgl/>
      <w:lvlText w:val="%1.%2.%3.%4"/>
      <w:lvlJc w:val="left"/>
      <w:pPr>
        <w:ind w:left="1080" w:hanging="720"/>
      </w:pPr>
      <w:rPr>
        <w:rFonts w:hint="default"/>
        <w:b/>
        <w:color w:val="auto"/>
        <w:u w:val="single"/>
      </w:rPr>
    </w:lvl>
    <w:lvl w:ilvl="4">
      <w:start w:val="1"/>
      <w:numFmt w:val="decimal"/>
      <w:isLgl/>
      <w:lvlText w:val="%1.%2.%3.%4.%5"/>
      <w:lvlJc w:val="left"/>
      <w:pPr>
        <w:ind w:left="1440" w:hanging="1080"/>
      </w:pPr>
      <w:rPr>
        <w:rFonts w:hint="default"/>
        <w:b/>
        <w:color w:val="auto"/>
        <w:u w:val="single"/>
      </w:rPr>
    </w:lvl>
    <w:lvl w:ilvl="5">
      <w:start w:val="1"/>
      <w:numFmt w:val="decimal"/>
      <w:isLgl/>
      <w:lvlText w:val="%1.%2.%3.%4.%5.%6"/>
      <w:lvlJc w:val="left"/>
      <w:pPr>
        <w:ind w:left="1440" w:hanging="1080"/>
      </w:pPr>
      <w:rPr>
        <w:rFonts w:hint="default"/>
        <w:b/>
        <w:color w:val="auto"/>
        <w:u w:val="single"/>
      </w:rPr>
    </w:lvl>
    <w:lvl w:ilvl="6">
      <w:start w:val="1"/>
      <w:numFmt w:val="decimal"/>
      <w:isLgl/>
      <w:lvlText w:val="%1.%2.%3.%4.%5.%6.%7"/>
      <w:lvlJc w:val="left"/>
      <w:pPr>
        <w:ind w:left="1800" w:hanging="1440"/>
      </w:pPr>
      <w:rPr>
        <w:rFonts w:hint="default"/>
        <w:b/>
        <w:color w:val="auto"/>
        <w:u w:val="single"/>
      </w:rPr>
    </w:lvl>
    <w:lvl w:ilvl="7">
      <w:start w:val="1"/>
      <w:numFmt w:val="decimal"/>
      <w:isLgl/>
      <w:lvlText w:val="%1.%2.%3.%4.%5.%6.%7.%8"/>
      <w:lvlJc w:val="left"/>
      <w:pPr>
        <w:ind w:left="1800" w:hanging="1440"/>
      </w:pPr>
      <w:rPr>
        <w:rFonts w:hint="default"/>
        <w:b/>
        <w:color w:val="auto"/>
        <w:u w:val="single"/>
      </w:rPr>
    </w:lvl>
    <w:lvl w:ilvl="8">
      <w:start w:val="1"/>
      <w:numFmt w:val="decimal"/>
      <w:isLgl/>
      <w:lvlText w:val="%1.%2.%3.%4.%5.%6.%7.%8.%9"/>
      <w:lvlJc w:val="left"/>
      <w:pPr>
        <w:ind w:left="1800" w:hanging="1440"/>
      </w:pPr>
      <w:rPr>
        <w:rFonts w:hint="default"/>
        <w:b/>
        <w:color w:val="auto"/>
        <w:u w:val="single"/>
      </w:rPr>
    </w:lvl>
  </w:abstractNum>
  <w:abstractNum w:abstractNumId="32" w15:restartNumberingAfterBreak="0">
    <w:nsid w:val="635620FD"/>
    <w:multiLevelType w:val="hybridMultilevel"/>
    <w:tmpl w:val="74069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6B5956"/>
    <w:multiLevelType w:val="multilevel"/>
    <w:tmpl w:val="42785EFE"/>
    <w:lvl w:ilvl="0">
      <w:start w:val="1"/>
      <w:numFmt w:val="decimal"/>
      <w:lvlText w:val="%1."/>
      <w:lvlJc w:val="left"/>
      <w:pPr>
        <w:ind w:left="720" w:hanging="360"/>
      </w:p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7E9153F"/>
    <w:multiLevelType w:val="hybridMultilevel"/>
    <w:tmpl w:val="03DEB060"/>
    <w:lvl w:ilvl="0" w:tplc="F154D568">
      <w:start w:val="1"/>
      <w:numFmt w:val="bullet"/>
      <w:pStyle w:val="NormalBulleted"/>
      <w:lvlText w:val="∆"/>
      <w:lvlJc w:val="left"/>
      <w:pPr>
        <w:ind w:left="431" w:hanging="431"/>
      </w:pPr>
      <w:rPr>
        <w:rFonts w:ascii="Calibri" w:hAnsi="Calibri" w:hint="default"/>
        <w:color w:val="B5601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A663A4"/>
    <w:multiLevelType w:val="hybridMultilevel"/>
    <w:tmpl w:val="A7584600"/>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36" w15:restartNumberingAfterBreak="0">
    <w:nsid w:val="6F416C75"/>
    <w:multiLevelType w:val="hybridMultilevel"/>
    <w:tmpl w:val="3EBE7130"/>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F736D62"/>
    <w:multiLevelType w:val="hybridMultilevel"/>
    <w:tmpl w:val="100CE4CC"/>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10527B3"/>
    <w:multiLevelType w:val="hybridMultilevel"/>
    <w:tmpl w:val="27A66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59C431F"/>
    <w:multiLevelType w:val="hybridMultilevel"/>
    <w:tmpl w:val="E23A79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7553EE0"/>
    <w:multiLevelType w:val="hybridMultilevel"/>
    <w:tmpl w:val="E23A79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8B86E71"/>
    <w:multiLevelType w:val="hybridMultilevel"/>
    <w:tmpl w:val="18248A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9686030"/>
    <w:multiLevelType w:val="hybridMultilevel"/>
    <w:tmpl w:val="98A685CE"/>
    <w:lvl w:ilvl="0" w:tplc="90AC81E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12"/>
  </w:num>
  <w:num w:numId="3">
    <w:abstractNumId w:val="6"/>
  </w:num>
  <w:num w:numId="4">
    <w:abstractNumId w:val="13"/>
  </w:num>
  <w:num w:numId="5">
    <w:abstractNumId w:val="34"/>
  </w:num>
  <w:num w:numId="6">
    <w:abstractNumId w:val="25"/>
  </w:num>
  <w:num w:numId="7">
    <w:abstractNumId w:val="20"/>
  </w:num>
  <w:num w:numId="8">
    <w:abstractNumId w:val="1"/>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6"/>
  </w:num>
  <w:num w:numId="12">
    <w:abstractNumId w:val="24"/>
  </w:num>
  <w:num w:numId="13">
    <w:abstractNumId w:val="28"/>
  </w:num>
  <w:num w:numId="14">
    <w:abstractNumId w:val="31"/>
  </w:num>
  <w:num w:numId="15">
    <w:abstractNumId w:val="27"/>
  </w:num>
  <w:num w:numId="16">
    <w:abstractNumId w:val="33"/>
  </w:num>
  <w:num w:numId="17">
    <w:abstractNumId w:val="30"/>
  </w:num>
  <w:num w:numId="18">
    <w:abstractNumId w:val="42"/>
  </w:num>
  <w:num w:numId="19">
    <w:abstractNumId w:val="0"/>
  </w:num>
  <w:num w:numId="20">
    <w:abstractNumId w:val="21"/>
  </w:num>
  <w:num w:numId="21">
    <w:abstractNumId w:val="23"/>
  </w:num>
  <w:num w:numId="22">
    <w:abstractNumId w:val="36"/>
  </w:num>
  <w:num w:numId="23">
    <w:abstractNumId w:val="39"/>
  </w:num>
  <w:num w:numId="24">
    <w:abstractNumId w:val="40"/>
  </w:num>
  <w:num w:numId="25">
    <w:abstractNumId w:val="22"/>
  </w:num>
  <w:num w:numId="26">
    <w:abstractNumId w:val="7"/>
  </w:num>
  <w:num w:numId="27">
    <w:abstractNumId w:val="3"/>
  </w:num>
  <w:num w:numId="28">
    <w:abstractNumId w:val="37"/>
  </w:num>
  <w:num w:numId="29">
    <w:abstractNumId w:val="9"/>
  </w:num>
  <w:num w:numId="30">
    <w:abstractNumId w:val="15"/>
  </w:num>
  <w:num w:numId="31">
    <w:abstractNumId w:val="19"/>
  </w:num>
  <w:num w:numId="32">
    <w:abstractNumId w:val="41"/>
  </w:num>
  <w:num w:numId="33">
    <w:abstractNumId w:val="2"/>
  </w:num>
  <w:num w:numId="34">
    <w:abstractNumId w:val="11"/>
  </w:num>
  <w:num w:numId="35">
    <w:abstractNumId w:val="8"/>
  </w:num>
  <w:num w:numId="36">
    <w:abstractNumId w:val="29"/>
  </w:num>
  <w:num w:numId="37">
    <w:abstractNumId w:val="38"/>
  </w:num>
  <w:num w:numId="38">
    <w:abstractNumId w:val="4"/>
  </w:num>
  <w:num w:numId="39">
    <w:abstractNumId w:val="14"/>
  </w:num>
  <w:num w:numId="40">
    <w:abstractNumId w:val="32"/>
  </w:num>
  <w:num w:numId="41">
    <w:abstractNumId w:val="17"/>
  </w:num>
  <w:num w:numId="42">
    <w:abstractNumId w:val="26"/>
  </w:num>
  <w:num w:numId="43">
    <w:abstractNumId w:val="3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150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sNewDoc" w:val="No"/>
  </w:docVars>
  <w:rsids>
    <w:rsidRoot w:val="00093404"/>
    <w:rsid w:val="000006E3"/>
    <w:rsid w:val="0000150F"/>
    <w:rsid w:val="00001F7B"/>
    <w:rsid w:val="00002477"/>
    <w:rsid w:val="00002678"/>
    <w:rsid w:val="000026DC"/>
    <w:rsid w:val="00003A5A"/>
    <w:rsid w:val="000044E9"/>
    <w:rsid w:val="00004920"/>
    <w:rsid w:val="00004CCA"/>
    <w:rsid w:val="00004D7C"/>
    <w:rsid w:val="0000566B"/>
    <w:rsid w:val="000059B9"/>
    <w:rsid w:val="00006915"/>
    <w:rsid w:val="00006AA8"/>
    <w:rsid w:val="00006AE9"/>
    <w:rsid w:val="00007C67"/>
    <w:rsid w:val="00007CFB"/>
    <w:rsid w:val="000107B3"/>
    <w:rsid w:val="0001084A"/>
    <w:rsid w:val="00011FFD"/>
    <w:rsid w:val="00013881"/>
    <w:rsid w:val="0001393A"/>
    <w:rsid w:val="000140C8"/>
    <w:rsid w:val="00014712"/>
    <w:rsid w:val="0001545C"/>
    <w:rsid w:val="00015973"/>
    <w:rsid w:val="00016804"/>
    <w:rsid w:val="00020196"/>
    <w:rsid w:val="00020431"/>
    <w:rsid w:val="00020587"/>
    <w:rsid w:val="000206BB"/>
    <w:rsid w:val="0002076C"/>
    <w:rsid w:val="00020E0E"/>
    <w:rsid w:val="00021A9A"/>
    <w:rsid w:val="00022153"/>
    <w:rsid w:val="00022E87"/>
    <w:rsid w:val="0002353D"/>
    <w:rsid w:val="00023C89"/>
    <w:rsid w:val="0002432B"/>
    <w:rsid w:val="00024FE0"/>
    <w:rsid w:val="000253EC"/>
    <w:rsid w:val="00027774"/>
    <w:rsid w:val="000278CF"/>
    <w:rsid w:val="00027D2D"/>
    <w:rsid w:val="000309CE"/>
    <w:rsid w:val="00030D6E"/>
    <w:rsid w:val="00031095"/>
    <w:rsid w:val="000314BD"/>
    <w:rsid w:val="00031ADE"/>
    <w:rsid w:val="00032108"/>
    <w:rsid w:val="000325CB"/>
    <w:rsid w:val="000337EF"/>
    <w:rsid w:val="00033DA4"/>
    <w:rsid w:val="00036C0E"/>
    <w:rsid w:val="000377EC"/>
    <w:rsid w:val="000378CD"/>
    <w:rsid w:val="00037C47"/>
    <w:rsid w:val="00040265"/>
    <w:rsid w:val="00040EAC"/>
    <w:rsid w:val="000420BA"/>
    <w:rsid w:val="00042A17"/>
    <w:rsid w:val="00043742"/>
    <w:rsid w:val="000439D3"/>
    <w:rsid w:val="00044410"/>
    <w:rsid w:val="00045495"/>
    <w:rsid w:val="000459AD"/>
    <w:rsid w:val="00045F6B"/>
    <w:rsid w:val="00045FD9"/>
    <w:rsid w:val="00046709"/>
    <w:rsid w:val="00046AF0"/>
    <w:rsid w:val="00046C9C"/>
    <w:rsid w:val="00047145"/>
    <w:rsid w:val="00047FB5"/>
    <w:rsid w:val="000501C9"/>
    <w:rsid w:val="00050B0E"/>
    <w:rsid w:val="00050ED2"/>
    <w:rsid w:val="00050EF0"/>
    <w:rsid w:val="000529B4"/>
    <w:rsid w:val="00052D13"/>
    <w:rsid w:val="000537C0"/>
    <w:rsid w:val="00054036"/>
    <w:rsid w:val="00054505"/>
    <w:rsid w:val="0005522D"/>
    <w:rsid w:val="0005557F"/>
    <w:rsid w:val="000558E5"/>
    <w:rsid w:val="0005615C"/>
    <w:rsid w:val="0005622A"/>
    <w:rsid w:val="00056850"/>
    <w:rsid w:val="00056CF7"/>
    <w:rsid w:val="00056E2D"/>
    <w:rsid w:val="00057AB0"/>
    <w:rsid w:val="00057F0D"/>
    <w:rsid w:val="00057FC7"/>
    <w:rsid w:val="00060C76"/>
    <w:rsid w:val="00061127"/>
    <w:rsid w:val="000612DC"/>
    <w:rsid w:val="0006140B"/>
    <w:rsid w:val="0006177C"/>
    <w:rsid w:val="00062402"/>
    <w:rsid w:val="0006241C"/>
    <w:rsid w:val="0006309D"/>
    <w:rsid w:val="00064465"/>
    <w:rsid w:val="0006464C"/>
    <w:rsid w:val="00064F75"/>
    <w:rsid w:val="000653C1"/>
    <w:rsid w:val="000655C1"/>
    <w:rsid w:val="00065ADB"/>
    <w:rsid w:val="000664A1"/>
    <w:rsid w:val="00066AF2"/>
    <w:rsid w:val="00067BEC"/>
    <w:rsid w:val="00070239"/>
    <w:rsid w:val="000703EC"/>
    <w:rsid w:val="000707D3"/>
    <w:rsid w:val="00070C1C"/>
    <w:rsid w:val="00070CD8"/>
    <w:rsid w:val="00070E63"/>
    <w:rsid w:val="00070EA5"/>
    <w:rsid w:val="0007194A"/>
    <w:rsid w:val="0007261D"/>
    <w:rsid w:val="00072D68"/>
    <w:rsid w:val="00072E7D"/>
    <w:rsid w:val="00073660"/>
    <w:rsid w:val="000737C9"/>
    <w:rsid w:val="00074357"/>
    <w:rsid w:val="000744E0"/>
    <w:rsid w:val="0007506F"/>
    <w:rsid w:val="0007623D"/>
    <w:rsid w:val="000765ED"/>
    <w:rsid w:val="00076AB6"/>
    <w:rsid w:val="00077483"/>
    <w:rsid w:val="0008068B"/>
    <w:rsid w:val="00081875"/>
    <w:rsid w:val="00081D01"/>
    <w:rsid w:val="00081F8E"/>
    <w:rsid w:val="00082E28"/>
    <w:rsid w:val="000831DB"/>
    <w:rsid w:val="000838B7"/>
    <w:rsid w:val="00083CF7"/>
    <w:rsid w:val="00083E2A"/>
    <w:rsid w:val="0008448B"/>
    <w:rsid w:val="00084B53"/>
    <w:rsid w:val="00084F7A"/>
    <w:rsid w:val="00086AFF"/>
    <w:rsid w:val="00086C40"/>
    <w:rsid w:val="00086FD0"/>
    <w:rsid w:val="0008778F"/>
    <w:rsid w:val="00087975"/>
    <w:rsid w:val="00090478"/>
    <w:rsid w:val="0009230D"/>
    <w:rsid w:val="000923EA"/>
    <w:rsid w:val="00092463"/>
    <w:rsid w:val="0009284F"/>
    <w:rsid w:val="00092AB5"/>
    <w:rsid w:val="00092FB6"/>
    <w:rsid w:val="00093404"/>
    <w:rsid w:val="00093D64"/>
    <w:rsid w:val="00094411"/>
    <w:rsid w:val="00094FA1"/>
    <w:rsid w:val="000959B5"/>
    <w:rsid w:val="00097A82"/>
    <w:rsid w:val="000A0939"/>
    <w:rsid w:val="000A0C01"/>
    <w:rsid w:val="000A126D"/>
    <w:rsid w:val="000A13CD"/>
    <w:rsid w:val="000A169E"/>
    <w:rsid w:val="000A19F1"/>
    <w:rsid w:val="000A2701"/>
    <w:rsid w:val="000A2C3B"/>
    <w:rsid w:val="000A38E3"/>
    <w:rsid w:val="000A3C55"/>
    <w:rsid w:val="000A3FBE"/>
    <w:rsid w:val="000A4EF9"/>
    <w:rsid w:val="000A5376"/>
    <w:rsid w:val="000A58E2"/>
    <w:rsid w:val="000A5970"/>
    <w:rsid w:val="000A69B8"/>
    <w:rsid w:val="000A705B"/>
    <w:rsid w:val="000B009B"/>
    <w:rsid w:val="000B0FB3"/>
    <w:rsid w:val="000B167F"/>
    <w:rsid w:val="000B197F"/>
    <w:rsid w:val="000B2534"/>
    <w:rsid w:val="000B30AF"/>
    <w:rsid w:val="000B48DB"/>
    <w:rsid w:val="000B4B1F"/>
    <w:rsid w:val="000B4CE8"/>
    <w:rsid w:val="000B4EB8"/>
    <w:rsid w:val="000B5054"/>
    <w:rsid w:val="000B52C9"/>
    <w:rsid w:val="000B550C"/>
    <w:rsid w:val="000B5AE9"/>
    <w:rsid w:val="000B6EE6"/>
    <w:rsid w:val="000B710A"/>
    <w:rsid w:val="000B7216"/>
    <w:rsid w:val="000B76F2"/>
    <w:rsid w:val="000C0CE4"/>
    <w:rsid w:val="000C10BE"/>
    <w:rsid w:val="000C2086"/>
    <w:rsid w:val="000C2699"/>
    <w:rsid w:val="000C2768"/>
    <w:rsid w:val="000C2C53"/>
    <w:rsid w:val="000C2D92"/>
    <w:rsid w:val="000C366C"/>
    <w:rsid w:val="000C4035"/>
    <w:rsid w:val="000C41CB"/>
    <w:rsid w:val="000C421B"/>
    <w:rsid w:val="000C498A"/>
    <w:rsid w:val="000C4E57"/>
    <w:rsid w:val="000C548F"/>
    <w:rsid w:val="000C54E8"/>
    <w:rsid w:val="000C565E"/>
    <w:rsid w:val="000C5F18"/>
    <w:rsid w:val="000C6434"/>
    <w:rsid w:val="000C70F5"/>
    <w:rsid w:val="000C7A37"/>
    <w:rsid w:val="000C7B86"/>
    <w:rsid w:val="000D10CB"/>
    <w:rsid w:val="000D1176"/>
    <w:rsid w:val="000D14E3"/>
    <w:rsid w:val="000D1905"/>
    <w:rsid w:val="000D1CF6"/>
    <w:rsid w:val="000D24D2"/>
    <w:rsid w:val="000D25AD"/>
    <w:rsid w:val="000D2E96"/>
    <w:rsid w:val="000D3691"/>
    <w:rsid w:val="000D4345"/>
    <w:rsid w:val="000D4490"/>
    <w:rsid w:val="000D5132"/>
    <w:rsid w:val="000D532B"/>
    <w:rsid w:val="000D5E90"/>
    <w:rsid w:val="000D6131"/>
    <w:rsid w:val="000D677B"/>
    <w:rsid w:val="000D68B2"/>
    <w:rsid w:val="000D6C33"/>
    <w:rsid w:val="000D73DF"/>
    <w:rsid w:val="000D73EC"/>
    <w:rsid w:val="000D7716"/>
    <w:rsid w:val="000D7F4F"/>
    <w:rsid w:val="000E015A"/>
    <w:rsid w:val="000E0278"/>
    <w:rsid w:val="000E03E7"/>
    <w:rsid w:val="000E0690"/>
    <w:rsid w:val="000E0950"/>
    <w:rsid w:val="000E13E8"/>
    <w:rsid w:val="000E1627"/>
    <w:rsid w:val="000E1934"/>
    <w:rsid w:val="000E1B03"/>
    <w:rsid w:val="000E2EFA"/>
    <w:rsid w:val="000E2F64"/>
    <w:rsid w:val="000E3816"/>
    <w:rsid w:val="000E3EE0"/>
    <w:rsid w:val="000E4A79"/>
    <w:rsid w:val="000E5530"/>
    <w:rsid w:val="000E5E80"/>
    <w:rsid w:val="000E6B0A"/>
    <w:rsid w:val="000E6C56"/>
    <w:rsid w:val="000E70E3"/>
    <w:rsid w:val="000E7727"/>
    <w:rsid w:val="000E7A40"/>
    <w:rsid w:val="000F0B7D"/>
    <w:rsid w:val="000F0F68"/>
    <w:rsid w:val="000F0F7F"/>
    <w:rsid w:val="000F1F83"/>
    <w:rsid w:val="000F24E0"/>
    <w:rsid w:val="000F2CDA"/>
    <w:rsid w:val="000F2E2B"/>
    <w:rsid w:val="000F2E9B"/>
    <w:rsid w:val="000F363F"/>
    <w:rsid w:val="000F3C1E"/>
    <w:rsid w:val="000F3F4F"/>
    <w:rsid w:val="000F4DB6"/>
    <w:rsid w:val="000F5041"/>
    <w:rsid w:val="000F508D"/>
    <w:rsid w:val="000F5115"/>
    <w:rsid w:val="000F705F"/>
    <w:rsid w:val="000F72BF"/>
    <w:rsid w:val="000F7608"/>
    <w:rsid w:val="000F7D1F"/>
    <w:rsid w:val="0010003C"/>
    <w:rsid w:val="0010008F"/>
    <w:rsid w:val="00101268"/>
    <w:rsid w:val="00101DE4"/>
    <w:rsid w:val="00101E86"/>
    <w:rsid w:val="0010289A"/>
    <w:rsid w:val="00103DA5"/>
    <w:rsid w:val="00103DD5"/>
    <w:rsid w:val="00103F88"/>
    <w:rsid w:val="00104311"/>
    <w:rsid w:val="001046D3"/>
    <w:rsid w:val="00105EB2"/>
    <w:rsid w:val="00106078"/>
    <w:rsid w:val="0010664E"/>
    <w:rsid w:val="0010682E"/>
    <w:rsid w:val="00106987"/>
    <w:rsid w:val="001074D9"/>
    <w:rsid w:val="00107B15"/>
    <w:rsid w:val="001104FA"/>
    <w:rsid w:val="00110D0C"/>
    <w:rsid w:val="001112CB"/>
    <w:rsid w:val="0011158E"/>
    <w:rsid w:val="0011166D"/>
    <w:rsid w:val="00111A0E"/>
    <w:rsid w:val="001121E7"/>
    <w:rsid w:val="001122B9"/>
    <w:rsid w:val="00112C49"/>
    <w:rsid w:val="00113907"/>
    <w:rsid w:val="001141BB"/>
    <w:rsid w:val="001143E8"/>
    <w:rsid w:val="00114E0F"/>
    <w:rsid w:val="00114ECD"/>
    <w:rsid w:val="001156AF"/>
    <w:rsid w:val="00115F6A"/>
    <w:rsid w:val="00116136"/>
    <w:rsid w:val="00116BB6"/>
    <w:rsid w:val="0011770F"/>
    <w:rsid w:val="001201D4"/>
    <w:rsid w:val="00120E25"/>
    <w:rsid w:val="00123147"/>
    <w:rsid w:val="00123C48"/>
    <w:rsid w:val="00123D3B"/>
    <w:rsid w:val="00124A29"/>
    <w:rsid w:val="00125084"/>
    <w:rsid w:val="00125F82"/>
    <w:rsid w:val="00126470"/>
    <w:rsid w:val="00126E67"/>
    <w:rsid w:val="00127BD9"/>
    <w:rsid w:val="00130082"/>
    <w:rsid w:val="00130818"/>
    <w:rsid w:val="00131578"/>
    <w:rsid w:val="001329BB"/>
    <w:rsid w:val="00132F58"/>
    <w:rsid w:val="001346E6"/>
    <w:rsid w:val="00135480"/>
    <w:rsid w:val="00135D05"/>
    <w:rsid w:val="0013638A"/>
    <w:rsid w:val="00136C3E"/>
    <w:rsid w:val="001371D3"/>
    <w:rsid w:val="0013743B"/>
    <w:rsid w:val="001417F6"/>
    <w:rsid w:val="0014226F"/>
    <w:rsid w:val="00142732"/>
    <w:rsid w:val="001429B1"/>
    <w:rsid w:val="00142C57"/>
    <w:rsid w:val="0014315F"/>
    <w:rsid w:val="0014338B"/>
    <w:rsid w:val="00143948"/>
    <w:rsid w:val="00143EEE"/>
    <w:rsid w:val="001446B7"/>
    <w:rsid w:val="00145358"/>
    <w:rsid w:val="001453BB"/>
    <w:rsid w:val="001456F7"/>
    <w:rsid w:val="001461F3"/>
    <w:rsid w:val="0014694A"/>
    <w:rsid w:val="001472FA"/>
    <w:rsid w:val="00147924"/>
    <w:rsid w:val="001503C1"/>
    <w:rsid w:val="001509D2"/>
    <w:rsid w:val="00150C38"/>
    <w:rsid w:val="0015141E"/>
    <w:rsid w:val="001514D7"/>
    <w:rsid w:val="00151816"/>
    <w:rsid w:val="001518DA"/>
    <w:rsid w:val="00151AAE"/>
    <w:rsid w:val="00151F01"/>
    <w:rsid w:val="00152C99"/>
    <w:rsid w:val="00153816"/>
    <w:rsid w:val="001545AB"/>
    <w:rsid w:val="001548FB"/>
    <w:rsid w:val="0015505E"/>
    <w:rsid w:val="001553A5"/>
    <w:rsid w:val="0015605B"/>
    <w:rsid w:val="001560F9"/>
    <w:rsid w:val="00156B1C"/>
    <w:rsid w:val="00157102"/>
    <w:rsid w:val="00157337"/>
    <w:rsid w:val="0015761A"/>
    <w:rsid w:val="0015789A"/>
    <w:rsid w:val="00157F85"/>
    <w:rsid w:val="00160601"/>
    <w:rsid w:val="001614A0"/>
    <w:rsid w:val="00163173"/>
    <w:rsid w:val="001631CB"/>
    <w:rsid w:val="00163874"/>
    <w:rsid w:val="00163AA0"/>
    <w:rsid w:val="001643F5"/>
    <w:rsid w:val="00164423"/>
    <w:rsid w:val="00164C0B"/>
    <w:rsid w:val="00165660"/>
    <w:rsid w:val="0016604A"/>
    <w:rsid w:val="00166078"/>
    <w:rsid w:val="00166319"/>
    <w:rsid w:val="0016694A"/>
    <w:rsid w:val="00166CAF"/>
    <w:rsid w:val="00166D14"/>
    <w:rsid w:val="00167150"/>
    <w:rsid w:val="001672F2"/>
    <w:rsid w:val="001676DA"/>
    <w:rsid w:val="00167BD5"/>
    <w:rsid w:val="001700F4"/>
    <w:rsid w:val="001704D2"/>
    <w:rsid w:val="00170846"/>
    <w:rsid w:val="0017089B"/>
    <w:rsid w:val="0017098E"/>
    <w:rsid w:val="00171193"/>
    <w:rsid w:val="00171268"/>
    <w:rsid w:val="001713C9"/>
    <w:rsid w:val="001717C6"/>
    <w:rsid w:val="00171BA8"/>
    <w:rsid w:val="001722C6"/>
    <w:rsid w:val="0017270D"/>
    <w:rsid w:val="001727E3"/>
    <w:rsid w:val="00172A0E"/>
    <w:rsid w:val="00173C4C"/>
    <w:rsid w:val="00174822"/>
    <w:rsid w:val="00174940"/>
    <w:rsid w:val="00174BD7"/>
    <w:rsid w:val="001756F0"/>
    <w:rsid w:val="00175E49"/>
    <w:rsid w:val="00176080"/>
    <w:rsid w:val="001766C6"/>
    <w:rsid w:val="001769B2"/>
    <w:rsid w:val="00176F32"/>
    <w:rsid w:val="00177E5A"/>
    <w:rsid w:val="00177E9F"/>
    <w:rsid w:val="0018075E"/>
    <w:rsid w:val="001807AC"/>
    <w:rsid w:val="001807ED"/>
    <w:rsid w:val="00180F5E"/>
    <w:rsid w:val="001815E3"/>
    <w:rsid w:val="00181C5E"/>
    <w:rsid w:val="00182A9B"/>
    <w:rsid w:val="00183251"/>
    <w:rsid w:val="0018384D"/>
    <w:rsid w:val="0018389D"/>
    <w:rsid w:val="00183C70"/>
    <w:rsid w:val="001842C4"/>
    <w:rsid w:val="001849D5"/>
    <w:rsid w:val="001857CC"/>
    <w:rsid w:val="001860D1"/>
    <w:rsid w:val="00186CD0"/>
    <w:rsid w:val="00187050"/>
    <w:rsid w:val="001871A8"/>
    <w:rsid w:val="00187333"/>
    <w:rsid w:val="00187F36"/>
    <w:rsid w:val="00190347"/>
    <w:rsid w:val="001906B0"/>
    <w:rsid w:val="00191078"/>
    <w:rsid w:val="0019117E"/>
    <w:rsid w:val="00191E8A"/>
    <w:rsid w:val="00191EED"/>
    <w:rsid w:val="00192413"/>
    <w:rsid w:val="001925E8"/>
    <w:rsid w:val="001927E7"/>
    <w:rsid w:val="001929A8"/>
    <w:rsid w:val="00192F97"/>
    <w:rsid w:val="001937BB"/>
    <w:rsid w:val="001938AC"/>
    <w:rsid w:val="001938F8"/>
    <w:rsid w:val="00193D47"/>
    <w:rsid w:val="00193E87"/>
    <w:rsid w:val="001951F7"/>
    <w:rsid w:val="00195D92"/>
    <w:rsid w:val="00196002"/>
    <w:rsid w:val="00196812"/>
    <w:rsid w:val="00196AA8"/>
    <w:rsid w:val="00196F67"/>
    <w:rsid w:val="00197283"/>
    <w:rsid w:val="0019747D"/>
    <w:rsid w:val="00197670"/>
    <w:rsid w:val="00197AB1"/>
    <w:rsid w:val="00197F7F"/>
    <w:rsid w:val="001A0674"/>
    <w:rsid w:val="001A10D5"/>
    <w:rsid w:val="001A1B51"/>
    <w:rsid w:val="001A2772"/>
    <w:rsid w:val="001A2F4C"/>
    <w:rsid w:val="001A3164"/>
    <w:rsid w:val="001A3D86"/>
    <w:rsid w:val="001A5017"/>
    <w:rsid w:val="001A71AB"/>
    <w:rsid w:val="001A7526"/>
    <w:rsid w:val="001A7644"/>
    <w:rsid w:val="001B0195"/>
    <w:rsid w:val="001B05C2"/>
    <w:rsid w:val="001B0EFC"/>
    <w:rsid w:val="001B21CA"/>
    <w:rsid w:val="001B2444"/>
    <w:rsid w:val="001B2951"/>
    <w:rsid w:val="001B3443"/>
    <w:rsid w:val="001B44C3"/>
    <w:rsid w:val="001B4762"/>
    <w:rsid w:val="001B503C"/>
    <w:rsid w:val="001B5819"/>
    <w:rsid w:val="001B5B16"/>
    <w:rsid w:val="001B7A86"/>
    <w:rsid w:val="001B7D4C"/>
    <w:rsid w:val="001B7DCA"/>
    <w:rsid w:val="001C032F"/>
    <w:rsid w:val="001C152C"/>
    <w:rsid w:val="001C1650"/>
    <w:rsid w:val="001C172A"/>
    <w:rsid w:val="001C18C8"/>
    <w:rsid w:val="001C1BDF"/>
    <w:rsid w:val="001C213E"/>
    <w:rsid w:val="001C2780"/>
    <w:rsid w:val="001C2AA1"/>
    <w:rsid w:val="001C2CAA"/>
    <w:rsid w:val="001C2D14"/>
    <w:rsid w:val="001C2D99"/>
    <w:rsid w:val="001C2FE0"/>
    <w:rsid w:val="001C37C5"/>
    <w:rsid w:val="001C3BB2"/>
    <w:rsid w:val="001C5348"/>
    <w:rsid w:val="001C53E1"/>
    <w:rsid w:val="001C547B"/>
    <w:rsid w:val="001C5E2F"/>
    <w:rsid w:val="001C610D"/>
    <w:rsid w:val="001C632D"/>
    <w:rsid w:val="001C6723"/>
    <w:rsid w:val="001C79A8"/>
    <w:rsid w:val="001D0043"/>
    <w:rsid w:val="001D0118"/>
    <w:rsid w:val="001D0A75"/>
    <w:rsid w:val="001D0D1A"/>
    <w:rsid w:val="001D15AC"/>
    <w:rsid w:val="001D1C52"/>
    <w:rsid w:val="001D226A"/>
    <w:rsid w:val="001D2AF1"/>
    <w:rsid w:val="001D3E03"/>
    <w:rsid w:val="001D415C"/>
    <w:rsid w:val="001D4E38"/>
    <w:rsid w:val="001D507E"/>
    <w:rsid w:val="001D658B"/>
    <w:rsid w:val="001D73E5"/>
    <w:rsid w:val="001D7C3C"/>
    <w:rsid w:val="001D7C4E"/>
    <w:rsid w:val="001D7DEC"/>
    <w:rsid w:val="001D7F51"/>
    <w:rsid w:val="001E0B5F"/>
    <w:rsid w:val="001E146E"/>
    <w:rsid w:val="001E2138"/>
    <w:rsid w:val="001E2467"/>
    <w:rsid w:val="001E26B2"/>
    <w:rsid w:val="001E2778"/>
    <w:rsid w:val="001E2E7D"/>
    <w:rsid w:val="001E2FA6"/>
    <w:rsid w:val="001E3E01"/>
    <w:rsid w:val="001E3E7E"/>
    <w:rsid w:val="001E416D"/>
    <w:rsid w:val="001E59A7"/>
    <w:rsid w:val="001E68C9"/>
    <w:rsid w:val="001E7BD7"/>
    <w:rsid w:val="001F051E"/>
    <w:rsid w:val="001F0F85"/>
    <w:rsid w:val="001F1135"/>
    <w:rsid w:val="001F1810"/>
    <w:rsid w:val="001F297A"/>
    <w:rsid w:val="001F2FFA"/>
    <w:rsid w:val="001F4294"/>
    <w:rsid w:val="001F45A9"/>
    <w:rsid w:val="001F4D78"/>
    <w:rsid w:val="001F50C1"/>
    <w:rsid w:val="001F7406"/>
    <w:rsid w:val="001F7538"/>
    <w:rsid w:val="001F7873"/>
    <w:rsid w:val="002009CD"/>
    <w:rsid w:val="00200F16"/>
    <w:rsid w:val="00201125"/>
    <w:rsid w:val="00201743"/>
    <w:rsid w:val="0020199E"/>
    <w:rsid w:val="00201E7F"/>
    <w:rsid w:val="00202BC7"/>
    <w:rsid w:val="00202DB4"/>
    <w:rsid w:val="00202E24"/>
    <w:rsid w:val="00202E59"/>
    <w:rsid w:val="00203599"/>
    <w:rsid w:val="002038AA"/>
    <w:rsid w:val="00204534"/>
    <w:rsid w:val="00204BEE"/>
    <w:rsid w:val="0020555B"/>
    <w:rsid w:val="002058BC"/>
    <w:rsid w:val="00205970"/>
    <w:rsid w:val="00205BC3"/>
    <w:rsid w:val="00205C46"/>
    <w:rsid w:val="00206F6E"/>
    <w:rsid w:val="00206FF1"/>
    <w:rsid w:val="002074CE"/>
    <w:rsid w:val="0020796B"/>
    <w:rsid w:val="002105F7"/>
    <w:rsid w:val="0021097C"/>
    <w:rsid w:val="00210A7C"/>
    <w:rsid w:val="00210E82"/>
    <w:rsid w:val="002118FA"/>
    <w:rsid w:val="00211A73"/>
    <w:rsid w:val="00212672"/>
    <w:rsid w:val="00212774"/>
    <w:rsid w:val="0021296D"/>
    <w:rsid w:val="002129AE"/>
    <w:rsid w:val="00212AF8"/>
    <w:rsid w:val="00212BB5"/>
    <w:rsid w:val="00212E48"/>
    <w:rsid w:val="002132C5"/>
    <w:rsid w:val="002133E5"/>
    <w:rsid w:val="00213592"/>
    <w:rsid w:val="00213AD3"/>
    <w:rsid w:val="002147B7"/>
    <w:rsid w:val="00215607"/>
    <w:rsid w:val="002159B9"/>
    <w:rsid w:val="00215CDD"/>
    <w:rsid w:val="002161AE"/>
    <w:rsid w:val="00216340"/>
    <w:rsid w:val="00216DD6"/>
    <w:rsid w:val="0021703E"/>
    <w:rsid w:val="00217054"/>
    <w:rsid w:val="002173D9"/>
    <w:rsid w:val="002175F5"/>
    <w:rsid w:val="0021772A"/>
    <w:rsid w:val="002206D7"/>
    <w:rsid w:val="00221664"/>
    <w:rsid w:val="0022219C"/>
    <w:rsid w:val="002227B6"/>
    <w:rsid w:val="002229DB"/>
    <w:rsid w:val="00222E2F"/>
    <w:rsid w:val="00222EAD"/>
    <w:rsid w:val="002230CB"/>
    <w:rsid w:val="0022331C"/>
    <w:rsid w:val="00223925"/>
    <w:rsid w:val="00224135"/>
    <w:rsid w:val="00224AC8"/>
    <w:rsid w:val="00225887"/>
    <w:rsid w:val="002262DB"/>
    <w:rsid w:val="00226919"/>
    <w:rsid w:val="00226A36"/>
    <w:rsid w:val="00226CA6"/>
    <w:rsid w:val="0022729C"/>
    <w:rsid w:val="002272E2"/>
    <w:rsid w:val="00227512"/>
    <w:rsid w:val="00230619"/>
    <w:rsid w:val="00230E20"/>
    <w:rsid w:val="0023138C"/>
    <w:rsid w:val="00231A34"/>
    <w:rsid w:val="0023260C"/>
    <w:rsid w:val="002345B5"/>
    <w:rsid w:val="00235035"/>
    <w:rsid w:val="002355B4"/>
    <w:rsid w:val="00235840"/>
    <w:rsid w:val="00235DD0"/>
    <w:rsid w:val="00236BB7"/>
    <w:rsid w:val="00236FB1"/>
    <w:rsid w:val="00237403"/>
    <w:rsid w:val="0023786B"/>
    <w:rsid w:val="002378DB"/>
    <w:rsid w:val="00237BA5"/>
    <w:rsid w:val="002400C9"/>
    <w:rsid w:val="00240774"/>
    <w:rsid w:val="002407CB"/>
    <w:rsid w:val="00240A81"/>
    <w:rsid w:val="00241429"/>
    <w:rsid w:val="00241523"/>
    <w:rsid w:val="0024153E"/>
    <w:rsid w:val="0024173E"/>
    <w:rsid w:val="00241D60"/>
    <w:rsid w:val="00241E3C"/>
    <w:rsid w:val="002429D9"/>
    <w:rsid w:val="00243A06"/>
    <w:rsid w:val="00243BE2"/>
    <w:rsid w:val="002445E4"/>
    <w:rsid w:val="00244CFB"/>
    <w:rsid w:val="00244D37"/>
    <w:rsid w:val="002454FD"/>
    <w:rsid w:val="002469AC"/>
    <w:rsid w:val="002477A3"/>
    <w:rsid w:val="00250831"/>
    <w:rsid w:val="0025096F"/>
    <w:rsid w:val="002513F9"/>
    <w:rsid w:val="00251B9C"/>
    <w:rsid w:val="00251CAD"/>
    <w:rsid w:val="00251EEE"/>
    <w:rsid w:val="00251FF0"/>
    <w:rsid w:val="0025322B"/>
    <w:rsid w:val="00253414"/>
    <w:rsid w:val="002534A3"/>
    <w:rsid w:val="00253780"/>
    <w:rsid w:val="00253F2C"/>
    <w:rsid w:val="002545F0"/>
    <w:rsid w:val="00254BE8"/>
    <w:rsid w:val="002552B6"/>
    <w:rsid w:val="00255AD3"/>
    <w:rsid w:val="00255E89"/>
    <w:rsid w:val="00256FEA"/>
    <w:rsid w:val="0025740C"/>
    <w:rsid w:val="002575B0"/>
    <w:rsid w:val="00257CB6"/>
    <w:rsid w:val="0026010C"/>
    <w:rsid w:val="002617C8"/>
    <w:rsid w:val="00262127"/>
    <w:rsid w:val="002634EB"/>
    <w:rsid w:val="0026412D"/>
    <w:rsid w:val="00264364"/>
    <w:rsid w:val="002647E1"/>
    <w:rsid w:val="002648BA"/>
    <w:rsid w:val="00264943"/>
    <w:rsid w:val="002652D1"/>
    <w:rsid w:val="00265446"/>
    <w:rsid w:val="00265DC7"/>
    <w:rsid w:val="00266262"/>
    <w:rsid w:val="00266516"/>
    <w:rsid w:val="0026678E"/>
    <w:rsid w:val="00266968"/>
    <w:rsid w:val="00267E18"/>
    <w:rsid w:val="00270209"/>
    <w:rsid w:val="0027084B"/>
    <w:rsid w:val="00270866"/>
    <w:rsid w:val="00270DA4"/>
    <w:rsid w:val="00270E97"/>
    <w:rsid w:val="00270F66"/>
    <w:rsid w:val="002717DB"/>
    <w:rsid w:val="00272695"/>
    <w:rsid w:val="002727EE"/>
    <w:rsid w:val="00272B70"/>
    <w:rsid w:val="00273B42"/>
    <w:rsid w:val="00273D81"/>
    <w:rsid w:val="002741EF"/>
    <w:rsid w:val="0027474C"/>
    <w:rsid w:val="002755AF"/>
    <w:rsid w:val="00276A36"/>
    <w:rsid w:val="00276D45"/>
    <w:rsid w:val="00277043"/>
    <w:rsid w:val="002805C2"/>
    <w:rsid w:val="00280AE9"/>
    <w:rsid w:val="002816C6"/>
    <w:rsid w:val="0028172C"/>
    <w:rsid w:val="00281A36"/>
    <w:rsid w:val="002820FF"/>
    <w:rsid w:val="002824E4"/>
    <w:rsid w:val="0028275E"/>
    <w:rsid w:val="0028345C"/>
    <w:rsid w:val="002843C6"/>
    <w:rsid w:val="00284E84"/>
    <w:rsid w:val="00285E03"/>
    <w:rsid w:val="002866D5"/>
    <w:rsid w:val="00286DBC"/>
    <w:rsid w:val="00290CF4"/>
    <w:rsid w:val="00290D04"/>
    <w:rsid w:val="00291A31"/>
    <w:rsid w:val="00291BF6"/>
    <w:rsid w:val="00291C04"/>
    <w:rsid w:val="002926F0"/>
    <w:rsid w:val="00292C7A"/>
    <w:rsid w:val="00293447"/>
    <w:rsid w:val="0029368F"/>
    <w:rsid w:val="00293C64"/>
    <w:rsid w:val="002945B4"/>
    <w:rsid w:val="00294792"/>
    <w:rsid w:val="00294895"/>
    <w:rsid w:val="00295167"/>
    <w:rsid w:val="00295954"/>
    <w:rsid w:val="00295AF0"/>
    <w:rsid w:val="00296439"/>
    <w:rsid w:val="00296C96"/>
    <w:rsid w:val="00297CD3"/>
    <w:rsid w:val="002A0BF1"/>
    <w:rsid w:val="002A1546"/>
    <w:rsid w:val="002A1756"/>
    <w:rsid w:val="002A1EDB"/>
    <w:rsid w:val="002A293E"/>
    <w:rsid w:val="002A376F"/>
    <w:rsid w:val="002A3863"/>
    <w:rsid w:val="002A389E"/>
    <w:rsid w:val="002A3F6A"/>
    <w:rsid w:val="002A53CD"/>
    <w:rsid w:val="002A56C7"/>
    <w:rsid w:val="002A5C75"/>
    <w:rsid w:val="002A5E16"/>
    <w:rsid w:val="002A614A"/>
    <w:rsid w:val="002A62B0"/>
    <w:rsid w:val="002B03B0"/>
    <w:rsid w:val="002B11A3"/>
    <w:rsid w:val="002B137D"/>
    <w:rsid w:val="002B1D8A"/>
    <w:rsid w:val="002B1F64"/>
    <w:rsid w:val="002B2866"/>
    <w:rsid w:val="002B2D5B"/>
    <w:rsid w:val="002B2E9C"/>
    <w:rsid w:val="002B3352"/>
    <w:rsid w:val="002B462B"/>
    <w:rsid w:val="002B51FB"/>
    <w:rsid w:val="002B7C6B"/>
    <w:rsid w:val="002C0D79"/>
    <w:rsid w:val="002C18C8"/>
    <w:rsid w:val="002C1E62"/>
    <w:rsid w:val="002C2A74"/>
    <w:rsid w:val="002C3AA9"/>
    <w:rsid w:val="002C3EC4"/>
    <w:rsid w:val="002C450D"/>
    <w:rsid w:val="002C4900"/>
    <w:rsid w:val="002C4BDA"/>
    <w:rsid w:val="002C5616"/>
    <w:rsid w:val="002C5905"/>
    <w:rsid w:val="002C5916"/>
    <w:rsid w:val="002C635C"/>
    <w:rsid w:val="002C71C4"/>
    <w:rsid w:val="002C7590"/>
    <w:rsid w:val="002C7C8F"/>
    <w:rsid w:val="002D0B53"/>
    <w:rsid w:val="002D19FB"/>
    <w:rsid w:val="002D2021"/>
    <w:rsid w:val="002D2F76"/>
    <w:rsid w:val="002D2FD2"/>
    <w:rsid w:val="002D3019"/>
    <w:rsid w:val="002D3642"/>
    <w:rsid w:val="002D60CE"/>
    <w:rsid w:val="002D63AE"/>
    <w:rsid w:val="002D6FCA"/>
    <w:rsid w:val="002E06B7"/>
    <w:rsid w:val="002E0FC2"/>
    <w:rsid w:val="002E1E75"/>
    <w:rsid w:val="002E28FD"/>
    <w:rsid w:val="002E2BB0"/>
    <w:rsid w:val="002E2F45"/>
    <w:rsid w:val="002E372E"/>
    <w:rsid w:val="002E4168"/>
    <w:rsid w:val="002E4513"/>
    <w:rsid w:val="002E531B"/>
    <w:rsid w:val="002E5508"/>
    <w:rsid w:val="002E55AF"/>
    <w:rsid w:val="002E5CDA"/>
    <w:rsid w:val="002E6B81"/>
    <w:rsid w:val="002E7F34"/>
    <w:rsid w:val="002F0CCD"/>
    <w:rsid w:val="002F2475"/>
    <w:rsid w:val="002F24B5"/>
    <w:rsid w:val="002F300D"/>
    <w:rsid w:val="002F4265"/>
    <w:rsid w:val="002F5A7A"/>
    <w:rsid w:val="002F5F27"/>
    <w:rsid w:val="002F767E"/>
    <w:rsid w:val="002F7704"/>
    <w:rsid w:val="002F79F4"/>
    <w:rsid w:val="0030037E"/>
    <w:rsid w:val="0030097E"/>
    <w:rsid w:val="00301524"/>
    <w:rsid w:val="00301811"/>
    <w:rsid w:val="00301B44"/>
    <w:rsid w:val="00301CAE"/>
    <w:rsid w:val="00301ECB"/>
    <w:rsid w:val="00302F55"/>
    <w:rsid w:val="00303AE1"/>
    <w:rsid w:val="00304A10"/>
    <w:rsid w:val="00305745"/>
    <w:rsid w:val="00305D5C"/>
    <w:rsid w:val="00305E4B"/>
    <w:rsid w:val="003067E4"/>
    <w:rsid w:val="003069EE"/>
    <w:rsid w:val="00306AC2"/>
    <w:rsid w:val="00306D5B"/>
    <w:rsid w:val="00306EF2"/>
    <w:rsid w:val="003072CD"/>
    <w:rsid w:val="0030786C"/>
    <w:rsid w:val="0030796F"/>
    <w:rsid w:val="00307B0B"/>
    <w:rsid w:val="0031002A"/>
    <w:rsid w:val="00310DC6"/>
    <w:rsid w:val="0031230F"/>
    <w:rsid w:val="003126DB"/>
    <w:rsid w:val="0031317F"/>
    <w:rsid w:val="003136F2"/>
    <w:rsid w:val="00314375"/>
    <w:rsid w:val="00314F69"/>
    <w:rsid w:val="00316D32"/>
    <w:rsid w:val="003174CF"/>
    <w:rsid w:val="0031799A"/>
    <w:rsid w:val="0032076A"/>
    <w:rsid w:val="0032089F"/>
    <w:rsid w:val="003216B7"/>
    <w:rsid w:val="00322160"/>
    <w:rsid w:val="00322482"/>
    <w:rsid w:val="00322E96"/>
    <w:rsid w:val="0032320C"/>
    <w:rsid w:val="0032322B"/>
    <w:rsid w:val="00323267"/>
    <w:rsid w:val="00323773"/>
    <w:rsid w:val="00323AE8"/>
    <w:rsid w:val="00323B09"/>
    <w:rsid w:val="00324415"/>
    <w:rsid w:val="003246CB"/>
    <w:rsid w:val="00324818"/>
    <w:rsid w:val="0032559C"/>
    <w:rsid w:val="003263DE"/>
    <w:rsid w:val="003269CC"/>
    <w:rsid w:val="00326D7D"/>
    <w:rsid w:val="0032742C"/>
    <w:rsid w:val="00332A99"/>
    <w:rsid w:val="00332B8F"/>
    <w:rsid w:val="00334600"/>
    <w:rsid w:val="00334DA2"/>
    <w:rsid w:val="00334FFC"/>
    <w:rsid w:val="00335767"/>
    <w:rsid w:val="00336BD9"/>
    <w:rsid w:val="0033725A"/>
    <w:rsid w:val="003409CC"/>
    <w:rsid w:val="003409E9"/>
    <w:rsid w:val="00341948"/>
    <w:rsid w:val="003420BD"/>
    <w:rsid w:val="00342150"/>
    <w:rsid w:val="00342F35"/>
    <w:rsid w:val="00343775"/>
    <w:rsid w:val="0034436C"/>
    <w:rsid w:val="003444D2"/>
    <w:rsid w:val="00344975"/>
    <w:rsid w:val="00344A70"/>
    <w:rsid w:val="00345B0D"/>
    <w:rsid w:val="0034674B"/>
    <w:rsid w:val="00346F24"/>
    <w:rsid w:val="00346FA4"/>
    <w:rsid w:val="00347D6E"/>
    <w:rsid w:val="0035028C"/>
    <w:rsid w:val="00350453"/>
    <w:rsid w:val="00350813"/>
    <w:rsid w:val="00350D59"/>
    <w:rsid w:val="0035187A"/>
    <w:rsid w:val="00353206"/>
    <w:rsid w:val="00354184"/>
    <w:rsid w:val="003549AB"/>
    <w:rsid w:val="00354AC7"/>
    <w:rsid w:val="00355E4D"/>
    <w:rsid w:val="003562BD"/>
    <w:rsid w:val="00356DFD"/>
    <w:rsid w:val="0036052D"/>
    <w:rsid w:val="00360B7A"/>
    <w:rsid w:val="00361640"/>
    <w:rsid w:val="0036177A"/>
    <w:rsid w:val="00361E69"/>
    <w:rsid w:val="00362361"/>
    <w:rsid w:val="003626A9"/>
    <w:rsid w:val="003627A4"/>
    <w:rsid w:val="00362CAA"/>
    <w:rsid w:val="00362D8A"/>
    <w:rsid w:val="00363296"/>
    <w:rsid w:val="00364BB7"/>
    <w:rsid w:val="00365D71"/>
    <w:rsid w:val="00366844"/>
    <w:rsid w:val="0036692E"/>
    <w:rsid w:val="00366C77"/>
    <w:rsid w:val="00366D0C"/>
    <w:rsid w:val="00367E4E"/>
    <w:rsid w:val="00370DEF"/>
    <w:rsid w:val="0037183B"/>
    <w:rsid w:val="00372460"/>
    <w:rsid w:val="003724A6"/>
    <w:rsid w:val="00372A48"/>
    <w:rsid w:val="00372BF0"/>
    <w:rsid w:val="00372E34"/>
    <w:rsid w:val="0037309C"/>
    <w:rsid w:val="0037363A"/>
    <w:rsid w:val="003744D6"/>
    <w:rsid w:val="00374D9F"/>
    <w:rsid w:val="003751D5"/>
    <w:rsid w:val="003813D4"/>
    <w:rsid w:val="00381526"/>
    <w:rsid w:val="003821F6"/>
    <w:rsid w:val="00382C96"/>
    <w:rsid w:val="00382CC5"/>
    <w:rsid w:val="003837AF"/>
    <w:rsid w:val="00384A6E"/>
    <w:rsid w:val="003866B0"/>
    <w:rsid w:val="00386D66"/>
    <w:rsid w:val="00387321"/>
    <w:rsid w:val="0039008B"/>
    <w:rsid w:val="00390BD4"/>
    <w:rsid w:val="00390F34"/>
    <w:rsid w:val="0039128E"/>
    <w:rsid w:val="00391B78"/>
    <w:rsid w:val="00391B9B"/>
    <w:rsid w:val="003922A8"/>
    <w:rsid w:val="00392464"/>
    <w:rsid w:val="00392A02"/>
    <w:rsid w:val="00393A1C"/>
    <w:rsid w:val="00394EAE"/>
    <w:rsid w:val="00395044"/>
    <w:rsid w:val="0039568A"/>
    <w:rsid w:val="00396B69"/>
    <w:rsid w:val="003970A7"/>
    <w:rsid w:val="003A0046"/>
    <w:rsid w:val="003A2586"/>
    <w:rsid w:val="003A2C4F"/>
    <w:rsid w:val="003A2CA4"/>
    <w:rsid w:val="003A3DFB"/>
    <w:rsid w:val="003A3F43"/>
    <w:rsid w:val="003A418B"/>
    <w:rsid w:val="003A4CF8"/>
    <w:rsid w:val="003A527D"/>
    <w:rsid w:val="003A5728"/>
    <w:rsid w:val="003A6B42"/>
    <w:rsid w:val="003A7C18"/>
    <w:rsid w:val="003B00FD"/>
    <w:rsid w:val="003B03E4"/>
    <w:rsid w:val="003B04C3"/>
    <w:rsid w:val="003B0754"/>
    <w:rsid w:val="003B0769"/>
    <w:rsid w:val="003B0AAD"/>
    <w:rsid w:val="003B0B47"/>
    <w:rsid w:val="003B1222"/>
    <w:rsid w:val="003B23E5"/>
    <w:rsid w:val="003B2657"/>
    <w:rsid w:val="003B2972"/>
    <w:rsid w:val="003B2C42"/>
    <w:rsid w:val="003B2E5C"/>
    <w:rsid w:val="003B3C7F"/>
    <w:rsid w:val="003B44E3"/>
    <w:rsid w:val="003B515D"/>
    <w:rsid w:val="003B54BC"/>
    <w:rsid w:val="003B59C4"/>
    <w:rsid w:val="003B5AC1"/>
    <w:rsid w:val="003B6012"/>
    <w:rsid w:val="003B609E"/>
    <w:rsid w:val="003B60A7"/>
    <w:rsid w:val="003B655B"/>
    <w:rsid w:val="003B797C"/>
    <w:rsid w:val="003C0856"/>
    <w:rsid w:val="003C0974"/>
    <w:rsid w:val="003C1DD5"/>
    <w:rsid w:val="003C285C"/>
    <w:rsid w:val="003C2F8E"/>
    <w:rsid w:val="003C36FF"/>
    <w:rsid w:val="003C3E2A"/>
    <w:rsid w:val="003C4859"/>
    <w:rsid w:val="003C502B"/>
    <w:rsid w:val="003C51B9"/>
    <w:rsid w:val="003C6180"/>
    <w:rsid w:val="003C6A70"/>
    <w:rsid w:val="003C729B"/>
    <w:rsid w:val="003C736D"/>
    <w:rsid w:val="003D0BA7"/>
    <w:rsid w:val="003D0D1C"/>
    <w:rsid w:val="003D2F8F"/>
    <w:rsid w:val="003D3218"/>
    <w:rsid w:val="003D3E15"/>
    <w:rsid w:val="003D3F9A"/>
    <w:rsid w:val="003D5DAE"/>
    <w:rsid w:val="003D5E45"/>
    <w:rsid w:val="003D6441"/>
    <w:rsid w:val="003D64D2"/>
    <w:rsid w:val="003D6C4A"/>
    <w:rsid w:val="003D73A9"/>
    <w:rsid w:val="003D74C9"/>
    <w:rsid w:val="003E0CC5"/>
    <w:rsid w:val="003E1403"/>
    <w:rsid w:val="003E149B"/>
    <w:rsid w:val="003E2163"/>
    <w:rsid w:val="003E36C5"/>
    <w:rsid w:val="003E39C7"/>
    <w:rsid w:val="003E3BEF"/>
    <w:rsid w:val="003E4622"/>
    <w:rsid w:val="003E4EDB"/>
    <w:rsid w:val="003E63E6"/>
    <w:rsid w:val="003E6B4C"/>
    <w:rsid w:val="003E7A58"/>
    <w:rsid w:val="003E7AB4"/>
    <w:rsid w:val="003E7ADD"/>
    <w:rsid w:val="003E7F2D"/>
    <w:rsid w:val="003F0308"/>
    <w:rsid w:val="003F03D0"/>
    <w:rsid w:val="003F06B0"/>
    <w:rsid w:val="003F09FF"/>
    <w:rsid w:val="003F19D4"/>
    <w:rsid w:val="003F2050"/>
    <w:rsid w:val="003F2A8D"/>
    <w:rsid w:val="003F2BB4"/>
    <w:rsid w:val="003F35FA"/>
    <w:rsid w:val="003F377E"/>
    <w:rsid w:val="003F46D4"/>
    <w:rsid w:val="003F4744"/>
    <w:rsid w:val="003F485A"/>
    <w:rsid w:val="003F4CF2"/>
    <w:rsid w:val="003F4E26"/>
    <w:rsid w:val="003F58C3"/>
    <w:rsid w:val="003F6163"/>
    <w:rsid w:val="003F777B"/>
    <w:rsid w:val="003F7882"/>
    <w:rsid w:val="003F788A"/>
    <w:rsid w:val="003F7A83"/>
    <w:rsid w:val="0040164D"/>
    <w:rsid w:val="00401E59"/>
    <w:rsid w:val="00402D30"/>
    <w:rsid w:val="00403E1A"/>
    <w:rsid w:val="00404475"/>
    <w:rsid w:val="00406ED1"/>
    <w:rsid w:val="004072A8"/>
    <w:rsid w:val="004074E1"/>
    <w:rsid w:val="004115AD"/>
    <w:rsid w:val="00411892"/>
    <w:rsid w:val="00412122"/>
    <w:rsid w:val="00412607"/>
    <w:rsid w:val="00412FE5"/>
    <w:rsid w:val="00413087"/>
    <w:rsid w:val="00414954"/>
    <w:rsid w:val="00415E75"/>
    <w:rsid w:val="00416622"/>
    <w:rsid w:val="00420090"/>
    <w:rsid w:val="0042033B"/>
    <w:rsid w:val="00420391"/>
    <w:rsid w:val="0042071B"/>
    <w:rsid w:val="00420A01"/>
    <w:rsid w:val="0042251C"/>
    <w:rsid w:val="00422829"/>
    <w:rsid w:val="0042334A"/>
    <w:rsid w:val="00423928"/>
    <w:rsid w:val="00424DB2"/>
    <w:rsid w:val="00425583"/>
    <w:rsid w:val="0042574B"/>
    <w:rsid w:val="00425D06"/>
    <w:rsid w:val="0042614A"/>
    <w:rsid w:val="0042649D"/>
    <w:rsid w:val="0042696C"/>
    <w:rsid w:val="0042753C"/>
    <w:rsid w:val="00427892"/>
    <w:rsid w:val="00427925"/>
    <w:rsid w:val="00427CBA"/>
    <w:rsid w:val="004307C5"/>
    <w:rsid w:val="00430D5B"/>
    <w:rsid w:val="00430EC1"/>
    <w:rsid w:val="0043134E"/>
    <w:rsid w:val="00432023"/>
    <w:rsid w:val="0043303C"/>
    <w:rsid w:val="0043359F"/>
    <w:rsid w:val="00434D24"/>
    <w:rsid w:val="00434D9D"/>
    <w:rsid w:val="00435810"/>
    <w:rsid w:val="00435A5F"/>
    <w:rsid w:val="0043636D"/>
    <w:rsid w:val="00436C63"/>
    <w:rsid w:val="00437620"/>
    <w:rsid w:val="004378E1"/>
    <w:rsid w:val="00440C81"/>
    <w:rsid w:val="00441345"/>
    <w:rsid w:val="00441FC2"/>
    <w:rsid w:val="0044224F"/>
    <w:rsid w:val="0044292D"/>
    <w:rsid w:val="00442BD5"/>
    <w:rsid w:val="00443623"/>
    <w:rsid w:val="00444173"/>
    <w:rsid w:val="004452BB"/>
    <w:rsid w:val="00445CC7"/>
    <w:rsid w:val="004465C8"/>
    <w:rsid w:val="00446A35"/>
    <w:rsid w:val="00446CE4"/>
    <w:rsid w:val="00446D54"/>
    <w:rsid w:val="004477BE"/>
    <w:rsid w:val="00451065"/>
    <w:rsid w:val="0045119E"/>
    <w:rsid w:val="00451CA2"/>
    <w:rsid w:val="004520E6"/>
    <w:rsid w:val="00453604"/>
    <w:rsid w:val="00453C23"/>
    <w:rsid w:val="004548EF"/>
    <w:rsid w:val="00454FE1"/>
    <w:rsid w:val="00455D79"/>
    <w:rsid w:val="0045628E"/>
    <w:rsid w:val="00456EEC"/>
    <w:rsid w:val="00457661"/>
    <w:rsid w:val="00457693"/>
    <w:rsid w:val="00457A12"/>
    <w:rsid w:val="00460A32"/>
    <w:rsid w:val="00461CD8"/>
    <w:rsid w:val="00461CF5"/>
    <w:rsid w:val="00462763"/>
    <w:rsid w:val="00462C69"/>
    <w:rsid w:val="00462CB1"/>
    <w:rsid w:val="00463319"/>
    <w:rsid w:val="00463683"/>
    <w:rsid w:val="00463B1C"/>
    <w:rsid w:val="00463CE2"/>
    <w:rsid w:val="00464108"/>
    <w:rsid w:val="004644F9"/>
    <w:rsid w:val="0046512B"/>
    <w:rsid w:val="00465BC5"/>
    <w:rsid w:val="00466953"/>
    <w:rsid w:val="00466F2A"/>
    <w:rsid w:val="0046737D"/>
    <w:rsid w:val="00467ED9"/>
    <w:rsid w:val="004703AF"/>
    <w:rsid w:val="00470B37"/>
    <w:rsid w:val="00470CDE"/>
    <w:rsid w:val="00470E1C"/>
    <w:rsid w:val="004715FC"/>
    <w:rsid w:val="00472534"/>
    <w:rsid w:val="0047256D"/>
    <w:rsid w:val="00472743"/>
    <w:rsid w:val="00472BEA"/>
    <w:rsid w:val="00472C91"/>
    <w:rsid w:val="0047393A"/>
    <w:rsid w:val="00473C06"/>
    <w:rsid w:val="004744FA"/>
    <w:rsid w:val="00474686"/>
    <w:rsid w:val="004749E9"/>
    <w:rsid w:val="00474DAD"/>
    <w:rsid w:val="00475785"/>
    <w:rsid w:val="00475E0F"/>
    <w:rsid w:val="00475E69"/>
    <w:rsid w:val="0047654A"/>
    <w:rsid w:val="00476C07"/>
    <w:rsid w:val="00477345"/>
    <w:rsid w:val="004809BE"/>
    <w:rsid w:val="00480A0A"/>
    <w:rsid w:val="00480CF0"/>
    <w:rsid w:val="0048125A"/>
    <w:rsid w:val="0048144C"/>
    <w:rsid w:val="004819EC"/>
    <w:rsid w:val="00481FDB"/>
    <w:rsid w:val="004822CE"/>
    <w:rsid w:val="00482932"/>
    <w:rsid w:val="0048386A"/>
    <w:rsid w:val="00484218"/>
    <w:rsid w:val="004859A5"/>
    <w:rsid w:val="004859DF"/>
    <w:rsid w:val="00485D21"/>
    <w:rsid w:val="004862D3"/>
    <w:rsid w:val="00486355"/>
    <w:rsid w:val="004867E2"/>
    <w:rsid w:val="00486A7D"/>
    <w:rsid w:val="00487A33"/>
    <w:rsid w:val="00487BF5"/>
    <w:rsid w:val="00490F36"/>
    <w:rsid w:val="00491377"/>
    <w:rsid w:val="00491F70"/>
    <w:rsid w:val="0049247B"/>
    <w:rsid w:val="004924AC"/>
    <w:rsid w:val="00494B98"/>
    <w:rsid w:val="004963B8"/>
    <w:rsid w:val="00496CD3"/>
    <w:rsid w:val="00496F4D"/>
    <w:rsid w:val="00497603"/>
    <w:rsid w:val="004A1D0D"/>
    <w:rsid w:val="004A253B"/>
    <w:rsid w:val="004A29C3"/>
    <w:rsid w:val="004A2BBB"/>
    <w:rsid w:val="004A2F14"/>
    <w:rsid w:val="004A3C6D"/>
    <w:rsid w:val="004A40A5"/>
    <w:rsid w:val="004A43F3"/>
    <w:rsid w:val="004A4D41"/>
    <w:rsid w:val="004A56C0"/>
    <w:rsid w:val="004A575C"/>
    <w:rsid w:val="004A62A5"/>
    <w:rsid w:val="004A6E95"/>
    <w:rsid w:val="004A79CC"/>
    <w:rsid w:val="004B0701"/>
    <w:rsid w:val="004B0928"/>
    <w:rsid w:val="004B104B"/>
    <w:rsid w:val="004B1F84"/>
    <w:rsid w:val="004B2987"/>
    <w:rsid w:val="004B2F46"/>
    <w:rsid w:val="004B3539"/>
    <w:rsid w:val="004B4440"/>
    <w:rsid w:val="004B4D10"/>
    <w:rsid w:val="004B4F99"/>
    <w:rsid w:val="004B6382"/>
    <w:rsid w:val="004B6F11"/>
    <w:rsid w:val="004B7242"/>
    <w:rsid w:val="004C02EC"/>
    <w:rsid w:val="004C0614"/>
    <w:rsid w:val="004C0B00"/>
    <w:rsid w:val="004C120F"/>
    <w:rsid w:val="004C13B1"/>
    <w:rsid w:val="004C1D40"/>
    <w:rsid w:val="004C2904"/>
    <w:rsid w:val="004C4951"/>
    <w:rsid w:val="004C4CAD"/>
    <w:rsid w:val="004C5E9C"/>
    <w:rsid w:val="004C6985"/>
    <w:rsid w:val="004C6CE6"/>
    <w:rsid w:val="004C724D"/>
    <w:rsid w:val="004C753C"/>
    <w:rsid w:val="004D0A22"/>
    <w:rsid w:val="004D0FE7"/>
    <w:rsid w:val="004D212F"/>
    <w:rsid w:val="004D248D"/>
    <w:rsid w:val="004D2602"/>
    <w:rsid w:val="004D2685"/>
    <w:rsid w:val="004D2C42"/>
    <w:rsid w:val="004D4525"/>
    <w:rsid w:val="004D482B"/>
    <w:rsid w:val="004D5156"/>
    <w:rsid w:val="004D57AE"/>
    <w:rsid w:val="004D584F"/>
    <w:rsid w:val="004D5C4C"/>
    <w:rsid w:val="004D6453"/>
    <w:rsid w:val="004D67AF"/>
    <w:rsid w:val="004D69BB"/>
    <w:rsid w:val="004D6FB9"/>
    <w:rsid w:val="004D72E6"/>
    <w:rsid w:val="004D781D"/>
    <w:rsid w:val="004D7CBA"/>
    <w:rsid w:val="004E00CB"/>
    <w:rsid w:val="004E14A4"/>
    <w:rsid w:val="004E1F3F"/>
    <w:rsid w:val="004E21F8"/>
    <w:rsid w:val="004E2AE4"/>
    <w:rsid w:val="004E3242"/>
    <w:rsid w:val="004E3A69"/>
    <w:rsid w:val="004E4115"/>
    <w:rsid w:val="004E4471"/>
    <w:rsid w:val="004E49EA"/>
    <w:rsid w:val="004E5AF6"/>
    <w:rsid w:val="004E5C08"/>
    <w:rsid w:val="004E6087"/>
    <w:rsid w:val="004E705F"/>
    <w:rsid w:val="004E72CB"/>
    <w:rsid w:val="004E72CC"/>
    <w:rsid w:val="004E734A"/>
    <w:rsid w:val="004E7548"/>
    <w:rsid w:val="004E7590"/>
    <w:rsid w:val="004F0267"/>
    <w:rsid w:val="004F0CC7"/>
    <w:rsid w:val="004F0EFB"/>
    <w:rsid w:val="004F3775"/>
    <w:rsid w:val="004F56EF"/>
    <w:rsid w:val="004F6D63"/>
    <w:rsid w:val="004F7304"/>
    <w:rsid w:val="00501A51"/>
    <w:rsid w:val="00501B7B"/>
    <w:rsid w:val="00501C55"/>
    <w:rsid w:val="00502A2A"/>
    <w:rsid w:val="005040B7"/>
    <w:rsid w:val="00504298"/>
    <w:rsid w:val="005049DD"/>
    <w:rsid w:val="005051FD"/>
    <w:rsid w:val="005057EB"/>
    <w:rsid w:val="00505E29"/>
    <w:rsid w:val="00507402"/>
    <w:rsid w:val="00507F8F"/>
    <w:rsid w:val="0051025C"/>
    <w:rsid w:val="00510445"/>
    <w:rsid w:val="00511214"/>
    <w:rsid w:val="00512065"/>
    <w:rsid w:val="0051250F"/>
    <w:rsid w:val="0051278F"/>
    <w:rsid w:val="00512DE7"/>
    <w:rsid w:val="00512FAF"/>
    <w:rsid w:val="005130A6"/>
    <w:rsid w:val="005141F6"/>
    <w:rsid w:val="00514764"/>
    <w:rsid w:val="005149E5"/>
    <w:rsid w:val="00514CBE"/>
    <w:rsid w:val="00514F2F"/>
    <w:rsid w:val="00515C8C"/>
    <w:rsid w:val="00516298"/>
    <w:rsid w:val="0051650E"/>
    <w:rsid w:val="00516F16"/>
    <w:rsid w:val="00517383"/>
    <w:rsid w:val="005173EC"/>
    <w:rsid w:val="00517893"/>
    <w:rsid w:val="00517D3C"/>
    <w:rsid w:val="005210A2"/>
    <w:rsid w:val="0052142D"/>
    <w:rsid w:val="00522B51"/>
    <w:rsid w:val="00523499"/>
    <w:rsid w:val="00523BE9"/>
    <w:rsid w:val="005250DC"/>
    <w:rsid w:val="00525104"/>
    <w:rsid w:val="0052602A"/>
    <w:rsid w:val="00526230"/>
    <w:rsid w:val="005262C3"/>
    <w:rsid w:val="00526832"/>
    <w:rsid w:val="005269F1"/>
    <w:rsid w:val="00527034"/>
    <w:rsid w:val="00527A02"/>
    <w:rsid w:val="00527D85"/>
    <w:rsid w:val="0053053F"/>
    <w:rsid w:val="005307BB"/>
    <w:rsid w:val="00530ED3"/>
    <w:rsid w:val="005324F6"/>
    <w:rsid w:val="00532D8C"/>
    <w:rsid w:val="005332A5"/>
    <w:rsid w:val="00533CFE"/>
    <w:rsid w:val="00534C4A"/>
    <w:rsid w:val="00535E22"/>
    <w:rsid w:val="005364D9"/>
    <w:rsid w:val="005366A2"/>
    <w:rsid w:val="0053694B"/>
    <w:rsid w:val="00536EB8"/>
    <w:rsid w:val="0053703C"/>
    <w:rsid w:val="005370DC"/>
    <w:rsid w:val="005378BB"/>
    <w:rsid w:val="0053791D"/>
    <w:rsid w:val="00540534"/>
    <w:rsid w:val="00540FF4"/>
    <w:rsid w:val="00541E6E"/>
    <w:rsid w:val="00542990"/>
    <w:rsid w:val="0054443F"/>
    <w:rsid w:val="00544C04"/>
    <w:rsid w:val="0054559B"/>
    <w:rsid w:val="005458F2"/>
    <w:rsid w:val="00546C8D"/>
    <w:rsid w:val="00547427"/>
    <w:rsid w:val="0055025C"/>
    <w:rsid w:val="00550612"/>
    <w:rsid w:val="005508A4"/>
    <w:rsid w:val="0055090B"/>
    <w:rsid w:val="0055118C"/>
    <w:rsid w:val="005521F7"/>
    <w:rsid w:val="0055285B"/>
    <w:rsid w:val="00552935"/>
    <w:rsid w:val="00552F9E"/>
    <w:rsid w:val="00553268"/>
    <w:rsid w:val="0055338F"/>
    <w:rsid w:val="0055458C"/>
    <w:rsid w:val="00555BA9"/>
    <w:rsid w:val="0055643B"/>
    <w:rsid w:val="00557E9F"/>
    <w:rsid w:val="00560DA4"/>
    <w:rsid w:val="00561614"/>
    <w:rsid w:val="0056191C"/>
    <w:rsid w:val="00561E9C"/>
    <w:rsid w:val="00563284"/>
    <w:rsid w:val="00563CCC"/>
    <w:rsid w:val="00564DA4"/>
    <w:rsid w:val="00565224"/>
    <w:rsid w:val="0056522B"/>
    <w:rsid w:val="00566467"/>
    <w:rsid w:val="00566BB1"/>
    <w:rsid w:val="00566CE0"/>
    <w:rsid w:val="00567690"/>
    <w:rsid w:val="00567A33"/>
    <w:rsid w:val="005703A3"/>
    <w:rsid w:val="00570845"/>
    <w:rsid w:val="00570A1E"/>
    <w:rsid w:val="005717B1"/>
    <w:rsid w:val="005717BB"/>
    <w:rsid w:val="005719DA"/>
    <w:rsid w:val="00571DC7"/>
    <w:rsid w:val="005724F3"/>
    <w:rsid w:val="00572B5D"/>
    <w:rsid w:val="00573D95"/>
    <w:rsid w:val="005749DC"/>
    <w:rsid w:val="005755AF"/>
    <w:rsid w:val="00575B60"/>
    <w:rsid w:val="00575C2E"/>
    <w:rsid w:val="0057605A"/>
    <w:rsid w:val="00576514"/>
    <w:rsid w:val="005801CC"/>
    <w:rsid w:val="00580207"/>
    <w:rsid w:val="00580263"/>
    <w:rsid w:val="00580BAB"/>
    <w:rsid w:val="0058196D"/>
    <w:rsid w:val="00581CB6"/>
    <w:rsid w:val="005825D0"/>
    <w:rsid w:val="00583ACA"/>
    <w:rsid w:val="00583C98"/>
    <w:rsid w:val="00584AFC"/>
    <w:rsid w:val="00584C97"/>
    <w:rsid w:val="00585A1A"/>
    <w:rsid w:val="00585C90"/>
    <w:rsid w:val="00585F54"/>
    <w:rsid w:val="005864B3"/>
    <w:rsid w:val="00587227"/>
    <w:rsid w:val="00587E89"/>
    <w:rsid w:val="005901F2"/>
    <w:rsid w:val="005913C5"/>
    <w:rsid w:val="00591C59"/>
    <w:rsid w:val="00591EB8"/>
    <w:rsid w:val="005921B6"/>
    <w:rsid w:val="0059223F"/>
    <w:rsid w:val="005924D0"/>
    <w:rsid w:val="00593BB7"/>
    <w:rsid w:val="005946DF"/>
    <w:rsid w:val="0059489D"/>
    <w:rsid w:val="00595019"/>
    <w:rsid w:val="005953AE"/>
    <w:rsid w:val="005955C5"/>
    <w:rsid w:val="005955E2"/>
    <w:rsid w:val="00595811"/>
    <w:rsid w:val="00595B9E"/>
    <w:rsid w:val="00595F78"/>
    <w:rsid w:val="0059628F"/>
    <w:rsid w:val="00596777"/>
    <w:rsid w:val="005968C4"/>
    <w:rsid w:val="00597338"/>
    <w:rsid w:val="005A1A12"/>
    <w:rsid w:val="005A21C3"/>
    <w:rsid w:val="005A25E8"/>
    <w:rsid w:val="005A4485"/>
    <w:rsid w:val="005A462A"/>
    <w:rsid w:val="005A47E9"/>
    <w:rsid w:val="005A52F2"/>
    <w:rsid w:val="005A5416"/>
    <w:rsid w:val="005A58B8"/>
    <w:rsid w:val="005A58DE"/>
    <w:rsid w:val="005A623E"/>
    <w:rsid w:val="005A654E"/>
    <w:rsid w:val="005A6B6A"/>
    <w:rsid w:val="005A6D6D"/>
    <w:rsid w:val="005A6EAF"/>
    <w:rsid w:val="005B006C"/>
    <w:rsid w:val="005B2E79"/>
    <w:rsid w:val="005B2EB9"/>
    <w:rsid w:val="005B2F78"/>
    <w:rsid w:val="005B30E9"/>
    <w:rsid w:val="005B3495"/>
    <w:rsid w:val="005B3D3B"/>
    <w:rsid w:val="005B4919"/>
    <w:rsid w:val="005B579D"/>
    <w:rsid w:val="005B7582"/>
    <w:rsid w:val="005B79FC"/>
    <w:rsid w:val="005B7D85"/>
    <w:rsid w:val="005C0054"/>
    <w:rsid w:val="005C1005"/>
    <w:rsid w:val="005C11B4"/>
    <w:rsid w:val="005C1B8E"/>
    <w:rsid w:val="005C2BB6"/>
    <w:rsid w:val="005C3B1A"/>
    <w:rsid w:val="005C43A3"/>
    <w:rsid w:val="005C4D2D"/>
    <w:rsid w:val="005C4DFD"/>
    <w:rsid w:val="005C5C4A"/>
    <w:rsid w:val="005C5C96"/>
    <w:rsid w:val="005C6C7E"/>
    <w:rsid w:val="005C6FFC"/>
    <w:rsid w:val="005C7735"/>
    <w:rsid w:val="005C7864"/>
    <w:rsid w:val="005D0181"/>
    <w:rsid w:val="005D0441"/>
    <w:rsid w:val="005D0C65"/>
    <w:rsid w:val="005D1190"/>
    <w:rsid w:val="005D1962"/>
    <w:rsid w:val="005D1B05"/>
    <w:rsid w:val="005D24EC"/>
    <w:rsid w:val="005D2C6E"/>
    <w:rsid w:val="005D2E12"/>
    <w:rsid w:val="005D3B21"/>
    <w:rsid w:val="005D494E"/>
    <w:rsid w:val="005D4CF7"/>
    <w:rsid w:val="005D55E9"/>
    <w:rsid w:val="005D6E26"/>
    <w:rsid w:val="005E06D0"/>
    <w:rsid w:val="005E15CA"/>
    <w:rsid w:val="005E1695"/>
    <w:rsid w:val="005E18FB"/>
    <w:rsid w:val="005E1EDB"/>
    <w:rsid w:val="005E2CF2"/>
    <w:rsid w:val="005E2D5A"/>
    <w:rsid w:val="005E3627"/>
    <w:rsid w:val="005E3726"/>
    <w:rsid w:val="005E379F"/>
    <w:rsid w:val="005E4212"/>
    <w:rsid w:val="005E4536"/>
    <w:rsid w:val="005E467F"/>
    <w:rsid w:val="005E4E94"/>
    <w:rsid w:val="005E5468"/>
    <w:rsid w:val="005E55C2"/>
    <w:rsid w:val="005E6F21"/>
    <w:rsid w:val="005E7130"/>
    <w:rsid w:val="005E78AE"/>
    <w:rsid w:val="005F0028"/>
    <w:rsid w:val="005F0097"/>
    <w:rsid w:val="005F0181"/>
    <w:rsid w:val="005F051D"/>
    <w:rsid w:val="005F16AA"/>
    <w:rsid w:val="005F1818"/>
    <w:rsid w:val="005F1CC6"/>
    <w:rsid w:val="005F2D6B"/>
    <w:rsid w:val="005F2DD9"/>
    <w:rsid w:val="005F315B"/>
    <w:rsid w:val="005F3B00"/>
    <w:rsid w:val="005F3C7E"/>
    <w:rsid w:val="005F3F33"/>
    <w:rsid w:val="005F4148"/>
    <w:rsid w:val="005F5334"/>
    <w:rsid w:val="005F5744"/>
    <w:rsid w:val="005F6683"/>
    <w:rsid w:val="005F6A6F"/>
    <w:rsid w:val="005F7C2B"/>
    <w:rsid w:val="005F7C4B"/>
    <w:rsid w:val="0060075E"/>
    <w:rsid w:val="006010BC"/>
    <w:rsid w:val="006013F1"/>
    <w:rsid w:val="00601415"/>
    <w:rsid w:val="00601C45"/>
    <w:rsid w:val="00601DA4"/>
    <w:rsid w:val="00601F1C"/>
    <w:rsid w:val="00602566"/>
    <w:rsid w:val="00602639"/>
    <w:rsid w:val="00602753"/>
    <w:rsid w:val="00602884"/>
    <w:rsid w:val="00605812"/>
    <w:rsid w:val="006058ED"/>
    <w:rsid w:val="00605B07"/>
    <w:rsid w:val="00605DF3"/>
    <w:rsid w:val="00605E8B"/>
    <w:rsid w:val="006060E7"/>
    <w:rsid w:val="0060697D"/>
    <w:rsid w:val="006072E9"/>
    <w:rsid w:val="0061043D"/>
    <w:rsid w:val="00610555"/>
    <w:rsid w:val="006111F0"/>
    <w:rsid w:val="00611EC0"/>
    <w:rsid w:val="006122DC"/>
    <w:rsid w:val="0061248A"/>
    <w:rsid w:val="00612AAF"/>
    <w:rsid w:val="0061312A"/>
    <w:rsid w:val="00613143"/>
    <w:rsid w:val="00613533"/>
    <w:rsid w:val="00613D40"/>
    <w:rsid w:val="00614121"/>
    <w:rsid w:val="00614181"/>
    <w:rsid w:val="00614A82"/>
    <w:rsid w:val="00614B49"/>
    <w:rsid w:val="00615102"/>
    <w:rsid w:val="0061581B"/>
    <w:rsid w:val="00616125"/>
    <w:rsid w:val="006161C7"/>
    <w:rsid w:val="006163D8"/>
    <w:rsid w:val="00616D3D"/>
    <w:rsid w:val="00620F24"/>
    <w:rsid w:val="00621CB1"/>
    <w:rsid w:val="00622642"/>
    <w:rsid w:val="0062304B"/>
    <w:rsid w:val="006237E2"/>
    <w:rsid w:val="00623995"/>
    <w:rsid w:val="00623C5D"/>
    <w:rsid w:val="00624A27"/>
    <w:rsid w:val="00625801"/>
    <w:rsid w:val="006278F7"/>
    <w:rsid w:val="006300F0"/>
    <w:rsid w:val="00630391"/>
    <w:rsid w:val="0063279E"/>
    <w:rsid w:val="00633420"/>
    <w:rsid w:val="00633424"/>
    <w:rsid w:val="0063478C"/>
    <w:rsid w:val="00634E32"/>
    <w:rsid w:val="00634FA3"/>
    <w:rsid w:val="006351B0"/>
    <w:rsid w:val="006351E8"/>
    <w:rsid w:val="00635B53"/>
    <w:rsid w:val="006361A4"/>
    <w:rsid w:val="00636C93"/>
    <w:rsid w:val="00636DBA"/>
    <w:rsid w:val="00636EE9"/>
    <w:rsid w:val="00640207"/>
    <w:rsid w:val="006408F4"/>
    <w:rsid w:val="00640EF8"/>
    <w:rsid w:val="0064137C"/>
    <w:rsid w:val="00641E49"/>
    <w:rsid w:val="006431E5"/>
    <w:rsid w:val="00643356"/>
    <w:rsid w:val="00643447"/>
    <w:rsid w:val="00643535"/>
    <w:rsid w:val="0064373A"/>
    <w:rsid w:val="006444F1"/>
    <w:rsid w:val="00644D64"/>
    <w:rsid w:val="0064562F"/>
    <w:rsid w:val="006458E6"/>
    <w:rsid w:val="00645949"/>
    <w:rsid w:val="00645ED4"/>
    <w:rsid w:val="00646A3D"/>
    <w:rsid w:val="00647973"/>
    <w:rsid w:val="0065067D"/>
    <w:rsid w:val="00650725"/>
    <w:rsid w:val="00650915"/>
    <w:rsid w:val="006514AB"/>
    <w:rsid w:val="006519CA"/>
    <w:rsid w:val="006533F3"/>
    <w:rsid w:val="0065351B"/>
    <w:rsid w:val="00653785"/>
    <w:rsid w:val="00654149"/>
    <w:rsid w:val="00655054"/>
    <w:rsid w:val="00655586"/>
    <w:rsid w:val="00657C74"/>
    <w:rsid w:val="00660142"/>
    <w:rsid w:val="00662AF3"/>
    <w:rsid w:val="00662D4A"/>
    <w:rsid w:val="00662E16"/>
    <w:rsid w:val="006637C7"/>
    <w:rsid w:val="0066463D"/>
    <w:rsid w:val="006646CB"/>
    <w:rsid w:val="006655DE"/>
    <w:rsid w:val="00666241"/>
    <w:rsid w:val="006673E0"/>
    <w:rsid w:val="00667E09"/>
    <w:rsid w:val="00670376"/>
    <w:rsid w:val="006704EB"/>
    <w:rsid w:val="00670C77"/>
    <w:rsid w:val="0067213C"/>
    <w:rsid w:val="00672242"/>
    <w:rsid w:val="00672333"/>
    <w:rsid w:val="0067299F"/>
    <w:rsid w:val="006734A7"/>
    <w:rsid w:val="00674190"/>
    <w:rsid w:val="006748B5"/>
    <w:rsid w:val="00674999"/>
    <w:rsid w:val="00675304"/>
    <w:rsid w:val="00675F01"/>
    <w:rsid w:val="00676741"/>
    <w:rsid w:val="006771AD"/>
    <w:rsid w:val="006772DE"/>
    <w:rsid w:val="006776FE"/>
    <w:rsid w:val="00677E98"/>
    <w:rsid w:val="00677EBB"/>
    <w:rsid w:val="00677EF6"/>
    <w:rsid w:val="00681146"/>
    <w:rsid w:val="00682C10"/>
    <w:rsid w:val="0068387C"/>
    <w:rsid w:val="00683966"/>
    <w:rsid w:val="00683B78"/>
    <w:rsid w:val="00684324"/>
    <w:rsid w:val="00684331"/>
    <w:rsid w:val="0068448B"/>
    <w:rsid w:val="0068597F"/>
    <w:rsid w:val="00685A58"/>
    <w:rsid w:val="00685CE3"/>
    <w:rsid w:val="00685E41"/>
    <w:rsid w:val="00686517"/>
    <w:rsid w:val="00686778"/>
    <w:rsid w:val="00686FA0"/>
    <w:rsid w:val="006877D3"/>
    <w:rsid w:val="006904F7"/>
    <w:rsid w:val="00691C5B"/>
    <w:rsid w:val="00692057"/>
    <w:rsid w:val="0069342F"/>
    <w:rsid w:val="00694777"/>
    <w:rsid w:val="0069552E"/>
    <w:rsid w:val="00696295"/>
    <w:rsid w:val="00696537"/>
    <w:rsid w:val="00696AEF"/>
    <w:rsid w:val="00696E97"/>
    <w:rsid w:val="0069737A"/>
    <w:rsid w:val="006976AE"/>
    <w:rsid w:val="00697EAF"/>
    <w:rsid w:val="00697F76"/>
    <w:rsid w:val="006A24C9"/>
    <w:rsid w:val="006A26B8"/>
    <w:rsid w:val="006A2988"/>
    <w:rsid w:val="006A2BC3"/>
    <w:rsid w:val="006A3A98"/>
    <w:rsid w:val="006A3BF1"/>
    <w:rsid w:val="006A4756"/>
    <w:rsid w:val="006A48FC"/>
    <w:rsid w:val="006A4BB7"/>
    <w:rsid w:val="006A5170"/>
    <w:rsid w:val="006A5677"/>
    <w:rsid w:val="006A5E0F"/>
    <w:rsid w:val="006A67E1"/>
    <w:rsid w:val="006A7372"/>
    <w:rsid w:val="006A7406"/>
    <w:rsid w:val="006A746D"/>
    <w:rsid w:val="006A78AE"/>
    <w:rsid w:val="006A7956"/>
    <w:rsid w:val="006A7AB2"/>
    <w:rsid w:val="006B034B"/>
    <w:rsid w:val="006B0C7A"/>
    <w:rsid w:val="006B0D15"/>
    <w:rsid w:val="006B15BC"/>
    <w:rsid w:val="006B16BF"/>
    <w:rsid w:val="006B2E99"/>
    <w:rsid w:val="006B31A8"/>
    <w:rsid w:val="006B383C"/>
    <w:rsid w:val="006B3C13"/>
    <w:rsid w:val="006B4430"/>
    <w:rsid w:val="006B45DE"/>
    <w:rsid w:val="006B5384"/>
    <w:rsid w:val="006B5552"/>
    <w:rsid w:val="006B6787"/>
    <w:rsid w:val="006B6DBF"/>
    <w:rsid w:val="006B74CC"/>
    <w:rsid w:val="006C0049"/>
    <w:rsid w:val="006C02B8"/>
    <w:rsid w:val="006C1EAE"/>
    <w:rsid w:val="006C1FA2"/>
    <w:rsid w:val="006C228B"/>
    <w:rsid w:val="006C2C37"/>
    <w:rsid w:val="006C3338"/>
    <w:rsid w:val="006C3F52"/>
    <w:rsid w:val="006C509C"/>
    <w:rsid w:val="006C5359"/>
    <w:rsid w:val="006C688E"/>
    <w:rsid w:val="006C6B2F"/>
    <w:rsid w:val="006C751B"/>
    <w:rsid w:val="006C7AA0"/>
    <w:rsid w:val="006C7FE8"/>
    <w:rsid w:val="006D0012"/>
    <w:rsid w:val="006D0A6A"/>
    <w:rsid w:val="006D0BEA"/>
    <w:rsid w:val="006D0DAE"/>
    <w:rsid w:val="006D1D8A"/>
    <w:rsid w:val="006D1EEA"/>
    <w:rsid w:val="006D218D"/>
    <w:rsid w:val="006D300B"/>
    <w:rsid w:val="006D3040"/>
    <w:rsid w:val="006D306A"/>
    <w:rsid w:val="006D3614"/>
    <w:rsid w:val="006D39E1"/>
    <w:rsid w:val="006D44EF"/>
    <w:rsid w:val="006D4747"/>
    <w:rsid w:val="006D4902"/>
    <w:rsid w:val="006D4EEF"/>
    <w:rsid w:val="006D4FA4"/>
    <w:rsid w:val="006D5562"/>
    <w:rsid w:val="006D5B9D"/>
    <w:rsid w:val="006D5C90"/>
    <w:rsid w:val="006D624B"/>
    <w:rsid w:val="006D65A1"/>
    <w:rsid w:val="006D678D"/>
    <w:rsid w:val="006D6A5D"/>
    <w:rsid w:val="006D6EA0"/>
    <w:rsid w:val="006D73D5"/>
    <w:rsid w:val="006D788A"/>
    <w:rsid w:val="006D79D7"/>
    <w:rsid w:val="006D7C4B"/>
    <w:rsid w:val="006D7C75"/>
    <w:rsid w:val="006E062D"/>
    <w:rsid w:val="006E08C4"/>
    <w:rsid w:val="006E0D20"/>
    <w:rsid w:val="006E10C8"/>
    <w:rsid w:val="006E1CA6"/>
    <w:rsid w:val="006E2919"/>
    <w:rsid w:val="006E2B84"/>
    <w:rsid w:val="006E2C4B"/>
    <w:rsid w:val="006E312A"/>
    <w:rsid w:val="006E4868"/>
    <w:rsid w:val="006E4BDB"/>
    <w:rsid w:val="006E6C19"/>
    <w:rsid w:val="006E799D"/>
    <w:rsid w:val="006F0082"/>
    <w:rsid w:val="006F0150"/>
    <w:rsid w:val="006F02A9"/>
    <w:rsid w:val="006F05BD"/>
    <w:rsid w:val="006F07CC"/>
    <w:rsid w:val="006F15BF"/>
    <w:rsid w:val="006F1D7C"/>
    <w:rsid w:val="006F2792"/>
    <w:rsid w:val="006F2A16"/>
    <w:rsid w:val="006F3467"/>
    <w:rsid w:val="006F4672"/>
    <w:rsid w:val="006F5706"/>
    <w:rsid w:val="006F57E6"/>
    <w:rsid w:val="006F5933"/>
    <w:rsid w:val="006F61CF"/>
    <w:rsid w:val="006F6592"/>
    <w:rsid w:val="006F6B91"/>
    <w:rsid w:val="006F7E2D"/>
    <w:rsid w:val="00700528"/>
    <w:rsid w:val="007013E0"/>
    <w:rsid w:val="00701F30"/>
    <w:rsid w:val="00701F36"/>
    <w:rsid w:val="007023CD"/>
    <w:rsid w:val="00702AE6"/>
    <w:rsid w:val="00702DE4"/>
    <w:rsid w:val="00702E8E"/>
    <w:rsid w:val="00703C24"/>
    <w:rsid w:val="00703DC7"/>
    <w:rsid w:val="00704E29"/>
    <w:rsid w:val="007058EE"/>
    <w:rsid w:val="007060DA"/>
    <w:rsid w:val="007065E6"/>
    <w:rsid w:val="0070687A"/>
    <w:rsid w:val="00706B4A"/>
    <w:rsid w:val="00710394"/>
    <w:rsid w:val="00710E4D"/>
    <w:rsid w:val="00710E65"/>
    <w:rsid w:val="007131DD"/>
    <w:rsid w:val="00713594"/>
    <w:rsid w:val="00713662"/>
    <w:rsid w:val="00713BE7"/>
    <w:rsid w:val="00713E66"/>
    <w:rsid w:val="0071481F"/>
    <w:rsid w:val="007149BD"/>
    <w:rsid w:val="00714C63"/>
    <w:rsid w:val="00714C81"/>
    <w:rsid w:val="00714D6C"/>
    <w:rsid w:val="00714DBD"/>
    <w:rsid w:val="0071509B"/>
    <w:rsid w:val="00715996"/>
    <w:rsid w:val="00715CA7"/>
    <w:rsid w:val="00716A19"/>
    <w:rsid w:val="007171C6"/>
    <w:rsid w:val="00717492"/>
    <w:rsid w:val="007175EB"/>
    <w:rsid w:val="0072016D"/>
    <w:rsid w:val="007203D1"/>
    <w:rsid w:val="007205DF"/>
    <w:rsid w:val="00720B8D"/>
    <w:rsid w:val="00720C7C"/>
    <w:rsid w:val="007211F5"/>
    <w:rsid w:val="007220D9"/>
    <w:rsid w:val="00722DF9"/>
    <w:rsid w:val="007234E7"/>
    <w:rsid w:val="007237A9"/>
    <w:rsid w:val="00723932"/>
    <w:rsid w:val="007245CE"/>
    <w:rsid w:val="00724883"/>
    <w:rsid w:val="00725D11"/>
    <w:rsid w:val="007260AE"/>
    <w:rsid w:val="007266CB"/>
    <w:rsid w:val="007274A9"/>
    <w:rsid w:val="007301C9"/>
    <w:rsid w:val="00730545"/>
    <w:rsid w:val="00730C7B"/>
    <w:rsid w:val="00732EDC"/>
    <w:rsid w:val="00733070"/>
    <w:rsid w:val="0073374D"/>
    <w:rsid w:val="00733CF1"/>
    <w:rsid w:val="007342BE"/>
    <w:rsid w:val="00735C0D"/>
    <w:rsid w:val="00737491"/>
    <w:rsid w:val="00737AEE"/>
    <w:rsid w:val="00737B23"/>
    <w:rsid w:val="007405AB"/>
    <w:rsid w:val="00741054"/>
    <w:rsid w:val="0074117E"/>
    <w:rsid w:val="007411EF"/>
    <w:rsid w:val="0074171E"/>
    <w:rsid w:val="00741959"/>
    <w:rsid w:val="00741C5B"/>
    <w:rsid w:val="007427F3"/>
    <w:rsid w:val="00742BF2"/>
    <w:rsid w:val="00742C3D"/>
    <w:rsid w:val="00742EAD"/>
    <w:rsid w:val="0074357B"/>
    <w:rsid w:val="00743D9C"/>
    <w:rsid w:val="00744949"/>
    <w:rsid w:val="00744FBE"/>
    <w:rsid w:val="0074538E"/>
    <w:rsid w:val="007457F2"/>
    <w:rsid w:val="00745ABC"/>
    <w:rsid w:val="00745B16"/>
    <w:rsid w:val="00746466"/>
    <w:rsid w:val="00746AF2"/>
    <w:rsid w:val="00746E5F"/>
    <w:rsid w:val="0074754E"/>
    <w:rsid w:val="007502D6"/>
    <w:rsid w:val="0075074B"/>
    <w:rsid w:val="00750D3B"/>
    <w:rsid w:val="007512B4"/>
    <w:rsid w:val="007524C0"/>
    <w:rsid w:val="00752F84"/>
    <w:rsid w:val="00753A04"/>
    <w:rsid w:val="00753B3C"/>
    <w:rsid w:val="00754383"/>
    <w:rsid w:val="0075557E"/>
    <w:rsid w:val="00755971"/>
    <w:rsid w:val="00755FE9"/>
    <w:rsid w:val="00756090"/>
    <w:rsid w:val="00757C05"/>
    <w:rsid w:val="007601C2"/>
    <w:rsid w:val="00761802"/>
    <w:rsid w:val="00761F3F"/>
    <w:rsid w:val="007623ED"/>
    <w:rsid w:val="007627E0"/>
    <w:rsid w:val="00762D5B"/>
    <w:rsid w:val="007630B3"/>
    <w:rsid w:val="0076332F"/>
    <w:rsid w:val="0076349B"/>
    <w:rsid w:val="00763CD7"/>
    <w:rsid w:val="0076431C"/>
    <w:rsid w:val="00764AC0"/>
    <w:rsid w:val="00764D6C"/>
    <w:rsid w:val="0076511E"/>
    <w:rsid w:val="00765536"/>
    <w:rsid w:val="007655EC"/>
    <w:rsid w:val="0076596A"/>
    <w:rsid w:val="00765E19"/>
    <w:rsid w:val="007660C1"/>
    <w:rsid w:val="0076619C"/>
    <w:rsid w:val="007661FF"/>
    <w:rsid w:val="007662C0"/>
    <w:rsid w:val="007668FB"/>
    <w:rsid w:val="00767267"/>
    <w:rsid w:val="00767868"/>
    <w:rsid w:val="00767C3E"/>
    <w:rsid w:val="0077033C"/>
    <w:rsid w:val="007712AD"/>
    <w:rsid w:val="00771401"/>
    <w:rsid w:val="0077174E"/>
    <w:rsid w:val="007717A5"/>
    <w:rsid w:val="00771FCC"/>
    <w:rsid w:val="0077228B"/>
    <w:rsid w:val="0077269E"/>
    <w:rsid w:val="007728EB"/>
    <w:rsid w:val="00774B99"/>
    <w:rsid w:val="00774D10"/>
    <w:rsid w:val="00775BF0"/>
    <w:rsid w:val="00776618"/>
    <w:rsid w:val="00776ADA"/>
    <w:rsid w:val="00777701"/>
    <w:rsid w:val="007777EE"/>
    <w:rsid w:val="00777D66"/>
    <w:rsid w:val="00777DB4"/>
    <w:rsid w:val="007803B6"/>
    <w:rsid w:val="00780E96"/>
    <w:rsid w:val="00781018"/>
    <w:rsid w:val="00782AF7"/>
    <w:rsid w:val="00783285"/>
    <w:rsid w:val="00783394"/>
    <w:rsid w:val="00783A51"/>
    <w:rsid w:val="00783F83"/>
    <w:rsid w:val="00784B22"/>
    <w:rsid w:val="00784EAE"/>
    <w:rsid w:val="007851E8"/>
    <w:rsid w:val="00785236"/>
    <w:rsid w:val="00785C6E"/>
    <w:rsid w:val="00785FF2"/>
    <w:rsid w:val="00786892"/>
    <w:rsid w:val="007869A5"/>
    <w:rsid w:val="00790C75"/>
    <w:rsid w:val="00790CE0"/>
    <w:rsid w:val="00791154"/>
    <w:rsid w:val="00791B88"/>
    <w:rsid w:val="00791CA7"/>
    <w:rsid w:val="00791ECC"/>
    <w:rsid w:val="0079203B"/>
    <w:rsid w:val="0079223D"/>
    <w:rsid w:val="00792521"/>
    <w:rsid w:val="00792914"/>
    <w:rsid w:val="007929E6"/>
    <w:rsid w:val="00792A2F"/>
    <w:rsid w:val="0079346C"/>
    <w:rsid w:val="007934E1"/>
    <w:rsid w:val="00794CCB"/>
    <w:rsid w:val="00795576"/>
    <w:rsid w:val="00795937"/>
    <w:rsid w:val="00795DF1"/>
    <w:rsid w:val="00797801"/>
    <w:rsid w:val="007A04B8"/>
    <w:rsid w:val="007A1174"/>
    <w:rsid w:val="007A1201"/>
    <w:rsid w:val="007A1647"/>
    <w:rsid w:val="007A1A79"/>
    <w:rsid w:val="007A2143"/>
    <w:rsid w:val="007A287F"/>
    <w:rsid w:val="007A3124"/>
    <w:rsid w:val="007A327D"/>
    <w:rsid w:val="007A3CCE"/>
    <w:rsid w:val="007A41A7"/>
    <w:rsid w:val="007A4888"/>
    <w:rsid w:val="007A52F9"/>
    <w:rsid w:val="007A5BD7"/>
    <w:rsid w:val="007A63BD"/>
    <w:rsid w:val="007A64FB"/>
    <w:rsid w:val="007A673E"/>
    <w:rsid w:val="007A6B19"/>
    <w:rsid w:val="007A6DC2"/>
    <w:rsid w:val="007A72AD"/>
    <w:rsid w:val="007A7A34"/>
    <w:rsid w:val="007A7C87"/>
    <w:rsid w:val="007A7D4C"/>
    <w:rsid w:val="007B0732"/>
    <w:rsid w:val="007B0E34"/>
    <w:rsid w:val="007B2BD2"/>
    <w:rsid w:val="007B31A4"/>
    <w:rsid w:val="007B3382"/>
    <w:rsid w:val="007B4508"/>
    <w:rsid w:val="007B4FA2"/>
    <w:rsid w:val="007B521B"/>
    <w:rsid w:val="007B57A1"/>
    <w:rsid w:val="007B5EF6"/>
    <w:rsid w:val="007B6BF9"/>
    <w:rsid w:val="007B78B9"/>
    <w:rsid w:val="007C0A8D"/>
    <w:rsid w:val="007C0B33"/>
    <w:rsid w:val="007C0C2F"/>
    <w:rsid w:val="007C2345"/>
    <w:rsid w:val="007C2729"/>
    <w:rsid w:val="007C49F1"/>
    <w:rsid w:val="007C4CFD"/>
    <w:rsid w:val="007C5DFA"/>
    <w:rsid w:val="007C6DD5"/>
    <w:rsid w:val="007C7016"/>
    <w:rsid w:val="007C787B"/>
    <w:rsid w:val="007D0117"/>
    <w:rsid w:val="007D03B6"/>
    <w:rsid w:val="007D152B"/>
    <w:rsid w:val="007D15E7"/>
    <w:rsid w:val="007D2992"/>
    <w:rsid w:val="007D2BB3"/>
    <w:rsid w:val="007D2F6A"/>
    <w:rsid w:val="007D3156"/>
    <w:rsid w:val="007D31FA"/>
    <w:rsid w:val="007D342B"/>
    <w:rsid w:val="007D36B9"/>
    <w:rsid w:val="007D4032"/>
    <w:rsid w:val="007D4373"/>
    <w:rsid w:val="007D49F1"/>
    <w:rsid w:val="007D642B"/>
    <w:rsid w:val="007D665C"/>
    <w:rsid w:val="007D669C"/>
    <w:rsid w:val="007D7668"/>
    <w:rsid w:val="007D7E91"/>
    <w:rsid w:val="007E02E9"/>
    <w:rsid w:val="007E0B5D"/>
    <w:rsid w:val="007E1027"/>
    <w:rsid w:val="007E1388"/>
    <w:rsid w:val="007E2B6C"/>
    <w:rsid w:val="007E2BD5"/>
    <w:rsid w:val="007E2D15"/>
    <w:rsid w:val="007E356A"/>
    <w:rsid w:val="007E4154"/>
    <w:rsid w:val="007E47EF"/>
    <w:rsid w:val="007E588A"/>
    <w:rsid w:val="007E62E0"/>
    <w:rsid w:val="007E69FC"/>
    <w:rsid w:val="007E71B4"/>
    <w:rsid w:val="007E71E8"/>
    <w:rsid w:val="007E74DC"/>
    <w:rsid w:val="007E79CE"/>
    <w:rsid w:val="007E7FC8"/>
    <w:rsid w:val="007F00FB"/>
    <w:rsid w:val="007F0B1F"/>
    <w:rsid w:val="007F1243"/>
    <w:rsid w:val="007F136B"/>
    <w:rsid w:val="007F1641"/>
    <w:rsid w:val="007F178F"/>
    <w:rsid w:val="007F1A76"/>
    <w:rsid w:val="007F34AB"/>
    <w:rsid w:val="007F39CA"/>
    <w:rsid w:val="007F3ACE"/>
    <w:rsid w:val="007F43E9"/>
    <w:rsid w:val="007F527C"/>
    <w:rsid w:val="007F59A2"/>
    <w:rsid w:val="007F5F99"/>
    <w:rsid w:val="007F60DE"/>
    <w:rsid w:val="007F637C"/>
    <w:rsid w:val="007F65AE"/>
    <w:rsid w:val="007F6814"/>
    <w:rsid w:val="007F70DE"/>
    <w:rsid w:val="007F71FF"/>
    <w:rsid w:val="00800A30"/>
    <w:rsid w:val="00800C97"/>
    <w:rsid w:val="00801FB8"/>
    <w:rsid w:val="008034AA"/>
    <w:rsid w:val="008037F6"/>
    <w:rsid w:val="00803CBB"/>
    <w:rsid w:val="00803DA5"/>
    <w:rsid w:val="00804630"/>
    <w:rsid w:val="00804645"/>
    <w:rsid w:val="00804BC5"/>
    <w:rsid w:val="00805802"/>
    <w:rsid w:val="008059EE"/>
    <w:rsid w:val="00805E19"/>
    <w:rsid w:val="008066EC"/>
    <w:rsid w:val="008066FB"/>
    <w:rsid w:val="0080700E"/>
    <w:rsid w:val="00807E7B"/>
    <w:rsid w:val="00807F06"/>
    <w:rsid w:val="008108CB"/>
    <w:rsid w:val="00811425"/>
    <w:rsid w:val="008117D4"/>
    <w:rsid w:val="00811E9A"/>
    <w:rsid w:val="0081277E"/>
    <w:rsid w:val="00812DD2"/>
    <w:rsid w:val="0081301D"/>
    <w:rsid w:val="008132A5"/>
    <w:rsid w:val="008133E9"/>
    <w:rsid w:val="008138B5"/>
    <w:rsid w:val="008142CF"/>
    <w:rsid w:val="0081446B"/>
    <w:rsid w:val="00814F3A"/>
    <w:rsid w:val="008171AF"/>
    <w:rsid w:val="008176C3"/>
    <w:rsid w:val="008176EA"/>
    <w:rsid w:val="00817A04"/>
    <w:rsid w:val="00817E9E"/>
    <w:rsid w:val="008204EF"/>
    <w:rsid w:val="00820A1E"/>
    <w:rsid w:val="00820C89"/>
    <w:rsid w:val="008216A1"/>
    <w:rsid w:val="0082217D"/>
    <w:rsid w:val="008225AF"/>
    <w:rsid w:val="00823299"/>
    <w:rsid w:val="00823A9D"/>
    <w:rsid w:val="00824C50"/>
    <w:rsid w:val="00824D06"/>
    <w:rsid w:val="00824D9D"/>
    <w:rsid w:val="00825109"/>
    <w:rsid w:val="00825F02"/>
    <w:rsid w:val="0082638A"/>
    <w:rsid w:val="008264EB"/>
    <w:rsid w:val="008265CD"/>
    <w:rsid w:val="00827230"/>
    <w:rsid w:val="0082788A"/>
    <w:rsid w:val="00827F65"/>
    <w:rsid w:val="00830811"/>
    <w:rsid w:val="008309AF"/>
    <w:rsid w:val="008309ED"/>
    <w:rsid w:val="00830C05"/>
    <w:rsid w:val="00831390"/>
    <w:rsid w:val="00832045"/>
    <w:rsid w:val="00833C60"/>
    <w:rsid w:val="008342B2"/>
    <w:rsid w:val="00835456"/>
    <w:rsid w:val="00835D9F"/>
    <w:rsid w:val="008374C6"/>
    <w:rsid w:val="00837815"/>
    <w:rsid w:val="00837833"/>
    <w:rsid w:val="00837D41"/>
    <w:rsid w:val="0084061A"/>
    <w:rsid w:val="00840B1E"/>
    <w:rsid w:val="00840C6F"/>
    <w:rsid w:val="008410EF"/>
    <w:rsid w:val="00841D33"/>
    <w:rsid w:val="008422E8"/>
    <w:rsid w:val="00842A4F"/>
    <w:rsid w:val="00843028"/>
    <w:rsid w:val="008435C9"/>
    <w:rsid w:val="008435F7"/>
    <w:rsid w:val="0084368A"/>
    <w:rsid w:val="00843A5D"/>
    <w:rsid w:val="00844693"/>
    <w:rsid w:val="0084475C"/>
    <w:rsid w:val="008452AC"/>
    <w:rsid w:val="0084586D"/>
    <w:rsid w:val="008459AA"/>
    <w:rsid w:val="00847488"/>
    <w:rsid w:val="00847662"/>
    <w:rsid w:val="00847675"/>
    <w:rsid w:val="0084793A"/>
    <w:rsid w:val="00847A9B"/>
    <w:rsid w:val="00847DD4"/>
    <w:rsid w:val="00847EFE"/>
    <w:rsid w:val="00850E21"/>
    <w:rsid w:val="00851353"/>
    <w:rsid w:val="008516C0"/>
    <w:rsid w:val="0085231C"/>
    <w:rsid w:val="00852AE9"/>
    <w:rsid w:val="00853D82"/>
    <w:rsid w:val="0085440B"/>
    <w:rsid w:val="00854A50"/>
    <w:rsid w:val="008552C6"/>
    <w:rsid w:val="0085559A"/>
    <w:rsid w:val="00855EAE"/>
    <w:rsid w:val="0085662B"/>
    <w:rsid w:val="008568E7"/>
    <w:rsid w:val="00856DFA"/>
    <w:rsid w:val="008572E4"/>
    <w:rsid w:val="00857893"/>
    <w:rsid w:val="00857A32"/>
    <w:rsid w:val="00857BDF"/>
    <w:rsid w:val="0086028B"/>
    <w:rsid w:val="008606E8"/>
    <w:rsid w:val="00861063"/>
    <w:rsid w:val="0086173B"/>
    <w:rsid w:val="00861C10"/>
    <w:rsid w:val="00861DAE"/>
    <w:rsid w:val="00862B45"/>
    <w:rsid w:val="00863EB5"/>
    <w:rsid w:val="00864F56"/>
    <w:rsid w:val="008653C3"/>
    <w:rsid w:val="00865620"/>
    <w:rsid w:val="0086588C"/>
    <w:rsid w:val="00866EE9"/>
    <w:rsid w:val="00870A5E"/>
    <w:rsid w:val="00872175"/>
    <w:rsid w:val="008731FE"/>
    <w:rsid w:val="00873D10"/>
    <w:rsid w:val="00873E30"/>
    <w:rsid w:val="00874222"/>
    <w:rsid w:val="008745D9"/>
    <w:rsid w:val="00876D06"/>
    <w:rsid w:val="008775F2"/>
    <w:rsid w:val="00877C80"/>
    <w:rsid w:val="00880178"/>
    <w:rsid w:val="00880466"/>
    <w:rsid w:val="00880594"/>
    <w:rsid w:val="00880820"/>
    <w:rsid w:val="008810D4"/>
    <w:rsid w:val="00881532"/>
    <w:rsid w:val="00881B7D"/>
    <w:rsid w:val="00882192"/>
    <w:rsid w:val="00882515"/>
    <w:rsid w:val="008835EC"/>
    <w:rsid w:val="00885022"/>
    <w:rsid w:val="00885208"/>
    <w:rsid w:val="00885AEE"/>
    <w:rsid w:val="00885DB4"/>
    <w:rsid w:val="00885E8E"/>
    <w:rsid w:val="00890920"/>
    <w:rsid w:val="00890C8B"/>
    <w:rsid w:val="00890D7B"/>
    <w:rsid w:val="00890E2E"/>
    <w:rsid w:val="008912C3"/>
    <w:rsid w:val="00891863"/>
    <w:rsid w:val="00891BE4"/>
    <w:rsid w:val="00891CB2"/>
    <w:rsid w:val="00892950"/>
    <w:rsid w:val="00892F74"/>
    <w:rsid w:val="0089315C"/>
    <w:rsid w:val="00893242"/>
    <w:rsid w:val="0089331C"/>
    <w:rsid w:val="00893447"/>
    <w:rsid w:val="00893D9A"/>
    <w:rsid w:val="00894C15"/>
    <w:rsid w:val="00894EDF"/>
    <w:rsid w:val="008951DE"/>
    <w:rsid w:val="008958D6"/>
    <w:rsid w:val="00896BCD"/>
    <w:rsid w:val="00897111"/>
    <w:rsid w:val="0089739A"/>
    <w:rsid w:val="008975AD"/>
    <w:rsid w:val="00897EBD"/>
    <w:rsid w:val="00897F3D"/>
    <w:rsid w:val="008A00F0"/>
    <w:rsid w:val="008A020E"/>
    <w:rsid w:val="008A05B8"/>
    <w:rsid w:val="008A06C4"/>
    <w:rsid w:val="008A06D6"/>
    <w:rsid w:val="008A086A"/>
    <w:rsid w:val="008A0BC2"/>
    <w:rsid w:val="008A13AB"/>
    <w:rsid w:val="008A1730"/>
    <w:rsid w:val="008A190F"/>
    <w:rsid w:val="008A26E9"/>
    <w:rsid w:val="008A29A3"/>
    <w:rsid w:val="008A2C6F"/>
    <w:rsid w:val="008A2D36"/>
    <w:rsid w:val="008A3057"/>
    <w:rsid w:val="008A34CC"/>
    <w:rsid w:val="008A34DC"/>
    <w:rsid w:val="008A375C"/>
    <w:rsid w:val="008A3E3C"/>
    <w:rsid w:val="008A44F4"/>
    <w:rsid w:val="008A44FF"/>
    <w:rsid w:val="008A49F1"/>
    <w:rsid w:val="008A509C"/>
    <w:rsid w:val="008A5B18"/>
    <w:rsid w:val="008A6F0F"/>
    <w:rsid w:val="008A6FE6"/>
    <w:rsid w:val="008A7D3D"/>
    <w:rsid w:val="008A7F46"/>
    <w:rsid w:val="008B02B4"/>
    <w:rsid w:val="008B064B"/>
    <w:rsid w:val="008B07C6"/>
    <w:rsid w:val="008B1083"/>
    <w:rsid w:val="008B153E"/>
    <w:rsid w:val="008B1627"/>
    <w:rsid w:val="008B1A29"/>
    <w:rsid w:val="008B1FB3"/>
    <w:rsid w:val="008B29D9"/>
    <w:rsid w:val="008B2FB6"/>
    <w:rsid w:val="008B4C7C"/>
    <w:rsid w:val="008B536D"/>
    <w:rsid w:val="008B5A18"/>
    <w:rsid w:val="008B5FE2"/>
    <w:rsid w:val="008B6081"/>
    <w:rsid w:val="008B61AA"/>
    <w:rsid w:val="008B688D"/>
    <w:rsid w:val="008B6BBF"/>
    <w:rsid w:val="008B77B8"/>
    <w:rsid w:val="008B7D64"/>
    <w:rsid w:val="008B7ECE"/>
    <w:rsid w:val="008B7F44"/>
    <w:rsid w:val="008C0BCB"/>
    <w:rsid w:val="008C0D51"/>
    <w:rsid w:val="008C137F"/>
    <w:rsid w:val="008C19D9"/>
    <w:rsid w:val="008C1C68"/>
    <w:rsid w:val="008C2008"/>
    <w:rsid w:val="008C2413"/>
    <w:rsid w:val="008C298B"/>
    <w:rsid w:val="008C2EE7"/>
    <w:rsid w:val="008C345B"/>
    <w:rsid w:val="008C41C2"/>
    <w:rsid w:val="008C455F"/>
    <w:rsid w:val="008C5A4A"/>
    <w:rsid w:val="008C5C3F"/>
    <w:rsid w:val="008C6042"/>
    <w:rsid w:val="008C7145"/>
    <w:rsid w:val="008C7A6C"/>
    <w:rsid w:val="008D0B38"/>
    <w:rsid w:val="008D0B7C"/>
    <w:rsid w:val="008D17BA"/>
    <w:rsid w:val="008D1C6A"/>
    <w:rsid w:val="008D304D"/>
    <w:rsid w:val="008D35CA"/>
    <w:rsid w:val="008D4B6F"/>
    <w:rsid w:val="008D5138"/>
    <w:rsid w:val="008D5723"/>
    <w:rsid w:val="008D62B5"/>
    <w:rsid w:val="008D62E8"/>
    <w:rsid w:val="008D6AF8"/>
    <w:rsid w:val="008D6D51"/>
    <w:rsid w:val="008D6EB1"/>
    <w:rsid w:val="008D7374"/>
    <w:rsid w:val="008D7EAB"/>
    <w:rsid w:val="008E0DBE"/>
    <w:rsid w:val="008E0F90"/>
    <w:rsid w:val="008E135B"/>
    <w:rsid w:val="008E1649"/>
    <w:rsid w:val="008E182B"/>
    <w:rsid w:val="008E1A2D"/>
    <w:rsid w:val="008E2AFF"/>
    <w:rsid w:val="008E2BA5"/>
    <w:rsid w:val="008E3373"/>
    <w:rsid w:val="008E34E5"/>
    <w:rsid w:val="008E3992"/>
    <w:rsid w:val="008E45AF"/>
    <w:rsid w:val="008E5BB3"/>
    <w:rsid w:val="008E5CD4"/>
    <w:rsid w:val="008E5F3E"/>
    <w:rsid w:val="008E6265"/>
    <w:rsid w:val="008E6267"/>
    <w:rsid w:val="008E7B76"/>
    <w:rsid w:val="008E7F61"/>
    <w:rsid w:val="008F0798"/>
    <w:rsid w:val="008F08D7"/>
    <w:rsid w:val="008F0C06"/>
    <w:rsid w:val="008F2B47"/>
    <w:rsid w:val="008F2EA0"/>
    <w:rsid w:val="008F30CB"/>
    <w:rsid w:val="008F38FF"/>
    <w:rsid w:val="008F39AA"/>
    <w:rsid w:val="008F3A99"/>
    <w:rsid w:val="008F3EBA"/>
    <w:rsid w:val="008F3ED2"/>
    <w:rsid w:val="008F4119"/>
    <w:rsid w:val="008F4ADC"/>
    <w:rsid w:val="008F549A"/>
    <w:rsid w:val="008F54ED"/>
    <w:rsid w:val="008F5F7B"/>
    <w:rsid w:val="008F6371"/>
    <w:rsid w:val="008F6552"/>
    <w:rsid w:val="008F6C85"/>
    <w:rsid w:val="008F6C92"/>
    <w:rsid w:val="008F6FD0"/>
    <w:rsid w:val="008F734E"/>
    <w:rsid w:val="008F7722"/>
    <w:rsid w:val="008F7A7C"/>
    <w:rsid w:val="008F7C32"/>
    <w:rsid w:val="008F7F39"/>
    <w:rsid w:val="00900337"/>
    <w:rsid w:val="009009D6"/>
    <w:rsid w:val="00901615"/>
    <w:rsid w:val="009035E7"/>
    <w:rsid w:val="009038F8"/>
    <w:rsid w:val="009051BC"/>
    <w:rsid w:val="00905988"/>
    <w:rsid w:val="00905D09"/>
    <w:rsid w:val="00905EE9"/>
    <w:rsid w:val="00906510"/>
    <w:rsid w:val="00906BFE"/>
    <w:rsid w:val="00907139"/>
    <w:rsid w:val="00907488"/>
    <w:rsid w:val="00910040"/>
    <w:rsid w:val="009105CD"/>
    <w:rsid w:val="009109BE"/>
    <w:rsid w:val="00910E7D"/>
    <w:rsid w:val="00910ED3"/>
    <w:rsid w:val="009134EC"/>
    <w:rsid w:val="00913704"/>
    <w:rsid w:val="00913B3A"/>
    <w:rsid w:val="00913E45"/>
    <w:rsid w:val="00913EA8"/>
    <w:rsid w:val="00913FE4"/>
    <w:rsid w:val="009144F7"/>
    <w:rsid w:val="0091512E"/>
    <w:rsid w:val="009155BF"/>
    <w:rsid w:val="00915CA7"/>
    <w:rsid w:val="009161FF"/>
    <w:rsid w:val="009164DA"/>
    <w:rsid w:val="00916D6A"/>
    <w:rsid w:val="00916FCF"/>
    <w:rsid w:val="00917DA7"/>
    <w:rsid w:val="009200D8"/>
    <w:rsid w:val="009205CE"/>
    <w:rsid w:val="00921343"/>
    <w:rsid w:val="00922481"/>
    <w:rsid w:val="00923829"/>
    <w:rsid w:val="009238AF"/>
    <w:rsid w:val="009255F9"/>
    <w:rsid w:val="00925674"/>
    <w:rsid w:val="009257E1"/>
    <w:rsid w:val="00926368"/>
    <w:rsid w:val="009269B5"/>
    <w:rsid w:val="009276ED"/>
    <w:rsid w:val="00927C34"/>
    <w:rsid w:val="00927E16"/>
    <w:rsid w:val="009302B4"/>
    <w:rsid w:val="0093031C"/>
    <w:rsid w:val="00931038"/>
    <w:rsid w:val="00931BC4"/>
    <w:rsid w:val="00934174"/>
    <w:rsid w:val="00936307"/>
    <w:rsid w:val="0093778C"/>
    <w:rsid w:val="00940ABC"/>
    <w:rsid w:val="00940EF6"/>
    <w:rsid w:val="009413D0"/>
    <w:rsid w:val="00941426"/>
    <w:rsid w:val="0094285B"/>
    <w:rsid w:val="00942A79"/>
    <w:rsid w:val="00943074"/>
    <w:rsid w:val="00943C8C"/>
    <w:rsid w:val="00943E9E"/>
    <w:rsid w:val="00944A96"/>
    <w:rsid w:val="00944FF6"/>
    <w:rsid w:val="00945428"/>
    <w:rsid w:val="0094581F"/>
    <w:rsid w:val="00946F15"/>
    <w:rsid w:val="00947CCC"/>
    <w:rsid w:val="009506CB"/>
    <w:rsid w:val="009510D9"/>
    <w:rsid w:val="00952167"/>
    <w:rsid w:val="00953405"/>
    <w:rsid w:val="0095439D"/>
    <w:rsid w:val="00955C7A"/>
    <w:rsid w:val="00955D30"/>
    <w:rsid w:val="00955DF3"/>
    <w:rsid w:val="009574FF"/>
    <w:rsid w:val="00957F67"/>
    <w:rsid w:val="00957FDF"/>
    <w:rsid w:val="00960863"/>
    <w:rsid w:val="00960B35"/>
    <w:rsid w:val="00960BFE"/>
    <w:rsid w:val="00961902"/>
    <w:rsid w:val="009620AE"/>
    <w:rsid w:val="00962257"/>
    <w:rsid w:val="009624F0"/>
    <w:rsid w:val="00962D55"/>
    <w:rsid w:val="0096360D"/>
    <w:rsid w:val="00963E8D"/>
    <w:rsid w:val="00963F67"/>
    <w:rsid w:val="0096427B"/>
    <w:rsid w:val="0096503A"/>
    <w:rsid w:val="0096579B"/>
    <w:rsid w:val="00966933"/>
    <w:rsid w:val="00967941"/>
    <w:rsid w:val="00967D1B"/>
    <w:rsid w:val="00967F64"/>
    <w:rsid w:val="00971680"/>
    <w:rsid w:val="0097196A"/>
    <w:rsid w:val="0097248F"/>
    <w:rsid w:val="009724E3"/>
    <w:rsid w:val="00974038"/>
    <w:rsid w:val="00974127"/>
    <w:rsid w:val="00975212"/>
    <w:rsid w:val="009770D2"/>
    <w:rsid w:val="00977136"/>
    <w:rsid w:val="009778EA"/>
    <w:rsid w:val="00977EF3"/>
    <w:rsid w:val="00981051"/>
    <w:rsid w:val="00981906"/>
    <w:rsid w:val="009826A3"/>
    <w:rsid w:val="00983033"/>
    <w:rsid w:val="009832C4"/>
    <w:rsid w:val="009834B1"/>
    <w:rsid w:val="009837DB"/>
    <w:rsid w:val="00983ED8"/>
    <w:rsid w:val="009840AE"/>
    <w:rsid w:val="00984488"/>
    <w:rsid w:val="00984BFF"/>
    <w:rsid w:val="00984F36"/>
    <w:rsid w:val="00985BE6"/>
    <w:rsid w:val="00986C5C"/>
    <w:rsid w:val="00987088"/>
    <w:rsid w:val="009904A3"/>
    <w:rsid w:val="00990704"/>
    <w:rsid w:val="00990937"/>
    <w:rsid w:val="00990C93"/>
    <w:rsid w:val="00990EF8"/>
    <w:rsid w:val="00991750"/>
    <w:rsid w:val="00992414"/>
    <w:rsid w:val="00992E2B"/>
    <w:rsid w:val="00994589"/>
    <w:rsid w:val="009965CC"/>
    <w:rsid w:val="00996B99"/>
    <w:rsid w:val="0099731F"/>
    <w:rsid w:val="009A07C4"/>
    <w:rsid w:val="009A08AF"/>
    <w:rsid w:val="009A08CA"/>
    <w:rsid w:val="009A0DC4"/>
    <w:rsid w:val="009A1898"/>
    <w:rsid w:val="009A211B"/>
    <w:rsid w:val="009A2569"/>
    <w:rsid w:val="009A33A3"/>
    <w:rsid w:val="009A3684"/>
    <w:rsid w:val="009A39AB"/>
    <w:rsid w:val="009A44BC"/>
    <w:rsid w:val="009A5A94"/>
    <w:rsid w:val="009A5E50"/>
    <w:rsid w:val="009A622D"/>
    <w:rsid w:val="009A7568"/>
    <w:rsid w:val="009B02BD"/>
    <w:rsid w:val="009B04B4"/>
    <w:rsid w:val="009B055A"/>
    <w:rsid w:val="009B0EBB"/>
    <w:rsid w:val="009B0FE3"/>
    <w:rsid w:val="009B156A"/>
    <w:rsid w:val="009B2C53"/>
    <w:rsid w:val="009B3221"/>
    <w:rsid w:val="009B34F1"/>
    <w:rsid w:val="009B3678"/>
    <w:rsid w:val="009B3C70"/>
    <w:rsid w:val="009B4047"/>
    <w:rsid w:val="009B4240"/>
    <w:rsid w:val="009B5010"/>
    <w:rsid w:val="009B54FC"/>
    <w:rsid w:val="009B5671"/>
    <w:rsid w:val="009B5923"/>
    <w:rsid w:val="009B5C97"/>
    <w:rsid w:val="009B63F5"/>
    <w:rsid w:val="009B707C"/>
    <w:rsid w:val="009B73FD"/>
    <w:rsid w:val="009B7443"/>
    <w:rsid w:val="009B7570"/>
    <w:rsid w:val="009B75CF"/>
    <w:rsid w:val="009B7618"/>
    <w:rsid w:val="009B7FA7"/>
    <w:rsid w:val="009C02D2"/>
    <w:rsid w:val="009C10DF"/>
    <w:rsid w:val="009C196B"/>
    <w:rsid w:val="009C1A71"/>
    <w:rsid w:val="009C1E32"/>
    <w:rsid w:val="009C3086"/>
    <w:rsid w:val="009C3ABF"/>
    <w:rsid w:val="009C4001"/>
    <w:rsid w:val="009C5D84"/>
    <w:rsid w:val="009C5E85"/>
    <w:rsid w:val="009C62F9"/>
    <w:rsid w:val="009C78B5"/>
    <w:rsid w:val="009D05BF"/>
    <w:rsid w:val="009D0EED"/>
    <w:rsid w:val="009D11A6"/>
    <w:rsid w:val="009D1CB7"/>
    <w:rsid w:val="009D2FD4"/>
    <w:rsid w:val="009D3C09"/>
    <w:rsid w:val="009D40D0"/>
    <w:rsid w:val="009D4807"/>
    <w:rsid w:val="009D4966"/>
    <w:rsid w:val="009D4B37"/>
    <w:rsid w:val="009D58C6"/>
    <w:rsid w:val="009D594E"/>
    <w:rsid w:val="009D5DB1"/>
    <w:rsid w:val="009D743C"/>
    <w:rsid w:val="009D74AB"/>
    <w:rsid w:val="009E0BB7"/>
    <w:rsid w:val="009E104E"/>
    <w:rsid w:val="009E14B4"/>
    <w:rsid w:val="009E196E"/>
    <w:rsid w:val="009E1B9C"/>
    <w:rsid w:val="009E2196"/>
    <w:rsid w:val="009E2932"/>
    <w:rsid w:val="009E2E61"/>
    <w:rsid w:val="009E44A7"/>
    <w:rsid w:val="009E44AC"/>
    <w:rsid w:val="009E4B27"/>
    <w:rsid w:val="009E55D9"/>
    <w:rsid w:val="009E55F6"/>
    <w:rsid w:val="009E5E76"/>
    <w:rsid w:val="009E6071"/>
    <w:rsid w:val="009E66F8"/>
    <w:rsid w:val="009E6AF3"/>
    <w:rsid w:val="009E6DC5"/>
    <w:rsid w:val="009F0534"/>
    <w:rsid w:val="009F095A"/>
    <w:rsid w:val="009F0991"/>
    <w:rsid w:val="009F235F"/>
    <w:rsid w:val="009F2552"/>
    <w:rsid w:val="009F29CF"/>
    <w:rsid w:val="009F32DC"/>
    <w:rsid w:val="009F3C66"/>
    <w:rsid w:val="009F3E64"/>
    <w:rsid w:val="009F47A9"/>
    <w:rsid w:val="009F47E0"/>
    <w:rsid w:val="009F4D9A"/>
    <w:rsid w:val="009F50FB"/>
    <w:rsid w:val="009F523D"/>
    <w:rsid w:val="009F5C9B"/>
    <w:rsid w:val="009F6AD3"/>
    <w:rsid w:val="009F6FE8"/>
    <w:rsid w:val="009F7F00"/>
    <w:rsid w:val="00A00387"/>
    <w:rsid w:val="00A00EED"/>
    <w:rsid w:val="00A00FAD"/>
    <w:rsid w:val="00A0123B"/>
    <w:rsid w:val="00A020B1"/>
    <w:rsid w:val="00A02134"/>
    <w:rsid w:val="00A02F43"/>
    <w:rsid w:val="00A036E6"/>
    <w:rsid w:val="00A04B57"/>
    <w:rsid w:val="00A054C8"/>
    <w:rsid w:val="00A05775"/>
    <w:rsid w:val="00A0596F"/>
    <w:rsid w:val="00A05C35"/>
    <w:rsid w:val="00A05C88"/>
    <w:rsid w:val="00A060E2"/>
    <w:rsid w:val="00A06ABB"/>
    <w:rsid w:val="00A0716B"/>
    <w:rsid w:val="00A07547"/>
    <w:rsid w:val="00A07684"/>
    <w:rsid w:val="00A07BDB"/>
    <w:rsid w:val="00A10A0E"/>
    <w:rsid w:val="00A10A35"/>
    <w:rsid w:val="00A10AEF"/>
    <w:rsid w:val="00A11A6D"/>
    <w:rsid w:val="00A123B4"/>
    <w:rsid w:val="00A124A8"/>
    <w:rsid w:val="00A12B82"/>
    <w:rsid w:val="00A131B1"/>
    <w:rsid w:val="00A13577"/>
    <w:rsid w:val="00A139D1"/>
    <w:rsid w:val="00A13A3C"/>
    <w:rsid w:val="00A13C58"/>
    <w:rsid w:val="00A13E71"/>
    <w:rsid w:val="00A142BC"/>
    <w:rsid w:val="00A1504E"/>
    <w:rsid w:val="00A15F0A"/>
    <w:rsid w:val="00A162FD"/>
    <w:rsid w:val="00A20FF3"/>
    <w:rsid w:val="00A220E4"/>
    <w:rsid w:val="00A22251"/>
    <w:rsid w:val="00A22961"/>
    <w:rsid w:val="00A22DC1"/>
    <w:rsid w:val="00A23849"/>
    <w:rsid w:val="00A238C4"/>
    <w:rsid w:val="00A24BDF"/>
    <w:rsid w:val="00A255BE"/>
    <w:rsid w:val="00A258E2"/>
    <w:rsid w:val="00A2602A"/>
    <w:rsid w:val="00A261F4"/>
    <w:rsid w:val="00A264A4"/>
    <w:rsid w:val="00A270A1"/>
    <w:rsid w:val="00A275DE"/>
    <w:rsid w:val="00A31C7D"/>
    <w:rsid w:val="00A32201"/>
    <w:rsid w:val="00A32397"/>
    <w:rsid w:val="00A3257B"/>
    <w:rsid w:val="00A33C45"/>
    <w:rsid w:val="00A3408F"/>
    <w:rsid w:val="00A35283"/>
    <w:rsid w:val="00A3532E"/>
    <w:rsid w:val="00A3613D"/>
    <w:rsid w:val="00A36E34"/>
    <w:rsid w:val="00A37BE0"/>
    <w:rsid w:val="00A40548"/>
    <w:rsid w:val="00A4060A"/>
    <w:rsid w:val="00A40942"/>
    <w:rsid w:val="00A40B17"/>
    <w:rsid w:val="00A4177F"/>
    <w:rsid w:val="00A41A93"/>
    <w:rsid w:val="00A421A7"/>
    <w:rsid w:val="00A4292D"/>
    <w:rsid w:val="00A431A9"/>
    <w:rsid w:val="00A436A7"/>
    <w:rsid w:val="00A444D1"/>
    <w:rsid w:val="00A44957"/>
    <w:rsid w:val="00A44DD3"/>
    <w:rsid w:val="00A458A5"/>
    <w:rsid w:val="00A458F0"/>
    <w:rsid w:val="00A45CCD"/>
    <w:rsid w:val="00A46223"/>
    <w:rsid w:val="00A474A3"/>
    <w:rsid w:val="00A477B2"/>
    <w:rsid w:val="00A50D60"/>
    <w:rsid w:val="00A50E42"/>
    <w:rsid w:val="00A51519"/>
    <w:rsid w:val="00A5186F"/>
    <w:rsid w:val="00A535EF"/>
    <w:rsid w:val="00A539EE"/>
    <w:rsid w:val="00A53BBD"/>
    <w:rsid w:val="00A54073"/>
    <w:rsid w:val="00A54260"/>
    <w:rsid w:val="00A54423"/>
    <w:rsid w:val="00A548A2"/>
    <w:rsid w:val="00A54D9E"/>
    <w:rsid w:val="00A54DCA"/>
    <w:rsid w:val="00A55586"/>
    <w:rsid w:val="00A55818"/>
    <w:rsid w:val="00A559B8"/>
    <w:rsid w:val="00A559CC"/>
    <w:rsid w:val="00A56648"/>
    <w:rsid w:val="00A56BA1"/>
    <w:rsid w:val="00A57B65"/>
    <w:rsid w:val="00A60598"/>
    <w:rsid w:val="00A6080D"/>
    <w:rsid w:val="00A61061"/>
    <w:rsid w:val="00A62C01"/>
    <w:rsid w:val="00A63C7F"/>
    <w:rsid w:val="00A6474B"/>
    <w:rsid w:val="00A650A3"/>
    <w:rsid w:val="00A65A53"/>
    <w:rsid w:val="00A65E61"/>
    <w:rsid w:val="00A66929"/>
    <w:rsid w:val="00A6692E"/>
    <w:rsid w:val="00A66B73"/>
    <w:rsid w:val="00A66F52"/>
    <w:rsid w:val="00A66F54"/>
    <w:rsid w:val="00A67444"/>
    <w:rsid w:val="00A67EBB"/>
    <w:rsid w:val="00A705CE"/>
    <w:rsid w:val="00A70995"/>
    <w:rsid w:val="00A71D20"/>
    <w:rsid w:val="00A721D5"/>
    <w:rsid w:val="00A7233A"/>
    <w:rsid w:val="00A734FE"/>
    <w:rsid w:val="00A73F8C"/>
    <w:rsid w:val="00A743DC"/>
    <w:rsid w:val="00A74CA8"/>
    <w:rsid w:val="00A764EE"/>
    <w:rsid w:val="00A7663E"/>
    <w:rsid w:val="00A76895"/>
    <w:rsid w:val="00A76A8C"/>
    <w:rsid w:val="00A776BC"/>
    <w:rsid w:val="00A77B0E"/>
    <w:rsid w:val="00A77B5B"/>
    <w:rsid w:val="00A77FEA"/>
    <w:rsid w:val="00A80493"/>
    <w:rsid w:val="00A81878"/>
    <w:rsid w:val="00A81F14"/>
    <w:rsid w:val="00A827B9"/>
    <w:rsid w:val="00A8370E"/>
    <w:rsid w:val="00A83909"/>
    <w:rsid w:val="00A83C08"/>
    <w:rsid w:val="00A84213"/>
    <w:rsid w:val="00A844B4"/>
    <w:rsid w:val="00A84612"/>
    <w:rsid w:val="00A8492E"/>
    <w:rsid w:val="00A84E01"/>
    <w:rsid w:val="00A8574C"/>
    <w:rsid w:val="00A86AEF"/>
    <w:rsid w:val="00A86B37"/>
    <w:rsid w:val="00A874C4"/>
    <w:rsid w:val="00A87A21"/>
    <w:rsid w:val="00A908EE"/>
    <w:rsid w:val="00A90B0D"/>
    <w:rsid w:val="00A91510"/>
    <w:rsid w:val="00A925A7"/>
    <w:rsid w:val="00A9291A"/>
    <w:rsid w:val="00A92AA3"/>
    <w:rsid w:val="00A932C0"/>
    <w:rsid w:val="00A93C8F"/>
    <w:rsid w:val="00A93E8C"/>
    <w:rsid w:val="00A942BF"/>
    <w:rsid w:val="00A94BF6"/>
    <w:rsid w:val="00A94CA2"/>
    <w:rsid w:val="00A94D08"/>
    <w:rsid w:val="00A9543E"/>
    <w:rsid w:val="00A95BB9"/>
    <w:rsid w:val="00A968C7"/>
    <w:rsid w:val="00A96BC1"/>
    <w:rsid w:val="00A9711F"/>
    <w:rsid w:val="00A97632"/>
    <w:rsid w:val="00AA0BD3"/>
    <w:rsid w:val="00AA22FA"/>
    <w:rsid w:val="00AA288D"/>
    <w:rsid w:val="00AA2CA4"/>
    <w:rsid w:val="00AA33B9"/>
    <w:rsid w:val="00AA37FF"/>
    <w:rsid w:val="00AA3D40"/>
    <w:rsid w:val="00AA448A"/>
    <w:rsid w:val="00AA47FF"/>
    <w:rsid w:val="00AA57AC"/>
    <w:rsid w:val="00AA6F98"/>
    <w:rsid w:val="00AA7E92"/>
    <w:rsid w:val="00AA7F29"/>
    <w:rsid w:val="00AB0D64"/>
    <w:rsid w:val="00AB10FF"/>
    <w:rsid w:val="00AB1F28"/>
    <w:rsid w:val="00AB3003"/>
    <w:rsid w:val="00AB3FC7"/>
    <w:rsid w:val="00AB425A"/>
    <w:rsid w:val="00AB4A94"/>
    <w:rsid w:val="00AB4F71"/>
    <w:rsid w:val="00AB626B"/>
    <w:rsid w:val="00AB6963"/>
    <w:rsid w:val="00AB755D"/>
    <w:rsid w:val="00AC01F0"/>
    <w:rsid w:val="00AC02A4"/>
    <w:rsid w:val="00AC1913"/>
    <w:rsid w:val="00AC2DAE"/>
    <w:rsid w:val="00AC49DB"/>
    <w:rsid w:val="00AC532A"/>
    <w:rsid w:val="00AC6478"/>
    <w:rsid w:val="00AC70AF"/>
    <w:rsid w:val="00AC78FF"/>
    <w:rsid w:val="00AC7B3F"/>
    <w:rsid w:val="00AC7CE1"/>
    <w:rsid w:val="00AD08E4"/>
    <w:rsid w:val="00AD135B"/>
    <w:rsid w:val="00AD231E"/>
    <w:rsid w:val="00AD461D"/>
    <w:rsid w:val="00AD50EA"/>
    <w:rsid w:val="00AD5377"/>
    <w:rsid w:val="00AD5464"/>
    <w:rsid w:val="00AD5AD7"/>
    <w:rsid w:val="00AD5FA8"/>
    <w:rsid w:val="00AD64D3"/>
    <w:rsid w:val="00AD6D4B"/>
    <w:rsid w:val="00AE066B"/>
    <w:rsid w:val="00AE07D5"/>
    <w:rsid w:val="00AE0B4C"/>
    <w:rsid w:val="00AE0D45"/>
    <w:rsid w:val="00AE0D4E"/>
    <w:rsid w:val="00AE112B"/>
    <w:rsid w:val="00AE1A40"/>
    <w:rsid w:val="00AE2319"/>
    <w:rsid w:val="00AE2340"/>
    <w:rsid w:val="00AE2637"/>
    <w:rsid w:val="00AE2784"/>
    <w:rsid w:val="00AE2918"/>
    <w:rsid w:val="00AE2DDA"/>
    <w:rsid w:val="00AE2F8A"/>
    <w:rsid w:val="00AE3203"/>
    <w:rsid w:val="00AE385C"/>
    <w:rsid w:val="00AE3E09"/>
    <w:rsid w:val="00AE3E7C"/>
    <w:rsid w:val="00AE5197"/>
    <w:rsid w:val="00AE5BA9"/>
    <w:rsid w:val="00AE69AC"/>
    <w:rsid w:val="00AE70E3"/>
    <w:rsid w:val="00AE7424"/>
    <w:rsid w:val="00AF127F"/>
    <w:rsid w:val="00AF1799"/>
    <w:rsid w:val="00AF1AD0"/>
    <w:rsid w:val="00AF1CB0"/>
    <w:rsid w:val="00AF2997"/>
    <w:rsid w:val="00AF306D"/>
    <w:rsid w:val="00AF38C6"/>
    <w:rsid w:val="00AF3993"/>
    <w:rsid w:val="00AF3B5D"/>
    <w:rsid w:val="00AF4007"/>
    <w:rsid w:val="00AF4746"/>
    <w:rsid w:val="00AF4A98"/>
    <w:rsid w:val="00AF5671"/>
    <w:rsid w:val="00AF78EC"/>
    <w:rsid w:val="00B001E1"/>
    <w:rsid w:val="00B005F1"/>
    <w:rsid w:val="00B00B0E"/>
    <w:rsid w:val="00B010CF"/>
    <w:rsid w:val="00B01949"/>
    <w:rsid w:val="00B0275C"/>
    <w:rsid w:val="00B02A29"/>
    <w:rsid w:val="00B03886"/>
    <w:rsid w:val="00B049CE"/>
    <w:rsid w:val="00B04A5D"/>
    <w:rsid w:val="00B04DBB"/>
    <w:rsid w:val="00B056C0"/>
    <w:rsid w:val="00B05CDF"/>
    <w:rsid w:val="00B05E6E"/>
    <w:rsid w:val="00B05FC9"/>
    <w:rsid w:val="00B06138"/>
    <w:rsid w:val="00B063DE"/>
    <w:rsid w:val="00B06965"/>
    <w:rsid w:val="00B06970"/>
    <w:rsid w:val="00B06F3E"/>
    <w:rsid w:val="00B06F73"/>
    <w:rsid w:val="00B079FF"/>
    <w:rsid w:val="00B12310"/>
    <w:rsid w:val="00B12EC5"/>
    <w:rsid w:val="00B14528"/>
    <w:rsid w:val="00B158C8"/>
    <w:rsid w:val="00B15962"/>
    <w:rsid w:val="00B15F35"/>
    <w:rsid w:val="00B16069"/>
    <w:rsid w:val="00B16CF2"/>
    <w:rsid w:val="00B16FA4"/>
    <w:rsid w:val="00B17666"/>
    <w:rsid w:val="00B1776B"/>
    <w:rsid w:val="00B17EB9"/>
    <w:rsid w:val="00B20A72"/>
    <w:rsid w:val="00B214E2"/>
    <w:rsid w:val="00B215A7"/>
    <w:rsid w:val="00B2187A"/>
    <w:rsid w:val="00B219CC"/>
    <w:rsid w:val="00B22CEC"/>
    <w:rsid w:val="00B23133"/>
    <w:rsid w:val="00B235CB"/>
    <w:rsid w:val="00B23F69"/>
    <w:rsid w:val="00B24260"/>
    <w:rsid w:val="00B243BC"/>
    <w:rsid w:val="00B26719"/>
    <w:rsid w:val="00B26DC6"/>
    <w:rsid w:val="00B270E2"/>
    <w:rsid w:val="00B2737F"/>
    <w:rsid w:val="00B27C41"/>
    <w:rsid w:val="00B30C26"/>
    <w:rsid w:val="00B31AF5"/>
    <w:rsid w:val="00B31FD6"/>
    <w:rsid w:val="00B32323"/>
    <w:rsid w:val="00B3304D"/>
    <w:rsid w:val="00B33615"/>
    <w:rsid w:val="00B34008"/>
    <w:rsid w:val="00B34807"/>
    <w:rsid w:val="00B34C66"/>
    <w:rsid w:val="00B35A36"/>
    <w:rsid w:val="00B35B49"/>
    <w:rsid w:val="00B365F6"/>
    <w:rsid w:val="00B378D5"/>
    <w:rsid w:val="00B400FE"/>
    <w:rsid w:val="00B40829"/>
    <w:rsid w:val="00B41592"/>
    <w:rsid w:val="00B4171E"/>
    <w:rsid w:val="00B41781"/>
    <w:rsid w:val="00B41E28"/>
    <w:rsid w:val="00B42851"/>
    <w:rsid w:val="00B45329"/>
    <w:rsid w:val="00B457C0"/>
    <w:rsid w:val="00B4585C"/>
    <w:rsid w:val="00B45DFF"/>
    <w:rsid w:val="00B45E70"/>
    <w:rsid w:val="00B46BCD"/>
    <w:rsid w:val="00B51979"/>
    <w:rsid w:val="00B51BE0"/>
    <w:rsid w:val="00B52AC5"/>
    <w:rsid w:val="00B532A0"/>
    <w:rsid w:val="00B54434"/>
    <w:rsid w:val="00B55000"/>
    <w:rsid w:val="00B56411"/>
    <w:rsid w:val="00B56612"/>
    <w:rsid w:val="00B572A1"/>
    <w:rsid w:val="00B57661"/>
    <w:rsid w:val="00B57FBD"/>
    <w:rsid w:val="00B6036B"/>
    <w:rsid w:val="00B61464"/>
    <w:rsid w:val="00B618B6"/>
    <w:rsid w:val="00B61B25"/>
    <w:rsid w:val="00B621A9"/>
    <w:rsid w:val="00B62FF8"/>
    <w:rsid w:val="00B63371"/>
    <w:rsid w:val="00B637A1"/>
    <w:rsid w:val="00B63B4B"/>
    <w:rsid w:val="00B63B54"/>
    <w:rsid w:val="00B64518"/>
    <w:rsid w:val="00B64A7C"/>
    <w:rsid w:val="00B64B48"/>
    <w:rsid w:val="00B64ED3"/>
    <w:rsid w:val="00B6569C"/>
    <w:rsid w:val="00B65AAE"/>
    <w:rsid w:val="00B65F18"/>
    <w:rsid w:val="00B66245"/>
    <w:rsid w:val="00B66EB2"/>
    <w:rsid w:val="00B67373"/>
    <w:rsid w:val="00B67B47"/>
    <w:rsid w:val="00B67C79"/>
    <w:rsid w:val="00B67F45"/>
    <w:rsid w:val="00B7007C"/>
    <w:rsid w:val="00B70746"/>
    <w:rsid w:val="00B70AE6"/>
    <w:rsid w:val="00B712FD"/>
    <w:rsid w:val="00B71838"/>
    <w:rsid w:val="00B75442"/>
    <w:rsid w:val="00B75853"/>
    <w:rsid w:val="00B766C6"/>
    <w:rsid w:val="00B7674D"/>
    <w:rsid w:val="00B76F43"/>
    <w:rsid w:val="00B77015"/>
    <w:rsid w:val="00B77743"/>
    <w:rsid w:val="00B800D5"/>
    <w:rsid w:val="00B801A0"/>
    <w:rsid w:val="00B812A8"/>
    <w:rsid w:val="00B81A4D"/>
    <w:rsid w:val="00B81F15"/>
    <w:rsid w:val="00B8219B"/>
    <w:rsid w:val="00B8389D"/>
    <w:rsid w:val="00B838EB"/>
    <w:rsid w:val="00B83E4D"/>
    <w:rsid w:val="00B84463"/>
    <w:rsid w:val="00B84517"/>
    <w:rsid w:val="00B84B94"/>
    <w:rsid w:val="00B84DBA"/>
    <w:rsid w:val="00B84E2A"/>
    <w:rsid w:val="00B85463"/>
    <w:rsid w:val="00B86CC0"/>
    <w:rsid w:val="00B86E92"/>
    <w:rsid w:val="00B86FB9"/>
    <w:rsid w:val="00B871A5"/>
    <w:rsid w:val="00B872BD"/>
    <w:rsid w:val="00B90041"/>
    <w:rsid w:val="00B90986"/>
    <w:rsid w:val="00B90E26"/>
    <w:rsid w:val="00B913F6"/>
    <w:rsid w:val="00B914CC"/>
    <w:rsid w:val="00B9160A"/>
    <w:rsid w:val="00B9169A"/>
    <w:rsid w:val="00B91897"/>
    <w:rsid w:val="00B92132"/>
    <w:rsid w:val="00B9264C"/>
    <w:rsid w:val="00B92EB8"/>
    <w:rsid w:val="00B93419"/>
    <w:rsid w:val="00B9393C"/>
    <w:rsid w:val="00B93BAF"/>
    <w:rsid w:val="00B94179"/>
    <w:rsid w:val="00B9445F"/>
    <w:rsid w:val="00B94E2F"/>
    <w:rsid w:val="00B9558A"/>
    <w:rsid w:val="00B9570C"/>
    <w:rsid w:val="00B95810"/>
    <w:rsid w:val="00B95F07"/>
    <w:rsid w:val="00B95F30"/>
    <w:rsid w:val="00B962EC"/>
    <w:rsid w:val="00B964DD"/>
    <w:rsid w:val="00B9770B"/>
    <w:rsid w:val="00B97B76"/>
    <w:rsid w:val="00B97BFC"/>
    <w:rsid w:val="00B97E9F"/>
    <w:rsid w:val="00B97ECB"/>
    <w:rsid w:val="00BA075B"/>
    <w:rsid w:val="00BA0B9A"/>
    <w:rsid w:val="00BA1174"/>
    <w:rsid w:val="00BA1621"/>
    <w:rsid w:val="00BA181F"/>
    <w:rsid w:val="00BA189B"/>
    <w:rsid w:val="00BA2755"/>
    <w:rsid w:val="00BA361F"/>
    <w:rsid w:val="00BA3F0C"/>
    <w:rsid w:val="00BA456B"/>
    <w:rsid w:val="00BA4A55"/>
    <w:rsid w:val="00BA4D9B"/>
    <w:rsid w:val="00BA4E11"/>
    <w:rsid w:val="00BA51B2"/>
    <w:rsid w:val="00BA6C0A"/>
    <w:rsid w:val="00BA7415"/>
    <w:rsid w:val="00BA754A"/>
    <w:rsid w:val="00BA7BAE"/>
    <w:rsid w:val="00BA7E18"/>
    <w:rsid w:val="00BB01CC"/>
    <w:rsid w:val="00BB0CD7"/>
    <w:rsid w:val="00BB0D93"/>
    <w:rsid w:val="00BB13C7"/>
    <w:rsid w:val="00BB2271"/>
    <w:rsid w:val="00BB22D8"/>
    <w:rsid w:val="00BB2F12"/>
    <w:rsid w:val="00BB30B8"/>
    <w:rsid w:val="00BB3C7D"/>
    <w:rsid w:val="00BB4881"/>
    <w:rsid w:val="00BB4919"/>
    <w:rsid w:val="00BB4EFA"/>
    <w:rsid w:val="00BB514E"/>
    <w:rsid w:val="00BB5512"/>
    <w:rsid w:val="00BB5ECA"/>
    <w:rsid w:val="00BB69EC"/>
    <w:rsid w:val="00BB6E50"/>
    <w:rsid w:val="00BB6FDC"/>
    <w:rsid w:val="00BC0C1D"/>
    <w:rsid w:val="00BC1241"/>
    <w:rsid w:val="00BC1374"/>
    <w:rsid w:val="00BC14DA"/>
    <w:rsid w:val="00BC1747"/>
    <w:rsid w:val="00BC209F"/>
    <w:rsid w:val="00BC2920"/>
    <w:rsid w:val="00BC3273"/>
    <w:rsid w:val="00BC339C"/>
    <w:rsid w:val="00BC3974"/>
    <w:rsid w:val="00BC478B"/>
    <w:rsid w:val="00BC4FD0"/>
    <w:rsid w:val="00BC5AE0"/>
    <w:rsid w:val="00BC6531"/>
    <w:rsid w:val="00BC669B"/>
    <w:rsid w:val="00BC715C"/>
    <w:rsid w:val="00BC7F4F"/>
    <w:rsid w:val="00BD020C"/>
    <w:rsid w:val="00BD0713"/>
    <w:rsid w:val="00BD07EC"/>
    <w:rsid w:val="00BD172F"/>
    <w:rsid w:val="00BD21CA"/>
    <w:rsid w:val="00BD30B6"/>
    <w:rsid w:val="00BD3746"/>
    <w:rsid w:val="00BD3C3A"/>
    <w:rsid w:val="00BD4FEC"/>
    <w:rsid w:val="00BD5456"/>
    <w:rsid w:val="00BD56B2"/>
    <w:rsid w:val="00BD5B35"/>
    <w:rsid w:val="00BD6486"/>
    <w:rsid w:val="00BD7618"/>
    <w:rsid w:val="00BD7A4C"/>
    <w:rsid w:val="00BD7AB1"/>
    <w:rsid w:val="00BD7AF2"/>
    <w:rsid w:val="00BD7EE7"/>
    <w:rsid w:val="00BE0876"/>
    <w:rsid w:val="00BE118A"/>
    <w:rsid w:val="00BE151A"/>
    <w:rsid w:val="00BE1658"/>
    <w:rsid w:val="00BE3771"/>
    <w:rsid w:val="00BE44A9"/>
    <w:rsid w:val="00BE4AA2"/>
    <w:rsid w:val="00BE5FCF"/>
    <w:rsid w:val="00BE62DE"/>
    <w:rsid w:val="00BE6388"/>
    <w:rsid w:val="00BE63C7"/>
    <w:rsid w:val="00BE6DAC"/>
    <w:rsid w:val="00BE6F03"/>
    <w:rsid w:val="00BE71B4"/>
    <w:rsid w:val="00BE71E3"/>
    <w:rsid w:val="00BE742A"/>
    <w:rsid w:val="00BF0E4D"/>
    <w:rsid w:val="00BF0F88"/>
    <w:rsid w:val="00BF209C"/>
    <w:rsid w:val="00BF3CB8"/>
    <w:rsid w:val="00BF3D48"/>
    <w:rsid w:val="00BF4706"/>
    <w:rsid w:val="00BF47F0"/>
    <w:rsid w:val="00BF4A4E"/>
    <w:rsid w:val="00BF4E2A"/>
    <w:rsid w:val="00BF51A1"/>
    <w:rsid w:val="00BF58D5"/>
    <w:rsid w:val="00BF5D20"/>
    <w:rsid w:val="00BF6191"/>
    <w:rsid w:val="00BF682D"/>
    <w:rsid w:val="00BF7113"/>
    <w:rsid w:val="00BF746B"/>
    <w:rsid w:val="00BF7B87"/>
    <w:rsid w:val="00BF7D36"/>
    <w:rsid w:val="00C01B17"/>
    <w:rsid w:val="00C02568"/>
    <w:rsid w:val="00C026B8"/>
    <w:rsid w:val="00C02DC8"/>
    <w:rsid w:val="00C03559"/>
    <w:rsid w:val="00C0506F"/>
    <w:rsid w:val="00C052A6"/>
    <w:rsid w:val="00C05302"/>
    <w:rsid w:val="00C0550A"/>
    <w:rsid w:val="00C069D4"/>
    <w:rsid w:val="00C06F4A"/>
    <w:rsid w:val="00C072AB"/>
    <w:rsid w:val="00C07668"/>
    <w:rsid w:val="00C076CA"/>
    <w:rsid w:val="00C07B75"/>
    <w:rsid w:val="00C100FB"/>
    <w:rsid w:val="00C1199D"/>
    <w:rsid w:val="00C11F5A"/>
    <w:rsid w:val="00C12664"/>
    <w:rsid w:val="00C127DA"/>
    <w:rsid w:val="00C12862"/>
    <w:rsid w:val="00C12CE5"/>
    <w:rsid w:val="00C14752"/>
    <w:rsid w:val="00C156EA"/>
    <w:rsid w:val="00C1610A"/>
    <w:rsid w:val="00C172DC"/>
    <w:rsid w:val="00C17978"/>
    <w:rsid w:val="00C204DC"/>
    <w:rsid w:val="00C21485"/>
    <w:rsid w:val="00C221B9"/>
    <w:rsid w:val="00C222A1"/>
    <w:rsid w:val="00C2233F"/>
    <w:rsid w:val="00C225D2"/>
    <w:rsid w:val="00C22709"/>
    <w:rsid w:val="00C233FF"/>
    <w:rsid w:val="00C23694"/>
    <w:rsid w:val="00C23976"/>
    <w:rsid w:val="00C23C1D"/>
    <w:rsid w:val="00C24060"/>
    <w:rsid w:val="00C24897"/>
    <w:rsid w:val="00C24933"/>
    <w:rsid w:val="00C25432"/>
    <w:rsid w:val="00C260E5"/>
    <w:rsid w:val="00C267C0"/>
    <w:rsid w:val="00C30340"/>
    <w:rsid w:val="00C313DD"/>
    <w:rsid w:val="00C31AF4"/>
    <w:rsid w:val="00C32C5F"/>
    <w:rsid w:val="00C33A00"/>
    <w:rsid w:val="00C344C9"/>
    <w:rsid w:val="00C34613"/>
    <w:rsid w:val="00C34928"/>
    <w:rsid w:val="00C35BB3"/>
    <w:rsid w:val="00C35BE7"/>
    <w:rsid w:val="00C35D19"/>
    <w:rsid w:val="00C365BC"/>
    <w:rsid w:val="00C36771"/>
    <w:rsid w:val="00C36DD1"/>
    <w:rsid w:val="00C37227"/>
    <w:rsid w:val="00C374DB"/>
    <w:rsid w:val="00C37DE8"/>
    <w:rsid w:val="00C40520"/>
    <w:rsid w:val="00C40A4A"/>
    <w:rsid w:val="00C40BE7"/>
    <w:rsid w:val="00C411DE"/>
    <w:rsid w:val="00C4238E"/>
    <w:rsid w:val="00C43CD8"/>
    <w:rsid w:val="00C440BC"/>
    <w:rsid w:val="00C44238"/>
    <w:rsid w:val="00C44417"/>
    <w:rsid w:val="00C44EE6"/>
    <w:rsid w:val="00C47D6C"/>
    <w:rsid w:val="00C50AC0"/>
    <w:rsid w:val="00C50B0E"/>
    <w:rsid w:val="00C50F92"/>
    <w:rsid w:val="00C5131B"/>
    <w:rsid w:val="00C51E67"/>
    <w:rsid w:val="00C52368"/>
    <w:rsid w:val="00C52786"/>
    <w:rsid w:val="00C53A92"/>
    <w:rsid w:val="00C53E01"/>
    <w:rsid w:val="00C53F26"/>
    <w:rsid w:val="00C548D0"/>
    <w:rsid w:val="00C54E42"/>
    <w:rsid w:val="00C550B7"/>
    <w:rsid w:val="00C5550D"/>
    <w:rsid w:val="00C55B70"/>
    <w:rsid w:val="00C55BBF"/>
    <w:rsid w:val="00C564AC"/>
    <w:rsid w:val="00C569E2"/>
    <w:rsid w:val="00C56D96"/>
    <w:rsid w:val="00C56DF9"/>
    <w:rsid w:val="00C56EAB"/>
    <w:rsid w:val="00C60857"/>
    <w:rsid w:val="00C60D93"/>
    <w:rsid w:val="00C61149"/>
    <w:rsid w:val="00C616CB"/>
    <w:rsid w:val="00C62037"/>
    <w:rsid w:val="00C627B1"/>
    <w:rsid w:val="00C62E46"/>
    <w:rsid w:val="00C635A8"/>
    <w:rsid w:val="00C6389D"/>
    <w:rsid w:val="00C63BD1"/>
    <w:rsid w:val="00C64174"/>
    <w:rsid w:val="00C64F77"/>
    <w:rsid w:val="00C65670"/>
    <w:rsid w:val="00C6642D"/>
    <w:rsid w:val="00C6692D"/>
    <w:rsid w:val="00C674D4"/>
    <w:rsid w:val="00C67EC2"/>
    <w:rsid w:val="00C70845"/>
    <w:rsid w:val="00C70E55"/>
    <w:rsid w:val="00C71194"/>
    <w:rsid w:val="00C7157E"/>
    <w:rsid w:val="00C7191E"/>
    <w:rsid w:val="00C71B13"/>
    <w:rsid w:val="00C71C59"/>
    <w:rsid w:val="00C71DCD"/>
    <w:rsid w:val="00C727A8"/>
    <w:rsid w:val="00C72869"/>
    <w:rsid w:val="00C728B2"/>
    <w:rsid w:val="00C72A8D"/>
    <w:rsid w:val="00C733C8"/>
    <w:rsid w:val="00C74CDD"/>
    <w:rsid w:val="00C74EC0"/>
    <w:rsid w:val="00C76104"/>
    <w:rsid w:val="00C7638A"/>
    <w:rsid w:val="00C7683D"/>
    <w:rsid w:val="00C76A58"/>
    <w:rsid w:val="00C76E7E"/>
    <w:rsid w:val="00C775AB"/>
    <w:rsid w:val="00C80CC5"/>
    <w:rsid w:val="00C81211"/>
    <w:rsid w:val="00C812B0"/>
    <w:rsid w:val="00C8138F"/>
    <w:rsid w:val="00C82065"/>
    <w:rsid w:val="00C82112"/>
    <w:rsid w:val="00C827A6"/>
    <w:rsid w:val="00C83A7C"/>
    <w:rsid w:val="00C83C2B"/>
    <w:rsid w:val="00C8560D"/>
    <w:rsid w:val="00C875B0"/>
    <w:rsid w:val="00C87E83"/>
    <w:rsid w:val="00C87F79"/>
    <w:rsid w:val="00C90F43"/>
    <w:rsid w:val="00C91218"/>
    <w:rsid w:val="00C9194B"/>
    <w:rsid w:val="00C91AB0"/>
    <w:rsid w:val="00C92003"/>
    <w:rsid w:val="00C92234"/>
    <w:rsid w:val="00C925B7"/>
    <w:rsid w:val="00C93614"/>
    <w:rsid w:val="00C93A12"/>
    <w:rsid w:val="00C94E1A"/>
    <w:rsid w:val="00C9577F"/>
    <w:rsid w:val="00C958D4"/>
    <w:rsid w:val="00C95CBF"/>
    <w:rsid w:val="00C96498"/>
    <w:rsid w:val="00C96837"/>
    <w:rsid w:val="00C96A5A"/>
    <w:rsid w:val="00C96B5F"/>
    <w:rsid w:val="00C96C8F"/>
    <w:rsid w:val="00C96D9A"/>
    <w:rsid w:val="00C97501"/>
    <w:rsid w:val="00C976DA"/>
    <w:rsid w:val="00CA0259"/>
    <w:rsid w:val="00CA027C"/>
    <w:rsid w:val="00CA0EDB"/>
    <w:rsid w:val="00CA17FD"/>
    <w:rsid w:val="00CA2086"/>
    <w:rsid w:val="00CA2A25"/>
    <w:rsid w:val="00CA2C99"/>
    <w:rsid w:val="00CA2D15"/>
    <w:rsid w:val="00CA30DC"/>
    <w:rsid w:val="00CA3500"/>
    <w:rsid w:val="00CA44D7"/>
    <w:rsid w:val="00CA47CB"/>
    <w:rsid w:val="00CA4C2B"/>
    <w:rsid w:val="00CA52CF"/>
    <w:rsid w:val="00CA5B2A"/>
    <w:rsid w:val="00CA6263"/>
    <w:rsid w:val="00CA6426"/>
    <w:rsid w:val="00CA6BB7"/>
    <w:rsid w:val="00CA74B7"/>
    <w:rsid w:val="00CA780C"/>
    <w:rsid w:val="00CB078E"/>
    <w:rsid w:val="00CB257F"/>
    <w:rsid w:val="00CB3B18"/>
    <w:rsid w:val="00CB462C"/>
    <w:rsid w:val="00CB47A8"/>
    <w:rsid w:val="00CB4D23"/>
    <w:rsid w:val="00CB5137"/>
    <w:rsid w:val="00CB59BD"/>
    <w:rsid w:val="00CB5B1A"/>
    <w:rsid w:val="00CB690E"/>
    <w:rsid w:val="00CB7689"/>
    <w:rsid w:val="00CB77CF"/>
    <w:rsid w:val="00CC045D"/>
    <w:rsid w:val="00CC12BC"/>
    <w:rsid w:val="00CC1516"/>
    <w:rsid w:val="00CC1C86"/>
    <w:rsid w:val="00CC260D"/>
    <w:rsid w:val="00CC2A09"/>
    <w:rsid w:val="00CC3010"/>
    <w:rsid w:val="00CC33E0"/>
    <w:rsid w:val="00CC3504"/>
    <w:rsid w:val="00CC3ADA"/>
    <w:rsid w:val="00CC4E66"/>
    <w:rsid w:val="00CC4EA3"/>
    <w:rsid w:val="00CC532E"/>
    <w:rsid w:val="00CC5791"/>
    <w:rsid w:val="00CC5792"/>
    <w:rsid w:val="00CC6BC9"/>
    <w:rsid w:val="00CD049D"/>
    <w:rsid w:val="00CD0E03"/>
    <w:rsid w:val="00CD1177"/>
    <w:rsid w:val="00CD1B21"/>
    <w:rsid w:val="00CD2948"/>
    <w:rsid w:val="00CD2964"/>
    <w:rsid w:val="00CD2BB5"/>
    <w:rsid w:val="00CD40A2"/>
    <w:rsid w:val="00CD412F"/>
    <w:rsid w:val="00CD4146"/>
    <w:rsid w:val="00CD5F84"/>
    <w:rsid w:val="00CD65BA"/>
    <w:rsid w:val="00CD6F63"/>
    <w:rsid w:val="00CD75F2"/>
    <w:rsid w:val="00CD75FB"/>
    <w:rsid w:val="00CE07D1"/>
    <w:rsid w:val="00CE0A87"/>
    <w:rsid w:val="00CE0E68"/>
    <w:rsid w:val="00CE0F46"/>
    <w:rsid w:val="00CE1022"/>
    <w:rsid w:val="00CE1453"/>
    <w:rsid w:val="00CE22F2"/>
    <w:rsid w:val="00CE284B"/>
    <w:rsid w:val="00CE2C06"/>
    <w:rsid w:val="00CE4491"/>
    <w:rsid w:val="00CE460F"/>
    <w:rsid w:val="00CE4B31"/>
    <w:rsid w:val="00CE4D00"/>
    <w:rsid w:val="00CE4E0D"/>
    <w:rsid w:val="00CE4E66"/>
    <w:rsid w:val="00CE5614"/>
    <w:rsid w:val="00CE59AE"/>
    <w:rsid w:val="00CE5DBC"/>
    <w:rsid w:val="00CE62A9"/>
    <w:rsid w:val="00CE72C4"/>
    <w:rsid w:val="00CE7A79"/>
    <w:rsid w:val="00CF1342"/>
    <w:rsid w:val="00CF1E64"/>
    <w:rsid w:val="00CF307D"/>
    <w:rsid w:val="00CF3A42"/>
    <w:rsid w:val="00CF3BD3"/>
    <w:rsid w:val="00CF4741"/>
    <w:rsid w:val="00CF522D"/>
    <w:rsid w:val="00CF5E97"/>
    <w:rsid w:val="00CF65A1"/>
    <w:rsid w:val="00CF6AD4"/>
    <w:rsid w:val="00CF6C8B"/>
    <w:rsid w:val="00CF6D81"/>
    <w:rsid w:val="00CF7668"/>
    <w:rsid w:val="00CF7CBD"/>
    <w:rsid w:val="00D000CB"/>
    <w:rsid w:val="00D002B4"/>
    <w:rsid w:val="00D005AD"/>
    <w:rsid w:val="00D014E4"/>
    <w:rsid w:val="00D024F0"/>
    <w:rsid w:val="00D0377A"/>
    <w:rsid w:val="00D03E5F"/>
    <w:rsid w:val="00D04243"/>
    <w:rsid w:val="00D045EB"/>
    <w:rsid w:val="00D049FB"/>
    <w:rsid w:val="00D05157"/>
    <w:rsid w:val="00D059C5"/>
    <w:rsid w:val="00D05B09"/>
    <w:rsid w:val="00D062D6"/>
    <w:rsid w:val="00D063EB"/>
    <w:rsid w:val="00D07A3B"/>
    <w:rsid w:val="00D07CF7"/>
    <w:rsid w:val="00D07D23"/>
    <w:rsid w:val="00D07D5F"/>
    <w:rsid w:val="00D1056D"/>
    <w:rsid w:val="00D11ABF"/>
    <w:rsid w:val="00D11D80"/>
    <w:rsid w:val="00D134D3"/>
    <w:rsid w:val="00D14986"/>
    <w:rsid w:val="00D15E64"/>
    <w:rsid w:val="00D160BB"/>
    <w:rsid w:val="00D168B6"/>
    <w:rsid w:val="00D169E5"/>
    <w:rsid w:val="00D2036F"/>
    <w:rsid w:val="00D2136E"/>
    <w:rsid w:val="00D21E79"/>
    <w:rsid w:val="00D23255"/>
    <w:rsid w:val="00D237B1"/>
    <w:rsid w:val="00D2445F"/>
    <w:rsid w:val="00D2599A"/>
    <w:rsid w:val="00D266B5"/>
    <w:rsid w:val="00D26C6F"/>
    <w:rsid w:val="00D26F50"/>
    <w:rsid w:val="00D274D9"/>
    <w:rsid w:val="00D27978"/>
    <w:rsid w:val="00D308B8"/>
    <w:rsid w:val="00D30CBC"/>
    <w:rsid w:val="00D31932"/>
    <w:rsid w:val="00D31B6B"/>
    <w:rsid w:val="00D327B2"/>
    <w:rsid w:val="00D328FA"/>
    <w:rsid w:val="00D355A5"/>
    <w:rsid w:val="00D35E96"/>
    <w:rsid w:val="00D35F28"/>
    <w:rsid w:val="00D3632D"/>
    <w:rsid w:val="00D36EA6"/>
    <w:rsid w:val="00D3792D"/>
    <w:rsid w:val="00D40B6B"/>
    <w:rsid w:val="00D42F26"/>
    <w:rsid w:val="00D42FB0"/>
    <w:rsid w:val="00D43403"/>
    <w:rsid w:val="00D4365D"/>
    <w:rsid w:val="00D45260"/>
    <w:rsid w:val="00D474F9"/>
    <w:rsid w:val="00D4773F"/>
    <w:rsid w:val="00D47A26"/>
    <w:rsid w:val="00D47E23"/>
    <w:rsid w:val="00D50296"/>
    <w:rsid w:val="00D505B9"/>
    <w:rsid w:val="00D505E0"/>
    <w:rsid w:val="00D51BF3"/>
    <w:rsid w:val="00D51E7F"/>
    <w:rsid w:val="00D530FE"/>
    <w:rsid w:val="00D53AB7"/>
    <w:rsid w:val="00D53AF2"/>
    <w:rsid w:val="00D54068"/>
    <w:rsid w:val="00D54593"/>
    <w:rsid w:val="00D54AF5"/>
    <w:rsid w:val="00D554E3"/>
    <w:rsid w:val="00D56A62"/>
    <w:rsid w:val="00D56BBF"/>
    <w:rsid w:val="00D57403"/>
    <w:rsid w:val="00D5751F"/>
    <w:rsid w:val="00D575A9"/>
    <w:rsid w:val="00D57793"/>
    <w:rsid w:val="00D5799B"/>
    <w:rsid w:val="00D6052F"/>
    <w:rsid w:val="00D62CC5"/>
    <w:rsid w:val="00D63537"/>
    <w:rsid w:val="00D64073"/>
    <w:rsid w:val="00D641B6"/>
    <w:rsid w:val="00D64D27"/>
    <w:rsid w:val="00D6526B"/>
    <w:rsid w:val="00D65CC9"/>
    <w:rsid w:val="00D65EFF"/>
    <w:rsid w:val="00D669E2"/>
    <w:rsid w:val="00D66FEC"/>
    <w:rsid w:val="00D6797A"/>
    <w:rsid w:val="00D705EC"/>
    <w:rsid w:val="00D70F17"/>
    <w:rsid w:val="00D71BE1"/>
    <w:rsid w:val="00D71E2C"/>
    <w:rsid w:val="00D71EE3"/>
    <w:rsid w:val="00D73087"/>
    <w:rsid w:val="00D7333E"/>
    <w:rsid w:val="00D73FC2"/>
    <w:rsid w:val="00D741AC"/>
    <w:rsid w:val="00D742F4"/>
    <w:rsid w:val="00D74397"/>
    <w:rsid w:val="00D74415"/>
    <w:rsid w:val="00D744EE"/>
    <w:rsid w:val="00D74580"/>
    <w:rsid w:val="00D75EC4"/>
    <w:rsid w:val="00D765A7"/>
    <w:rsid w:val="00D7711C"/>
    <w:rsid w:val="00D77149"/>
    <w:rsid w:val="00D7769E"/>
    <w:rsid w:val="00D800A9"/>
    <w:rsid w:val="00D80480"/>
    <w:rsid w:val="00D80E78"/>
    <w:rsid w:val="00D8120A"/>
    <w:rsid w:val="00D813C7"/>
    <w:rsid w:val="00D81726"/>
    <w:rsid w:val="00D81B43"/>
    <w:rsid w:val="00D81DC6"/>
    <w:rsid w:val="00D8261A"/>
    <w:rsid w:val="00D82D2D"/>
    <w:rsid w:val="00D83327"/>
    <w:rsid w:val="00D8332E"/>
    <w:rsid w:val="00D83D36"/>
    <w:rsid w:val="00D84272"/>
    <w:rsid w:val="00D847CA"/>
    <w:rsid w:val="00D84C79"/>
    <w:rsid w:val="00D851E0"/>
    <w:rsid w:val="00D85630"/>
    <w:rsid w:val="00D85BC0"/>
    <w:rsid w:val="00D861C5"/>
    <w:rsid w:val="00D8622A"/>
    <w:rsid w:val="00D8645D"/>
    <w:rsid w:val="00D86747"/>
    <w:rsid w:val="00D86941"/>
    <w:rsid w:val="00D86FE4"/>
    <w:rsid w:val="00D8706D"/>
    <w:rsid w:val="00D871F1"/>
    <w:rsid w:val="00D874EC"/>
    <w:rsid w:val="00D87B34"/>
    <w:rsid w:val="00D87B61"/>
    <w:rsid w:val="00D924ED"/>
    <w:rsid w:val="00D937FC"/>
    <w:rsid w:val="00D93A69"/>
    <w:rsid w:val="00D95278"/>
    <w:rsid w:val="00D953F5"/>
    <w:rsid w:val="00D96908"/>
    <w:rsid w:val="00D97389"/>
    <w:rsid w:val="00DA0337"/>
    <w:rsid w:val="00DA07F9"/>
    <w:rsid w:val="00DA2C3A"/>
    <w:rsid w:val="00DA393D"/>
    <w:rsid w:val="00DA40AC"/>
    <w:rsid w:val="00DA4E59"/>
    <w:rsid w:val="00DA5BBC"/>
    <w:rsid w:val="00DA5C11"/>
    <w:rsid w:val="00DA5E04"/>
    <w:rsid w:val="00DA6394"/>
    <w:rsid w:val="00DA6737"/>
    <w:rsid w:val="00DA7BF2"/>
    <w:rsid w:val="00DA7ECA"/>
    <w:rsid w:val="00DB16BB"/>
    <w:rsid w:val="00DB23BD"/>
    <w:rsid w:val="00DB280E"/>
    <w:rsid w:val="00DB2DF5"/>
    <w:rsid w:val="00DB3145"/>
    <w:rsid w:val="00DB3548"/>
    <w:rsid w:val="00DB48C7"/>
    <w:rsid w:val="00DB5E33"/>
    <w:rsid w:val="00DB6C06"/>
    <w:rsid w:val="00DB74FB"/>
    <w:rsid w:val="00DB7F70"/>
    <w:rsid w:val="00DC0FA6"/>
    <w:rsid w:val="00DC130C"/>
    <w:rsid w:val="00DC1F3F"/>
    <w:rsid w:val="00DC2292"/>
    <w:rsid w:val="00DC274C"/>
    <w:rsid w:val="00DC3BD4"/>
    <w:rsid w:val="00DC459C"/>
    <w:rsid w:val="00DC4992"/>
    <w:rsid w:val="00DC4BB8"/>
    <w:rsid w:val="00DC4FDE"/>
    <w:rsid w:val="00DC508E"/>
    <w:rsid w:val="00DC5487"/>
    <w:rsid w:val="00DC54FA"/>
    <w:rsid w:val="00DC5DC9"/>
    <w:rsid w:val="00DC6B2C"/>
    <w:rsid w:val="00DC6C5F"/>
    <w:rsid w:val="00DC714C"/>
    <w:rsid w:val="00DC7F60"/>
    <w:rsid w:val="00DC7F96"/>
    <w:rsid w:val="00DD0342"/>
    <w:rsid w:val="00DD0DA6"/>
    <w:rsid w:val="00DD112E"/>
    <w:rsid w:val="00DD119F"/>
    <w:rsid w:val="00DD2F7B"/>
    <w:rsid w:val="00DD3B1C"/>
    <w:rsid w:val="00DD4A2C"/>
    <w:rsid w:val="00DD4C42"/>
    <w:rsid w:val="00DD6A4B"/>
    <w:rsid w:val="00DD6A85"/>
    <w:rsid w:val="00DD6E24"/>
    <w:rsid w:val="00DE04FA"/>
    <w:rsid w:val="00DE0C23"/>
    <w:rsid w:val="00DE14A2"/>
    <w:rsid w:val="00DE1837"/>
    <w:rsid w:val="00DE23C8"/>
    <w:rsid w:val="00DE25AF"/>
    <w:rsid w:val="00DE29BA"/>
    <w:rsid w:val="00DE2E79"/>
    <w:rsid w:val="00DE31BD"/>
    <w:rsid w:val="00DE34B7"/>
    <w:rsid w:val="00DE38F1"/>
    <w:rsid w:val="00DE3939"/>
    <w:rsid w:val="00DE3F25"/>
    <w:rsid w:val="00DE418C"/>
    <w:rsid w:val="00DE5060"/>
    <w:rsid w:val="00DE52B0"/>
    <w:rsid w:val="00DE588D"/>
    <w:rsid w:val="00DE74B8"/>
    <w:rsid w:val="00DE7BE0"/>
    <w:rsid w:val="00DE7E91"/>
    <w:rsid w:val="00DF1623"/>
    <w:rsid w:val="00DF16CC"/>
    <w:rsid w:val="00DF1912"/>
    <w:rsid w:val="00DF22BE"/>
    <w:rsid w:val="00DF2D3E"/>
    <w:rsid w:val="00DF2D9E"/>
    <w:rsid w:val="00DF36FD"/>
    <w:rsid w:val="00DF3A8E"/>
    <w:rsid w:val="00DF3BB9"/>
    <w:rsid w:val="00DF3F89"/>
    <w:rsid w:val="00DF4216"/>
    <w:rsid w:val="00DF46C4"/>
    <w:rsid w:val="00DF49BA"/>
    <w:rsid w:val="00DF4A8D"/>
    <w:rsid w:val="00DF4E88"/>
    <w:rsid w:val="00DF6A92"/>
    <w:rsid w:val="00DF724C"/>
    <w:rsid w:val="00E004A9"/>
    <w:rsid w:val="00E020B9"/>
    <w:rsid w:val="00E02417"/>
    <w:rsid w:val="00E027FF"/>
    <w:rsid w:val="00E038C5"/>
    <w:rsid w:val="00E03E3B"/>
    <w:rsid w:val="00E04589"/>
    <w:rsid w:val="00E05EB6"/>
    <w:rsid w:val="00E06B38"/>
    <w:rsid w:val="00E07340"/>
    <w:rsid w:val="00E0747D"/>
    <w:rsid w:val="00E07679"/>
    <w:rsid w:val="00E10676"/>
    <w:rsid w:val="00E128D8"/>
    <w:rsid w:val="00E12C42"/>
    <w:rsid w:val="00E132D9"/>
    <w:rsid w:val="00E155A9"/>
    <w:rsid w:val="00E15653"/>
    <w:rsid w:val="00E1592E"/>
    <w:rsid w:val="00E15E54"/>
    <w:rsid w:val="00E165B5"/>
    <w:rsid w:val="00E1688A"/>
    <w:rsid w:val="00E16BB2"/>
    <w:rsid w:val="00E170B3"/>
    <w:rsid w:val="00E1728C"/>
    <w:rsid w:val="00E176EC"/>
    <w:rsid w:val="00E17889"/>
    <w:rsid w:val="00E17A0A"/>
    <w:rsid w:val="00E17ED6"/>
    <w:rsid w:val="00E201E3"/>
    <w:rsid w:val="00E20EEF"/>
    <w:rsid w:val="00E21463"/>
    <w:rsid w:val="00E219DF"/>
    <w:rsid w:val="00E227DA"/>
    <w:rsid w:val="00E232AF"/>
    <w:rsid w:val="00E232B1"/>
    <w:rsid w:val="00E232BB"/>
    <w:rsid w:val="00E2333B"/>
    <w:rsid w:val="00E24145"/>
    <w:rsid w:val="00E24353"/>
    <w:rsid w:val="00E25107"/>
    <w:rsid w:val="00E251ED"/>
    <w:rsid w:val="00E25B33"/>
    <w:rsid w:val="00E26053"/>
    <w:rsid w:val="00E26758"/>
    <w:rsid w:val="00E26E9D"/>
    <w:rsid w:val="00E300E3"/>
    <w:rsid w:val="00E30D9B"/>
    <w:rsid w:val="00E3128A"/>
    <w:rsid w:val="00E319C5"/>
    <w:rsid w:val="00E31D61"/>
    <w:rsid w:val="00E3209B"/>
    <w:rsid w:val="00E324C1"/>
    <w:rsid w:val="00E32AD7"/>
    <w:rsid w:val="00E3560E"/>
    <w:rsid w:val="00E37140"/>
    <w:rsid w:val="00E37193"/>
    <w:rsid w:val="00E379FD"/>
    <w:rsid w:val="00E37CBC"/>
    <w:rsid w:val="00E37CC1"/>
    <w:rsid w:val="00E409C1"/>
    <w:rsid w:val="00E40E1D"/>
    <w:rsid w:val="00E40F5E"/>
    <w:rsid w:val="00E41590"/>
    <w:rsid w:val="00E415E8"/>
    <w:rsid w:val="00E416FC"/>
    <w:rsid w:val="00E419ED"/>
    <w:rsid w:val="00E42214"/>
    <w:rsid w:val="00E422FF"/>
    <w:rsid w:val="00E424D5"/>
    <w:rsid w:val="00E42848"/>
    <w:rsid w:val="00E42CF8"/>
    <w:rsid w:val="00E432AF"/>
    <w:rsid w:val="00E44494"/>
    <w:rsid w:val="00E44641"/>
    <w:rsid w:val="00E44920"/>
    <w:rsid w:val="00E45B37"/>
    <w:rsid w:val="00E45E54"/>
    <w:rsid w:val="00E4669C"/>
    <w:rsid w:val="00E46FDA"/>
    <w:rsid w:val="00E47078"/>
    <w:rsid w:val="00E47A1E"/>
    <w:rsid w:val="00E50262"/>
    <w:rsid w:val="00E50712"/>
    <w:rsid w:val="00E51F1C"/>
    <w:rsid w:val="00E525AB"/>
    <w:rsid w:val="00E52FA6"/>
    <w:rsid w:val="00E553A5"/>
    <w:rsid w:val="00E57EEC"/>
    <w:rsid w:val="00E601E9"/>
    <w:rsid w:val="00E60AF7"/>
    <w:rsid w:val="00E61461"/>
    <w:rsid w:val="00E615DE"/>
    <w:rsid w:val="00E61678"/>
    <w:rsid w:val="00E61D87"/>
    <w:rsid w:val="00E62D84"/>
    <w:rsid w:val="00E63C7B"/>
    <w:rsid w:val="00E64099"/>
    <w:rsid w:val="00E64120"/>
    <w:rsid w:val="00E65C68"/>
    <w:rsid w:val="00E6732F"/>
    <w:rsid w:val="00E700D9"/>
    <w:rsid w:val="00E70C63"/>
    <w:rsid w:val="00E70D23"/>
    <w:rsid w:val="00E72680"/>
    <w:rsid w:val="00E72B34"/>
    <w:rsid w:val="00E736CD"/>
    <w:rsid w:val="00E7391A"/>
    <w:rsid w:val="00E73B82"/>
    <w:rsid w:val="00E745B7"/>
    <w:rsid w:val="00E750EC"/>
    <w:rsid w:val="00E75A44"/>
    <w:rsid w:val="00E76018"/>
    <w:rsid w:val="00E768C2"/>
    <w:rsid w:val="00E77A29"/>
    <w:rsid w:val="00E82938"/>
    <w:rsid w:val="00E8302F"/>
    <w:rsid w:val="00E844D0"/>
    <w:rsid w:val="00E84856"/>
    <w:rsid w:val="00E84D90"/>
    <w:rsid w:val="00E84DA3"/>
    <w:rsid w:val="00E8524B"/>
    <w:rsid w:val="00E85B93"/>
    <w:rsid w:val="00E85EF5"/>
    <w:rsid w:val="00E85F04"/>
    <w:rsid w:val="00E86C0D"/>
    <w:rsid w:val="00E871B1"/>
    <w:rsid w:val="00E876DE"/>
    <w:rsid w:val="00E877F8"/>
    <w:rsid w:val="00E87967"/>
    <w:rsid w:val="00E90059"/>
    <w:rsid w:val="00E9147D"/>
    <w:rsid w:val="00E918DD"/>
    <w:rsid w:val="00E9258F"/>
    <w:rsid w:val="00E9266C"/>
    <w:rsid w:val="00E92681"/>
    <w:rsid w:val="00E9276B"/>
    <w:rsid w:val="00E9398C"/>
    <w:rsid w:val="00E93BA0"/>
    <w:rsid w:val="00E944F5"/>
    <w:rsid w:val="00E9479E"/>
    <w:rsid w:val="00E94A47"/>
    <w:rsid w:val="00E95CD4"/>
    <w:rsid w:val="00E96B47"/>
    <w:rsid w:val="00E9791F"/>
    <w:rsid w:val="00E97B6F"/>
    <w:rsid w:val="00E97DDD"/>
    <w:rsid w:val="00EA05E0"/>
    <w:rsid w:val="00EA0A9F"/>
    <w:rsid w:val="00EA1022"/>
    <w:rsid w:val="00EA104A"/>
    <w:rsid w:val="00EA1AA2"/>
    <w:rsid w:val="00EA1B94"/>
    <w:rsid w:val="00EA1C7F"/>
    <w:rsid w:val="00EA25B4"/>
    <w:rsid w:val="00EA25FE"/>
    <w:rsid w:val="00EA2BE7"/>
    <w:rsid w:val="00EA2D6F"/>
    <w:rsid w:val="00EA3D4E"/>
    <w:rsid w:val="00EA4F01"/>
    <w:rsid w:val="00EA5FC2"/>
    <w:rsid w:val="00EA6131"/>
    <w:rsid w:val="00EA7863"/>
    <w:rsid w:val="00EA7928"/>
    <w:rsid w:val="00EA7C92"/>
    <w:rsid w:val="00EB01FC"/>
    <w:rsid w:val="00EB07C3"/>
    <w:rsid w:val="00EB2648"/>
    <w:rsid w:val="00EB2703"/>
    <w:rsid w:val="00EB3AD2"/>
    <w:rsid w:val="00EB4BBE"/>
    <w:rsid w:val="00EB5466"/>
    <w:rsid w:val="00EB5FB8"/>
    <w:rsid w:val="00EB6655"/>
    <w:rsid w:val="00EB71F8"/>
    <w:rsid w:val="00EC11A7"/>
    <w:rsid w:val="00EC2575"/>
    <w:rsid w:val="00EC276B"/>
    <w:rsid w:val="00EC2805"/>
    <w:rsid w:val="00EC2B54"/>
    <w:rsid w:val="00EC2F3C"/>
    <w:rsid w:val="00EC38DD"/>
    <w:rsid w:val="00EC44FB"/>
    <w:rsid w:val="00EC5495"/>
    <w:rsid w:val="00EC5882"/>
    <w:rsid w:val="00EC5AAE"/>
    <w:rsid w:val="00EC5D6D"/>
    <w:rsid w:val="00EC72E6"/>
    <w:rsid w:val="00EC78C3"/>
    <w:rsid w:val="00EC7EB9"/>
    <w:rsid w:val="00ED0B2F"/>
    <w:rsid w:val="00ED0D10"/>
    <w:rsid w:val="00ED1A48"/>
    <w:rsid w:val="00ED1AC3"/>
    <w:rsid w:val="00ED323D"/>
    <w:rsid w:val="00ED3C67"/>
    <w:rsid w:val="00ED4E0B"/>
    <w:rsid w:val="00ED61B9"/>
    <w:rsid w:val="00ED6303"/>
    <w:rsid w:val="00ED69D0"/>
    <w:rsid w:val="00ED71BB"/>
    <w:rsid w:val="00ED7217"/>
    <w:rsid w:val="00EE0A27"/>
    <w:rsid w:val="00EE19E4"/>
    <w:rsid w:val="00EE1D4E"/>
    <w:rsid w:val="00EE2A0E"/>
    <w:rsid w:val="00EE2F90"/>
    <w:rsid w:val="00EE3070"/>
    <w:rsid w:val="00EE3099"/>
    <w:rsid w:val="00EE3541"/>
    <w:rsid w:val="00EE3563"/>
    <w:rsid w:val="00EE3CA8"/>
    <w:rsid w:val="00EE6F77"/>
    <w:rsid w:val="00EE704A"/>
    <w:rsid w:val="00EF1063"/>
    <w:rsid w:val="00EF1418"/>
    <w:rsid w:val="00EF2424"/>
    <w:rsid w:val="00EF2A47"/>
    <w:rsid w:val="00EF2DE0"/>
    <w:rsid w:val="00EF3067"/>
    <w:rsid w:val="00EF37C6"/>
    <w:rsid w:val="00EF3D16"/>
    <w:rsid w:val="00EF4A69"/>
    <w:rsid w:val="00EF56E1"/>
    <w:rsid w:val="00EF56F5"/>
    <w:rsid w:val="00EF59A1"/>
    <w:rsid w:val="00EF5A5C"/>
    <w:rsid w:val="00EF616C"/>
    <w:rsid w:val="00EF6B02"/>
    <w:rsid w:val="00EF7738"/>
    <w:rsid w:val="00EF78A5"/>
    <w:rsid w:val="00EF7FE0"/>
    <w:rsid w:val="00F00159"/>
    <w:rsid w:val="00F03092"/>
    <w:rsid w:val="00F04433"/>
    <w:rsid w:val="00F04924"/>
    <w:rsid w:val="00F051BD"/>
    <w:rsid w:val="00F0689E"/>
    <w:rsid w:val="00F06CE3"/>
    <w:rsid w:val="00F10813"/>
    <w:rsid w:val="00F10830"/>
    <w:rsid w:val="00F110B3"/>
    <w:rsid w:val="00F11BEC"/>
    <w:rsid w:val="00F126D9"/>
    <w:rsid w:val="00F12760"/>
    <w:rsid w:val="00F12EA2"/>
    <w:rsid w:val="00F145D2"/>
    <w:rsid w:val="00F1477A"/>
    <w:rsid w:val="00F1558E"/>
    <w:rsid w:val="00F165D1"/>
    <w:rsid w:val="00F16A7C"/>
    <w:rsid w:val="00F16ECB"/>
    <w:rsid w:val="00F1728E"/>
    <w:rsid w:val="00F175FB"/>
    <w:rsid w:val="00F17F69"/>
    <w:rsid w:val="00F200B5"/>
    <w:rsid w:val="00F209DE"/>
    <w:rsid w:val="00F22529"/>
    <w:rsid w:val="00F227B3"/>
    <w:rsid w:val="00F22B98"/>
    <w:rsid w:val="00F23C3D"/>
    <w:rsid w:val="00F23ECB"/>
    <w:rsid w:val="00F249F7"/>
    <w:rsid w:val="00F24F0D"/>
    <w:rsid w:val="00F25214"/>
    <w:rsid w:val="00F2524B"/>
    <w:rsid w:val="00F25D78"/>
    <w:rsid w:val="00F26056"/>
    <w:rsid w:val="00F2657C"/>
    <w:rsid w:val="00F26651"/>
    <w:rsid w:val="00F26807"/>
    <w:rsid w:val="00F26C10"/>
    <w:rsid w:val="00F26D7B"/>
    <w:rsid w:val="00F26F67"/>
    <w:rsid w:val="00F304A5"/>
    <w:rsid w:val="00F30888"/>
    <w:rsid w:val="00F30ABD"/>
    <w:rsid w:val="00F30D6A"/>
    <w:rsid w:val="00F31FF4"/>
    <w:rsid w:val="00F322C3"/>
    <w:rsid w:val="00F32BD9"/>
    <w:rsid w:val="00F334B7"/>
    <w:rsid w:val="00F33FCE"/>
    <w:rsid w:val="00F341F6"/>
    <w:rsid w:val="00F34483"/>
    <w:rsid w:val="00F347A4"/>
    <w:rsid w:val="00F3485F"/>
    <w:rsid w:val="00F34A05"/>
    <w:rsid w:val="00F35627"/>
    <w:rsid w:val="00F359B3"/>
    <w:rsid w:val="00F35C6B"/>
    <w:rsid w:val="00F3669D"/>
    <w:rsid w:val="00F37139"/>
    <w:rsid w:val="00F37832"/>
    <w:rsid w:val="00F401D5"/>
    <w:rsid w:val="00F40CD8"/>
    <w:rsid w:val="00F417F4"/>
    <w:rsid w:val="00F41AB2"/>
    <w:rsid w:val="00F41ADB"/>
    <w:rsid w:val="00F41EC2"/>
    <w:rsid w:val="00F42A00"/>
    <w:rsid w:val="00F42F6A"/>
    <w:rsid w:val="00F42FEE"/>
    <w:rsid w:val="00F438FE"/>
    <w:rsid w:val="00F43DE6"/>
    <w:rsid w:val="00F43E18"/>
    <w:rsid w:val="00F45065"/>
    <w:rsid w:val="00F460FA"/>
    <w:rsid w:val="00F46BB0"/>
    <w:rsid w:val="00F47747"/>
    <w:rsid w:val="00F47CB3"/>
    <w:rsid w:val="00F47D2E"/>
    <w:rsid w:val="00F5086A"/>
    <w:rsid w:val="00F50F0A"/>
    <w:rsid w:val="00F51121"/>
    <w:rsid w:val="00F51280"/>
    <w:rsid w:val="00F51405"/>
    <w:rsid w:val="00F51D64"/>
    <w:rsid w:val="00F52FB1"/>
    <w:rsid w:val="00F53278"/>
    <w:rsid w:val="00F5342F"/>
    <w:rsid w:val="00F536BE"/>
    <w:rsid w:val="00F53CEE"/>
    <w:rsid w:val="00F5447B"/>
    <w:rsid w:val="00F54549"/>
    <w:rsid w:val="00F54C77"/>
    <w:rsid w:val="00F5626C"/>
    <w:rsid w:val="00F5628B"/>
    <w:rsid w:val="00F56D5F"/>
    <w:rsid w:val="00F6025D"/>
    <w:rsid w:val="00F6068B"/>
    <w:rsid w:val="00F60AFD"/>
    <w:rsid w:val="00F614AD"/>
    <w:rsid w:val="00F61588"/>
    <w:rsid w:val="00F61591"/>
    <w:rsid w:val="00F61657"/>
    <w:rsid w:val="00F61741"/>
    <w:rsid w:val="00F619E2"/>
    <w:rsid w:val="00F61AEB"/>
    <w:rsid w:val="00F61B07"/>
    <w:rsid w:val="00F630C5"/>
    <w:rsid w:val="00F63723"/>
    <w:rsid w:val="00F637C3"/>
    <w:rsid w:val="00F6386A"/>
    <w:rsid w:val="00F638BF"/>
    <w:rsid w:val="00F64150"/>
    <w:rsid w:val="00F648DD"/>
    <w:rsid w:val="00F65C89"/>
    <w:rsid w:val="00F6710C"/>
    <w:rsid w:val="00F678B6"/>
    <w:rsid w:val="00F67F82"/>
    <w:rsid w:val="00F70275"/>
    <w:rsid w:val="00F7058B"/>
    <w:rsid w:val="00F70E88"/>
    <w:rsid w:val="00F71753"/>
    <w:rsid w:val="00F7303D"/>
    <w:rsid w:val="00F73773"/>
    <w:rsid w:val="00F73A1D"/>
    <w:rsid w:val="00F749C7"/>
    <w:rsid w:val="00F751E0"/>
    <w:rsid w:val="00F753F8"/>
    <w:rsid w:val="00F75546"/>
    <w:rsid w:val="00F76364"/>
    <w:rsid w:val="00F7755E"/>
    <w:rsid w:val="00F775CA"/>
    <w:rsid w:val="00F77DB4"/>
    <w:rsid w:val="00F806B0"/>
    <w:rsid w:val="00F80837"/>
    <w:rsid w:val="00F8301D"/>
    <w:rsid w:val="00F83220"/>
    <w:rsid w:val="00F83821"/>
    <w:rsid w:val="00F83854"/>
    <w:rsid w:val="00F838F8"/>
    <w:rsid w:val="00F83D8B"/>
    <w:rsid w:val="00F83F35"/>
    <w:rsid w:val="00F85057"/>
    <w:rsid w:val="00F85147"/>
    <w:rsid w:val="00F8552B"/>
    <w:rsid w:val="00F859F6"/>
    <w:rsid w:val="00F90664"/>
    <w:rsid w:val="00F90EA1"/>
    <w:rsid w:val="00F91893"/>
    <w:rsid w:val="00F91DF3"/>
    <w:rsid w:val="00F91E13"/>
    <w:rsid w:val="00F9213E"/>
    <w:rsid w:val="00F92E88"/>
    <w:rsid w:val="00F932D7"/>
    <w:rsid w:val="00F93D47"/>
    <w:rsid w:val="00F94293"/>
    <w:rsid w:val="00F9501F"/>
    <w:rsid w:val="00F95B9C"/>
    <w:rsid w:val="00F9614F"/>
    <w:rsid w:val="00F968D0"/>
    <w:rsid w:val="00F971B5"/>
    <w:rsid w:val="00F973B3"/>
    <w:rsid w:val="00F9779A"/>
    <w:rsid w:val="00FA00F9"/>
    <w:rsid w:val="00FA0B99"/>
    <w:rsid w:val="00FA118A"/>
    <w:rsid w:val="00FA1975"/>
    <w:rsid w:val="00FA1CB9"/>
    <w:rsid w:val="00FA24DF"/>
    <w:rsid w:val="00FA250B"/>
    <w:rsid w:val="00FA2B97"/>
    <w:rsid w:val="00FA2D3A"/>
    <w:rsid w:val="00FA3786"/>
    <w:rsid w:val="00FA3DB2"/>
    <w:rsid w:val="00FA3E39"/>
    <w:rsid w:val="00FA42FC"/>
    <w:rsid w:val="00FA4670"/>
    <w:rsid w:val="00FA4840"/>
    <w:rsid w:val="00FA48FD"/>
    <w:rsid w:val="00FA55EE"/>
    <w:rsid w:val="00FA57C3"/>
    <w:rsid w:val="00FA5AB9"/>
    <w:rsid w:val="00FA6357"/>
    <w:rsid w:val="00FA67F4"/>
    <w:rsid w:val="00FA68E4"/>
    <w:rsid w:val="00FA7EC2"/>
    <w:rsid w:val="00FB088C"/>
    <w:rsid w:val="00FB11A7"/>
    <w:rsid w:val="00FB20E7"/>
    <w:rsid w:val="00FB21EE"/>
    <w:rsid w:val="00FB34AE"/>
    <w:rsid w:val="00FB3604"/>
    <w:rsid w:val="00FB3EE7"/>
    <w:rsid w:val="00FB40AE"/>
    <w:rsid w:val="00FB467E"/>
    <w:rsid w:val="00FB59AE"/>
    <w:rsid w:val="00FB64A3"/>
    <w:rsid w:val="00FB69AB"/>
    <w:rsid w:val="00FB70FC"/>
    <w:rsid w:val="00FB7BAA"/>
    <w:rsid w:val="00FC0267"/>
    <w:rsid w:val="00FC04C9"/>
    <w:rsid w:val="00FC17F7"/>
    <w:rsid w:val="00FC1E45"/>
    <w:rsid w:val="00FC3592"/>
    <w:rsid w:val="00FC39DF"/>
    <w:rsid w:val="00FC3D55"/>
    <w:rsid w:val="00FC44A0"/>
    <w:rsid w:val="00FC44E2"/>
    <w:rsid w:val="00FC49BA"/>
    <w:rsid w:val="00FC4B99"/>
    <w:rsid w:val="00FC5119"/>
    <w:rsid w:val="00FC53C1"/>
    <w:rsid w:val="00FC54D0"/>
    <w:rsid w:val="00FC59E6"/>
    <w:rsid w:val="00FC5B3A"/>
    <w:rsid w:val="00FC6ADB"/>
    <w:rsid w:val="00FC75AC"/>
    <w:rsid w:val="00FC77CF"/>
    <w:rsid w:val="00FC77D1"/>
    <w:rsid w:val="00FC7D33"/>
    <w:rsid w:val="00FD1000"/>
    <w:rsid w:val="00FD195E"/>
    <w:rsid w:val="00FD30FB"/>
    <w:rsid w:val="00FD3267"/>
    <w:rsid w:val="00FD326D"/>
    <w:rsid w:val="00FD3493"/>
    <w:rsid w:val="00FD4ACA"/>
    <w:rsid w:val="00FD5BC3"/>
    <w:rsid w:val="00FD5BF3"/>
    <w:rsid w:val="00FD6044"/>
    <w:rsid w:val="00FD657C"/>
    <w:rsid w:val="00FD72EF"/>
    <w:rsid w:val="00FD7609"/>
    <w:rsid w:val="00FE0180"/>
    <w:rsid w:val="00FE062B"/>
    <w:rsid w:val="00FE088C"/>
    <w:rsid w:val="00FE08C4"/>
    <w:rsid w:val="00FE1ADA"/>
    <w:rsid w:val="00FE1DB8"/>
    <w:rsid w:val="00FE1F63"/>
    <w:rsid w:val="00FE2A0B"/>
    <w:rsid w:val="00FE3A56"/>
    <w:rsid w:val="00FE3CCA"/>
    <w:rsid w:val="00FE5321"/>
    <w:rsid w:val="00FE5661"/>
    <w:rsid w:val="00FE5B59"/>
    <w:rsid w:val="00FE60E9"/>
    <w:rsid w:val="00FE6404"/>
    <w:rsid w:val="00FE6651"/>
    <w:rsid w:val="00FE6F32"/>
    <w:rsid w:val="00FE7163"/>
    <w:rsid w:val="00FE71EF"/>
    <w:rsid w:val="00FE77C6"/>
    <w:rsid w:val="00FF0018"/>
    <w:rsid w:val="00FF013D"/>
    <w:rsid w:val="00FF03CA"/>
    <w:rsid w:val="00FF0B8C"/>
    <w:rsid w:val="00FF0DE2"/>
    <w:rsid w:val="00FF2899"/>
    <w:rsid w:val="00FF2A4B"/>
    <w:rsid w:val="00FF4A69"/>
    <w:rsid w:val="00FF5283"/>
    <w:rsid w:val="00FF5F03"/>
    <w:rsid w:val="00FF64E7"/>
    <w:rsid w:val="00FF669C"/>
    <w:rsid w:val="00FF67C8"/>
    <w:rsid w:val="00FF6892"/>
    <w:rsid w:val="00FF7D9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3F4CCBBC"/>
  <w15:docId w15:val="{6C2A1177-4478-4A63-85E2-94499CDF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14"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24E0"/>
    <w:pPr>
      <w:spacing w:before="180" w:after="60" w:line="312" w:lineRule="auto"/>
    </w:pPr>
    <w:rPr>
      <w:rFonts w:asciiTheme="minorHAnsi" w:hAnsiTheme="minorHAnsi"/>
      <w:sz w:val="22"/>
    </w:rPr>
  </w:style>
  <w:style w:type="paragraph" w:styleId="Heading1">
    <w:name w:val="heading 1"/>
    <w:basedOn w:val="Normal"/>
    <w:next w:val="Normal"/>
    <w:link w:val="Heading1Char"/>
    <w:qFormat/>
    <w:rsid w:val="003D74C9"/>
    <w:pPr>
      <w:keepNext/>
      <w:spacing w:before="120" w:after="0"/>
      <w:outlineLvl w:val="0"/>
    </w:pPr>
    <w:rPr>
      <w:rFonts w:eastAsiaTheme="minorHAnsi" w:cs="Arial"/>
      <w:b/>
      <w:bCs/>
      <w:color w:val="01653F"/>
      <w:kern w:val="32"/>
      <w:sz w:val="32"/>
      <w:szCs w:val="28"/>
      <w:lang w:val="en-US" w:eastAsia="en-US"/>
    </w:rPr>
  </w:style>
  <w:style w:type="paragraph" w:styleId="Heading2">
    <w:name w:val="heading 2"/>
    <w:basedOn w:val="Normal"/>
    <w:next w:val="Normal"/>
    <w:link w:val="Heading2Char"/>
    <w:qFormat/>
    <w:rsid w:val="007175EB"/>
    <w:pPr>
      <w:keepNext/>
      <w:spacing w:before="120"/>
      <w:ind w:right="-46"/>
      <w:outlineLvl w:val="1"/>
    </w:pPr>
    <w:rPr>
      <w:rFonts w:eastAsiaTheme="minorHAnsi" w:cs="Arial"/>
      <w:b/>
      <w:bCs/>
      <w:iCs/>
      <w:color w:val="01653F"/>
      <w:sz w:val="26"/>
      <w:szCs w:val="22"/>
      <w:lang w:val="en-US" w:eastAsia="en-US"/>
    </w:rPr>
  </w:style>
  <w:style w:type="paragraph" w:styleId="Heading3">
    <w:name w:val="heading 3"/>
    <w:basedOn w:val="Normal"/>
    <w:next w:val="Normal"/>
    <w:link w:val="Heading3Char"/>
    <w:qFormat/>
    <w:rsid w:val="00D744EE"/>
    <w:pPr>
      <w:keepNext/>
      <w:spacing w:before="240" w:line="240" w:lineRule="auto"/>
      <w:outlineLvl w:val="2"/>
    </w:pPr>
    <w:rPr>
      <w:rFonts w:eastAsiaTheme="minorHAnsi" w:cs="Arial"/>
      <w:b/>
      <w:bCs/>
      <w:i/>
      <w:color w:val="B56012"/>
      <w:sz w:val="24"/>
      <w:szCs w:val="26"/>
      <w:lang w:val="en-US" w:eastAsia="en-US"/>
    </w:rPr>
  </w:style>
  <w:style w:type="paragraph" w:styleId="Heading4">
    <w:name w:val="heading 4"/>
    <w:basedOn w:val="Heading3"/>
    <w:next w:val="Normal"/>
    <w:link w:val="Heading4Char"/>
    <w:qFormat/>
    <w:rsid w:val="00F637C3"/>
    <w:pPr>
      <w:outlineLvl w:val="3"/>
    </w:pPr>
    <w:rPr>
      <w:b w:val="0"/>
      <w:sz w:val="22"/>
    </w:rPr>
  </w:style>
  <w:style w:type="paragraph" w:styleId="Heading5">
    <w:name w:val="heading 5"/>
    <w:basedOn w:val="Normal"/>
    <w:next w:val="Normal"/>
    <w:link w:val="Heading5Char"/>
    <w:qFormat/>
    <w:rsid w:val="008F4119"/>
    <w:pPr>
      <w:spacing w:before="120" w:after="0"/>
      <w:ind w:left="1009" w:hanging="1009"/>
      <w:outlineLvl w:val="4"/>
    </w:pPr>
    <w:rPr>
      <w:rFonts w:eastAsiaTheme="minorHAnsi" w:cs="Arial"/>
      <w:bCs/>
      <w:i/>
      <w:iCs/>
      <w:color w:val="016500"/>
      <w:szCs w:val="26"/>
      <w:lang w:val="en-US" w:eastAsia="en-US"/>
    </w:rPr>
  </w:style>
  <w:style w:type="paragraph" w:styleId="Heading6">
    <w:name w:val="heading 6"/>
    <w:basedOn w:val="Normal"/>
    <w:next w:val="Normal"/>
    <w:link w:val="Heading6Char"/>
    <w:uiPriority w:val="9"/>
    <w:qFormat/>
    <w:rsid w:val="003D74C9"/>
    <w:pPr>
      <w:spacing w:before="240"/>
      <w:outlineLvl w:val="5"/>
    </w:pPr>
    <w:rPr>
      <w:rFonts w:eastAsiaTheme="minorHAnsi" w:cs="Arial"/>
      <w:b/>
      <w:bCs/>
      <w:i/>
      <w:szCs w:val="22"/>
      <w:lang w:val="en-US" w:eastAsia="en-US"/>
    </w:rPr>
  </w:style>
  <w:style w:type="paragraph" w:styleId="Heading7">
    <w:name w:val="heading 7"/>
    <w:basedOn w:val="Normal"/>
    <w:next w:val="Normal"/>
    <w:link w:val="Heading7Char"/>
    <w:uiPriority w:val="9"/>
    <w:unhideWhenUsed/>
    <w:qFormat/>
    <w:rsid w:val="003D74C9"/>
    <w:pPr>
      <w:keepNext/>
      <w:keepLines/>
      <w:spacing w:before="200"/>
      <w:outlineLvl w:val="6"/>
    </w:pPr>
    <w:rPr>
      <w:rFonts w:asciiTheme="majorHAnsi" w:eastAsiaTheme="majorEastAsia" w:hAnsiTheme="majorHAnsi" w:cstheme="majorBidi"/>
      <w:i/>
      <w:iCs/>
      <w:color w:val="404040" w:themeColor="text1" w:themeTint="BF"/>
      <w:szCs w:val="22"/>
      <w:lang w:val="en-US" w:eastAsia="en-US"/>
    </w:rPr>
  </w:style>
  <w:style w:type="paragraph" w:styleId="Heading8">
    <w:name w:val="heading 8"/>
    <w:basedOn w:val="Normal"/>
    <w:next w:val="Normal"/>
    <w:link w:val="Heading8Char"/>
    <w:uiPriority w:val="9"/>
    <w:unhideWhenUsed/>
    <w:qFormat/>
    <w:rsid w:val="003D74C9"/>
    <w:pPr>
      <w:keepNext/>
      <w:keepLines/>
      <w:spacing w:before="200"/>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3D74C9"/>
    <w:pPr>
      <w:keepNext/>
      <w:keepLines/>
      <w:spacing w:before="20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4DC"/>
    <w:rPr>
      <w:rFonts w:asciiTheme="minorHAnsi" w:eastAsiaTheme="minorHAnsi" w:hAnsiTheme="minorHAnsi" w:cs="Arial"/>
      <w:b/>
      <w:bCs/>
      <w:color w:val="01653F"/>
      <w:kern w:val="32"/>
      <w:sz w:val="32"/>
      <w:szCs w:val="28"/>
      <w:lang w:val="en-US" w:eastAsia="en-US"/>
    </w:rPr>
  </w:style>
  <w:style w:type="character" w:customStyle="1" w:styleId="Heading2Char">
    <w:name w:val="Heading 2 Char"/>
    <w:basedOn w:val="DefaultParagraphFont"/>
    <w:link w:val="Heading2"/>
    <w:rsid w:val="007175EB"/>
    <w:rPr>
      <w:rFonts w:asciiTheme="minorHAnsi" w:eastAsiaTheme="minorHAnsi" w:hAnsiTheme="minorHAnsi" w:cs="Arial"/>
      <w:b/>
      <w:bCs/>
      <w:iCs/>
      <w:color w:val="01653F"/>
      <w:sz w:val="26"/>
      <w:szCs w:val="22"/>
      <w:lang w:val="en-US" w:eastAsia="en-US"/>
    </w:rPr>
  </w:style>
  <w:style w:type="character" w:customStyle="1" w:styleId="Heading3Char">
    <w:name w:val="Heading 3 Char"/>
    <w:basedOn w:val="DefaultParagraphFont"/>
    <w:link w:val="Heading3"/>
    <w:uiPriority w:val="9"/>
    <w:rsid w:val="00C204DC"/>
    <w:rPr>
      <w:rFonts w:asciiTheme="minorHAnsi" w:eastAsiaTheme="minorHAnsi" w:hAnsiTheme="minorHAnsi" w:cs="Arial"/>
      <w:b/>
      <w:bCs/>
      <w:i/>
      <w:color w:val="B56012"/>
      <w:szCs w:val="26"/>
      <w:lang w:val="en-US" w:eastAsia="en-US"/>
    </w:rPr>
  </w:style>
  <w:style w:type="character" w:customStyle="1" w:styleId="Heading4Char">
    <w:name w:val="Heading 4 Char"/>
    <w:basedOn w:val="DefaultParagraphFont"/>
    <w:link w:val="Heading4"/>
    <w:uiPriority w:val="9"/>
    <w:rsid w:val="00C204DC"/>
    <w:rPr>
      <w:rFonts w:asciiTheme="minorHAnsi" w:eastAsiaTheme="minorHAnsi" w:hAnsiTheme="minorHAnsi" w:cs="Arial"/>
      <w:bCs/>
      <w:i/>
      <w:color w:val="B56012"/>
      <w:sz w:val="22"/>
      <w:szCs w:val="26"/>
      <w:lang w:val="en-US" w:eastAsia="en-US"/>
    </w:rPr>
  </w:style>
  <w:style w:type="character" w:customStyle="1" w:styleId="Heading5Char">
    <w:name w:val="Heading 5 Char"/>
    <w:basedOn w:val="DefaultParagraphFont"/>
    <w:link w:val="Heading5"/>
    <w:uiPriority w:val="9"/>
    <w:rsid w:val="00C204DC"/>
    <w:rPr>
      <w:rFonts w:asciiTheme="minorHAnsi" w:eastAsiaTheme="minorHAnsi" w:hAnsiTheme="minorHAnsi" w:cs="Arial"/>
      <w:bCs/>
      <w:i/>
      <w:iCs/>
      <w:color w:val="016500"/>
      <w:sz w:val="22"/>
      <w:szCs w:val="26"/>
      <w:lang w:val="en-US" w:eastAsia="en-US"/>
    </w:rPr>
  </w:style>
  <w:style w:type="character" w:customStyle="1" w:styleId="Heading6Char">
    <w:name w:val="Heading 6 Char"/>
    <w:basedOn w:val="DefaultParagraphFont"/>
    <w:link w:val="Heading6"/>
    <w:uiPriority w:val="9"/>
    <w:rsid w:val="00C204DC"/>
    <w:rPr>
      <w:rFonts w:asciiTheme="minorHAnsi" w:eastAsiaTheme="minorHAnsi" w:hAnsiTheme="minorHAnsi" w:cs="Arial"/>
      <w:b/>
      <w:bCs/>
      <w:i/>
      <w:sz w:val="22"/>
      <w:szCs w:val="22"/>
      <w:lang w:val="en-US" w:eastAsia="en-US"/>
    </w:rPr>
  </w:style>
  <w:style w:type="character" w:customStyle="1" w:styleId="Heading7Char">
    <w:name w:val="Heading 7 Char"/>
    <w:basedOn w:val="DefaultParagraphFont"/>
    <w:link w:val="Heading7"/>
    <w:uiPriority w:val="9"/>
    <w:rsid w:val="003D74C9"/>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rsid w:val="003D74C9"/>
    <w:rPr>
      <w:rFonts w:asciiTheme="majorHAnsi" w:eastAsiaTheme="majorEastAsia" w:hAnsiTheme="majorHAnsi" w:cstheme="majorBidi"/>
      <w:color w:val="404040" w:themeColor="text1" w:themeTint="BF"/>
      <w:sz w:val="20"/>
      <w:szCs w:val="20"/>
      <w:lang w:val="en-US" w:eastAsia="en-US"/>
    </w:rPr>
  </w:style>
  <w:style w:type="character" w:customStyle="1" w:styleId="Heading9Char">
    <w:name w:val="Heading 9 Char"/>
    <w:basedOn w:val="DefaultParagraphFont"/>
    <w:link w:val="Heading9"/>
    <w:uiPriority w:val="9"/>
    <w:rsid w:val="003D74C9"/>
    <w:rPr>
      <w:rFonts w:asciiTheme="majorHAnsi" w:eastAsiaTheme="majorEastAsia" w:hAnsiTheme="majorHAnsi" w:cstheme="majorBidi"/>
      <w:i/>
      <w:iCs/>
      <w:color w:val="404040" w:themeColor="text1" w:themeTint="BF"/>
      <w:sz w:val="20"/>
      <w:szCs w:val="20"/>
      <w:lang w:val="en-US" w:eastAsia="en-US"/>
    </w:rPr>
  </w:style>
  <w:style w:type="character" w:styleId="Emphasis">
    <w:name w:val="Emphasis"/>
    <w:basedOn w:val="DefaultParagraphFont"/>
    <w:uiPriority w:val="20"/>
    <w:qFormat/>
    <w:rsid w:val="00AF127F"/>
    <w:rPr>
      <w:i/>
      <w:iCs/>
    </w:rPr>
  </w:style>
  <w:style w:type="paragraph" w:styleId="TOC1">
    <w:name w:val="toc 1"/>
    <w:basedOn w:val="Normal"/>
    <w:next w:val="Normal"/>
    <w:autoRedefine/>
    <w:uiPriority w:val="39"/>
    <w:unhideWhenUsed/>
    <w:qFormat/>
    <w:rsid w:val="00B71838"/>
    <w:pPr>
      <w:tabs>
        <w:tab w:val="left" w:pos="567"/>
        <w:tab w:val="right" w:leader="dot" w:pos="9026"/>
      </w:tabs>
      <w:spacing w:before="120" w:after="0"/>
      <w:ind w:left="1440" w:hanging="1440"/>
    </w:pPr>
    <w:rPr>
      <w:b/>
      <w:szCs w:val="22"/>
    </w:rPr>
  </w:style>
  <w:style w:type="paragraph" w:styleId="Subtitle">
    <w:name w:val="Subtitle"/>
    <w:basedOn w:val="Normal"/>
    <w:next w:val="Normal"/>
    <w:link w:val="SubtitleChar"/>
    <w:uiPriority w:val="11"/>
    <w:qFormat/>
    <w:rsid w:val="00202E59"/>
    <w:pPr>
      <w:pBdr>
        <w:top w:val="double" w:sz="12" w:space="31" w:color="B66113"/>
        <w:bottom w:val="double" w:sz="12" w:space="1" w:color="B66113"/>
      </w:pBdr>
      <w:spacing w:before="120" w:after="120"/>
      <w:jc w:val="center"/>
    </w:pPr>
    <w:rPr>
      <w:rFonts w:cs="Arial"/>
      <w:b/>
      <w:color w:val="01653F"/>
      <w:spacing w:val="5"/>
      <w:sz w:val="48"/>
      <w:szCs w:val="48"/>
    </w:rPr>
  </w:style>
  <w:style w:type="character" w:customStyle="1" w:styleId="SubtitleChar">
    <w:name w:val="Subtitle Char"/>
    <w:basedOn w:val="DefaultParagraphFont"/>
    <w:link w:val="Subtitle"/>
    <w:uiPriority w:val="11"/>
    <w:rsid w:val="00202E59"/>
    <w:rPr>
      <w:rFonts w:asciiTheme="minorHAnsi" w:hAnsiTheme="minorHAnsi" w:cs="Arial"/>
      <w:b/>
      <w:color w:val="01653F"/>
      <w:spacing w:val="5"/>
      <w:sz w:val="48"/>
      <w:szCs w:val="48"/>
    </w:rPr>
  </w:style>
  <w:style w:type="paragraph" w:styleId="Title">
    <w:name w:val="Title"/>
    <w:basedOn w:val="Normal"/>
    <w:next w:val="Normal"/>
    <w:link w:val="TitleChar"/>
    <w:qFormat/>
    <w:rsid w:val="00202E59"/>
    <w:pPr>
      <w:pBdr>
        <w:top w:val="double" w:sz="12" w:space="31" w:color="B66113"/>
        <w:bottom w:val="double" w:sz="12" w:space="1" w:color="B66113"/>
      </w:pBdr>
      <w:spacing w:before="840" w:after="360"/>
      <w:contextualSpacing/>
      <w:jc w:val="center"/>
    </w:pPr>
    <w:rPr>
      <w:rFonts w:cs="Arial"/>
      <w:b/>
      <w:spacing w:val="5"/>
      <w:sz w:val="72"/>
      <w:szCs w:val="72"/>
    </w:rPr>
  </w:style>
  <w:style w:type="character" w:customStyle="1" w:styleId="TitleChar">
    <w:name w:val="Title Char"/>
    <w:basedOn w:val="DefaultParagraphFont"/>
    <w:link w:val="Title"/>
    <w:uiPriority w:val="10"/>
    <w:rsid w:val="00202E59"/>
    <w:rPr>
      <w:rFonts w:asciiTheme="minorHAnsi" w:hAnsiTheme="minorHAnsi" w:cs="Arial"/>
      <w:b/>
      <w:spacing w:val="5"/>
      <w:sz w:val="72"/>
      <w:szCs w:val="72"/>
    </w:rPr>
  </w:style>
  <w:style w:type="paragraph" w:styleId="NoSpacing">
    <w:name w:val="No Spacing"/>
    <w:link w:val="NoSpacingChar"/>
    <w:uiPriority w:val="1"/>
    <w:qFormat/>
    <w:rsid w:val="00AF127F"/>
    <w:rPr>
      <w:lang w:eastAsia="en-US"/>
    </w:rPr>
  </w:style>
  <w:style w:type="character" w:customStyle="1" w:styleId="NoSpacingChar">
    <w:name w:val="No Spacing Char"/>
    <w:basedOn w:val="DefaultParagraphFont"/>
    <w:link w:val="NoSpacing"/>
    <w:uiPriority w:val="1"/>
    <w:rsid w:val="00C204DC"/>
    <w:rPr>
      <w:lang w:eastAsia="en-US"/>
    </w:rPr>
  </w:style>
  <w:style w:type="paragraph" w:styleId="TOC2">
    <w:name w:val="toc 2"/>
    <w:basedOn w:val="Normal"/>
    <w:next w:val="Normal"/>
    <w:autoRedefine/>
    <w:uiPriority w:val="39"/>
    <w:unhideWhenUsed/>
    <w:qFormat/>
    <w:rsid w:val="0010682E"/>
    <w:pPr>
      <w:tabs>
        <w:tab w:val="left" w:pos="1134"/>
        <w:tab w:val="left" w:pos="1276"/>
        <w:tab w:val="right" w:leader="dot" w:pos="9026"/>
      </w:tabs>
      <w:spacing w:before="0" w:after="0"/>
      <w:ind w:left="1134" w:hanging="567"/>
    </w:pPr>
    <w:rPr>
      <w:szCs w:val="22"/>
    </w:rPr>
  </w:style>
  <w:style w:type="paragraph" w:styleId="Quote">
    <w:name w:val="Quote"/>
    <w:basedOn w:val="Normal"/>
    <w:next w:val="Normal"/>
    <w:link w:val="QuoteChar"/>
    <w:uiPriority w:val="29"/>
    <w:qFormat/>
    <w:rsid w:val="00AA7F29"/>
    <w:pPr>
      <w:ind w:left="567"/>
    </w:pPr>
    <w:rPr>
      <w:rFonts w:eastAsiaTheme="minorHAnsi" w:cs="Arial"/>
      <w:i/>
      <w:iCs/>
      <w:color w:val="000000" w:themeColor="text1"/>
      <w:szCs w:val="20"/>
      <w:lang w:val="en-US"/>
    </w:rPr>
  </w:style>
  <w:style w:type="character" w:customStyle="1" w:styleId="QuoteChar">
    <w:name w:val="Quote Char"/>
    <w:basedOn w:val="DefaultParagraphFont"/>
    <w:link w:val="Quote"/>
    <w:uiPriority w:val="29"/>
    <w:rsid w:val="00AA7F29"/>
    <w:rPr>
      <w:rFonts w:asciiTheme="minorHAnsi" w:eastAsiaTheme="minorHAnsi" w:hAnsiTheme="minorHAnsi" w:cs="Arial"/>
      <w:i/>
      <w:iCs/>
      <w:color w:val="000000" w:themeColor="text1"/>
      <w:sz w:val="22"/>
      <w:lang w:val="en-US"/>
    </w:rPr>
  </w:style>
  <w:style w:type="character" w:styleId="SubtleReference">
    <w:name w:val="Subtle Reference"/>
    <w:basedOn w:val="DefaultParagraphFont"/>
    <w:uiPriority w:val="31"/>
    <w:qFormat/>
    <w:rsid w:val="00AF127F"/>
    <w:rPr>
      <w:smallCaps/>
      <w:color w:val="58B6C0" w:themeColor="accent2"/>
      <w:u w:val="single"/>
    </w:rPr>
  </w:style>
  <w:style w:type="character" w:styleId="BookTitle">
    <w:name w:val="Book Title"/>
    <w:basedOn w:val="DefaultParagraphFont"/>
    <w:uiPriority w:val="33"/>
    <w:qFormat/>
    <w:rsid w:val="00AF127F"/>
    <w:rPr>
      <w:b/>
      <w:bCs/>
      <w:smallCaps/>
      <w:spacing w:val="5"/>
    </w:rPr>
  </w:style>
  <w:style w:type="table" w:styleId="TableGrid">
    <w:name w:val="Table Grid"/>
    <w:aliases w:val="Tristan's table"/>
    <w:basedOn w:val="TableNormal"/>
    <w:rsid w:val="00AF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D74C9"/>
    <w:pPr>
      <w:keepLines/>
      <w:pBdr>
        <w:bottom w:val="single" w:sz="4" w:space="1" w:color="auto"/>
      </w:pBdr>
      <w:spacing w:before="480" w:line="276" w:lineRule="auto"/>
      <w:outlineLvl w:val="9"/>
    </w:pPr>
    <w:rPr>
      <w:rFonts w:asciiTheme="majorHAnsi" w:eastAsiaTheme="majorEastAsia" w:hAnsiTheme="majorHAnsi" w:cstheme="majorBidi"/>
      <w:color w:val="276E8B" w:themeColor="accent1" w:themeShade="BF"/>
      <w:kern w:val="0"/>
      <w:sz w:val="24"/>
      <w:lang w:eastAsia="ja-JP"/>
    </w:rPr>
  </w:style>
  <w:style w:type="character" w:styleId="Hyperlink">
    <w:name w:val="Hyperlink"/>
    <w:basedOn w:val="DefaultParagraphFont"/>
    <w:uiPriority w:val="99"/>
    <w:unhideWhenUsed/>
    <w:rsid w:val="00AF127F"/>
    <w:rPr>
      <w:color w:val="6B9F25" w:themeColor="hyperlink"/>
      <w:u w:val="single"/>
    </w:rPr>
  </w:style>
  <w:style w:type="paragraph" w:styleId="BalloonText">
    <w:name w:val="Balloon Text"/>
    <w:basedOn w:val="Normal"/>
    <w:link w:val="BalloonTextChar"/>
    <w:rsid w:val="00AF127F"/>
    <w:rPr>
      <w:rFonts w:ascii="Tahoma" w:eastAsiaTheme="minorHAnsi" w:hAnsi="Tahoma" w:cs="Tahoma"/>
      <w:sz w:val="16"/>
      <w:szCs w:val="16"/>
    </w:rPr>
  </w:style>
  <w:style w:type="character" w:customStyle="1" w:styleId="BalloonTextChar">
    <w:name w:val="Balloon Text Char"/>
    <w:basedOn w:val="DefaultParagraphFont"/>
    <w:link w:val="BalloonText"/>
    <w:rsid w:val="00AF127F"/>
    <w:rPr>
      <w:rFonts w:ascii="Tahoma" w:hAnsi="Tahoma" w:cs="Tahoma"/>
      <w:sz w:val="16"/>
      <w:szCs w:val="16"/>
    </w:rPr>
  </w:style>
  <w:style w:type="paragraph" w:styleId="Header">
    <w:name w:val="header"/>
    <w:basedOn w:val="Normal"/>
    <w:link w:val="HeaderChar"/>
    <w:uiPriority w:val="99"/>
    <w:rsid w:val="00AF127F"/>
    <w:pPr>
      <w:tabs>
        <w:tab w:val="center" w:pos="4513"/>
        <w:tab w:val="right" w:pos="9026"/>
      </w:tabs>
    </w:pPr>
    <w:rPr>
      <w:rFonts w:eastAsiaTheme="minorHAnsi" w:cs="Arial"/>
      <w:szCs w:val="20"/>
    </w:rPr>
  </w:style>
  <w:style w:type="character" w:customStyle="1" w:styleId="HeaderChar">
    <w:name w:val="Header Char"/>
    <w:basedOn w:val="DefaultParagraphFont"/>
    <w:link w:val="Header"/>
    <w:uiPriority w:val="99"/>
    <w:rsid w:val="00AF127F"/>
    <w:rPr>
      <w:rFonts w:ascii="Arial" w:hAnsi="Arial"/>
      <w:sz w:val="24"/>
    </w:rPr>
  </w:style>
  <w:style w:type="paragraph" w:styleId="Footer">
    <w:name w:val="footer"/>
    <w:basedOn w:val="Normal"/>
    <w:link w:val="FooterChar"/>
    <w:uiPriority w:val="99"/>
    <w:rsid w:val="00AF127F"/>
    <w:pPr>
      <w:tabs>
        <w:tab w:val="center" w:pos="4513"/>
        <w:tab w:val="right" w:pos="9026"/>
      </w:tabs>
    </w:pPr>
    <w:rPr>
      <w:rFonts w:eastAsiaTheme="minorHAnsi" w:cs="Arial"/>
      <w:szCs w:val="20"/>
    </w:rPr>
  </w:style>
  <w:style w:type="character" w:customStyle="1" w:styleId="FooterChar">
    <w:name w:val="Footer Char"/>
    <w:basedOn w:val="DefaultParagraphFont"/>
    <w:link w:val="Footer"/>
    <w:uiPriority w:val="99"/>
    <w:rsid w:val="00AF127F"/>
    <w:rPr>
      <w:rFonts w:ascii="Arial" w:hAnsi="Arial"/>
      <w:sz w:val="24"/>
    </w:rPr>
  </w:style>
  <w:style w:type="paragraph" w:styleId="Caption">
    <w:name w:val="caption"/>
    <w:basedOn w:val="Normal"/>
    <w:next w:val="Normal"/>
    <w:link w:val="CaptionChar"/>
    <w:unhideWhenUsed/>
    <w:qFormat/>
    <w:rsid w:val="00720B8D"/>
    <w:pPr>
      <w:keepNext/>
      <w:spacing w:before="120" w:after="120" w:line="240" w:lineRule="auto"/>
    </w:pPr>
    <w:rPr>
      <w:rFonts w:eastAsiaTheme="minorHAnsi" w:cs="Arial"/>
      <w:i/>
      <w:sz w:val="20"/>
      <w:szCs w:val="22"/>
      <w:lang w:eastAsia="en-US"/>
    </w:rPr>
  </w:style>
  <w:style w:type="character" w:customStyle="1" w:styleId="CaptionChar">
    <w:name w:val="Caption Char"/>
    <w:basedOn w:val="DefaultParagraphFont"/>
    <w:link w:val="Caption"/>
    <w:rsid w:val="00720B8D"/>
    <w:rPr>
      <w:rFonts w:asciiTheme="minorHAnsi" w:eastAsiaTheme="minorHAnsi" w:hAnsiTheme="minorHAnsi" w:cs="Arial"/>
      <w:i/>
      <w:sz w:val="20"/>
      <w:szCs w:val="22"/>
      <w:lang w:eastAsia="en-US"/>
    </w:rPr>
  </w:style>
  <w:style w:type="paragraph" w:customStyle="1" w:styleId="Default">
    <w:name w:val="Default"/>
    <w:rsid w:val="00AF127F"/>
    <w:pPr>
      <w:autoSpaceDE w:val="0"/>
      <w:autoSpaceDN w:val="0"/>
      <w:adjustRightInd w:val="0"/>
    </w:pPr>
    <w:rPr>
      <w:rFonts w:ascii="Calibri" w:hAnsi="Calibri" w:cs="Calibri"/>
      <w:color w:val="000000"/>
    </w:rPr>
  </w:style>
  <w:style w:type="paragraph" w:styleId="TOC3">
    <w:name w:val="toc 3"/>
    <w:basedOn w:val="Normal"/>
    <w:next w:val="Normal"/>
    <w:autoRedefine/>
    <w:uiPriority w:val="39"/>
    <w:qFormat/>
    <w:rsid w:val="003B609E"/>
    <w:pPr>
      <w:spacing w:before="0" w:after="0"/>
      <w:ind w:left="567"/>
    </w:pPr>
    <w:rPr>
      <w:i/>
      <w:szCs w:val="22"/>
    </w:rPr>
  </w:style>
  <w:style w:type="character" w:styleId="PageNumber">
    <w:name w:val="page number"/>
    <w:basedOn w:val="DefaultParagraphFont"/>
    <w:rsid w:val="006C0049"/>
  </w:style>
  <w:style w:type="paragraph" w:styleId="BodyText">
    <w:name w:val="Body Text"/>
    <w:basedOn w:val="Normal"/>
    <w:link w:val="BodyTextChar"/>
    <w:rsid w:val="006C0049"/>
    <w:pPr>
      <w:spacing w:after="120"/>
    </w:pPr>
    <w:rPr>
      <w:rFonts w:eastAsiaTheme="minorHAnsi" w:cs="Arial"/>
      <w:szCs w:val="20"/>
    </w:rPr>
  </w:style>
  <w:style w:type="character" w:customStyle="1" w:styleId="BodyTextChar">
    <w:name w:val="Body Text Char"/>
    <w:basedOn w:val="DefaultParagraphFont"/>
    <w:link w:val="BodyText"/>
    <w:rsid w:val="006C0049"/>
    <w:rPr>
      <w:rFonts w:ascii="Arial" w:hAnsi="Arial"/>
      <w:sz w:val="24"/>
    </w:rPr>
  </w:style>
  <w:style w:type="paragraph" w:customStyle="1" w:styleId="departmentalnormal">
    <w:name w:val="departmentalnormal"/>
    <w:basedOn w:val="Normal"/>
    <w:rsid w:val="006C0049"/>
    <w:pPr>
      <w:spacing w:before="100" w:beforeAutospacing="1" w:after="100" w:afterAutospacing="1"/>
    </w:pPr>
    <w:rPr>
      <w:rFonts w:eastAsiaTheme="minorHAnsi" w:cs="Arial"/>
      <w:szCs w:val="22"/>
    </w:rPr>
  </w:style>
  <w:style w:type="paragraph" w:styleId="BodyText3">
    <w:name w:val="Body Text 3"/>
    <w:basedOn w:val="Normal"/>
    <w:link w:val="BodyText3Char"/>
    <w:rsid w:val="006C0049"/>
    <w:pPr>
      <w:spacing w:after="120"/>
    </w:pPr>
    <w:rPr>
      <w:rFonts w:eastAsiaTheme="minorHAnsi" w:cs="Arial"/>
      <w:sz w:val="16"/>
      <w:szCs w:val="16"/>
    </w:rPr>
  </w:style>
  <w:style w:type="character" w:customStyle="1" w:styleId="BodyText3Char">
    <w:name w:val="Body Text 3 Char"/>
    <w:basedOn w:val="DefaultParagraphFont"/>
    <w:link w:val="BodyText3"/>
    <w:rsid w:val="006C0049"/>
    <w:rPr>
      <w:rFonts w:ascii="Arial" w:hAnsi="Arial"/>
      <w:sz w:val="16"/>
      <w:szCs w:val="16"/>
    </w:rPr>
  </w:style>
  <w:style w:type="paragraph" w:styleId="BodyTextIndent">
    <w:name w:val="Body Text Indent"/>
    <w:basedOn w:val="Normal"/>
    <w:link w:val="BodyTextIndentChar"/>
    <w:rsid w:val="006C0049"/>
    <w:pPr>
      <w:spacing w:after="120"/>
      <w:ind w:left="283"/>
    </w:pPr>
    <w:rPr>
      <w:rFonts w:eastAsiaTheme="minorHAnsi" w:cs="Arial"/>
      <w:szCs w:val="20"/>
    </w:rPr>
  </w:style>
  <w:style w:type="character" w:customStyle="1" w:styleId="BodyTextIndentChar">
    <w:name w:val="Body Text Indent Char"/>
    <w:basedOn w:val="DefaultParagraphFont"/>
    <w:link w:val="BodyTextIndent"/>
    <w:rsid w:val="006C0049"/>
    <w:rPr>
      <w:rFonts w:ascii="Arial" w:hAnsi="Arial"/>
      <w:sz w:val="24"/>
    </w:rPr>
  </w:style>
  <w:style w:type="paragraph" w:customStyle="1" w:styleId="DepartmentalNormal0">
    <w:name w:val="Departmental Normal"/>
    <w:basedOn w:val="Normal"/>
    <w:rsid w:val="006C0049"/>
    <w:rPr>
      <w:rFonts w:eastAsiaTheme="minorHAnsi" w:cs="Arial"/>
      <w:szCs w:val="20"/>
    </w:rPr>
  </w:style>
  <w:style w:type="paragraph" w:customStyle="1" w:styleId="CharCharChar">
    <w:name w:val="Char Char Char"/>
    <w:basedOn w:val="Normal"/>
    <w:rsid w:val="006C0049"/>
    <w:rPr>
      <w:rFonts w:eastAsiaTheme="minorHAnsi" w:cs="Arial"/>
      <w:szCs w:val="22"/>
      <w:lang w:eastAsia="en-US"/>
    </w:rPr>
  </w:style>
  <w:style w:type="paragraph" w:styleId="NormalWeb">
    <w:name w:val="Normal (Web)"/>
    <w:basedOn w:val="Normal"/>
    <w:uiPriority w:val="99"/>
    <w:unhideWhenUsed/>
    <w:rsid w:val="006C0049"/>
    <w:pPr>
      <w:spacing w:before="100" w:beforeAutospacing="1" w:after="100" w:afterAutospacing="1"/>
    </w:pPr>
    <w:rPr>
      <w:rFonts w:eastAsiaTheme="minorHAnsi" w:cs="Arial"/>
      <w:szCs w:val="22"/>
    </w:rPr>
  </w:style>
  <w:style w:type="character" w:customStyle="1" w:styleId="source-copyright1">
    <w:name w:val="source-copyright1"/>
    <w:basedOn w:val="DefaultParagraphFont"/>
    <w:rsid w:val="006C0049"/>
    <w:rPr>
      <w:sz w:val="20"/>
      <w:szCs w:val="20"/>
    </w:rPr>
  </w:style>
  <w:style w:type="paragraph" w:customStyle="1" w:styleId="NormalBulleted">
    <w:name w:val="Normal Bulleted"/>
    <w:basedOn w:val="Normal"/>
    <w:link w:val="NormalBulletedChar"/>
    <w:qFormat/>
    <w:rsid w:val="001D1C52"/>
    <w:pPr>
      <w:numPr>
        <w:numId w:val="5"/>
      </w:numPr>
      <w:contextualSpacing/>
    </w:pPr>
    <w:rPr>
      <w:rFonts w:eastAsiaTheme="minorHAnsi" w:cs="Arial"/>
      <w:color w:val="000000" w:themeColor="text1"/>
      <w:szCs w:val="22"/>
    </w:rPr>
  </w:style>
  <w:style w:type="character" w:customStyle="1" w:styleId="NormalBulletedChar">
    <w:name w:val="Normal Bulleted Char"/>
    <w:basedOn w:val="DefaultParagraphFont"/>
    <w:link w:val="NormalBulleted"/>
    <w:rsid w:val="009D1CB7"/>
    <w:rPr>
      <w:rFonts w:asciiTheme="minorHAnsi" w:eastAsiaTheme="minorHAnsi" w:hAnsiTheme="minorHAnsi" w:cs="Arial"/>
      <w:color w:val="000000" w:themeColor="text1"/>
      <w:sz w:val="22"/>
      <w:szCs w:val="22"/>
    </w:rPr>
  </w:style>
  <w:style w:type="paragraph" w:styleId="z-BottomofForm">
    <w:name w:val="HTML Bottom of Form"/>
    <w:basedOn w:val="Normal"/>
    <w:next w:val="Normal"/>
    <w:link w:val="z-BottomofFormChar"/>
    <w:hidden/>
    <w:uiPriority w:val="99"/>
    <w:unhideWhenUsed/>
    <w:rsid w:val="002D6FCA"/>
    <w:pPr>
      <w:pBdr>
        <w:top w:val="single" w:sz="6" w:space="1" w:color="auto"/>
      </w:pBdr>
      <w:jc w:val="center"/>
    </w:pPr>
    <w:rPr>
      <w:rFonts w:eastAsiaTheme="minorHAnsi" w:cs="Arial"/>
      <w:vanish/>
      <w:sz w:val="16"/>
      <w:szCs w:val="16"/>
    </w:rPr>
  </w:style>
  <w:style w:type="character" w:customStyle="1" w:styleId="z-BottomofFormChar">
    <w:name w:val="z-Bottom of Form Char"/>
    <w:basedOn w:val="DefaultParagraphFont"/>
    <w:link w:val="z-BottomofForm"/>
    <w:uiPriority w:val="99"/>
    <w:rsid w:val="002D6FCA"/>
    <w:rPr>
      <w:rFonts w:ascii="Arial" w:hAnsi="Arial" w:cs="Arial"/>
      <w:vanish/>
      <w:sz w:val="16"/>
      <w:szCs w:val="16"/>
    </w:rPr>
  </w:style>
  <w:style w:type="paragraph" w:styleId="BodyTextIndent2">
    <w:name w:val="Body Text Indent 2"/>
    <w:basedOn w:val="Normal"/>
    <w:link w:val="BodyTextIndent2Char"/>
    <w:rsid w:val="003C2F8E"/>
    <w:pPr>
      <w:spacing w:after="120" w:line="480" w:lineRule="auto"/>
      <w:ind w:left="283"/>
    </w:pPr>
    <w:rPr>
      <w:rFonts w:eastAsiaTheme="minorHAnsi" w:cs="Arial"/>
      <w:szCs w:val="22"/>
      <w:lang w:val="en-US" w:eastAsia="en-US"/>
    </w:rPr>
  </w:style>
  <w:style w:type="character" w:customStyle="1" w:styleId="BodyTextIndent2Char">
    <w:name w:val="Body Text Indent 2 Char"/>
    <w:basedOn w:val="DefaultParagraphFont"/>
    <w:link w:val="BodyTextIndent2"/>
    <w:rsid w:val="003C2F8E"/>
    <w:rPr>
      <w:sz w:val="24"/>
      <w:szCs w:val="24"/>
      <w:lang w:val="en-US" w:eastAsia="en-US"/>
    </w:rPr>
  </w:style>
  <w:style w:type="paragraph" w:customStyle="1" w:styleId="02Tabletext">
    <w:name w:val="02. Table text"/>
    <w:basedOn w:val="Normal"/>
    <w:next w:val="Normal"/>
    <w:link w:val="02TabletextChar"/>
    <w:qFormat/>
    <w:rsid w:val="00343775"/>
    <w:pPr>
      <w:spacing w:before="40"/>
    </w:pPr>
  </w:style>
  <w:style w:type="character" w:customStyle="1" w:styleId="02TabletextChar">
    <w:name w:val="02. Table text Char"/>
    <w:basedOn w:val="DefaultParagraphFont"/>
    <w:link w:val="02Tabletext"/>
    <w:rsid w:val="00343775"/>
    <w:rPr>
      <w:rFonts w:asciiTheme="minorHAnsi" w:hAnsiTheme="minorHAnsi"/>
      <w:sz w:val="22"/>
      <w:szCs w:val="24"/>
    </w:rPr>
  </w:style>
  <w:style w:type="paragraph" w:customStyle="1" w:styleId="01Tableheaderrow">
    <w:name w:val="01. Table header row"/>
    <w:link w:val="01TableheaderrowChar"/>
    <w:qFormat/>
    <w:rsid w:val="00386D66"/>
    <w:pPr>
      <w:keepNext/>
      <w:spacing w:before="40"/>
    </w:pPr>
    <w:rPr>
      <w:rFonts w:ascii="Arial" w:eastAsiaTheme="minorHAnsi" w:hAnsi="Arial"/>
      <w:b/>
      <w:sz w:val="18"/>
      <w:szCs w:val="22"/>
      <w:lang w:eastAsia="en-US"/>
    </w:rPr>
  </w:style>
  <w:style w:type="character" w:customStyle="1" w:styleId="01TableheaderrowChar">
    <w:name w:val="01. Table header row Char"/>
    <w:basedOn w:val="02TabletextChar"/>
    <w:link w:val="01Tableheaderrow"/>
    <w:rsid w:val="00386D66"/>
    <w:rPr>
      <w:rFonts w:ascii="Arial" w:eastAsiaTheme="minorHAnsi" w:hAnsi="Arial"/>
      <w:b/>
      <w:sz w:val="18"/>
      <w:szCs w:val="22"/>
      <w:lang w:eastAsia="en-US"/>
    </w:rPr>
  </w:style>
  <w:style w:type="character" w:styleId="FollowedHyperlink">
    <w:name w:val="FollowedHyperlink"/>
    <w:basedOn w:val="DefaultParagraphFont"/>
    <w:rsid w:val="009B5C97"/>
    <w:rPr>
      <w:color w:val="9F6715" w:themeColor="followedHyperlink"/>
      <w:u w:val="single"/>
    </w:rPr>
  </w:style>
  <w:style w:type="table" w:customStyle="1" w:styleId="TableGrid1">
    <w:name w:val="Table Grid1"/>
    <w:basedOn w:val="TableNormal"/>
    <w:next w:val="TableGrid"/>
    <w:rsid w:val="00BA07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Bulleted"/>
    <w:autoRedefine/>
    <w:rsid w:val="003D74C9"/>
    <w:pPr>
      <w:spacing w:before="0" w:after="0" w:line="240" w:lineRule="auto"/>
    </w:pPr>
    <w:rPr>
      <w:rFonts w:eastAsia="Times New Roman"/>
      <w:szCs w:val="24"/>
    </w:rPr>
  </w:style>
  <w:style w:type="paragraph" w:customStyle="1" w:styleId="Bullet2">
    <w:name w:val="Bullet 2"/>
    <w:basedOn w:val="Normal"/>
    <w:rsid w:val="001D1C52"/>
    <w:pPr>
      <w:numPr>
        <w:ilvl w:val="1"/>
        <w:numId w:val="2"/>
      </w:numPr>
      <w:spacing w:before="120"/>
      <w:ind w:left="1077" w:hanging="357"/>
    </w:pPr>
    <w:rPr>
      <w:rFonts w:eastAsiaTheme="minorHAnsi" w:cs="Arial"/>
      <w:szCs w:val="22"/>
    </w:rPr>
  </w:style>
  <w:style w:type="paragraph" w:customStyle="1" w:styleId="Bullet3">
    <w:name w:val="Bullet 3"/>
    <w:basedOn w:val="Normal"/>
    <w:rsid w:val="001D1C52"/>
    <w:pPr>
      <w:numPr>
        <w:ilvl w:val="2"/>
        <w:numId w:val="1"/>
      </w:numPr>
      <w:spacing w:before="120"/>
      <w:ind w:left="1797" w:hanging="357"/>
    </w:pPr>
    <w:rPr>
      <w:rFonts w:eastAsiaTheme="minorHAnsi" w:cs="Arial"/>
      <w:szCs w:val="22"/>
    </w:rPr>
  </w:style>
  <w:style w:type="paragraph" w:styleId="TOC4">
    <w:name w:val="toc 4"/>
    <w:basedOn w:val="Normal"/>
    <w:next w:val="Normal"/>
    <w:autoRedefine/>
    <w:unhideWhenUsed/>
    <w:rsid w:val="00C56DF9"/>
    <w:pPr>
      <w:spacing w:before="0" w:after="0"/>
      <w:ind w:left="660"/>
    </w:pPr>
    <w:rPr>
      <w:sz w:val="18"/>
      <w:szCs w:val="18"/>
    </w:rPr>
  </w:style>
  <w:style w:type="paragraph" w:styleId="TOC5">
    <w:name w:val="toc 5"/>
    <w:basedOn w:val="Normal"/>
    <w:next w:val="Normal"/>
    <w:autoRedefine/>
    <w:unhideWhenUsed/>
    <w:rsid w:val="00C56DF9"/>
    <w:pPr>
      <w:spacing w:before="0" w:after="0"/>
      <w:ind w:left="880"/>
    </w:pPr>
    <w:rPr>
      <w:sz w:val="18"/>
      <w:szCs w:val="18"/>
    </w:rPr>
  </w:style>
  <w:style w:type="paragraph" w:styleId="TOC6">
    <w:name w:val="toc 6"/>
    <w:basedOn w:val="Normal"/>
    <w:next w:val="Normal"/>
    <w:autoRedefine/>
    <w:unhideWhenUsed/>
    <w:rsid w:val="00C56DF9"/>
    <w:pPr>
      <w:spacing w:before="0" w:after="0"/>
      <w:ind w:left="1100"/>
    </w:pPr>
    <w:rPr>
      <w:sz w:val="18"/>
      <w:szCs w:val="18"/>
    </w:rPr>
  </w:style>
  <w:style w:type="paragraph" w:styleId="TOC7">
    <w:name w:val="toc 7"/>
    <w:basedOn w:val="Normal"/>
    <w:next w:val="Normal"/>
    <w:autoRedefine/>
    <w:unhideWhenUsed/>
    <w:rsid w:val="00C56DF9"/>
    <w:pPr>
      <w:spacing w:before="0" w:after="0"/>
      <w:ind w:left="1320"/>
    </w:pPr>
    <w:rPr>
      <w:sz w:val="18"/>
      <w:szCs w:val="18"/>
    </w:rPr>
  </w:style>
  <w:style w:type="paragraph" w:styleId="TOC8">
    <w:name w:val="toc 8"/>
    <w:basedOn w:val="Normal"/>
    <w:next w:val="Normal"/>
    <w:autoRedefine/>
    <w:unhideWhenUsed/>
    <w:rsid w:val="00C56DF9"/>
    <w:pPr>
      <w:spacing w:before="0" w:after="0"/>
      <w:ind w:left="1540"/>
    </w:pPr>
    <w:rPr>
      <w:sz w:val="18"/>
      <w:szCs w:val="18"/>
    </w:rPr>
  </w:style>
  <w:style w:type="paragraph" w:styleId="TOC9">
    <w:name w:val="toc 9"/>
    <w:basedOn w:val="Normal"/>
    <w:next w:val="Normal"/>
    <w:autoRedefine/>
    <w:unhideWhenUsed/>
    <w:rsid w:val="00C56DF9"/>
    <w:pPr>
      <w:spacing w:before="0" w:after="0"/>
      <w:ind w:left="1760"/>
    </w:pPr>
    <w:rPr>
      <w:sz w:val="18"/>
      <w:szCs w:val="18"/>
    </w:rPr>
  </w:style>
  <w:style w:type="character" w:styleId="CommentReference">
    <w:name w:val="annotation reference"/>
    <w:basedOn w:val="DefaultParagraphFont"/>
    <w:unhideWhenUsed/>
    <w:rsid w:val="000337EF"/>
    <w:rPr>
      <w:sz w:val="16"/>
      <w:szCs w:val="16"/>
    </w:rPr>
  </w:style>
  <w:style w:type="paragraph" w:styleId="CommentText">
    <w:name w:val="annotation text"/>
    <w:basedOn w:val="Normal"/>
    <w:link w:val="CommentTextChar"/>
    <w:unhideWhenUsed/>
    <w:rsid w:val="000337EF"/>
    <w:rPr>
      <w:sz w:val="20"/>
      <w:szCs w:val="20"/>
    </w:rPr>
  </w:style>
  <w:style w:type="character" w:customStyle="1" w:styleId="CommentTextChar">
    <w:name w:val="Comment Text Char"/>
    <w:basedOn w:val="DefaultParagraphFont"/>
    <w:link w:val="CommentText"/>
    <w:rsid w:val="000337EF"/>
    <w:rPr>
      <w:rFonts w:ascii="Arial" w:hAnsi="Arial"/>
    </w:rPr>
  </w:style>
  <w:style w:type="paragraph" w:customStyle="1" w:styleId="03undertabletext">
    <w:name w:val="03. under table text"/>
    <w:basedOn w:val="Heading1"/>
    <w:rsid w:val="00A32201"/>
    <w:pPr>
      <w:spacing w:before="0"/>
    </w:pPr>
    <w:rPr>
      <w:b w:val="0"/>
      <w:color w:val="000000" w:themeColor="text1"/>
      <w:sz w:val="18"/>
      <w:szCs w:val="18"/>
    </w:rPr>
  </w:style>
  <w:style w:type="table" w:customStyle="1" w:styleId="TableGrid2">
    <w:name w:val="Table Grid2"/>
    <w:basedOn w:val="TableNormal"/>
    <w:next w:val="TableGrid"/>
    <w:rsid w:val="00585C9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Smallcaps">
    <w:name w:val="00 Small caps"/>
    <w:basedOn w:val="Normal"/>
    <w:uiPriority w:val="6"/>
    <w:qFormat/>
    <w:rsid w:val="001D1C52"/>
    <w:pPr>
      <w:keepNext/>
      <w:spacing w:before="120" w:line="240" w:lineRule="auto"/>
      <w:outlineLvl w:val="0"/>
    </w:pPr>
    <w:rPr>
      <w:rFonts w:ascii="Arial Bold" w:hAnsi="Arial Bold" w:cs="Arial"/>
      <w:b/>
      <w:smallCaps/>
      <w:kern w:val="32"/>
      <w:szCs w:val="22"/>
    </w:rPr>
  </w:style>
  <w:style w:type="paragraph" w:styleId="Bibliography">
    <w:name w:val="Bibliography"/>
    <w:basedOn w:val="Normal"/>
    <w:next w:val="Normal"/>
    <w:uiPriority w:val="37"/>
    <w:unhideWhenUsed/>
    <w:rsid w:val="007D2992"/>
  </w:style>
  <w:style w:type="table" w:customStyle="1" w:styleId="PlainTable21">
    <w:name w:val="Plain Table 21"/>
    <w:basedOn w:val="TableNormal"/>
    <w:uiPriority w:val="42"/>
    <w:rsid w:val="007634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76349B"/>
    <w:rPr>
      <w:rFonts w:ascii="Arial" w:hAnsi="Arial"/>
      <w:sz w:val="18"/>
    </w:rPr>
    <w:tblPr>
      <w:tblBorders>
        <w:top w:val="single" w:sz="4" w:space="0" w:color="auto"/>
        <w:bottom w:val="single" w:sz="4" w:space="0" w:color="auto"/>
      </w:tblBorders>
    </w:tblPr>
  </w:style>
  <w:style w:type="table" w:customStyle="1" w:styleId="PlainTable41">
    <w:name w:val="Plain Table 41"/>
    <w:basedOn w:val="TableNormal"/>
    <w:uiPriority w:val="44"/>
    <w:rsid w:val="003C3E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1043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2Report">
    <w:name w:val="Heading 2 Report"/>
    <w:basedOn w:val="Heading2"/>
    <w:link w:val="Heading2ReportChar"/>
    <w:rsid w:val="003D74C9"/>
  </w:style>
  <w:style w:type="character" w:customStyle="1" w:styleId="Heading2ReportChar">
    <w:name w:val="Heading 2 Report Char"/>
    <w:basedOn w:val="DefaultParagraphFont"/>
    <w:link w:val="Heading2Report"/>
    <w:rsid w:val="003D74C9"/>
    <w:rPr>
      <w:rFonts w:asciiTheme="minorHAnsi" w:eastAsiaTheme="minorHAnsi" w:hAnsiTheme="minorHAnsi" w:cs="Arial"/>
      <w:b/>
      <w:bCs/>
      <w:iCs/>
      <w:color w:val="01653F"/>
      <w:sz w:val="26"/>
      <w:szCs w:val="22"/>
      <w:lang w:val="en-US" w:eastAsia="en-US"/>
    </w:rPr>
  </w:style>
  <w:style w:type="paragraph" w:customStyle="1" w:styleId="AppendixStyle1">
    <w:name w:val="Appendix Style 1"/>
    <w:basedOn w:val="Normal"/>
    <w:next w:val="Normal"/>
    <w:qFormat/>
    <w:rsid w:val="00F85147"/>
    <w:pPr>
      <w:numPr>
        <w:numId w:val="3"/>
      </w:numPr>
      <w:spacing w:before="0" w:after="0"/>
      <w:outlineLvl w:val="0"/>
    </w:pPr>
    <w:rPr>
      <w:rFonts w:cs="Arial"/>
      <w:b/>
      <w:color w:val="01653F"/>
      <w:sz w:val="32"/>
      <w:lang w:val="en-US" w:eastAsia="en-US"/>
    </w:rPr>
  </w:style>
  <w:style w:type="table" w:customStyle="1" w:styleId="TableGrid3">
    <w:name w:val="Table Grid3"/>
    <w:basedOn w:val="TableNormal"/>
    <w:next w:val="TableGrid"/>
    <w:rsid w:val="00536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label">
    <w:name w:val="ref-label"/>
    <w:basedOn w:val="DefaultParagraphFont"/>
    <w:rsid w:val="00F417F4"/>
  </w:style>
  <w:style w:type="paragraph" w:customStyle="1" w:styleId="bulletindent1">
    <w:name w:val="bulletindent1"/>
    <w:basedOn w:val="Normal"/>
    <w:rsid w:val="00F417F4"/>
    <w:pPr>
      <w:spacing w:before="100" w:beforeAutospacing="1" w:after="100" w:afterAutospacing="1"/>
    </w:pPr>
    <w:rPr>
      <w:rFonts w:ascii="Times New Roman" w:hAnsi="Times New Roman"/>
      <w:sz w:val="24"/>
    </w:rPr>
  </w:style>
  <w:style w:type="paragraph" w:customStyle="1" w:styleId="Numbering">
    <w:name w:val="Numbering"/>
    <w:basedOn w:val="NormalBulleted"/>
    <w:link w:val="NumberingChar"/>
    <w:uiPriority w:val="14"/>
    <w:qFormat/>
    <w:rsid w:val="003B0769"/>
    <w:pPr>
      <w:numPr>
        <w:numId w:val="0"/>
      </w:numPr>
      <w:spacing w:before="120" w:after="120"/>
    </w:pPr>
    <w:rPr>
      <w:lang w:val="en-US" w:eastAsia="en-US"/>
    </w:rPr>
  </w:style>
  <w:style w:type="character" w:customStyle="1" w:styleId="NumberingChar">
    <w:name w:val="Numbering Char"/>
    <w:basedOn w:val="DefaultParagraphFont"/>
    <w:link w:val="Numbering"/>
    <w:uiPriority w:val="14"/>
    <w:rsid w:val="001D1C52"/>
    <w:rPr>
      <w:rFonts w:asciiTheme="minorHAnsi" w:eastAsiaTheme="minorHAnsi" w:hAnsiTheme="minorHAnsi" w:cs="Arial"/>
      <w:color w:val="000000" w:themeColor="text1"/>
      <w:sz w:val="22"/>
      <w:szCs w:val="22"/>
      <w:lang w:val="en-US" w:eastAsia="en-US"/>
    </w:rPr>
  </w:style>
  <w:style w:type="paragraph" w:styleId="DocumentMap">
    <w:name w:val="Document Map"/>
    <w:basedOn w:val="Normal"/>
    <w:link w:val="DocumentMapChar"/>
    <w:semiHidden/>
    <w:unhideWhenUsed/>
    <w:rsid w:val="0060697D"/>
    <w:pPr>
      <w:spacing w:before="0" w:after="0" w:line="240" w:lineRule="auto"/>
    </w:pPr>
    <w:rPr>
      <w:rFonts w:ascii="Times New Roman" w:hAnsi="Times New Roman"/>
      <w:sz w:val="24"/>
    </w:rPr>
  </w:style>
  <w:style w:type="character" w:customStyle="1" w:styleId="DocumentMapChar">
    <w:name w:val="Document Map Char"/>
    <w:basedOn w:val="DefaultParagraphFont"/>
    <w:link w:val="DocumentMap"/>
    <w:semiHidden/>
    <w:rsid w:val="0060697D"/>
    <w:rPr>
      <w:sz w:val="24"/>
      <w:szCs w:val="24"/>
    </w:rPr>
  </w:style>
  <w:style w:type="paragraph" w:styleId="EndnoteText">
    <w:name w:val="endnote text"/>
    <w:basedOn w:val="Normal"/>
    <w:link w:val="EndnoteTextChar"/>
    <w:uiPriority w:val="99"/>
    <w:unhideWhenUsed/>
    <w:rsid w:val="00303AE1"/>
    <w:pPr>
      <w:spacing w:before="0" w:after="0" w:line="240" w:lineRule="auto"/>
    </w:pPr>
    <w:rPr>
      <w:sz w:val="24"/>
    </w:rPr>
  </w:style>
  <w:style w:type="character" w:customStyle="1" w:styleId="EndnoteTextChar">
    <w:name w:val="Endnote Text Char"/>
    <w:basedOn w:val="DefaultParagraphFont"/>
    <w:link w:val="EndnoteText"/>
    <w:uiPriority w:val="99"/>
    <w:rsid w:val="00303AE1"/>
    <w:rPr>
      <w:rFonts w:asciiTheme="minorHAnsi" w:hAnsiTheme="minorHAnsi"/>
      <w:sz w:val="24"/>
      <w:szCs w:val="24"/>
    </w:rPr>
  </w:style>
  <w:style w:type="character" w:styleId="EndnoteReference">
    <w:name w:val="endnote reference"/>
    <w:basedOn w:val="DefaultParagraphFont"/>
    <w:uiPriority w:val="99"/>
    <w:unhideWhenUsed/>
    <w:rsid w:val="00303AE1"/>
    <w:rPr>
      <w:vertAlign w:val="superscript"/>
    </w:rPr>
  </w:style>
  <w:style w:type="paragraph" w:customStyle="1" w:styleId="Rec">
    <w:name w:val="Rec"/>
    <w:basedOn w:val="Normal"/>
    <w:link w:val="RecChar"/>
    <w:qFormat/>
    <w:rsid w:val="00700528"/>
    <w:pPr>
      <w:numPr>
        <w:numId w:val="4"/>
      </w:numPr>
      <w:spacing w:before="120" w:after="120"/>
    </w:pPr>
    <w:rPr>
      <w:rFonts w:cs="Arial"/>
      <w:b/>
      <w:i/>
      <w:color w:val="01653F"/>
      <w:sz w:val="24"/>
      <w:szCs w:val="22"/>
    </w:rPr>
  </w:style>
  <w:style w:type="character" w:customStyle="1" w:styleId="RecChar">
    <w:name w:val="Rec Char"/>
    <w:basedOn w:val="DefaultParagraphFont"/>
    <w:link w:val="Rec"/>
    <w:rsid w:val="00226919"/>
    <w:rPr>
      <w:rFonts w:asciiTheme="minorHAnsi" w:hAnsiTheme="minorHAnsi" w:cs="Arial"/>
      <w:b/>
      <w:i/>
      <w:color w:val="01653F"/>
      <w:szCs w:val="22"/>
    </w:rPr>
  </w:style>
  <w:style w:type="paragraph" w:customStyle="1" w:styleId="Caption2">
    <w:name w:val="Caption 2"/>
    <w:basedOn w:val="Caption"/>
    <w:link w:val="Caption2Char"/>
    <w:qFormat/>
    <w:rsid w:val="00BC209F"/>
    <w:rPr>
      <w:rFonts w:ascii="Arial" w:hAnsi="Arial"/>
      <w:b/>
      <w:bCs/>
      <w:i w:val="0"/>
      <w:sz w:val="24"/>
      <w:szCs w:val="24"/>
    </w:rPr>
  </w:style>
  <w:style w:type="character" w:customStyle="1" w:styleId="Caption2Char">
    <w:name w:val="Caption 2 Char"/>
    <w:basedOn w:val="CaptionChar"/>
    <w:link w:val="Caption2"/>
    <w:rsid w:val="00BC209F"/>
    <w:rPr>
      <w:rFonts w:ascii="Arial" w:eastAsiaTheme="minorHAnsi" w:hAnsi="Arial" w:cs="Arial"/>
      <w:b/>
      <w:bCs/>
      <w:i w:val="0"/>
      <w:sz w:val="20"/>
      <w:szCs w:val="22"/>
      <w:lang w:eastAsia="en-US"/>
    </w:rPr>
  </w:style>
  <w:style w:type="paragraph" w:styleId="PlainText">
    <w:name w:val="Plain Text"/>
    <w:basedOn w:val="Normal"/>
    <w:link w:val="PlainTextChar"/>
    <w:uiPriority w:val="99"/>
    <w:unhideWhenUsed/>
    <w:rsid w:val="00BC209F"/>
    <w:pPr>
      <w:spacing w:before="0"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BC209F"/>
    <w:rPr>
      <w:rFonts w:ascii="Calibri" w:eastAsiaTheme="minorHAnsi" w:hAnsi="Calibri"/>
      <w:sz w:val="22"/>
      <w:szCs w:val="21"/>
    </w:rPr>
  </w:style>
  <w:style w:type="paragraph" w:customStyle="1" w:styleId="xmsonormal">
    <w:name w:val="x_msonormal"/>
    <w:basedOn w:val="Normal"/>
    <w:rsid w:val="00BC209F"/>
    <w:pPr>
      <w:spacing w:before="100" w:beforeAutospacing="1" w:after="100" w:afterAutospacing="1" w:line="240" w:lineRule="auto"/>
    </w:pPr>
    <w:rPr>
      <w:rFonts w:ascii="Times" w:eastAsiaTheme="minorEastAsia" w:hAnsi="Times" w:cstheme="minorBidi"/>
      <w:sz w:val="20"/>
      <w:szCs w:val="20"/>
      <w:lang w:eastAsia="en-US"/>
    </w:rPr>
  </w:style>
  <w:style w:type="paragraph" w:customStyle="1" w:styleId="EndNoteBibliography">
    <w:name w:val="EndNote Bibliography"/>
    <w:basedOn w:val="Normal"/>
    <w:rsid w:val="00BC209F"/>
    <w:pPr>
      <w:spacing w:before="0" w:after="0" w:line="240" w:lineRule="auto"/>
    </w:pPr>
    <w:rPr>
      <w:rFonts w:ascii="Cambria" w:eastAsiaTheme="minorEastAsia" w:hAnsi="Cambria" w:cstheme="minorBidi"/>
      <w:sz w:val="24"/>
      <w:lang w:val="en-US" w:eastAsia="en-US"/>
    </w:rPr>
  </w:style>
  <w:style w:type="paragraph" w:customStyle="1" w:styleId="SubGroupHeader">
    <w:name w:val="SubGroupHeader"/>
    <w:basedOn w:val="Normal"/>
    <w:rsid w:val="00BC209F"/>
    <w:pPr>
      <w:spacing w:before="0" w:after="0" w:line="240" w:lineRule="auto"/>
      <w:jc w:val="right"/>
    </w:pPr>
    <w:rPr>
      <w:rFonts w:ascii="Times New Roman" w:hAnsi="Times New Roman"/>
      <w:b/>
      <w:caps/>
      <w:sz w:val="18"/>
      <w:szCs w:val="20"/>
    </w:rPr>
  </w:style>
  <w:style w:type="paragraph" w:customStyle="1" w:styleId="GroupHeader">
    <w:name w:val="GroupHeader"/>
    <w:basedOn w:val="Normal"/>
    <w:rsid w:val="00BC209F"/>
    <w:pPr>
      <w:spacing w:before="0" w:after="0" w:line="240" w:lineRule="auto"/>
    </w:pPr>
    <w:rPr>
      <w:rFonts w:ascii="Times New Roman" w:hAnsi="Times New Roman"/>
      <w:b/>
      <w:caps/>
      <w:sz w:val="18"/>
      <w:szCs w:val="20"/>
    </w:rPr>
  </w:style>
  <w:style w:type="paragraph" w:customStyle="1" w:styleId="Bulleted">
    <w:name w:val="Bulleted"/>
    <w:basedOn w:val="Normal"/>
    <w:link w:val="BulletedChar"/>
    <w:qFormat/>
    <w:rsid w:val="00F85147"/>
    <w:pPr>
      <w:autoSpaceDE w:val="0"/>
      <w:autoSpaceDN w:val="0"/>
      <w:adjustRightInd w:val="0"/>
      <w:spacing w:after="200" w:line="300" w:lineRule="auto"/>
    </w:pPr>
    <w:rPr>
      <w:rFonts w:ascii="Arial" w:eastAsia="MS Mincho" w:hAnsi="Arial" w:cs="Arial"/>
      <w:szCs w:val="22"/>
      <w:lang w:eastAsia="en-US"/>
    </w:rPr>
  </w:style>
  <w:style w:type="character" w:customStyle="1" w:styleId="BulletedChar">
    <w:name w:val="Bulleted Char"/>
    <w:basedOn w:val="DefaultParagraphFont"/>
    <w:link w:val="Bulleted"/>
    <w:rsid w:val="00F85147"/>
    <w:rPr>
      <w:rFonts w:ascii="Arial" w:eastAsia="MS Mincho" w:hAnsi="Arial" w:cs="Arial"/>
      <w:sz w:val="22"/>
      <w:szCs w:val="22"/>
      <w:lang w:eastAsia="en-US"/>
    </w:rPr>
  </w:style>
  <w:style w:type="paragraph" w:customStyle="1" w:styleId="AppendixHeading">
    <w:name w:val="Appendix Heading"/>
    <w:basedOn w:val="Normal"/>
    <w:qFormat/>
    <w:rsid w:val="00893447"/>
    <w:pPr>
      <w:spacing w:line="360" w:lineRule="auto"/>
    </w:pPr>
    <w:rPr>
      <w:rFonts w:cs="Arial"/>
      <w:b/>
      <w:color w:val="016500"/>
      <w:sz w:val="32"/>
      <w:szCs w:val="32"/>
    </w:rPr>
  </w:style>
  <w:style w:type="paragraph" w:customStyle="1" w:styleId="Undertable">
    <w:name w:val="Under table"/>
    <w:basedOn w:val="Heading1"/>
    <w:qFormat/>
    <w:rsid w:val="00A32201"/>
    <w:pPr>
      <w:spacing w:before="0"/>
    </w:pPr>
    <w:rPr>
      <w:b w:val="0"/>
      <w:color w:val="000000" w:themeColor="text1"/>
      <w:sz w:val="18"/>
      <w:szCs w:val="18"/>
    </w:rPr>
  </w:style>
  <w:style w:type="paragraph" w:styleId="CommentSubject">
    <w:name w:val="annotation subject"/>
    <w:basedOn w:val="CommentText"/>
    <w:next w:val="CommentText"/>
    <w:link w:val="CommentSubjectChar"/>
    <w:unhideWhenUsed/>
    <w:rsid w:val="00A444D1"/>
    <w:pPr>
      <w:spacing w:line="240" w:lineRule="auto"/>
    </w:pPr>
    <w:rPr>
      <w:b/>
      <w:bCs/>
    </w:rPr>
  </w:style>
  <w:style w:type="character" w:customStyle="1" w:styleId="CommentSubjectChar">
    <w:name w:val="Comment Subject Char"/>
    <w:basedOn w:val="CommentTextChar"/>
    <w:link w:val="CommentSubject"/>
    <w:rsid w:val="00A444D1"/>
    <w:rPr>
      <w:rFonts w:asciiTheme="minorHAnsi" w:hAnsiTheme="minorHAnsi"/>
      <w:b/>
      <w:bCs/>
    </w:rPr>
  </w:style>
  <w:style w:type="paragraph" w:customStyle="1" w:styleId="TableUnder">
    <w:name w:val="Table Under"/>
    <w:basedOn w:val="Normal"/>
    <w:qFormat/>
    <w:rsid w:val="006D79D7"/>
    <w:pPr>
      <w:spacing w:before="0"/>
    </w:pPr>
    <w:rPr>
      <w:sz w:val="18"/>
      <w:szCs w:val="16"/>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6060E7"/>
    <w:pPr>
      <w:ind w:left="720"/>
      <w:contextualSpacing/>
    </w:p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466F2A"/>
    <w:rPr>
      <w:rFonts w:asciiTheme="minorHAnsi" w:hAnsiTheme="minorHAnsi"/>
      <w:sz w:val="22"/>
      <w:szCs w:val="24"/>
    </w:rPr>
  </w:style>
  <w:style w:type="paragraph" w:styleId="Revision">
    <w:name w:val="Revision"/>
    <w:hidden/>
    <w:uiPriority w:val="99"/>
    <w:semiHidden/>
    <w:rsid w:val="00226A36"/>
    <w:rPr>
      <w:rFonts w:asciiTheme="minorHAnsi" w:hAnsiTheme="minorHAnsi"/>
      <w:sz w:val="22"/>
    </w:rPr>
  </w:style>
  <w:style w:type="paragraph" w:styleId="TableofFigures">
    <w:name w:val="table of figures"/>
    <w:basedOn w:val="Normal"/>
    <w:next w:val="Normal"/>
    <w:uiPriority w:val="99"/>
    <w:unhideWhenUsed/>
    <w:rsid w:val="0010682E"/>
    <w:pPr>
      <w:tabs>
        <w:tab w:val="left" w:pos="851"/>
      </w:tabs>
      <w:spacing w:before="0" w:after="0"/>
      <w:ind w:left="442" w:hanging="442"/>
    </w:pPr>
    <w:rPr>
      <w:sz w:val="20"/>
      <w:szCs w:val="20"/>
    </w:rPr>
  </w:style>
  <w:style w:type="paragraph" w:customStyle="1" w:styleId="Bullettext">
    <w:name w:val="Bullet text"/>
    <w:basedOn w:val="BodyText"/>
    <w:autoRedefine/>
    <w:qFormat/>
    <w:rsid w:val="009109BE"/>
    <w:pPr>
      <w:numPr>
        <w:numId w:val="6"/>
      </w:numPr>
      <w:spacing w:before="120" w:line="240" w:lineRule="auto"/>
      <w:contextualSpacing/>
    </w:pPr>
    <w:rPr>
      <w:rFonts w:ascii="Calibri" w:hAnsi="Calibri" w:cstheme="minorBidi"/>
      <w:sz w:val="24"/>
      <w:szCs w:val="22"/>
      <w:lang w:eastAsia="en-US"/>
    </w:rPr>
  </w:style>
  <w:style w:type="paragraph" w:styleId="FootnoteText">
    <w:name w:val="footnote text"/>
    <w:basedOn w:val="Normal"/>
    <w:link w:val="FootnoteTextChar"/>
    <w:uiPriority w:val="99"/>
    <w:rsid w:val="00B40829"/>
    <w:pPr>
      <w:spacing w:before="0" w:after="0" w:line="240" w:lineRule="auto"/>
    </w:pPr>
    <w:rPr>
      <w:sz w:val="20"/>
      <w:szCs w:val="20"/>
    </w:rPr>
  </w:style>
  <w:style w:type="character" w:customStyle="1" w:styleId="FootnoteTextChar">
    <w:name w:val="Footnote Text Char"/>
    <w:basedOn w:val="DefaultParagraphFont"/>
    <w:link w:val="FootnoteText"/>
    <w:uiPriority w:val="99"/>
    <w:rsid w:val="00B40829"/>
    <w:rPr>
      <w:rFonts w:asciiTheme="minorHAnsi" w:hAnsiTheme="minorHAnsi"/>
    </w:rPr>
  </w:style>
  <w:style w:type="character" w:styleId="FootnoteReference">
    <w:name w:val="footnote reference"/>
    <w:uiPriority w:val="99"/>
    <w:qFormat/>
    <w:rsid w:val="00B40829"/>
    <w:rPr>
      <w:vertAlign w:val="superscript"/>
    </w:rPr>
  </w:style>
  <w:style w:type="character" w:styleId="SubtleEmphasis">
    <w:name w:val="Subtle Emphasis"/>
    <w:basedOn w:val="DefaultParagraphFont"/>
    <w:uiPriority w:val="19"/>
    <w:qFormat/>
    <w:rsid w:val="0014338B"/>
    <w:rPr>
      <w:i/>
      <w:iCs/>
      <w:color w:val="808080" w:themeColor="text1" w:themeTint="7F"/>
    </w:rPr>
  </w:style>
  <w:style w:type="paragraph" w:customStyle="1" w:styleId="default0">
    <w:name w:val="default"/>
    <w:basedOn w:val="Normal"/>
    <w:rsid w:val="0014338B"/>
    <w:pPr>
      <w:tabs>
        <w:tab w:val="left" w:pos="3440"/>
      </w:tabs>
      <w:spacing w:before="100" w:beforeAutospacing="1" w:after="100" w:afterAutospacing="1" w:line="240" w:lineRule="auto"/>
      <w:contextualSpacing/>
    </w:pPr>
    <w:rPr>
      <w:rFonts w:cs="Arial"/>
      <w:sz w:val="24"/>
      <w:lang w:eastAsia="en-US"/>
    </w:rPr>
  </w:style>
  <w:style w:type="character" w:styleId="IntenseReference">
    <w:name w:val="Intense Reference"/>
    <w:basedOn w:val="DefaultParagraphFont"/>
    <w:uiPriority w:val="32"/>
    <w:qFormat/>
    <w:rsid w:val="00CF3BD3"/>
    <w:rPr>
      <w:b/>
      <w:bCs/>
      <w:i/>
      <w:smallCaps/>
      <w:color w:val="58B6C0" w:themeColor="accent2"/>
      <w:spacing w:val="5"/>
      <w:u w:val="none"/>
    </w:rPr>
  </w:style>
  <w:style w:type="character" w:customStyle="1" w:styleId="apple-converted-space">
    <w:name w:val="apple-converted-space"/>
    <w:basedOn w:val="DefaultParagraphFont"/>
    <w:rsid w:val="009B7618"/>
  </w:style>
  <w:style w:type="paragraph" w:customStyle="1" w:styleId="FigureCaption">
    <w:name w:val="Figure Caption"/>
    <w:basedOn w:val="Caption"/>
    <w:link w:val="FigureCaptionChar"/>
    <w:qFormat/>
    <w:rsid w:val="00440C81"/>
    <w:pPr>
      <w:numPr>
        <w:numId w:val="7"/>
      </w:numPr>
    </w:pPr>
    <w:rPr>
      <w:lang w:val="en-US"/>
    </w:rPr>
  </w:style>
  <w:style w:type="character" w:customStyle="1" w:styleId="FigureCaptionChar">
    <w:name w:val="Figure Caption Char"/>
    <w:basedOn w:val="CaptionChar"/>
    <w:link w:val="FigureCaption"/>
    <w:rsid w:val="00440C81"/>
    <w:rPr>
      <w:rFonts w:asciiTheme="minorHAnsi" w:eastAsiaTheme="minorHAnsi" w:hAnsiTheme="minorHAnsi" w:cs="Arial"/>
      <w:i/>
      <w:sz w:val="20"/>
      <w:szCs w:val="22"/>
      <w:lang w:val="en-US" w:eastAsia="en-US"/>
    </w:rPr>
  </w:style>
  <w:style w:type="paragraph" w:customStyle="1" w:styleId="Rec2">
    <w:name w:val="Rec 2"/>
    <w:basedOn w:val="Rec"/>
    <w:link w:val="Rec2Char"/>
    <w:qFormat/>
    <w:rsid w:val="00226919"/>
    <w:pPr>
      <w:numPr>
        <w:numId w:val="8"/>
      </w:numPr>
      <w:ind w:left="0" w:firstLine="0"/>
    </w:pPr>
  </w:style>
  <w:style w:type="character" w:customStyle="1" w:styleId="Rec2Char">
    <w:name w:val="Rec 2 Char"/>
    <w:basedOn w:val="RecChar"/>
    <w:link w:val="Rec2"/>
    <w:rsid w:val="00226919"/>
    <w:rPr>
      <w:rFonts w:asciiTheme="minorHAnsi" w:hAnsiTheme="minorHAnsi" w:cs="Arial"/>
      <w:b/>
      <w:i/>
      <w:color w:val="01653F"/>
      <w:szCs w:val="22"/>
    </w:rPr>
  </w:style>
  <w:style w:type="character" w:styleId="Strong">
    <w:name w:val="Strong"/>
    <w:aliases w:val="Table Heading"/>
    <w:basedOn w:val="DefaultParagraphFont"/>
    <w:uiPriority w:val="22"/>
    <w:qFormat/>
    <w:rsid w:val="00C204DC"/>
    <w:rPr>
      <w:b/>
      <w:bCs/>
      <w:spacing w:val="0"/>
    </w:rPr>
  </w:style>
  <w:style w:type="paragraph" w:styleId="IntenseQuote">
    <w:name w:val="Intense Quote"/>
    <w:basedOn w:val="Normal"/>
    <w:next w:val="Normal"/>
    <w:link w:val="IntenseQuoteChar"/>
    <w:uiPriority w:val="30"/>
    <w:qFormat/>
    <w:rsid w:val="00C204DC"/>
    <w:pPr>
      <w:pBdr>
        <w:top w:val="single" w:sz="12" w:space="10" w:color="A9D5E7" w:themeColor="accent1" w:themeTint="66"/>
        <w:left w:val="single" w:sz="36" w:space="4" w:color="3494BA" w:themeColor="accent1"/>
        <w:bottom w:val="single" w:sz="24" w:space="10" w:color="75BDA7" w:themeColor="accent3"/>
        <w:right w:val="single" w:sz="36" w:space="4" w:color="3494BA" w:themeColor="accent1"/>
      </w:pBdr>
      <w:shd w:val="clear" w:color="auto" w:fill="3494BA"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lang w:eastAsia="en-US"/>
    </w:rPr>
  </w:style>
  <w:style w:type="character" w:customStyle="1" w:styleId="IntenseQuoteChar">
    <w:name w:val="Intense Quote Char"/>
    <w:basedOn w:val="DefaultParagraphFont"/>
    <w:link w:val="IntenseQuote"/>
    <w:uiPriority w:val="30"/>
    <w:rsid w:val="00C204DC"/>
    <w:rPr>
      <w:rFonts w:asciiTheme="majorHAnsi" w:eastAsiaTheme="majorEastAsia" w:hAnsiTheme="majorHAnsi" w:cstheme="majorBidi"/>
      <w:i/>
      <w:iCs/>
      <w:color w:val="FFFFFF" w:themeColor="background1"/>
      <w:shd w:val="clear" w:color="auto" w:fill="3494BA" w:themeFill="accent1"/>
      <w:lang w:eastAsia="en-US"/>
    </w:rPr>
  </w:style>
  <w:style w:type="character" w:styleId="IntenseEmphasis">
    <w:name w:val="Intense Emphasis"/>
    <w:uiPriority w:val="14"/>
    <w:qFormat/>
    <w:rsid w:val="00C204DC"/>
    <w:rPr>
      <w:b/>
      <w:bCs/>
      <w:i/>
      <w:iCs/>
      <w:color w:val="3494BA" w:themeColor="accent1"/>
      <w:sz w:val="22"/>
      <w:szCs w:val="22"/>
    </w:rPr>
  </w:style>
  <w:style w:type="paragraph" w:customStyle="1" w:styleId="Level1">
    <w:name w:val="Level 1."/>
    <w:basedOn w:val="Normal"/>
    <w:next w:val="Normal"/>
    <w:rsid w:val="00C204DC"/>
    <w:pPr>
      <w:numPr>
        <w:numId w:val="9"/>
      </w:numPr>
      <w:spacing w:before="240" w:after="0" w:line="240" w:lineRule="auto"/>
      <w:outlineLvl w:val="0"/>
    </w:pPr>
    <w:rPr>
      <w:rFonts w:ascii="Palatino" w:eastAsia="SimSun" w:hAnsi="Palatino"/>
      <w:lang w:eastAsia="zh-CN"/>
    </w:rPr>
  </w:style>
  <w:style w:type="paragraph" w:customStyle="1" w:styleId="Level11">
    <w:name w:val="Level 1.1"/>
    <w:basedOn w:val="Normal"/>
    <w:next w:val="Normal"/>
    <w:rsid w:val="00C204DC"/>
    <w:pPr>
      <w:numPr>
        <w:ilvl w:val="1"/>
        <w:numId w:val="9"/>
      </w:numPr>
      <w:spacing w:before="240" w:after="0" w:line="240" w:lineRule="auto"/>
      <w:outlineLvl w:val="1"/>
    </w:pPr>
    <w:rPr>
      <w:rFonts w:ascii="Palatino" w:eastAsia="SimSun" w:hAnsi="Palatino"/>
      <w:lang w:eastAsia="zh-CN"/>
    </w:rPr>
  </w:style>
  <w:style w:type="paragraph" w:customStyle="1" w:styleId="Levela">
    <w:name w:val="Level (a)"/>
    <w:basedOn w:val="Normal"/>
    <w:next w:val="Normal"/>
    <w:rsid w:val="00C204DC"/>
    <w:pPr>
      <w:numPr>
        <w:ilvl w:val="2"/>
        <w:numId w:val="9"/>
      </w:numPr>
      <w:spacing w:before="240" w:after="0" w:line="240" w:lineRule="auto"/>
      <w:outlineLvl w:val="2"/>
    </w:pPr>
    <w:rPr>
      <w:rFonts w:ascii="Palatino" w:eastAsia="SimSun" w:hAnsi="Palatino"/>
      <w:lang w:eastAsia="zh-CN"/>
    </w:rPr>
  </w:style>
  <w:style w:type="paragraph" w:customStyle="1" w:styleId="Leveli">
    <w:name w:val="Level (i)"/>
    <w:basedOn w:val="Normal"/>
    <w:next w:val="Normal"/>
    <w:rsid w:val="00C204DC"/>
    <w:pPr>
      <w:numPr>
        <w:ilvl w:val="3"/>
        <w:numId w:val="9"/>
      </w:numPr>
      <w:spacing w:before="240" w:after="0" w:line="240" w:lineRule="auto"/>
      <w:outlineLvl w:val="3"/>
    </w:pPr>
    <w:rPr>
      <w:rFonts w:ascii="Palatino" w:eastAsia="SimSun" w:hAnsi="Palatino"/>
      <w:lang w:eastAsia="zh-CN"/>
    </w:rPr>
  </w:style>
  <w:style w:type="paragraph" w:customStyle="1" w:styleId="LevelA0">
    <w:name w:val="Level(A)"/>
    <w:basedOn w:val="Normal"/>
    <w:next w:val="Normal"/>
    <w:rsid w:val="00C204DC"/>
    <w:pPr>
      <w:numPr>
        <w:ilvl w:val="4"/>
        <w:numId w:val="9"/>
      </w:numPr>
      <w:spacing w:before="240" w:after="0" w:line="240" w:lineRule="auto"/>
      <w:outlineLvl w:val="4"/>
    </w:pPr>
    <w:rPr>
      <w:rFonts w:ascii="Palatino" w:eastAsia="SimSun" w:hAnsi="Palatino"/>
      <w:lang w:eastAsia="zh-CN"/>
    </w:rPr>
  </w:style>
  <w:style w:type="paragraph" w:customStyle="1" w:styleId="LevelI0">
    <w:name w:val="Level(I)"/>
    <w:basedOn w:val="Normal"/>
    <w:next w:val="Normal"/>
    <w:rsid w:val="00C204DC"/>
    <w:pPr>
      <w:numPr>
        <w:ilvl w:val="5"/>
        <w:numId w:val="9"/>
      </w:numPr>
      <w:spacing w:before="240" w:after="0" w:line="240" w:lineRule="auto"/>
      <w:outlineLvl w:val="5"/>
    </w:pPr>
    <w:rPr>
      <w:rFonts w:ascii="Palatino" w:eastAsia="SimSun" w:hAnsi="Palatino"/>
      <w:lang w:eastAsia="zh-CN"/>
    </w:rPr>
  </w:style>
  <w:style w:type="paragraph" w:customStyle="1" w:styleId="subsection">
    <w:name w:val="subsection"/>
    <w:basedOn w:val="Normal"/>
    <w:rsid w:val="00C204DC"/>
    <w:pPr>
      <w:spacing w:before="100" w:beforeAutospacing="1" w:after="100" w:afterAutospacing="1" w:line="240" w:lineRule="auto"/>
    </w:pPr>
    <w:rPr>
      <w:rFonts w:ascii="Times New Roman" w:hAnsi="Times New Roman"/>
      <w:sz w:val="24"/>
    </w:rPr>
  </w:style>
  <w:style w:type="paragraph" w:customStyle="1" w:styleId="paragraph">
    <w:name w:val="paragraph"/>
    <w:basedOn w:val="Normal"/>
    <w:rsid w:val="00C204DC"/>
    <w:pPr>
      <w:spacing w:before="100" w:beforeAutospacing="1" w:after="100" w:afterAutospacing="1" w:line="240" w:lineRule="auto"/>
    </w:pPr>
    <w:rPr>
      <w:rFonts w:ascii="Times New Roman" w:hAnsi="Times New Roman"/>
      <w:sz w:val="24"/>
    </w:rPr>
  </w:style>
  <w:style w:type="paragraph" w:customStyle="1" w:styleId="paragraphsub">
    <w:name w:val="paragraphsub"/>
    <w:basedOn w:val="Normal"/>
    <w:rsid w:val="00C204DC"/>
    <w:pPr>
      <w:spacing w:before="100" w:beforeAutospacing="1" w:after="100" w:afterAutospacing="1" w:line="240" w:lineRule="auto"/>
    </w:pPr>
    <w:rPr>
      <w:rFonts w:ascii="Times New Roman" w:hAnsi="Times New Roman"/>
      <w:sz w:val="24"/>
    </w:rPr>
  </w:style>
  <w:style w:type="paragraph" w:customStyle="1" w:styleId="paragraphsub-sub">
    <w:name w:val="paragraphsub-sub"/>
    <w:basedOn w:val="Normal"/>
    <w:rsid w:val="00C204DC"/>
    <w:pPr>
      <w:spacing w:before="100" w:beforeAutospacing="1" w:after="100" w:afterAutospacing="1" w:line="240" w:lineRule="auto"/>
    </w:pPr>
    <w:rPr>
      <w:rFonts w:ascii="Times New Roman" w:hAnsi="Times New Roman"/>
      <w:sz w:val="24"/>
    </w:rPr>
  </w:style>
  <w:style w:type="paragraph" w:customStyle="1" w:styleId="acthead5">
    <w:name w:val="acthead5"/>
    <w:basedOn w:val="Normal"/>
    <w:rsid w:val="00C204DC"/>
    <w:pPr>
      <w:spacing w:before="100" w:beforeAutospacing="1" w:after="100" w:afterAutospacing="1" w:line="240" w:lineRule="auto"/>
    </w:pPr>
    <w:rPr>
      <w:rFonts w:ascii="Times New Roman" w:hAnsi="Times New Roman"/>
      <w:sz w:val="24"/>
    </w:rPr>
  </w:style>
  <w:style w:type="character" w:customStyle="1" w:styleId="charsectno">
    <w:name w:val="charsectno"/>
    <w:basedOn w:val="DefaultParagraphFont"/>
    <w:rsid w:val="00C204DC"/>
  </w:style>
  <w:style w:type="paragraph" w:customStyle="1" w:styleId="GroupDescription">
    <w:name w:val="GroupDescription"/>
    <w:basedOn w:val="Heading1"/>
    <w:link w:val="GroupDescriptionChar"/>
    <w:autoRedefine/>
    <w:rsid w:val="00C204DC"/>
    <w:pPr>
      <w:spacing w:after="60" w:line="240" w:lineRule="auto"/>
    </w:pPr>
    <w:rPr>
      <w:rFonts w:ascii="Arial Bold" w:eastAsia="Times New Roman" w:hAnsi="Arial Bold"/>
      <w:caps/>
      <w:color w:val="auto"/>
      <w:sz w:val="24"/>
      <w:szCs w:val="24"/>
      <w:lang w:val="en-AU" w:eastAsia="en-AU"/>
    </w:rPr>
  </w:style>
  <w:style w:type="character" w:customStyle="1" w:styleId="GroupDescriptionChar">
    <w:name w:val="GroupDescription Char"/>
    <w:link w:val="GroupDescription"/>
    <w:locked/>
    <w:rsid w:val="00C204DC"/>
    <w:rPr>
      <w:rFonts w:ascii="Arial Bold" w:hAnsi="Arial Bold" w:cs="Arial"/>
      <w:b/>
      <w:bCs/>
      <w:caps/>
      <w:kern w:val="32"/>
    </w:rPr>
  </w:style>
  <w:style w:type="paragraph" w:customStyle="1" w:styleId="NormalTimesNewRoman10pt">
    <w:name w:val="Normal + Times New Roman 10 pt"/>
    <w:basedOn w:val="Normal"/>
    <w:rsid w:val="00C204DC"/>
    <w:pPr>
      <w:widowControl w:val="0"/>
      <w:spacing w:before="0" w:after="0" w:line="240" w:lineRule="auto"/>
    </w:pPr>
    <w:rPr>
      <w:rFonts w:ascii="Times New Roman" w:hAnsi="Times New Roman"/>
      <w:snapToGrid w:val="0"/>
      <w:sz w:val="20"/>
      <w:szCs w:val="20"/>
      <w:lang w:val="en-US" w:eastAsia="en-US"/>
    </w:rPr>
  </w:style>
  <w:style w:type="paragraph" w:customStyle="1" w:styleId="DepartmentalHeading2">
    <w:name w:val="Departmental Heading 2"/>
    <w:basedOn w:val="Heading2"/>
    <w:rsid w:val="00C204DC"/>
    <w:pPr>
      <w:spacing w:before="240" w:line="240" w:lineRule="auto"/>
      <w:ind w:right="0"/>
    </w:pPr>
    <w:rPr>
      <w:rFonts w:ascii="Arial" w:eastAsia="Times New Roman" w:hAnsi="Arial" w:cs="Times New Roman"/>
      <w:bCs w:val="0"/>
      <w:iCs w:val="0"/>
      <w:color w:val="000000" w:themeColor="text1"/>
      <w:szCs w:val="20"/>
      <w:lang w:val="en-AU" w:eastAsia="en-AU"/>
    </w:rPr>
  </w:style>
  <w:style w:type="paragraph" w:customStyle="1" w:styleId="BoxText">
    <w:name w:val="BoxText"/>
    <w:basedOn w:val="Normal"/>
    <w:qFormat/>
    <w:rsid w:val="00202E59"/>
    <w:pPr>
      <w:pBdr>
        <w:top w:val="single" w:sz="12" w:space="4" w:color="C75F09"/>
        <w:left w:val="single" w:sz="12" w:space="4" w:color="C75F09"/>
        <w:bottom w:val="single" w:sz="12" w:space="4" w:color="C75F09"/>
        <w:right w:val="single" w:sz="12" w:space="4" w:color="C75F09"/>
      </w:pBdr>
      <w:spacing w:before="0" w:after="120" w:line="240" w:lineRule="auto"/>
    </w:pPr>
    <w:rPr>
      <w:rFonts w:ascii="Calibri" w:hAnsi="Calibri"/>
      <w:color w:val="000000"/>
      <w:szCs w:val="20"/>
    </w:rPr>
  </w:style>
  <w:style w:type="paragraph" w:customStyle="1" w:styleId="BoxBullet">
    <w:name w:val="BoxBullet"/>
    <w:basedOn w:val="BoxText"/>
    <w:rsid w:val="00202E59"/>
    <w:pPr>
      <w:numPr>
        <w:numId w:val="10"/>
      </w:numPr>
    </w:pPr>
  </w:style>
  <w:style w:type="paragraph" w:customStyle="1" w:styleId="BoxHeading">
    <w:name w:val="BoxHeading"/>
    <w:basedOn w:val="BoxText"/>
    <w:rsid w:val="00CF6D81"/>
    <w:pPr>
      <w:keepNext/>
      <w:spacing w:before="120" w:after="60"/>
    </w:pPr>
    <w:rPr>
      <w:b/>
      <w:bCs/>
    </w:rPr>
  </w:style>
  <w:style w:type="paragraph" w:customStyle="1" w:styleId="BoxBulletNumbered">
    <w:name w:val="BoxBulletNumbered"/>
    <w:basedOn w:val="BoxBullet"/>
    <w:qFormat/>
    <w:rsid w:val="0084586D"/>
    <w:pPr>
      <w:numPr>
        <w:numId w:val="11"/>
      </w:numPr>
      <w:shd w:val="clear" w:color="auto" w:fill="D9D9D9" w:themeFill="background1" w:themeFillShade="D9"/>
    </w:pPr>
  </w:style>
  <w:style w:type="paragraph" w:customStyle="1" w:styleId="BoxBulletSecond">
    <w:name w:val="BoxBulletSecond"/>
    <w:basedOn w:val="BoxBulletNumbered"/>
    <w:qFormat/>
    <w:rsid w:val="005D1962"/>
    <w:pPr>
      <w:numPr>
        <w:numId w:val="12"/>
      </w:numPr>
      <w:tabs>
        <w:tab w:val="left" w:pos="357"/>
      </w:tabs>
      <w:ind w:left="357" w:hanging="357"/>
    </w:pPr>
    <w:rPr>
      <w:rFonts w:cs="Arial"/>
      <w:color w:val="000000" w:themeColor="text1"/>
      <w:szCs w:val="22"/>
    </w:rPr>
  </w:style>
  <w:style w:type="paragraph" w:customStyle="1" w:styleId="BoxTextQuote">
    <w:name w:val="BoxText Quote"/>
    <w:basedOn w:val="BoxText"/>
    <w:qFormat/>
    <w:rsid w:val="0081277E"/>
    <w:pPr>
      <w:tabs>
        <w:tab w:val="left" w:pos="567"/>
      </w:tabs>
    </w:pPr>
  </w:style>
  <w:style w:type="paragraph" w:customStyle="1" w:styleId="AppendixStyle2">
    <w:name w:val="Appendix Style2"/>
    <w:basedOn w:val="Heading2Report"/>
    <w:qFormat/>
    <w:rsid w:val="00A92AA3"/>
    <w:pPr>
      <w:spacing w:before="240"/>
      <w:ind w:right="0"/>
    </w:pPr>
    <w:rPr>
      <w:color w:val="auto"/>
    </w:rPr>
  </w:style>
  <w:style w:type="paragraph" w:customStyle="1" w:styleId="StyleBoxTextQuoteCentered">
    <w:name w:val="Style BoxText Quote + Centered"/>
    <w:basedOn w:val="BoxTextQuote"/>
    <w:rsid w:val="00FE3CCA"/>
    <w:pPr>
      <w:ind w:left="397"/>
    </w:pPr>
  </w:style>
  <w:style w:type="paragraph" w:customStyle="1" w:styleId="StyleBoxTextQuoteCentered1">
    <w:name w:val="Style BoxText Quote + Centered1"/>
    <w:basedOn w:val="BoxTextQuote"/>
    <w:rsid w:val="00FE3CCA"/>
    <w:pPr>
      <w:tabs>
        <w:tab w:val="clear" w:pos="567"/>
        <w:tab w:val="left" w:pos="1134"/>
        <w:tab w:val="right" w:pos="6804"/>
      </w:tabs>
      <w:ind w:left="567" w:hanging="567"/>
    </w:pPr>
    <w:rPr>
      <w:i/>
    </w:rPr>
  </w:style>
  <w:style w:type="paragraph" w:customStyle="1" w:styleId="NoSpacing1">
    <w:name w:val="No Spacing1"/>
    <w:next w:val="NoSpacing"/>
    <w:uiPriority w:val="1"/>
    <w:qFormat/>
    <w:rsid w:val="00720B8D"/>
    <w:rPr>
      <w:rFonts w:ascii="Calibri" w:eastAsia="Calibri" w:hAnsi="Calibri"/>
      <w:sz w:val="22"/>
      <w:szCs w:val="22"/>
      <w:lang w:eastAsia="en-US"/>
    </w:rPr>
  </w:style>
  <w:style w:type="paragraph" w:customStyle="1" w:styleId="Caption1">
    <w:name w:val="Caption 1"/>
    <w:basedOn w:val="Caption"/>
    <w:link w:val="Caption1Char"/>
    <w:qFormat/>
    <w:rsid w:val="00244D37"/>
    <w:pPr>
      <w:spacing w:before="0" w:after="0"/>
    </w:pPr>
    <w:rPr>
      <w:rFonts w:ascii="Arial" w:eastAsia="Times New Roman" w:hAnsi="Arial"/>
      <w:b/>
      <w:bCs/>
      <w:i w:val="0"/>
      <w:sz w:val="18"/>
      <w:szCs w:val="18"/>
      <w:lang w:eastAsia="en-AU"/>
    </w:rPr>
  </w:style>
  <w:style w:type="character" w:customStyle="1" w:styleId="Caption1Char">
    <w:name w:val="Caption 1 Char"/>
    <w:basedOn w:val="DefaultParagraphFont"/>
    <w:link w:val="Caption1"/>
    <w:rsid w:val="00244D37"/>
    <w:rPr>
      <w:rFonts w:ascii="Arial" w:hAnsi="Arial" w:cs="Arial"/>
      <w:b/>
      <w:bCs/>
      <w:sz w:val="18"/>
      <w:szCs w:val="18"/>
    </w:rPr>
  </w:style>
  <w:style w:type="table" w:styleId="TableGrid10">
    <w:name w:val="Table Grid 1"/>
    <w:basedOn w:val="TableNormal"/>
    <w:rsid w:val="00244D37"/>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List5">
    <w:name w:val="Table List 5"/>
    <w:basedOn w:val="TableNormal"/>
    <w:rsid w:val="00244D37"/>
    <w:pPr>
      <w:spacing w:after="240" w:line="480" w:lineRule="auto"/>
      <w:ind w:firstLine="360"/>
    </w:pPr>
    <w:rPr>
      <w:rFonts w:asciiTheme="minorHAnsi" w:eastAsiaTheme="minorEastAsia" w:hAnsiTheme="minorHAnsi" w:cstheme="minorBidi"/>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footnote">
    <w:name w:val="footnote"/>
    <w:basedOn w:val="FootnoteText"/>
    <w:link w:val="footnoteChar"/>
    <w:qFormat/>
    <w:rsid w:val="00244D37"/>
    <w:rPr>
      <w:sz w:val="16"/>
      <w:szCs w:val="16"/>
    </w:rPr>
  </w:style>
  <w:style w:type="character" w:customStyle="1" w:styleId="footnoteChar">
    <w:name w:val="footnote Char"/>
    <w:basedOn w:val="FootnoteTextChar"/>
    <w:link w:val="footnote"/>
    <w:rsid w:val="00244D37"/>
    <w:rPr>
      <w:rFonts w:asciiTheme="minorHAnsi" w:hAnsiTheme="minorHAnsi"/>
      <w:sz w:val="16"/>
      <w:szCs w:val="16"/>
    </w:rPr>
  </w:style>
  <w:style w:type="table" w:styleId="TableSimple2">
    <w:name w:val="Table Simple 2"/>
    <w:basedOn w:val="TableNormal"/>
    <w:rsid w:val="00244D37"/>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olumns5">
    <w:name w:val="Table Columns 5"/>
    <w:basedOn w:val="TableNormal"/>
    <w:rsid w:val="00244D37"/>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rist1">
    <w:name w:val="Trist1"/>
    <w:basedOn w:val="TableNormal"/>
    <w:uiPriority w:val="99"/>
    <w:rsid w:val="00244D37"/>
    <w:rPr>
      <w:rFonts w:asciiTheme="minorHAnsi" w:eastAsiaTheme="minorEastAsia" w:hAnsiTheme="minorHAnsi" w:cstheme="minorBidi"/>
      <w:sz w:val="22"/>
      <w:szCs w:val="22"/>
    </w:rPr>
    <w:tblPr/>
  </w:style>
  <w:style w:type="paragraph" w:customStyle="1" w:styleId="NormalTimesNewRoman10pt0">
    <w:name w:val="Normal +Times New Roman 10 pt"/>
    <w:basedOn w:val="Normal"/>
    <w:rsid w:val="00244D37"/>
    <w:pPr>
      <w:spacing w:before="0" w:after="0" w:line="240" w:lineRule="auto"/>
    </w:pPr>
    <w:rPr>
      <w:rFonts w:ascii="Times New Roman" w:hAnsi="Times New Roman"/>
      <w:sz w:val="20"/>
      <w:szCs w:val="20"/>
      <w:lang w:eastAsia="en-US"/>
    </w:rPr>
  </w:style>
  <w:style w:type="paragraph" w:customStyle="1" w:styleId="BodyText1">
    <w:name w:val="Body Text1"/>
    <w:basedOn w:val="Normal"/>
    <w:link w:val="BodytextChar0"/>
    <w:autoRedefine/>
    <w:qFormat/>
    <w:rsid w:val="00244D37"/>
    <w:pPr>
      <w:spacing w:before="0" w:after="0" w:line="240" w:lineRule="auto"/>
    </w:pPr>
    <w:rPr>
      <w:rFonts w:ascii="Arial" w:hAnsi="Arial" w:cs="Arial"/>
      <w:sz w:val="24"/>
    </w:rPr>
  </w:style>
  <w:style w:type="character" w:customStyle="1" w:styleId="BodytextChar0">
    <w:name w:val="Body text Char"/>
    <w:basedOn w:val="DefaultParagraphFont"/>
    <w:link w:val="BodyText1"/>
    <w:rsid w:val="00244D37"/>
    <w:rPr>
      <w:rFonts w:ascii="Arial" w:hAnsi="Arial" w:cs="Arial"/>
    </w:rPr>
  </w:style>
  <w:style w:type="paragraph" w:customStyle="1" w:styleId="m-6069715802065566179acthead5">
    <w:name w:val="m_-6069715802065566179acthead5"/>
    <w:basedOn w:val="Normal"/>
    <w:rsid w:val="001860D1"/>
    <w:pPr>
      <w:spacing w:before="100" w:beforeAutospacing="1" w:after="100" w:afterAutospacing="1" w:line="240" w:lineRule="auto"/>
    </w:pPr>
    <w:rPr>
      <w:rFonts w:ascii="Times New Roman" w:eastAsiaTheme="minorHAnsi" w:hAnsi="Times New Roman"/>
      <w:sz w:val="24"/>
    </w:rPr>
  </w:style>
  <w:style w:type="paragraph" w:customStyle="1" w:styleId="m-6069715802065566179subsection">
    <w:name w:val="m_-6069715802065566179subsection"/>
    <w:basedOn w:val="Normal"/>
    <w:rsid w:val="001860D1"/>
    <w:pPr>
      <w:spacing w:before="100" w:beforeAutospacing="1" w:after="100" w:afterAutospacing="1" w:line="240" w:lineRule="auto"/>
    </w:pPr>
    <w:rPr>
      <w:rFonts w:ascii="Times New Roman" w:eastAsiaTheme="minorHAnsi" w:hAnsi="Times New Roman"/>
      <w:sz w:val="24"/>
    </w:rPr>
  </w:style>
  <w:style w:type="paragraph" w:customStyle="1" w:styleId="m-6069715802065566179definition">
    <w:name w:val="m_-6069715802065566179definition"/>
    <w:basedOn w:val="Normal"/>
    <w:rsid w:val="001860D1"/>
    <w:pPr>
      <w:spacing w:before="100" w:beforeAutospacing="1" w:after="100" w:afterAutospacing="1" w:line="240" w:lineRule="auto"/>
    </w:pPr>
    <w:rPr>
      <w:rFonts w:ascii="Times New Roman" w:eastAsiaTheme="minorHAnsi" w:hAnsi="Times New Roman"/>
      <w:sz w:val="24"/>
    </w:rPr>
  </w:style>
  <w:style w:type="paragraph" w:customStyle="1" w:styleId="m-6069715802065566179paragraph">
    <w:name w:val="m_-6069715802065566179paragraph"/>
    <w:basedOn w:val="Normal"/>
    <w:rsid w:val="001860D1"/>
    <w:pPr>
      <w:spacing w:before="100" w:beforeAutospacing="1" w:after="100" w:afterAutospacing="1" w:line="240" w:lineRule="auto"/>
    </w:pPr>
    <w:rPr>
      <w:rFonts w:ascii="Times New Roman" w:eastAsiaTheme="minorHAnsi" w:hAnsi="Times New Roman"/>
      <w:sz w:val="24"/>
    </w:rPr>
  </w:style>
  <w:style w:type="character" w:customStyle="1" w:styleId="m-6069715802065566179charsectno">
    <w:name w:val="m_-6069715802065566179charsectno"/>
    <w:basedOn w:val="DefaultParagraphFont"/>
    <w:rsid w:val="001860D1"/>
  </w:style>
  <w:style w:type="paragraph" w:customStyle="1" w:styleId="CoverH1White">
    <w:name w:val="Cover H1 White"/>
    <w:basedOn w:val="Normal"/>
    <w:uiPriority w:val="14"/>
    <w:qFormat/>
    <w:rsid w:val="00BF4A4E"/>
    <w:pPr>
      <w:keepNext/>
      <w:widowControl w:val="0"/>
      <w:suppressAutoHyphens/>
      <w:autoSpaceDE w:val="0"/>
      <w:autoSpaceDN w:val="0"/>
      <w:adjustRightInd w:val="0"/>
      <w:spacing w:before="960" w:after="240" w:line="840" w:lineRule="atLeast"/>
      <w:textAlignment w:val="center"/>
    </w:pPr>
    <w:rPr>
      <w:rFonts w:ascii="Calibri-Bold" w:hAnsi="Calibri-Bold" w:cs="Calibri-Bold"/>
      <w:b/>
      <w:bCs/>
      <w:color w:val="FFFFFF"/>
      <w:sz w:val="80"/>
      <w:szCs w:val="80"/>
      <w:lang w:val="en-US" w:eastAsia="en-US"/>
    </w:rPr>
  </w:style>
  <w:style w:type="paragraph" w:customStyle="1" w:styleId="CoverH1Green">
    <w:name w:val="Cover H1 Green"/>
    <w:basedOn w:val="Normal"/>
    <w:uiPriority w:val="14"/>
    <w:qFormat/>
    <w:rsid w:val="00BF4A4E"/>
    <w:pPr>
      <w:keepNext/>
      <w:widowControl w:val="0"/>
      <w:suppressAutoHyphens/>
      <w:autoSpaceDE w:val="0"/>
      <w:autoSpaceDN w:val="0"/>
      <w:adjustRightInd w:val="0"/>
      <w:spacing w:before="960" w:after="240" w:line="840" w:lineRule="atLeast"/>
      <w:textAlignment w:val="center"/>
    </w:pPr>
    <w:rPr>
      <w:rFonts w:cstheme="minorHAnsi"/>
      <w:b/>
      <w:bCs/>
      <w:color w:val="01653F"/>
      <w:sz w:val="80"/>
      <w:szCs w:val="80"/>
      <w:lang w:val="en-US" w:eastAsia="en-US"/>
    </w:rPr>
  </w:style>
  <w:style w:type="paragraph" w:customStyle="1" w:styleId="Coverdate">
    <w:name w:val="Cover date"/>
    <w:basedOn w:val="Normal"/>
    <w:uiPriority w:val="14"/>
    <w:qFormat/>
    <w:rsid w:val="00BF4A4E"/>
    <w:pPr>
      <w:keepNext/>
      <w:widowControl w:val="0"/>
      <w:pBdr>
        <w:bottom w:val="single" w:sz="16" w:space="11" w:color="BFBFBF"/>
      </w:pBdr>
      <w:autoSpaceDE w:val="0"/>
      <w:autoSpaceDN w:val="0"/>
      <w:adjustRightInd w:val="0"/>
      <w:spacing w:before="720" w:after="720"/>
      <w:textAlignment w:val="center"/>
    </w:pPr>
    <w:rPr>
      <w:rFonts w:ascii="Calibri" w:hAnsi="Calibri" w:cs="Calibri"/>
      <w:color w:val="01653F"/>
      <w:sz w:val="40"/>
      <w:szCs w:val="40"/>
      <w:lang w:val="en-US" w:eastAsia="en-US"/>
    </w:rPr>
  </w:style>
  <w:style w:type="paragraph" w:customStyle="1" w:styleId="Boxbulletgreen">
    <w:name w:val="Box bullet green"/>
    <w:basedOn w:val="Normal"/>
    <w:qFormat/>
    <w:rsid w:val="00BF4A4E"/>
    <w:pPr>
      <w:pBdr>
        <w:top w:val="single" w:sz="12" w:space="4" w:color="984806"/>
        <w:left w:val="single" w:sz="12" w:space="4" w:color="984806"/>
        <w:bottom w:val="single" w:sz="12" w:space="4" w:color="984806"/>
        <w:right w:val="single" w:sz="12" w:space="4" w:color="984806"/>
      </w:pBdr>
      <w:tabs>
        <w:tab w:val="num" w:pos="357"/>
      </w:tabs>
      <w:spacing w:before="0" w:after="120" w:line="240" w:lineRule="auto"/>
      <w:ind w:left="357" w:hanging="357"/>
    </w:pPr>
    <w:rPr>
      <w:rFonts w:ascii="Calibri" w:eastAsia="MS Mincho" w:hAnsi="Calibri"/>
      <w:color w:val="000000"/>
      <w:szCs w:val="20"/>
    </w:rPr>
  </w:style>
  <w:style w:type="paragraph" w:customStyle="1" w:styleId="Heading3Numbered">
    <w:name w:val="Heading 3 Numbered"/>
    <w:basedOn w:val="Heading2"/>
    <w:uiPriority w:val="5"/>
    <w:qFormat/>
    <w:rsid w:val="002E1E75"/>
    <w:pPr>
      <w:spacing w:after="120"/>
      <w:ind w:left="1287" w:right="0" w:hanging="720"/>
      <w:outlineLvl w:val="2"/>
    </w:pPr>
    <w:rPr>
      <w:color w:val="auto"/>
      <w:sz w:val="24"/>
      <w:szCs w:val="26"/>
    </w:rPr>
  </w:style>
  <w:style w:type="paragraph" w:customStyle="1" w:styleId="Bullet-green">
    <w:name w:val="Bullet - green"/>
    <w:basedOn w:val="Normal"/>
    <w:link w:val="Bullet-greenChar"/>
    <w:uiPriority w:val="14"/>
    <w:qFormat/>
    <w:rsid w:val="002E1E75"/>
    <w:pPr>
      <w:numPr>
        <w:numId w:val="13"/>
      </w:numPr>
      <w:spacing w:before="0" w:after="120"/>
    </w:pPr>
  </w:style>
  <w:style w:type="character" w:customStyle="1" w:styleId="Bullet-greenChar">
    <w:name w:val="Bullet - green Char"/>
    <w:basedOn w:val="DefaultParagraphFont"/>
    <w:link w:val="Bullet-green"/>
    <w:uiPriority w:val="14"/>
    <w:rsid w:val="002E1E7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691">
      <w:bodyDiv w:val="1"/>
      <w:marLeft w:val="0"/>
      <w:marRight w:val="0"/>
      <w:marTop w:val="0"/>
      <w:marBottom w:val="0"/>
      <w:divBdr>
        <w:top w:val="none" w:sz="0" w:space="0" w:color="auto"/>
        <w:left w:val="none" w:sz="0" w:space="0" w:color="auto"/>
        <w:bottom w:val="none" w:sz="0" w:space="0" w:color="auto"/>
        <w:right w:val="none" w:sz="0" w:space="0" w:color="auto"/>
      </w:divBdr>
    </w:div>
    <w:div w:id="8067757">
      <w:bodyDiv w:val="1"/>
      <w:marLeft w:val="0"/>
      <w:marRight w:val="0"/>
      <w:marTop w:val="0"/>
      <w:marBottom w:val="0"/>
      <w:divBdr>
        <w:top w:val="none" w:sz="0" w:space="0" w:color="auto"/>
        <w:left w:val="none" w:sz="0" w:space="0" w:color="auto"/>
        <w:bottom w:val="none" w:sz="0" w:space="0" w:color="auto"/>
        <w:right w:val="none" w:sz="0" w:space="0" w:color="auto"/>
      </w:divBdr>
    </w:div>
    <w:div w:id="31732114">
      <w:bodyDiv w:val="1"/>
      <w:marLeft w:val="0"/>
      <w:marRight w:val="0"/>
      <w:marTop w:val="0"/>
      <w:marBottom w:val="0"/>
      <w:divBdr>
        <w:top w:val="none" w:sz="0" w:space="0" w:color="auto"/>
        <w:left w:val="none" w:sz="0" w:space="0" w:color="auto"/>
        <w:bottom w:val="none" w:sz="0" w:space="0" w:color="auto"/>
        <w:right w:val="none" w:sz="0" w:space="0" w:color="auto"/>
      </w:divBdr>
    </w:div>
    <w:div w:id="47270253">
      <w:bodyDiv w:val="1"/>
      <w:marLeft w:val="0"/>
      <w:marRight w:val="0"/>
      <w:marTop w:val="0"/>
      <w:marBottom w:val="0"/>
      <w:divBdr>
        <w:top w:val="none" w:sz="0" w:space="0" w:color="auto"/>
        <w:left w:val="none" w:sz="0" w:space="0" w:color="auto"/>
        <w:bottom w:val="none" w:sz="0" w:space="0" w:color="auto"/>
        <w:right w:val="none" w:sz="0" w:space="0" w:color="auto"/>
      </w:divBdr>
    </w:div>
    <w:div w:id="53705682">
      <w:bodyDiv w:val="1"/>
      <w:marLeft w:val="0"/>
      <w:marRight w:val="0"/>
      <w:marTop w:val="0"/>
      <w:marBottom w:val="0"/>
      <w:divBdr>
        <w:top w:val="none" w:sz="0" w:space="0" w:color="auto"/>
        <w:left w:val="none" w:sz="0" w:space="0" w:color="auto"/>
        <w:bottom w:val="none" w:sz="0" w:space="0" w:color="auto"/>
        <w:right w:val="none" w:sz="0" w:space="0" w:color="auto"/>
      </w:divBdr>
    </w:div>
    <w:div w:id="61104068">
      <w:bodyDiv w:val="1"/>
      <w:marLeft w:val="0"/>
      <w:marRight w:val="0"/>
      <w:marTop w:val="0"/>
      <w:marBottom w:val="0"/>
      <w:divBdr>
        <w:top w:val="none" w:sz="0" w:space="0" w:color="auto"/>
        <w:left w:val="none" w:sz="0" w:space="0" w:color="auto"/>
        <w:bottom w:val="none" w:sz="0" w:space="0" w:color="auto"/>
        <w:right w:val="none" w:sz="0" w:space="0" w:color="auto"/>
      </w:divBdr>
    </w:div>
    <w:div w:id="73670213">
      <w:bodyDiv w:val="1"/>
      <w:marLeft w:val="0"/>
      <w:marRight w:val="0"/>
      <w:marTop w:val="0"/>
      <w:marBottom w:val="0"/>
      <w:divBdr>
        <w:top w:val="none" w:sz="0" w:space="0" w:color="auto"/>
        <w:left w:val="none" w:sz="0" w:space="0" w:color="auto"/>
        <w:bottom w:val="none" w:sz="0" w:space="0" w:color="auto"/>
        <w:right w:val="none" w:sz="0" w:space="0" w:color="auto"/>
      </w:divBdr>
    </w:div>
    <w:div w:id="90206917">
      <w:bodyDiv w:val="1"/>
      <w:marLeft w:val="0"/>
      <w:marRight w:val="0"/>
      <w:marTop w:val="0"/>
      <w:marBottom w:val="0"/>
      <w:divBdr>
        <w:top w:val="none" w:sz="0" w:space="0" w:color="auto"/>
        <w:left w:val="none" w:sz="0" w:space="0" w:color="auto"/>
        <w:bottom w:val="none" w:sz="0" w:space="0" w:color="auto"/>
        <w:right w:val="none" w:sz="0" w:space="0" w:color="auto"/>
      </w:divBdr>
    </w:div>
    <w:div w:id="91897007">
      <w:bodyDiv w:val="1"/>
      <w:marLeft w:val="0"/>
      <w:marRight w:val="0"/>
      <w:marTop w:val="0"/>
      <w:marBottom w:val="0"/>
      <w:divBdr>
        <w:top w:val="none" w:sz="0" w:space="0" w:color="auto"/>
        <w:left w:val="none" w:sz="0" w:space="0" w:color="auto"/>
        <w:bottom w:val="none" w:sz="0" w:space="0" w:color="auto"/>
        <w:right w:val="none" w:sz="0" w:space="0" w:color="auto"/>
      </w:divBdr>
    </w:div>
    <w:div w:id="97255464">
      <w:bodyDiv w:val="1"/>
      <w:marLeft w:val="0"/>
      <w:marRight w:val="0"/>
      <w:marTop w:val="0"/>
      <w:marBottom w:val="0"/>
      <w:divBdr>
        <w:top w:val="none" w:sz="0" w:space="0" w:color="auto"/>
        <w:left w:val="none" w:sz="0" w:space="0" w:color="auto"/>
        <w:bottom w:val="none" w:sz="0" w:space="0" w:color="auto"/>
        <w:right w:val="none" w:sz="0" w:space="0" w:color="auto"/>
      </w:divBdr>
    </w:div>
    <w:div w:id="98375142">
      <w:bodyDiv w:val="1"/>
      <w:marLeft w:val="0"/>
      <w:marRight w:val="0"/>
      <w:marTop w:val="0"/>
      <w:marBottom w:val="0"/>
      <w:divBdr>
        <w:top w:val="none" w:sz="0" w:space="0" w:color="auto"/>
        <w:left w:val="none" w:sz="0" w:space="0" w:color="auto"/>
        <w:bottom w:val="none" w:sz="0" w:space="0" w:color="auto"/>
        <w:right w:val="none" w:sz="0" w:space="0" w:color="auto"/>
      </w:divBdr>
    </w:div>
    <w:div w:id="106852845">
      <w:bodyDiv w:val="1"/>
      <w:marLeft w:val="0"/>
      <w:marRight w:val="0"/>
      <w:marTop w:val="0"/>
      <w:marBottom w:val="0"/>
      <w:divBdr>
        <w:top w:val="none" w:sz="0" w:space="0" w:color="auto"/>
        <w:left w:val="none" w:sz="0" w:space="0" w:color="auto"/>
        <w:bottom w:val="none" w:sz="0" w:space="0" w:color="auto"/>
        <w:right w:val="none" w:sz="0" w:space="0" w:color="auto"/>
      </w:divBdr>
    </w:div>
    <w:div w:id="123546653">
      <w:bodyDiv w:val="1"/>
      <w:marLeft w:val="0"/>
      <w:marRight w:val="0"/>
      <w:marTop w:val="0"/>
      <w:marBottom w:val="0"/>
      <w:divBdr>
        <w:top w:val="none" w:sz="0" w:space="0" w:color="auto"/>
        <w:left w:val="none" w:sz="0" w:space="0" w:color="auto"/>
        <w:bottom w:val="none" w:sz="0" w:space="0" w:color="auto"/>
        <w:right w:val="none" w:sz="0" w:space="0" w:color="auto"/>
      </w:divBdr>
    </w:div>
    <w:div w:id="150875637">
      <w:bodyDiv w:val="1"/>
      <w:marLeft w:val="0"/>
      <w:marRight w:val="0"/>
      <w:marTop w:val="0"/>
      <w:marBottom w:val="0"/>
      <w:divBdr>
        <w:top w:val="none" w:sz="0" w:space="0" w:color="auto"/>
        <w:left w:val="none" w:sz="0" w:space="0" w:color="auto"/>
        <w:bottom w:val="none" w:sz="0" w:space="0" w:color="auto"/>
        <w:right w:val="none" w:sz="0" w:space="0" w:color="auto"/>
      </w:divBdr>
    </w:div>
    <w:div w:id="161243583">
      <w:bodyDiv w:val="1"/>
      <w:marLeft w:val="0"/>
      <w:marRight w:val="0"/>
      <w:marTop w:val="0"/>
      <w:marBottom w:val="0"/>
      <w:divBdr>
        <w:top w:val="none" w:sz="0" w:space="0" w:color="auto"/>
        <w:left w:val="none" w:sz="0" w:space="0" w:color="auto"/>
        <w:bottom w:val="none" w:sz="0" w:space="0" w:color="auto"/>
        <w:right w:val="none" w:sz="0" w:space="0" w:color="auto"/>
      </w:divBdr>
    </w:div>
    <w:div w:id="168180599">
      <w:bodyDiv w:val="1"/>
      <w:marLeft w:val="0"/>
      <w:marRight w:val="0"/>
      <w:marTop w:val="0"/>
      <w:marBottom w:val="0"/>
      <w:divBdr>
        <w:top w:val="none" w:sz="0" w:space="0" w:color="auto"/>
        <w:left w:val="none" w:sz="0" w:space="0" w:color="auto"/>
        <w:bottom w:val="none" w:sz="0" w:space="0" w:color="auto"/>
        <w:right w:val="none" w:sz="0" w:space="0" w:color="auto"/>
      </w:divBdr>
    </w:div>
    <w:div w:id="208881965">
      <w:bodyDiv w:val="1"/>
      <w:marLeft w:val="0"/>
      <w:marRight w:val="0"/>
      <w:marTop w:val="0"/>
      <w:marBottom w:val="0"/>
      <w:divBdr>
        <w:top w:val="none" w:sz="0" w:space="0" w:color="auto"/>
        <w:left w:val="none" w:sz="0" w:space="0" w:color="auto"/>
        <w:bottom w:val="none" w:sz="0" w:space="0" w:color="auto"/>
        <w:right w:val="none" w:sz="0" w:space="0" w:color="auto"/>
      </w:divBdr>
    </w:div>
    <w:div w:id="215121331">
      <w:bodyDiv w:val="1"/>
      <w:marLeft w:val="0"/>
      <w:marRight w:val="0"/>
      <w:marTop w:val="0"/>
      <w:marBottom w:val="0"/>
      <w:divBdr>
        <w:top w:val="none" w:sz="0" w:space="0" w:color="auto"/>
        <w:left w:val="none" w:sz="0" w:space="0" w:color="auto"/>
        <w:bottom w:val="none" w:sz="0" w:space="0" w:color="auto"/>
        <w:right w:val="none" w:sz="0" w:space="0" w:color="auto"/>
      </w:divBdr>
    </w:div>
    <w:div w:id="250895780">
      <w:bodyDiv w:val="1"/>
      <w:marLeft w:val="0"/>
      <w:marRight w:val="0"/>
      <w:marTop w:val="0"/>
      <w:marBottom w:val="0"/>
      <w:divBdr>
        <w:top w:val="none" w:sz="0" w:space="0" w:color="auto"/>
        <w:left w:val="none" w:sz="0" w:space="0" w:color="auto"/>
        <w:bottom w:val="none" w:sz="0" w:space="0" w:color="auto"/>
        <w:right w:val="none" w:sz="0" w:space="0" w:color="auto"/>
      </w:divBdr>
    </w:div>
    <w:div w:id="261955232">
      <w:bodyDiv w:val="1"/>
      <w:marLeft w:val="0"/>
      <w:marRight w:val="0"/>
      <w:marTop w:val="0"/>
      <w:marBottom w:val="0"/>
      <w:divBdr>
        <w:top w:val="none" w:sz="0" w:space="0" w:color="auto"/>
        <w:left w:val="none" w:sz="0" w:space="0" w:color="auto"/>
        <w:bottom w:val="none" w:sz="0" w:space="0" w:color="auto"/>
        <w:right w:val="none" w:sz="0" w:space="0" w:color="auto"/>
      </w:divBdr>
    </w:div>
    <w:div w:id="271909339">
      <w:bodyDiv w:val="1"/>
      <w:marLeft w:val="0"/>
      <w:marRight w:val="0"/>
      <w:marTop w:val="0"/>
      <w:marBottom w:val="0"/>
      <w:divBdr>
        <w:top w:val="none" w:sz="0" w:space="0" w:color="auto"/>
        <w:left w:val="none" w:sz="0" w:space="0" w:color="auto"/>
        <w:bottom w:val="none" w:sz="0" w:space="0" w:color="auto"/>
        <w:right w:val="none" w:sz="0" w:space="0" w:color="auto"/>
      </w:divBdr>
    </w:div>
    <w:div w:id="295456502">
      <w:bodyDiv w:val="1"/>
      <w:marLeft w:val="0"/>
      <w:marRight w:val="0"/>
      <w:marTop w:val="0"/>
      <w:marBottom w:val="0"/>
      <w:divBdr>
        <w:top w:val="none" w:sz="0" w:space="0" w:color="auto"/>
        <w:left w:val="none" w:sz="0" w:space="0" w:color="auto"/>
        <w:bottom w:val="none" w:sz="0" w:space="0" w:color="auto"/>
        <w:right w:val="none" w:sz="0" w:space="0" w:color="auto"/>
      </w:divBdr>
    </w:div>
    <w:div w:id="303774886">
      <w:bodyDiv w:val="1"/>
      <w:marLeft w:val="0"/>
      <w:marRight w:val="0"/>
      <w:marTop w:val="0"/>
      <w:marBottom w:val="0"/>
      <w:divBdr>
        <w:top w:val="none" w:sz="0" w:space="0" w:color="auto"/>
        <w:left w:val="none" w:sz="0" w:space="0" w:color="auto"/>
        <w:bottom w:val="none" w:sz="0" w:space="0" w:color="auto"/>
        <w:right w:val="none" w:sz="0" w:space="0" w:color="auto"/>
      </w:divBdr>
    </w:div>
    <w:div w:id="315232650">
      <w:bodyDiv w:val="1"/>
      <w:marLeft w:val="0"/>
      <w:marRight w:val="0"/>
      <w:marTop w:val="0"/>
      <w:marBottom w:val="0"/>
      <w:divBdr>
        <w:top w:val="none" w:sz="0" w:space="0" w:color="auto"/>
        <w:left w:val="none" w:sz="0" w:space="0" w:color="auto"/>
        <w:bottom w:val="none" w:sz="0" w:space="0" w:color="auto"/>
        <w:right w:val="none" w:sz="0" w:space="0" w:color="auto"/>
      </w:divBdr>
    </w:div>
    <w:div w:id="323556138">
      <w:bodyDiv w:val="1"/>
      <w:marLeft w:val="0"/>
      <w:marRight w:val="0"/>
      <w:marTop w:val="0"/>
      <w:marBottom w:val="0"/>
      <w:divBdr>
        <w:top w:val="none" w:sz="0" w:space="0" w:color="auto"/>
        <w:left w:val="none" w:sz="0" w:space="0" w:color="auto"/>
        <w:bottom w:val="none" w:sz="0" w:space="0" w:color="auto"/>
        <w:right w:val="none" w:sz="0" w:space="0" w:color="auto"/>
      </w:divBdr>
    </w:div>
    <w:div w:id="324207556">
      <w:bodyDiv w:val="1"/>
      <w:marLeft w:val="0"/>
      <w:marRight w:val="0"/>
      <w:marTop w:val="0"/>
      <w:marBottom w:val="0"/>
      <w:divBdr>
        <w:top w:val="none" w:sz="0" w:space="0" w:color="auto"/>
        <w:left w:val="none" w:sz="0" w:space="0" w:color="auto"/>
        <w:bottom w:val="none" w:sz="0" w:space="0" w:color="auto"/>
        <w:right w:val="none" w:sz="0" w:space="0" w:color="auto"/>
      </w:divBdr>
    </w:div>
    <w:div w:id="324359780">
      <w:bodyDiv w:val="1"/>
      <w:marLeft w:val="0"/>
      <w:marRight w:val="0"/>
      <w:marTop w:val="0"/>
      <w:marBottom w:val="0"/>
      <w:divBdr>
        <w:top w:val="none" w:sz="0" w:space="0" w:color="auto"/>
        <w:left w:val="none" w:sz="0" w:space="0" w:color="auto"/>
        <w:bottom w:val="none" w:sz="0" w:space="0" w:color="auto"/>
        <w:right w:val="none" w:sz="0" w:space="0" w:color="auto"/>
      </w:divBdr>
    </w:div>
    <w:div w:id="348141111">
      <w:bodyDiv w:val="1"/>
      <w:marLeft w:val="0"/>
      <w:marRight w:val="0"/>
      <w:marTop w:val="0"/>
      <w:marBottom w:val="0"/>
      <w:divBdr>
        <w:top w:val="none" w:sz="0" w:space="0" w:color="auto"/>
        <w:left w:val="none" w:sz="0" w:space="0" w:color="auto"/>
        <w:bottom w:val="none" w:sz="0" w:space="0" w:color="auto"/>
        <w:right w:val="none" w:sz="0" w:space="0" w:color="auto"/>
      </w:divBdr>
    </w:div>
    <w:div w:id="348529493">
      <w:bodyDiv w:val="1"/>
      <w:marLeft w:val="0"/>
      <w:marRight w:val="0"/>
      <w:marTop w:val="0"/>
      <w:marBottom w:val="0"/>
      <w:divBdr>
        <w:top w:val="none" w:sz="0" w:space="0" w:color="auto"/>
        <w:left w:val="none" w:sz="0" w:space="0" w:color="auto"/>
        <w:bottom w:val="none" w:sz="0" w:space="0" w:color="auto"/>
        <w:right w:val="none" w:sz="0" w:space="0" w:color="auto"/>
      </w:divBdr>
    </w:div>
    <w:div w:id="382414444">
      <w:bodyDiv w:val="1"/>
      <w:marLeft w:val="0"/>
      <w:marRight w:val="0"/>
      <w:marTop w:val="0"/>
      <w:marBottom w:val="0"/>
      <w:divBdr>
        <w:top w:val="none" w:sz="0" w:space="0" w:color="auto"/>
        <w:left w:val="none" w:sz="0" w:space="0" w:color="auto"/>
        <w:bottom w:val="none" w:sz="0" w:space="0" w:color="auto"/>
        <w:right w:val="none" w:sz="0" w:space="0" w:color="auto"/>
      </w:divBdr>
    </w:div>
    <w:div w:id="407075630">
      <w:bodyDiv w:val="1"/>
      <w:marLeft w:val="0"/>
      <w:marRight w:val="0"/>
      <w:marTop w:val="0"/>
      <w:marBottom w:val="0"/>
      <w:divBdr>
        <w:top w:val="none" w:sz="0" w:space="0" w:color="auto"/>
        <w:left w:val="none" w:sz="0" w:space="0" w:color="auto"/>
        <w:bottom w:val="none" w:sz="0" w:space="0" w:color="auto"/>
        <w:right w:val="none" w:sz="0" w:space="0" w:color="auto"/>
      </w:divBdr>
    </w:div>
    <w:div w:id="427238775">
      <w:bodyDiv w:val="1"/>
      <w:marLeft w:val="0"/>
      <w:marRight w:val="0"/>
      <w:marTop w:val="0"/>
      <w:marBottom w:val="0"/>
      <w:divBdr>
        <w:top w:val="none" w:sz="0" w:space="0" w:color="auto"/>
        <w:left w:val="none" w:sz="0" w:space="0" w:color="auto"/>
        <w:bottom w:val="none" w:sz="0" w:space="0" w:color="auto"/>
        <w:right w:val="none" w:sz="0" w:space="0" w:color="auto"/>
      </w:divBdr>
    </w:div>
    <w:div w:id="447310634">
      <w:bodyDiv w:val="1"/>
      <w:marLeft w:val="0"/>
      <w:marRight w:val="0"/>
      <w:marTop w:val="0"/>
      <w:marBottom w:val="0"/>
      <w:divBdr>
        <w:top w:val="none" w:sz="0" w:space="0" w:color="auto"/>
        <w:left w:val="none" w:sz="0" w:space="0" w:color="auto"/>
        <w:bottom w:val="none" w:sz="0" w:space="0" w:color="auto"/>
        <w:right w:val="none" w:sz="0" w:space="0" w:color="auto"/>
      </w:divBdr>
    </w:div>
    <w:div w:id="450051275">
      <w:bodyDiv w:val="1"/>
      <w:marLeft w:val="0"/>
      <w:marRight w:val="0"/>
      <w:marTop w:val="0"/>
      <w:marBottom w:val="0"/>
      <w:divBdr>
        <w:top w:val="none" w:sz="0" w:space="0" w:color="auto"/>
        <w:left w:val="none" w:sz="0" w:space="0" w:color="auto"/>
        <w:bottom w:val="none" w:sz="0" w:space="0" w:color="auto"/>
        <w:right w:val="none" w:sz="0" w:space="0" w:color="auto"/>
      </w:divBdr>
    </w:div>
    <w:div w:id="450131353">
      <w:bodyDiv w:val="1"/>
      <w:marLeft w:val="0"/>
      <w:marRight w:val="0"/>
      <w:marTop w:val="0"/>
      <w:marBottom w:val="0"/>
      <w:divBdr>
        <w:top w:val="none" w:sz="0" w:space="0" w:color="auto"/>
        <w:left w:val="none" w:sz="0" w:space="0" w:color="auto"/>
        <w:bottom w:val="none" w:sz="0" w:space="0" w:color="auto"/>
        <w:right w:val="none" w:sz="0" w:space="0" w:color="auto"/>
      </w:divBdr>
    </w:div>
    <w:div w:id="496655445">
      <w:bodyDiv w:val="1"/>
      <w:marLeft w:val="0"/>
      <w:marRight w:val="0"/>
      <w:marTop w:val="0"/>
      <w:marBottom w:val="0"/>
      <w:divBdr>
        <w:top w:val="none" w:sz="0" w:space="0" w:color="auto"/>
        <w:left w:val="none" w:sz="0" w:space="0" w:color="auto"/>
        <w:bottom w:val="none" w:sz="0" w:space="0" w:color="auto"/>
        <w:right w:val="none" w:sz="0" w:space="0" w:color="auto"/>
      </w:divBdr>
    </w:div>
    <w:div w:id="532502687">
      <w:bodyDiv w:val="1"/>
      <w:marLeft w:val="0"/>
      <w:marRight w:val="0"/>
      <w:marTop w:val="0"/>
      <w:marBottom w:val="0"/>
      <w:divBdr>
        <w:top w:val="none" w:sz="0" w:space="0" w:color="auto"/>
        <w:left w:val="none" w:sz="0" w:space="0" w:color="auto"/>
        <w:bottom w:val="none" w:sz="0" w:space="0" w:color="auto"/>
        <w:right w:val="none" w:sz="0" w:space="0" w:color="auto"/>
      </w:divBdr>
    </w:div>
    <w:div w:id="556597761">
      <w:bodyDiv w:val="1"/>
      <w:marLeft w:val="0"/>
      <w:marRight w:val="0"/>
      <w:marTop w:val="0"/>
      <w:marBottom w:val="0"/>
      <w:divBdr>
        <w:top w:val="none" w:sz="0" w:space="0" w:color="auto"/>
        <w:left w:val="none" w:sz="0" w:space="0" w:color="auto"/>
        <w:bottom w:val="none" w:sz="0" w:space="0" w:color="auto"/>
        <w:right w:val="none" w:sz="0" w:space="0" w:color="auto"/>
      </w:divBdr>
    </w:div>
    <w:div w:id="557546890">
      <w:bodyDiv w:val="1"/>
      <w:marLeft w:val="0"/>
      <w:marRight w:val="0"/>
      <w:marTop w:val="0"/>
      <w:marBottom w:val="0"/>
      <w:divBdr>
        <w:top w:val="none" w:sz="0" w:space="0" w:color="auto"/>
        <w:left w:val="none" w:sz="0" w:space="0" w:color="auto"/>
        <w:bottom w:val="none" w:sz="0" w:space="0" w:color="auto"/>
        <w:right w:val="none" w:sz="0" w:space="0" w:color="auto"/>
      </w:divBdr>
    </w:div>
    <w:div w:id="586036538">
      <w:bodyDiv w:val="1"/>
      <w:marLeft w:val="0"/>
      <w:marRight w:val="0"/>
      <w:marTop w:val="0"/>
      <w:marBottom w:val="0"/>
      <w:divBdr>
        <w:top w:val="none" w:sz="0" w:space="0" w:color="auto"/>
        <w:left w:val="none" w:sz="0" w:space="0" w:color="auto"/>
        <w:bottom w:val="none" w:sz="0" w:space="0" w:color="auto"/>
        <w:right w:val="none" w:sz="0" w:space="0" w:color="auto"/>
      </w:divBdr>
    </w:div>
    <w:div w:id="603421191">
      <w:bodyDiv w:val="1"/>
      <w:marLeft w:val="0"/>
      <w:marRight w:val="0"/>
      <w:marTop w:val="0"/>
      <w:marBottom w:val="0"/>
      <w:divBdr>
        <w:top w:val="none" w:sz="0" w:space="0" w:color="auto"/>
        <w:left w:val="none" w:sz="0" w:space="0" w:color="auto"/>
        <w:bottom w:val="none" w:sz="0" w:space="0" w:color="auto"/>
        <w:right w:val="none" w:sz="0" w:space="0" w:color="auto"/>
      </w:divBdr>
    </w:div>
    <w:div w:id="605112079">
      <w:bodyDiv w:val="1"/>
      <w:marLeft w:val="0"/>
      <w:marRight w:val="0"/>
      <w:marTop w:val="0"/>
      <w:marBottom w:val="0"/>
      <w:divBdr>
        <w:top w:val="none" w:sz="0" w:space="0" w:color="auto"/>
        <w:left w:val="none" w:sz="0" w:space="0" w:color="auto"/>
        <w:bottom w:val="none" w:sz="0" w:space="0" w:color="auto"/>
        <w:right w:val="none" w:sz="0" w:space="0" w:color="auto"/>
      </w:divBdr>
    </w:div>
    <w:div w:id="644510575">
      <w:bodyDiv w:val="1"/>
      <w:marLeft w:val="0"/>
      <w:marRight w:val="0"/>
      <w:marTop w:val="0"/>
      <w:marBottom w:val="0"/>
      <w:divBdr>
        <w:top w:val="none" w:sz="0" w:space="0" w:color="auto"/>
        <w:left w:val="none" w:sz="0" w:space="0" w:color="auto"/>
        <w:bottom w:val="none" w:sz="0" w:space="0" w:color="auto"/>
        <w:right w:val="none" w:sz="0" w:space="0" w:color="auto"/>
      </w:divBdr>
    </w:div>
    <w:div w:id="655719887">
      <w:bodyDiv w:val="1"/>
      <w:marLeft w:val="0"/>
      <w:marRight w:val="0"/>
      <w:marTop w:val="0"/>
      <w:marBottom w:val="0"/>
      <w:divBdr>
        <w:top w:val="none" w:sz="0" w:space="0" w:color="auto"/>
        <w:left w:val="none" w:sz="0" w:space="0" w:color="auto"/>
        <w:bottom w:val="none" w:sz="0" w:space="0" w:color="auto"/>
        <w:right w:val="none" w:sz="0" w:space="0" w:color="auto"/>
      </w:divBdr>
    </w:div>
    <w:div w:id="681709713">
      <w:bodyDiv w:val="1"/>
      <w:marLeft w:val="0"/>
      <w:marRight w:val="0"/>
      <w:marTop w:val="0"/>
      <w:marBottom w:val="0"/>
      <w:divBdr>
        <w:top w:val="none" w:sz="0" w:space="0" w:color="auto"/>
        <w:left w:val="none" w:sz="0" w:space="0" w:color="auto"/>
        <w:bottom w:val="none" w:sz="0" w:space="0" w:color="auto"/>
        <w:right w:val="none" w:sz="0" w:space="0" w:color="auto"/>
      </w:divBdr>
    </w:div>
    <w:div w:id="683090741">
      <w:bodyDiv w:val="1"/>
      <w:marLeft w:val="0"/>
      <w:marRight w:val="0"/>
      <w:marTop w:val="0"/>
      <w:marBottom w:val="0"/>
      <w:divBdr>
        <w:top w:val="none" w:sz="0" w:space="0" w:color="auto"/>
        <w:left w:val="none" w:sz="0" w:space="0" w:color="auto"/>
        <w:bottom w:val="none" w:sz="0" w:space="0" w:color="auto"/>
        <w:right w:val="none" w:sz="0" w:space="0" w:color="auto"/>
      </w:divBdr>
    </w:div>
    <w:div w:id="698970073">
      <w:bodyDiv w:val="1"/>
      <w:marLeft w:val="0"/>
      <w:marRight w:val="0"/>
      <w:marTop w:val="0"/>
      <w:marBottom w:val="0"/>
      <w:divBdr>
        <w:top w:val="none" w:sz="0" w:space="0" w:color="auto"/>
        <w:left w:val="none" w:sz="0" w:space="0" w:color="auto"/>
        <w:bottom w:val="none" w:sz="0" w:space="0" w:color="auto"/>
        <w:right w:val="none" w:sz="0" w:space="0" w:color="auto"/>
      </w:divBdr>
    </w:div>
    <w:div w:id="699746303">
      <w:bodyDiv w:val="1"/>
      <w:marLeft w:val="0"/>
      <w:marRight w:val="0"/>
      <w:marTop w:val="0"/>
      <w:marBottom w:val="0"/>
      <w:divBdr>
        <w:top w:val="none" w:sz="0" w:space="0" w:color="auto"/>
        <w:left w:val="none" w:sz="0" w:space="0" w:color="auto"/>
        <w:bottom w:val="none" w:sz="0" w:space="0" w:color="auto"/>
        <w:right w:val="none" w:sz="0" w:space="0" w:color="auto"/>
      </w:divBdr>
    </w:div>
    <w:div w:id="705983148">
      <w:bodyDiv w:val="1"/>
      <w:marLeft w:val="0"/>
      <w:marRight w:val="0"/>
      <w:marTop w:val="0"/>
      <w:marBottom w:val="0"/>
      <w:divBdr>
        <w:top w:val="none" w:sz="0" w:space="0" w:color="auto"/>
        <w:left w:val="none" w:sz="0" w:space="0" w:color="auto"/>
        <w:bottom w:val="none" w:sz="0" w:space="0" w:color="auto"/>
        <w:right w:val="none" w:sz="0" w:space="0" w:color="auto"/>
      </w:divBdr>
    </w:div>
    <w:div w:id="719134470">
      <w:bodyDiv w:val="1"/>
      <w:marLeft w:val="0"/>
      <w:marRight w:val="0"/>
      <w:marTop w:val="0"/>
      <w:marBottom w:val="0"/>
      <w:divBdr>
        <w:top w:val="none" w:sz="0" w:space="0" w:color="auto"/>
        <w:left w:val="none" w:sz="0" w:space="0" w:color="auto"/>
        <w:bottom w:val="none" w:sz="0" w:space="0" w:color="auto"/>
        <w:right w:val="none" w:sz="0" w:space="0" w:color="auto"/>
      </w:divBdr>
    </w:div>
    <w:div w:id="721372298">
      <w:bodyDiv w:val="1"/>
      <w:marLeft w:val="0"/>
      <w:marRight w:val="0"/>
      <w:marTop w:val="0"/>
      <w:marBottom w:val="0"/>
      <w:divBdr>
        <w:top w:val="none" w:sz="0" w:space="0" w:color="auto"/>
        <w:left w:val="none" w:sz="0" w:space="0" w:color="auto"/>
        <w:bottom w:val="none" w:sz="0" w:space="0" w:color="auto"/>
        <w:right w:val="none" w:sz="0" w:space="0" w:color="auto"/>
      </w:divBdr>
    </w:div>
    <w:div w:id="735322854">
      <w:bodyDiv w:val="1"/>
      <w:marLeft w:val="0"/>
      <w:marRight w:val="0"/>
      <w:marTop w:val="0"/>
      <w:marBottom w:val="0"/>
      <w:divBdr>
        <w:top w:val="none" w:sz="0" w:space="0" w:color="auto"/>
        <w:left w:val="none" w:sz="0" w:space="0" w:color="auto"/>
        <w:bottom w:val="none" w:sz="0" w:space="0" w:color="auto"/>
        <w:right w:val="none" w:sz="0" w:space="0" w:color="auto"/>
      </w:divBdr>
    </w:div>
    <w:div w:id="740716157">
      <w:bodyDiv w:val="1"/>
      <w:marLeft w:val="0"/>
      <w:marRight w:val="0"/>
      <w:marTop w:val="0"/>
      <w:marBottom w:val="0"/>
      <w:divBdr>
        <w:top w:val="none" w:sz="0" w:space="0" w:color="auto"/>
        <w:left w:val="none" w:sz="0" w:space="0" w:color="auto"/>
        <w:bottom w:val="none" w:sz="0" w:space="0" w:color="auto"/>
        <w:right w:val="none" w:sz="0" w:space="0" w:color="auto"/>
      </w:divBdr>
    </w:div>
    <w:div w:id="765156414">
      <w:bodyDiv w:val="1"/>
      <w:marLeft w:val="0"/>
      <w:marRight w:val="0"/>
      <w:marTop w:val="0"/>
      <w:marBottom w:val="0"/>
      <w:divBdr>
        <w:top w:val="none" w:sz="0" w:space="0" w:color="auto"/>
        <w:left w:val="none" w:sz="0" w:space="0" w:color="auto"/>
        <w:bottom w:val="none" w:sz="0" w:space="0" w:color="auto"/>
        <w:right w:val="none" w:sz="0" w:space="0" w:color="auto"/>
      </w:divBdr>
    </w:div>
    <w:div w:id="811210938">
      <w:bodyDiv w:val="1"/>
      <w:marLeft w:val="0"/>
      <w:marRight w:val="0"/>
      <w:marTop w:val="0"/>
      <w:marBottom w:val="0"/>
      <w:divBdr>
        <w:top w:val="none" w:sz="0" w:space="0" w:color="auto"/>
        <w:left w:val="none" w:sz="0" w:space="0" w:color="auto"/>
        <w:bottom w:val="none" w:sz="0" w:space="0" w:color="auto"/>
        <w:right w:val="none" w:sz="0" w:space="0" w:color="auto"/>
      </w:divBdr>
    </w:div>
    <w:div w:id="841823400">
      <w:bodyDiv w:val="1"/>
      <w:marLeft w:val="0"/>
      <w:marRight w:val="0"/>
      <w:marTop w:val="0"/>
      <w:marBottom w:val="0"/>
      <w:divBdr>
        <w:top w:val="none" w:sz="0" w:space="0" w:color="auto"/>
        <w:left w:val="none" w:sz="0" w:space="0" w:color="auto"/>
        <w:bottom w:val="none" w:sz="0" w:space="0" w:color="auto"/>
        <w:right w:val="none" w:sz="0" w:space="0" w:color="auto"/>
      </w:divBdr>
    </w:div>
    <w:div w:id="865559501">
      <w:bodyDiv w:val="1"/>
      <w:marLeft w:val="0"/>
      <w:marRight w:val="0"/>
      <w:marTop w:val="0"/>
      <w:marBottom w:val="0"/>
      <w:divBdr>
        <w:top w:val="none" w:sz="0" w:space="0" w:color="auto"/>
        <w:left w:val="none" w:sz="0" w:space="0" w:color="auto"/>
        <w:bottom w:val="none" w:sz="0" w:space="0" w:color="auto"/>
        <w:right w:val="none" w:sz="0" w:space="0" w:color="auto"/>
      </w:divBdr>
    </w:div>
    <w:div w:id="868030096">
      <w:bodyDiv w:val="1"/>
      <w:marLeft w:val="0"/>
      <w:marRight w:val="0"/>
      <w:marTop w:val="0"/>
      <w:marBottom w:val="0"/>
      <w:divBdr>
        <w:top w:val="none" w:sz="0" w:space="0" w:color="auto"/>
        <w:left w:val="none" w:sz="0" w:space="0" w:color="auto"/>
        <w:bottom w:val="none" w:sz="0" w:space="0" w:color="auto"/>
        <w:right w:val="none" w:sz="0" w:space="0" w:color="auto"/>
      </w:divBdr>
    </w:div>
    <w:div w:id="889222505">
      <w:bodyDiv w:val="1"/>
      <w:marLeft w:val="0"/>
      <w:marRight w:val="0"/>
      <w:marTop w:val="0"/>
      <w:marBottom w:val="0"/>
      <w:divBdr>
        <w:top w:val="none" w:sz="0" w:space="0" w:color="auto"/>
        <w:left w:val="none" w:sz="0" w:space="0" w:color="auto"/>
        <w:bottom w:val="none" w:sz="0" w:space="0" w:color="auto"/>
        <w:right w:val="none" w:sz="0" w:space="0" w:color="auto"/>
      </w:divBdr>
    </w:div>
    <w:div w:id="901524996">
      <w:bodyDiv w:val="1"/>
      <w:marLeft w:val="0"/>
      <w:marRight w:val="0"/>
      <w:marTop w:val="0"/>
      <w:marBottom w:val="0"/>
      <w:divBdr>
        <w:top w:val="none" w:sz="0" w:space="0" w:color="auto"/>
        <w:left w:val="none" w:sz="0" w:space="0" w:color="auto"/>
        <w:bottom w:val="none" w:sz="0" w:space="0" w:color="auto"/>
        <w:right w:val="none" w:sz="0" w:space="0" w:color="auto"/>
      </w:divBdr>
    </w:div>
    <w:div w:id="902835136">
      <w:bodyDiv w:val="1"/>
      <w:marLeft w:val="0"/>
      <w:marRight w:val="0"/>
      <w:marTop w:val="0"/>
      <w:marBottom w:val="0"/>
      <w:divBdr>
        <w:top w:val="none" w:sz="0" w:space="0" w:color="auto"/>
        <w:left w:val="none" w:sz="0" w:space="0" w:color="auto"/>
        <w:bottom w:val="none" w:sz="0" w:space="0" w:color="auto"/>
        <w:right w:val="none" w:sz="0" w:space="0" w:color="auto"/>
      </w:divBdr>
    </w:div>
    <w:div w:id="907544114">
      <w:bodyDiv w:val="1"/>
      <w:marLeft w:val="0"/>
      <w:marRight w:val="0"/>
      <w:marTop w:val="0"/>
      <w:marBottom w:val="0"/>
      <w:divBdr>
        <w:top w:val="none" w:sz="0" w:space="0" w:color="auto"/>
        <w:left w:val="none" w:sz="0" w:space="0" w:color="auto"/>
        <w:bottom w:val="none" w:sz="0" w:space="0" w:color="auto"/>
        <w:right w:val="none" w:sz="0" w:space="0" w:color="auto"/>
      </w:divBdr>
    </w:div>
    <w:div w:id="942147021">
      <w:bodyDiv w:val="1"/>
      <w:marLeft w:val="0"/>
      <w:marRight w:val="0"/>
      <w:marTop w:val="0"/>
      <w:marBottom w:val="0"/>
      <w:divBdr>
        <w:top w:val="none" w:sz="0" w:space="0" w:color="auto"/>
        <w:left w:val="none" w:sz="0" w:space="0" w:color="auto"/>
        <w:bottom w:val="none" w:sz="0" w:space="0" w:color="auto"/>
        <w:right w:val="none" w:sz="0" w:space="0" w:color="auto"/>
      </w:divBdr>
    </w:div>
    <w:div w:id="1015496147">
      <w:bodyDiv w:val="1"/>
      <w:marLeft w:val="0"/>
      <w:marRight w:val="0"/>
      <w:marTop w:val="0"/>
      <w:marBottom w:val="0"/>
      <w:divBdr>
        <w:top w:val="none" w:sz="0" w:space="0" w:color="auto"/>
        <w:left w:val="none" w:sz="0" w:space="0" w:color="auto"/>
        <w:bottom w:val="none" w:sz="0" w:space="0" w:color="auto"/>
        <w:right w:val="none" w:sz="0" w:space="0" w:color="auto"/>
      </w:divBdr>
    </w:div>
    <w:div w:id="1019282994">
      <w:bodyDiv w:val="1"/>
      <w:marLeft w:val="0"/>
      <w:marRight w:val="0"/>
      <w:marTop w:val="0"/>
      <w:marBottom w:val="0"/>
      <w:divBdr>
        <w:top w:val="none" w:sz="0" w:space="0" w:color="auto"/>
        <w:left w:val="none" w:sz="0" w:space="0" w:color="auto"/>
        <w:bottom w:val="none" w:sz="0" w:space="0" w:color="auto"/>
        <w:right w:val="none" w:sz="0" w:space="0" w:color="auto"/>
      </w:divBdr>
    </w:div>
    <w:div w:id="1022322433">
      <w:bodyDiv w:val="1"/>
      <w:marLeft w:val="0"/>
      <w:marRight w:val="0"/>
      <w:marTop w:val="0"/>
      <w:marBottom w:val="0"/>
      <w:divBdr>
        <w:top w:val="none" w:sz="0" w:space="0" w:color="auto"/>
        <w:left w:val="none" w:sz="0" w:space="0" w:color="auto"/>
        <w:bottom w:val="none" w:sz="0" w:space="0" w:color="auto"/>
        <w:right w:val="none" w:sz="0" w:space="0" w:color="auto"/>
      </w:divBdr>
    </w:div>
    <w:div w:id="1033264943">
      <w:bodyDiv w:val="1"/>
      <w:marLeft w:val="0"/>
      <w:marRight w:val="0"/>
      <w:marTop w:val="0"/>
      <w:marBottom w:val="0"/>
      <w:divBdr>
        <w:top w:val="none" w:sz="0" w:space="0" w:color="auto"/>
        <w:left w:val="none" w:sz="0" w:space="0" w:color="auto"/>
        <w:bottom w:val="none" w:sz="0" w:space="0" w:color="auto"/>
        <w:right w:val="none" w:sz="0" w:space="0" w:color="auto"/>
      </w:divBdr>
    </w:div>
    <w:div w:id="1039401304">
      <w:bodyDiv w:val="1"/>
      <w:marLeft w:val="0"/>
      <w:marRight w:val="0"/>
      <w:marTop w:val="0"/>
      <w:marBottom w:val="0"/>
      <w:divBdr>
        <w:top w:val="none" w:sz="0" w:space="0" w:color="auto"/>
        <w:left w:val="none" w:sz="0" w:space="0" w:color="auto"/>
        <w:bottom w:val="none" w:sz="0" w:space="0" w:color="auto"/>
        <w:right w:val="none" w:sz="0" w:space="0" w:color="auto"/>
      </w:divBdr>
    </w:div>
    <w:div w:id="1042906393">
      <w:bodyDiv w:val="1"/>
      <w:marLeft w:val="0"/>
      <w:marRight w:val="0"/>
      <w:marTop w:val="0"/>
      <w:marBottom w:val="0"/>
      <w:divBdr>
        <w:top w:val="none" w:sz="0" w:space="0" w:color="auto"/>
        <w:left w:val="none" w:sz="0" w:space="0" w:color="auto"/>
        <w:bottom w:val="none" w:sz="0" w:space="0" w:color="auto"/>
        <w:right w:val="none" w:sz="0" w:space="0" w:color="auto"/>
      </w:divBdr>
    </w:div>
    <w:div w:id="1046833436">
      <w:bodyDiv w:val="1"/>
      <w:marLeft w:val="0"/>
      <w:marRight w:val="0"/>
      <w:marTop w:val="0"/>
      <w:marBottom w:val="0"/>
      <w:divBdr>
        <w:top w:val="none" w:sz="0" w:space="0" w:color="auto"/>
        <w:left w:val="none" w:sz="0" w:space="0" w:color="auto"/>
        <w:bottom w:val="none" w:sz="0" w:space="0" w:color="auto"/>
        <w:right w:val="none" w:sz="0" w:space="0" w:color="auto"/>
      </w:divBdr>
    </w:div>
    <w:div w:id="1058939625">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
    <w:div w:id="1067070068">
      <w:bodyDiv w:val="1"/>
      <w:marLeft w:val="0"/>
      <w:marRight w:val="0"/>
      <w:marTop w:val="0"/>
      <w:marBottom w:val="0"/>
      <w:divBdr>
        <w:top w:val="none" w:sz="0" w:space="0" w:color="auto"/>
        <w:left w:val="none" w:sz="0" w:space="0" w:color="auto"/>
        <w:bottom w:val="none" w:sz="0" w:space="0" w:color="auto"/>
        <w:right w:val="none" w:sz="0" w:space="0" w:color="auto"/>
      </w:divBdr>
    </w:div>
    <w:div w:id="1089275848">
      <w:bodyDiv w:val="1"/>
      <w:marLeft w:val="0"/>
      <w:marRight w:val="0"/>
      <w:marTop w:val="0"/>
      <w:marBottom w:val="0"/>
      <w:divBdr>
        <w:top w:val="none" w:sz="0" w:space="0" w:color="auto"/>
        <w:left w:val="none" w:sz="0" w:space="0" w:color="auto"/>
        <w:bottom w:val="none" w:sz="0" w:space="0" w:color="auto"/>
        <w:right w:val="none" w:sz="0" w:space="0" w:color="auto"/>
      </w:divBdr>
    </w:div>
    <w:div w:id="1106653859">
      <w:bodyDiv w:val="1"/>
      <w:marLeft w:val="0"/>
      <w:marRight w:val="0"/>
      <w:marTop w:val="0"/>
      <w:marBottom w:val="0"/>
      <w:divBdr>
        <w:top w:val="none" w:sz="0" w:space="0" w:color="auto"/>
        <w:left w:val="none" w:sz="0" w:space="0" w:color="auto"/>
        <w:bottom w:val="none" w:sz="0" w:space="0" w:color="auto"/>
        <w:right w:val="none" w:sz="0" w:space="0" w:color="auto"/>
      </w:divBdr>
    </w:div>
    <w:div w:id="1134635492">
      <w:bodyDiv w:val="1"/>
      <w:marLeft w:val="0"/>
      <w:marRight w:val="0"/>
      <w:marTop w:val="0"/>
      <w:marBottom w:val="0"/>
      <w:divBdr>
        <w:top w:val="none" w:sz="0" w:space="0" w:color="auto"/>
        <w:left w:val="none" w:sz="0" w:space="0" w:color="auto"/>
        <w:bottom w:val="none" w:sz="0" w:space="0" w:color="auto"/>
        <w:right w:val="none" w:sz="0" w:space="0" w:color="auto"/>
      </w:divBdr>
    </w:div>
    <w:div w:id="1171600085">
      <w:bodyDiv w:val="1"/>
      <w:marLeft w:val="0"/>
      <w:marRight w:val="0"/>
      <w:marTop w:val="0"/>
      <w:marBottom w:val="0"/>
      <w:divBdr>
        <w:top w:val="none" w:sz="0" w:space="0" w:color="auto"/>
        <w:left w:val="none" w:sz="0" w:space="0" w:color="auto"/>
        <w:bottom w:val="none" w:sz="0" w:space="0" w:color="auto"/>
        <w:right w:val="none" w:sz="0" w:space="0" w:color="auto"/>
      </w:divBdr>
    </w:div>
    <w:div w:id="1205679446">
      <w:bodyDiv w:val="1"/>
      <w:marLeft w:val="0"/>
      <w:marRight w:val="0"/>
      <w:marTop w:val="0"/>
      <w:marBottom w:val="0"/>
      <w:divBdr>
        <w:top w:val="none" w:sz="0" w:space="0" w:color="auto"/>
        <w:left w:val="none" w:sz="0" w:space="0" w:color="auto"/>
        <w:bottom w:val="none" w:sz="0" w:space="0" w:color="auto"/>
        <w:right w:val="none" w:sz="0" w:space="0" w:color="auto"/>
      </w:divBdr>
      <w:divsChild>
        <w:div w:id="742876352">
          <w:marLeft w:val="0"/>
          <w:marRight w:val="0"/>
          <w:marTop w:val="240"/>
          <w:marBottom w:val="480"/>
          <w:divBdr>
            <w:top w:val="none" w:sz="0" w:space="0" w:color="auto"/>
            <w:left w:val="none" w:sz="0" w:space="0" w:color="auto"/>
            <w:bottom w:val="none" w:sz="0" w:space="0" w:color="auto"/>
            <w:right w:val="none" w:sz="0" w:space="0" w:color="auto"/>
          </w:divBdr>
          <w:divsChild>
            <w:div w:id="227805910">
              <w:marLeft w:val="0"/>
              <w:marRight w:val="0"/>
              <w:marTop w:val="0"/>
              <w:marBottom w:val="0"/>
              <w:divBdr>
                <w:top w:val="none" w:sz="0" w:space="0" w:color="auto"/>
                <w:left w:val="none" w:sz="0" w:space="0" w:color="auto"/>
                <w:bottom w:val="none" w:sz="0" w:space="0" w:color="auto"/>
                <w:right w:val="none" w:sz="0" w:space="0" w:color="auto"/>
              </w:divBdr>
              <w:divsChild>
                <w:div w:id="1237400333">
                  <w:marLeft w:val="0"/>
                  <w:marRight w:val="0"/>
                  <w:marTop w:val="0"/>
                  <w:marBottom w:val="0"/>
                  <w:divBdr>
                    <w:top w:val="none" w:sz="0" w:space="0" w:color="auto"/>
                    <w:left w:val="none" w:sz="0" w:space="0" w:color="auto"/>
                    <w:bottom w:val="none" w:sz="0" w:space="0" w:color="auto"/>
                    <w:right w:val="none" w:sz="0" w:space="0" w:color="auto"/>
                  </w:divBdr>
                  <w:divsChild>
                    <w:div w:id="62142340">
                      <w:marLeft w:val="0"/>
                      <w:marRight w:val="0"/>
                      <w:marTop w:val="0"/>
                      <w:marBottom w:val="0"/>
                      <w:divBdr>
                        <w:top w:val="none" w:sz="0" w:space="0" w:color="auto"/>
                        <w:left w:val="none" w:sz="0" w:space="0" w:color="auto"/>
                        <w:bottom w:val="none" w:sz="0" w:space="0" w:color="auto"/>
                        <w:right w:val="none" w:sz="0" w:space="0" w:color="auto"/>
                      </w:divBdr>
                      <w:divsChild>
                        <w:div w:id="1075275967">
                          <w:marLeft w:val="0"/>
                          <w:marRight w:val="0"/>
                          <w:marTop w:val="0"/>
                          <w:marBottom w:val="0"/>
                          <w:divBdr>
                            <w:top w:val="none" w:sz="0" w:space="0" w:color="auto"/>
                            <w:left w:val="none" w:sz="0" w:space="0" w:color="auto"/>
                            <w:bottom w:val="none" w:sz="0" w:space="0" w:color="auto"/>
                            <w:right w:val="none" w:sz="0" w:space="0" w:color="auto"/>
                          </w:divBdr>
                          <w:divsChild>
                            <w:div w:id="105391985">
                              <w:marLeft w:val="0"/>
                              <w:marRight w:val="0"/>
                              <w:marTop w:val="0"/>
                              <w:marBottom w:val="0"/>
                              <w:divBdr>
                                <w:top w:val="none" w:sz="0" w:space="0" w:color="auto"/>
                                <w:left w:val="none" w:sz="0" w:space="0" w:color="auto"/>
                                <w:bottom w:val="none" w:sz="0" w:space="0" w:color="auto"/>
                                <w:right w:val="none" w:sz="0" w:space="0" w:color="auto"/>
                              </w:divBdr>
                              <w:divsChild>
                                <w:div w:id="657729282">
                                  <w:marLeft w:val="0"/>
                                  <w:marRight w:val="0"/>
                                  <w:marTop w:val="150"/>
                                  <w:marBottom w:val="150"/>
                                  <w:divBdr>
                                    <w:top w:val="none" w:sz="0" w:space="0" w:color="auto"/>
                                    <w:left w:val="none" w:sz="0" w:space="0" w:color="auto"/>
                                    <w:bottom w:val="none" w:sz="0" w:space="0" w:color="auto"/>
                                    <w:right w:val="none" w:sz="0" w:space="0" w:color="auto"/>
                                  </w:divBdr>
                                  <w:divsChild>
                                    <w:div w:id="334918879">
                                      <w:marLeft w:val="0"/>
                                      <w:marRight w:val="0"/>
                                      <w:marTop w:val="0"/>
                                      <w:marBottom w:val="0"/>
                                      <w:divBdr>
                                        <w:top w:val="none" w:sz="0" w:space="0" w:color="auto"/>
                                        <w:left w:val="none" w:sz="0" w:space="0" w:color="auto"/>
                                        <w:bottom w:val="none" w:sz="0" w:space="0" w:color="auto"/>
                                        <w:right w:val="none" w:sz="0" w:space="0" w:color="auto"/>
                                      </w:divBdr>
                                      <w:divsChild>
                                        <w:div w:id="21351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5867088">
      <w:bodyDiv w:val="1"/>
      <w:marLeft w:val="0"/>
      <w:marRight w:val="0"/>
      <w:marTop w:val="0"/>
      <w:marBottom w:val="0"/>
      <w:divBdr>
        <w:top w:val="none" w:sz="0" w:space="0" w:color="auto"/>
        <w:left w:val="none" w:sz="0" w:space="0" w:color="auto"/>
        <w:bottom w:val="none" w:sz="0" w:space="0" w:color="auto"/>
        <w:right w:val="none" w:sz="0" w:space="0" w:color="auto"/>
      </w:divBdr>
    </w:div>
    <w:div w:id="1210655295">
      <w:bodyDiv w:val="1"/>
      <w:marLeft w:val="0"/>
      <w:marRight w:val="0"/>
      <w:marTop w:val="0"/>
      <w:marBottom w:val="0"/>
      <w:divBdr>
        <w:top w:val="none" w:sz="0" w:space="0" w:color="auto"/>
        <w:left w:val="none" w:sz="0" w:space="0" w:color="auto"/>
        <w:bottom w:val="none" w:sz="0" w:space="0" w:color="auto"/>
        <w:right w:val="none" w:sz="0" w:space="0" w:color="auto"/>
      </w:divBdr>
    </w:div>
    <w:div w:id="1231425233">
      <w:bodyDiv w:val="1"/>
      <w:marLeft w:val="0"/>
      <w:marRight w:val="0"/>
      <w:marTop w:val="0"/>
      <w:marBottom w:val="0"/>
      <w:divBdr>
        <w:top w:val="none" w:sz="0" w:space="0" w:color="auto"/>
        <w:left w:val="none" w:sz="0" w:space="0" w:color="auto"/>
        <w:bottom w:val="none" w:sz="0" w:space="0" w:color="auto"/>
        <w:right w:val="none" w:sz="0" w:space="0" w:color="auto"/>
      </w:divBdr>
    </w:div>
    <w:div w:id="1244025958">
      <w:bodyDiv w:val="1"/>
      <w:marLeft w:val="0"/>
      <w:marRight w:val="0"/>
      <w:marTop w:val="0"/>
      <w:marBottom w:val="0"/>
      <w:divBdr>
        <w:top w:val="none" w:sz="0" w:space="0" w:color="auto"/>
        <w:left w:val="none" w:sz="0" w:space="0" w:color="auto"/>
        <w:bottom w:val="none" w:sz="0" w:space="0" w:color="auto"/>
        <w:right w:val="none" w:sz="0" w:space="0" w:color="auto"/>
      </w:divBdr>
    </w:div>
    <w:div w:id="1279751669">
      <w:bodyDiv w:val="1"/>
      <w:marLeft w:val="0"/>
      <w:marRight w:val="0"/>
      <w:marTop w:val="0"/>
      <w:marBottom w:val="0"/>
      <w:divBdr>
        <w:top w:val="none" w:sz="0" w:space="0" w:color="auto"/>
        <w:left w:val="none" w:sz="0" w:space="0" w:color="auto"/>
        <w:bottom w:val="none" w:sz="0" w:space="0" w:color="auto"/>
        <w:right w:val="none" w:sz="0" w:space="0" w:color="auto"/>
      </w:divBdr>
    </w:div>
    <w:div w:id="1285842014">
      <w:marLeft w:val="0"/>
      <w:marRight w:val="0"/>
      <w:marTop w:val="0"/>
      <w:marBottom w:val="0"/>
      <w:divBdr>
        <w:top w:val="none" w:sz="0" w:space="0" w:color="auto"/>
        <w:left w:val="none" w:sz="0" w:space="0" w:color="auto"/>
        <w:bottom w:val="none" w:sz="0" w:space="0" w:color="auto"/>
        <w:right w:val="none" w:sz="0" w:space="0" w:color="auto"/>
      </w:divBdr>
      <w:divsChild>
        <w:div w:id="463083437">
          <w:marLeft w:val="0"/>
          <w:marRight w:val="0"/>
          <w:marTop w:val="0"/>
          <w:marBottom w:val="0"/>
          <w:divBdr>
            <w:top w:val="none" w:sz="0" w:space="0" w:color="auto"/>
            <w:left w:val="none" w:sz="0" w:space="0" w:color="auto"/>
            <w:bottom w:val="none" w:sz="0" w:space="0" w:color="auto"/>
            <w:right w:val="none" w:sz="0" w:space="0" w:color="auto"/>
          </w:divBdr>
        </w:div>
      </w:divsChild>
    </w:div>
    <w:div w:id="1300300974">
      <w:bodyDiv w:val="1"/>
      <w:marLeft w:val="0"/>
      <w:marRight w:val="0"/>
      <w:marTop w:val="0"/>
      <w:marBottom w:val="0"/>
      <w:divBdr>
        <w:top w:val="none" w:sz="0" w:space="0" w:color="auto"/>
        <w:left w:val="none" w:sz="0" w:space="0" w:color="auto"/>
        <w:bottom w:val="none" w:sz="0" w:space="0" w:color="auto"/>
        <w:right w:val="none" w:sz="0" w:space="0" w:color="auto"/>
      </w:divBdr>
    </w:div>
    <w:div w:id="1313750116">
      <w:bodyDiv w:val="1"/>
      <w:marLeft w:val="0"/>
      <w:marRight w:val="0"/>
      <w:marTop w:val="0"/>
      <w:marBottom w:val="0"/>
      <w:divBdr>
        <w:top w:val="none" w:sz="0" w:space="0" w:color="auto"/>
        <w:left w:val="none" w:sz="0" w:space="0" w:color="auto"/>
        <w:bottom w:val="none" w:sz="0" w:space="0" w:color="auto"/>
        <w:right w:val="none" w:sz="0" w:space="0" w:color="auto"/>
      </w:divBdr>
    </w:div>
    <w:div w:id="1330017236">
      <w:bodyDiv w:val="1"/>
      <w:marLeft w:val="0"/>
      <w:marRight w:val="0"/>
      <w:marTop w:val="0"/>
      <w:marBottom w:val="0"/>
      <w:divBdr>
        <w:top w:val="none" w:sz="0" w:space="0" w:color="auto"/>
        <w:left w:val="none" w:sz="0" w:space="0" w:color="auto"/>
        <w:bottom w:val="none" w:sz="0" w:space="0" w:color="auto"/>
        <w:right w:val="none" w:sz="0" w:space="0" w:color="auto"/>
      </w:divBdr>
    </w:div>
    <w:div w:id="1335953819">
      <w:bodyDiv w:val="1"/>
      <w:marLeft w:val="0"/>
      <w:marRight w:val="0"/>
      <w:marTop w:val="0"/>
      <w:marBottom w:val="0"/>
      <w:divBdr>
        <w:top w:val="none" w:sz="0" w:space="0" w:color="auto"/>
        <w:left w:val="none" w:sz="0" w:space="0" w:color="auto"/>
        <w:bottom w:val="none" w:sz="0" w:space="0" w:color="auto"/>
        <w:right w:val="none" w:sz="0" w:space="0" w:color="auto"/>
      </w:divBdr>
    </w:div>
    <w:div w:id="1338651502">
      <w:bodyDiv w:val="1"/>
      <w:marLeft w:val="0"/>
      <w:marRight w:val="0"/>
      <w:marTop w:val="0"/>
      <w:marBottom w:val="0"/>
      <w:divBdr>
        <w:top w:val="none" w:sz="0" w:space="0" w:color="auto"/>
        <w:left w:val="none" w:sz="0" w:space="0" w:color="auto"/>
        <w:bottom w:val="none" w:sz="0" w:space="0" w:color="auto"/>
        <w:right w:val="none" w:sz="0" w:space="0" w:color="auto"/>
      </w:divBdr>
    </w:div>
    <w:div w:id="1365015797">
      <w:bodyDiv w:val="1"/>
      <w:marLeft w:val="0"/>
      <w:marRight w:val="0"/>
      <w:marTop w:val="0"/>
      <w:marBottom w:val="0"/>
      <w:divBdr>
        <w:top w:val="none" w:sz="0" w:space="0" w:color="auto"/>
        <w:left w:val="none" w:sz="0" w:space="0" w:color="auto"/>
        <w:bottom w:val="none" w:sz="0" w:space="0" w:color="auto"/>
        <w:right w:val="none" w:sz="0" w:space="0" w:color="auto"/>
      </w:divBdr>
    </w:div>
    <w:div w:id="1378581469">
      <w:bodyDiv w:val="1"/>
      <w:marLeft w:val="0"/>
      <w:marRight w:val="0"/>
      <w:marTop w:val="0"/>
      <w:marBottom w:val="0"/>
      <w:divBdr>
        <w:top w:val="none" w:sz="0" w:space="0" w:color="auto"/>
        <w:left w:val="none" w:sz="0" w:space="0" w:color="auto"/>
        <w:bottom w:val="none" w:sz="0" w:space="0" w:color="auto"/>
        <w:right w:val="none" w:sz="0" w:space="0" w:color="auto"/>
      </w:divBdr>
    </w:div>
    <w:div w:id="1394547568">
      <w:bodyDiv w:val="1"/>
      <w:marLeft w:val="0"/>
      <w:marRight w:val="0"/>
      <w:marTop w:val="0"/>
      <w:marBottom w:val="0"/>
      <w:divBdr>
        <w:top w:val="none" w:sz="0" w:space="0" w:color="auto"/>
        <w:left w:val="none" w:sz="0" w:space="0" w:color="auto"/>
        <w:bottom w:val="none" w:sz="0" w:space="0" w:color="auto"/>
        <w:right w:val="none" w:sz="0" w:space="0" w:color="auto"/>
      </w:divBdr>
    </w:div>
    <w:div w:id="1406563061">
      <w:bodyDiv w:val="1"/>
      <w:marLeft w:val="0"/>
      <w:marRight w:val="0"/>
      <w:marTop w:val="0"/>
      <w:marBottom w:val="0"/>
      <w:divBdr>
        <w:top w:val="none" w:sz="0" w:space="0" w:color="auto"/>
        <w:left w:val="none" w:sz="0" w:space="0" w:color="auto"/>
        <w:bottom w:val="none" w:sz="0" w:space="0" w:color="auto"/>
        <w:right w:val="none" w:sz="0" w:space="0" w:color="auto"/>
      </w:divBdr>
    </w:div>
    <w:div w:id="1432820587">
      <w:bodyDiv w:val="1"/>
      <w:marLeft w:val="0"/>
      <w:marRight w:val="0"/>
      <w:marTop w:val="0"/>
      <w:marBottom w:val="0"/>
      <w:divBdr>
        <w:top w:val="none" w:sz="0" w:space="0" w:color="auto"/>
        <w:left w:val="none" w:sz="0" w:space="0" w:color="auto"/>
        <w:bottom w:val="none" w:sz="0" w:space="0" w:color="auto"/>
        <w:right w:val="none" w:sz="0" w:space="0" w:color="auto"/>
      </w:divBdr>
    </w:div>
    <w:div w:id="1456022560">
      <w:bodyDiv w:val="1"/>
      <w:marLeft w:val="0"/>
      <w:marRight w:val="0"/>
      <w:marTop w:val="0"/>
      <w:marBottom w:val="0"/>
      <w:divBdr>
        <w:top w:val="none" w:sz="0" w:space="0" w:color="auto"/>
        <w:left w:val="none" w:sz="0" w:space="0" w:color="auto"/>
        <w:bottom w:val="none" w:sz="0" w:space="0" w:color="auto"/>
        <w:right w:val="none" w:sz="0" w:space="0" w:color="auto"/>
      </w:divBdr>
    </w:div>
    <w:div w:id="1479496191">
      <w:bodyDiv w:val="1"/>
      <w:marLeft w:val="0"/>
      <w:marRight w:val="0"/>
      <w:marTop w:val="0"/>
      <w:marBottom w:val="0"/>
      <w:divBdr>
        <w:top w:val="none" w:sz="0" w:space="0" w:color="auto"/>
        <w:left w:val="none" w:sz="0" w:space="0" w:color="auto"/>
        <w:bottom w:val="none" w:sz="0" w:space="0" w:color="auto"/>
        <w:right w:val="none" w:sz="0" w:space="0" w:color="auto"/>
      </w:divBdr>
    </w:div>
    <w:div w:id="1517189983">
      <w:bodyDiv w:val="1"/>
      <w:marLeft w:val="0"/>
      <w:marRight w:val="0"/>
      <w:marTop w:val="0"/>
      <w:marBottom w:val="0"/>
      <w:divBdr>
        <w:top w:val="none" w:sz="0" w:space="0" w:color="auto"/>
        <w:left w:val="none" w:sz="0" w:space="0" w:color="auto"/>
        <w:bottom w:val="none" w:sz="0" w:space="0" w:color="auto"/>
        <w:right w:val="none" w:sz="0" w:space="0" w:color="auto"/>
      </w:divBdr>
    </w:div>
    <w:div w:id="1532955109">
      <w:bodyDiv w:val="1"/>
      <w:marLeft w:val="0"/>
      <w:marRight w:val="0"/>
      <w:marTop w:val="0"/>
      <w:marBottom w:val="0"/>
      <w:divBdr>
        <w:top w:val="none" w:sz="0" w:space="0" w:color="auto"/>
        <w:left w:val="none" w:sz="0" w:space="0" w:color="auto"/>
        <w:bottom w:val="none" w:sz="0" w:space="0" w:color="auto"/>
        <w:right w:val="none" w:sz="0" w:space="0" w:color="auto"/>
      </w:divBdr>
    </w:div>
    <w:div w:id="1545824877">
      <w:bodyDiv w:val="1"/>
      <w:marLeft w:val="0"/>
      <w:marRight w:val="0"/>
      <w:marTop w:val="0"/>
      <w:marBottom w:val="0"/>
      <w:divBdr>
        <w:top w:val="none" w:sz="0" w:space="0" w:color="auto"/>
        <w:left w:val="none" w:sz="0" w:space="0" w:color="auto"/>
        <w:bottom w:val="none" w:sz="0" w:space="0" w:color="auto"/>
        <w:right w:val="none" w:sz="0" w:space="0" w:color="auto"/>
      </w:divBdr>
    </w:div>
    <w:div w:id="1575816168">
      <w:bodyDiv w:val="1"/>
      <w:marLeft w:val="0"/>
      <w:marRight w:val="0"/>
      <w:marTop w:val="0"/>
      <w:marBottom w:val="0"/>
      <w:divBdr>
        <w:top w:val="none" w:sz="0" w:space="0" w:color="auto"/>
        <w:left w:val="none" w:sz="0" w:space="0" w:color="auto"/>
        <w:bottom w:val="none" w:sz="0" w:space="0" w:color="auto"/>
        <w:right w:val="none" w:sz="0" w:space="0" w:color="auto"/>
      </w:divBdr>
    </w:div>
    <w:div w:id="1580670494">
      <w:bodyDiv w:val="1"/>
      <w:marLeft w:val="0"/>
      <w:marRight w:val="0"/>
      <w:marTop w:val="0"/>
      <w:marBottom w:val="0"/>
      <w:divBdr>
        <w:top w:val="none" w:sz="0" w:space="0" w:color="auto"/>
        <w:left w:val="none" w:sz="0" w:space="0" w:color="auto"/>
        <w:bottom w:val="none" w:sz="0" w:space="0" w:color="auto"/>
        <w:right w:val="none" w:sz="0" w:space="0" w:color="auto"/>
      </w:divBdr>
    </w:div>
    <w:div w:id="1596286245">
      <w:bodyDiv w:val="1"/>
      <w:marLeft w:val="0"/>
      <w:marRight w:val="0"/>
      <w:marTop w:val="0"/>
      <w:marBottom w:val="0"/>
      <w:divBdr>
        <w:top w:val="none" w:sz="0" w:space="0" w:color="auto"/>
        <w:left w:val="none" w:sz="0" w:space="0" w:color="auto"/>
        <w:bottom w:val="none" w:sz="0" w:space="0" w:color="auto"/>
        <w:right w:val="none" w:sz="0" w:space="0" w:color="auto"/>
      </w:divBdr>
    </w:div>
    <w:div w:id="1607536975">
      <w:bodyDiv w:val="1"/>
      <w:marLeft w:val="0"/>
      <w:marRight w:val="0"/>
      <w:marTop w:val="0"/>
      <w:marBottom w:val="0"/>
      <w:divBdr>
        <w:top w:val="none" w:sz="0" w:space="0" w:color="auto"/>
        <w:left w:val="none" w:sz="0" w:space="0" w:color="auto"/>
        <w:bottom w:val="none" w:sz="0" w:space="0" w:color="auto"/>
        <w:right w:val="none" w:sz="0" w:space="0" w:color="auto"/>
      </w:divBdr>
    </w:div>
    <w:div w:id="1608002085">
      <w:bodyDiv w:val="1"/>
      <w:marLeft w:val="0"/>
      <w:marRight w:val="0"/>
      <w:marTop w:val="0"/>
      <w:marBottom w:val="0"/>
      <w:divBdr>
        <w:top w:val="none" w:sz="0" w:space="0" w:color="auto"/>
        <w:left w:val="none" w:sz="0" w:space="0" w:color="auto"/>
        <w:bottom w:val="none" w:sz="0" w:space="0" w:color="auto"/>
        <w:right w:val="none" w:sz="0" w:space="0" w:color="auto"/>
      </w:divBdr>
    </w:div>
    <w:div w:id="1622880641">
      <w:bodyDiv w:val="1"/>
      <w:marLeft w:val="0"/>
      <w:marRight w:val="0"/>
      <w:marTop w:val="0"/>
      <w:marBottom w:val="0"/>
      <w:divBdr>
        <w:top w:val="none" w:sz="0" w:space="0" w:color="auto"/>
        <w:left w:val="none" w:sz="0" w:space="0" w:color="auto"/>
        <w:bottom w:val="none" w:sz="0" w:space="0" w:color="auto"/>
        <w:right w:val="none" w:sz="0" w:space="0" w:color="auto"/>
      </w:divBdr>
    </w:div>
    <w:div w:id="1661621683">
      <w:bodyDiv w:val="1"/>
      <w:marLeft w:val="0"/>
      <w:marRight w:val="0"/>
      <w:marTop w:val="0"/>
      <w:marBottom w:val="0"/>
      <w:divBdr>
        <w:top w:val="none" w:sz="0" w:space="0" w:color="auto"/>
        <w:left w:val="none" w:sz="0" w:space="0" w:color="auto"/>
        <w:bottom w:val="none" w:sz="0" w:space="0" w:color="auto"/>
        <w:right w:val="none" w:sz="0" w:space="0" w:color="auto"/>
      </w:divBdr>
    </w:div>
    <w:div w:id="1662614243">
      <w:bodyDiv w:val="1"/>
      <w:marLeft w:val="0"/>
      <w:marRight w:val="0"/>
      <w:marTop w:val="0"/>
      <w:marBottom w:val="0"/>
      <w:divBdr>
        <w:top w:val="none" w:sz="0" w:space="0" w:color="auto"/>
        <w:left w:val="none" w:sz="0" w:space="0" w:color="auto"/>
        <w:bottom w:val="none" w:sz="0" w:space="0" w:color="auto"/>
        <w:right w:val="none" w:sz="0" w:space="0" w:color="auto"/>
      </w:divBdr>
    </w:div>
    <w:div w:id="1671788531">
      <w:bodyDiv w:val="1"/>
      <w:marLeft w:val="0"/>
      <w:marRight w:val="0"/>
      <w:marTop w:val="0"/>
      <w:marBottom w:val="0"/>
      <w:divBdr>
        <w:top w:val="none" w:sz="0" w:space="0" w:color="auto"/>
        <w:left w:val="none" w:sz="0" w:space="0" w:color="auto"/>
        <w:bottom w:val="none" w:sz="0" w:space="0" w:color="auto"/>
        <w:right w:val="none" w:sz="0" w:space="0" w:color="auto"/>
      </w:divBdr>
    </w:div>
    <w:div w:id="1678845332">
      <w:bodyDiv w:val="1"/>
      <w:marLeft w:val="0"/>
      <w:marRight w:val="0"/>
      <w:marTop w:val="0"/>
      <w:marBottom w:val="0"/>
      <w:divBdr>
        <w:top w:val="none" w:sz="0" w:space="0" w:color="auto"/>
        <w:left w:val="none" w:sz="0" w:space="0" w:color="auto"/>
        <w:bottom w:val="none" w:sz="0" w:space="0" w:color="auto"/>
        <w:right w:val="none" w:sz="0" w:space="0" w:color="auto"/>
      </w:divBdr>
    </w:div>
    <w:div w:id="1686397619">
      <w:bodyDiv w:val="1"/>
      <w:marLeft w:val="0"/>
      <w:marRight w:val="0"/>
      <w:marTop w:val="0"/>
      <w:marBottom w:val="0"/>
      <w:divBdr>
        <w:top w:val="none" w:sz="0" w:space="0" w:color="auto"/>
        <w:left w:val="none" w:sz="0" w:space="0" w:color="auto"/>
        <w:bottom w:val="none" w:sz="0" w:space="0" w:color="auto"/>
        <w:right w:val="none" w:sz="0" w:space="0" w:color="auto"/>
      </w:divBdr>
    </w:div>
    <w:div w:id="1712874645">
      <w:bodyDiv w:val="1"/>
      <w:marLeft w:val="0"/>
      <w:marRight w:val="0"/>
      <w:marTop w:val="0"/>
      <w:marBottom w:val="0"/>
      <w:divBdr>
        <w:top w:val="none" w:sz="0" w:space="0" w:color="auto"/>
        <w:left w:val="none" w:sz="0" w:space="0" w:color="auto"/>
        <w:bottom w:val="none" w:sz="0" w:space="0" w:color="auto"/>
        <w:right w:val="none" w:sz="0" w:space="0" w:color="auto"/>
      </w:divBdr>
    </w:div>
    <w:div w:id="1718159631">
      <w:bodyDiv w:val="1"/>
      <w:marLeft w:val="0"/>
      <w:marRight w:val="0"/>
      <w:marTop w:val="0"/>
      <w:marBottom w:val="0"/>
      <w:divBdr>
        <w:top w:val="none" w:sz="0" w:space="0" w:color="auto"/>
        <w:left w:val="none" w:sz="0" w:space="0" w:color="auto"/>
        <w:bottom w:val="none" w:sz="0" w:space="0" w:color="auto"/>
        <w:right w:val="none" w:sz="0" w:space="0" w:color="auto"/>
      </w:divBdr>
    </w:div>
    <w:div w:id="1719627867">
      <w:bodyDiv w:val="1"/>
      <w:marLeft w:val="0"/>
      <w:marRight w:val="0"/>
      <w:marTop w:val="0"/>
      <w:marBottom w:val="0"/>
      <w:divBdr>
        <w:top w:val="none" w:sz="0" w:space="0" w:color="auto"/>
        <w:left w:val="none" w:sz="0" w:space="0" w:color="auto"/>
        <w:bottom w:val="none" w:sz="0" w:space="0" w:color="auto"/>
        <w:right w:val="none" w:sz="0" w:space="0" w:color="auto"/>
      </w:divBdr>
      <w:divsChild>
        <w:div w:id="1984499175">
          <w:marLeft w:val="0"/>
          <w:marRight w:val="0"/>
          <w:marTop w:val="240"/>
          <w:marBottom w:val="480"/>
          <w:divBdr>
            <w:top w:val="none" w:sz="0" w:space="0" w:color="auto"/>
            <w:left w:val="none" w:sz="0" w:space="0" w:color="auto"/>
            <w:bottom w:val="none" w:sz="0" w:space="0" w:color="auto"/>
            <w:right w:val="none" w:sz="0" w:space="0" w:color="auto"/>
          </w:divBdr>
          <w:divsChild>
            <w:div w:id="540749627">
              <w:marLeft w:val="0"/>
              <w:marRight w:val="0"/>
              <w:marTop w:val="0"/>
              <w:marBottom w:val="0"/>
              <w:divBdr>
                <w:top w:val="none" w:sz="0" w:space="0" w:color="auto"/>
                <w:left w:val="none" w:sz="0" w:space="0" w:color="auto"/>
                <w:bottom w:val="none" w:sz="0" w:space="0" w:color="auto"/>
                <w:right w:val="none" w:sz="0" w:space="0" w:color="auto"/>
              </w:divBdr>
              <w:divsChild>
                <w:div w:id="586042851">
                  <w:marLeft w:val="0"/>
                  <w:marRight w:val="0"/>
                  <w:marTop w:val="0"/>
                  <w:marBottom w:val="0"/>
                  <w:divBdr>
                    <w:top w:val="none" w:sz="0" w:space="0" w:color="auto"/>
                    <w:left w:val="none" w:sz="0" w:space="0" w:color="auto"/>
                    <w:bottom w:val="none" w:sz="0" w:space="0" w:color="auto"/>
                    <w:right w:val="none" w:sz="0" w:space="0" w:color="auto"/>
                  </w:divBdr>
                  <w:divsChild>
                    <w:div w:id="127825065">
                      <w:marLeft w:val="0"/>
                      <w:marRight w:val="0"/>
                      <w:marTop w:val="0"/>
                      <w:marBottom w:val="0"/>
                      <w:divBdr>
                        <w:top w:val="none" w:sz="0" w:space="0" w:color="auto"/>
                        <w:left w:val="none" w:sz="0" w:space="0" w:color="auto"/>
                        <w:bottom w:val="none" w:sz="0" w:space="0" w:color="auto"/>
                        <w:right w:val="none" w:sz="0" w:space="0" w:color="auto"/>
                      </w:divBdr>
                      <w:divsChild>
                        <w:div w:id="146977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281014">
      <w:bodyDiv w:val="1"/>
      <w:marLeft w:val="0"/>
      <w:marRight w:val="0"/>
      <w:marTop w:val="0"/>
      <w:marBottom w:val="0"/>
      <w:divBdr>
        <w:top w:val="none" w:sz="0" w:space="0" w:color="auto"/>
        <w:left w:val="none" w:sz="0" w:space="0" w:color="auto"/>
        <w:bottom w:val="none" w:sz="0" w:space="0" w:color="auto"/>
        <w:right w:val="none" w:sz="0" w:space="0" w:color="auto"/>
      </w:divBdr>
    </w:div>
    <w:div w:id="1821114450">
      <w:bodyDiv w:val="1"/>
      <w:marLeft w:val="0"/>
      <w:marRight w:val="0"/>
      <w:marTop w:val="0"/>
      <w:marBottom w:val="0"/>
      <w:divBdr>
        <w:top w:val="none" w:sz="0" w:space="0" w:color="auto"/>
        <w:left w:val="none" w:sz="0" w:space="0" w:color="auto"/>
        <w:bottom w:val="none" w:sz="0" w:space="0" w:color="auto"/>
        <w:right w:val="none" w:sz="0" w:space="0" w:color="auto"/>
      </w:divBdr>
    </w:div>
    <w:div w:id="1824008762">
      <w:bodyDiv w:val="1"/>
      <w:marLeft w:val="0"/>
      <w:marRight w:val="0"/>
      <w:marTop w:val="0"/>
      <w:marBottom w:val="0"/>
      <w:divBdr>
        <w:top w:val="none" w:sz="0" w:space="0" w:color="auto"/>
        <w:left w:val="none" w:sz="0" w:space="0" w:color="auto"/>
        <w:bottom w:val="none" w:sz="0" w:space="0" w:color="auto"/>
        <w:right w:val="none" w:sz="0" w:space="0" w:color="auto"/>
      </w:divBdr>
    </w:div>
    <w:div w:id="1826435821">
      <w:bodyDiv w:val="1"/>
      <w:marLeft w:val="0"/>
      <w:marRight w:val="0"/>
      <w:marTop w:val="0"/>
      <w:marBottom w:val="0"/>
      <w:divBdr>
        <w:top w:val="none" w:sz="0" w:space="0" w:color="auto"/>
        <w:left w:val="none" w:sz="0" w:space="0" w:color="auto"/>
        <w:bottom w:val="none" w:sz="0" w:space="0" w:color="auto"/>
        <w:right w:val="none" w:sz="0" w:space="0" w:color="auto"/>
      </w:divBdr>
    </w:div>
    <w:div w:id="1868247752">
      <w:bodyDiv w:val="1"/>
      <w:marLeft w:val="0"/>
      <w:marRight w:val="0"/>
      <w:marTop w:val="0"/>
      <w:marBottom w:val="0"/>
      <w:divBdr>
        <w:top w:val="none" w:sz="0" w:space="0" w:color="auto"/>
        <w:left w:val="none" w:sz="0" w:space="0" w:color="auto"/>
        <w:bottom w:val="none" w:sz="0" w:space="0" w:color="auto"/>
        <w:right w:val="none" w:sz="0" w:space="0" w:color="auto"/>
      </w:divBdr>
    </w:div>
    <w:div w:id="1870215295">
      <w:bodyDiv w:val="1"/>
      <w:marLeft w:val="0"/>
      <w:marRight w:val="0"/>
      <w:marTop w:val="0"/>
      <w:marBottom w:val="0"/>
      <w:divBdr>
        <w:top w:val="none" w:sz="0" w:space="0" w:color="auto"/>
        <w:left w:val="none" w:sz="0" w:space="0" w:color="auto"/>
        <w:bottom w:val="none" w:sz="0" w:space="0" w:color="auto"/>
        <w:right w:val="none" w:sz="0" w:space="0" w:color="auto"/>
      </w:divBdr>
    </w:div>
    <w:div w:id="1915241799">
      <w:bodyDiv w:val="1"/>
      <w:marLeft w:val="0"/>
      <w:marRight w:val="0"/>
      <w:marTop w:val="0"/>
      <w:marBottom w:val="0"/>
      <w:divBdr>
        <w:top w:val="none" w:sz="0" w:space="0" w:color="auto"/>
        <w:left w:val="none" w:sz="0" w:space="0" w:color="auto"/>
        <w:bottom w:val="none" w:sz="0" w:space="0" w:color="auto"/>
        <w:right w:val="none" w:sz="0" w:space="0" w:color="auto"/>
      </w:divBdr>
    </w:div>
    <w:div w:id="1931548291">
      <w:bodyDiv w:val="1"/>
      <w:marLeft w:val="0"/>
      <w:marRight w:val="0"/>
      <w:marTop w:val="0"/>
      <w:marBottom w:val="0"/>
      <w:divBdr>
        <w:top w:val="none" w:sz="0" w:space="0" w:color="auto"/>
        <w:left w:val="none" w:sz="0" w:space="0" w:color="auto"/>
        <w:bottom w:val="none" w:sz="0" w:space="0" w:color="auto"/>
        <w:right w:val="none" w:sz="0" w:space="0" w:color="auto"/>
      </w:divBdr>
    </w:div>
    <w:div w:id="1961184936">
      <w:bodyDiv w:val="1"/>
      <w:marLeft w:val="0"/>
      <w:marRight w:val="0"/>
      <w:marTop w:val="0"/>
      <w:marBottom w:val="0"/>
      <w:divBdr>
        <w:top w:val="none" w:sz="0" w:space="0" w:color="auto"/>
        <w:left w:val="none" w:sz="0" w:space="0" w:color="auto"/>
        <w:bottom w:val="none" w:sz="0" w:space="0" w:color="auto"/>
        <w:right w:val="none" w:sz="0" w:space="0" w:color="auto"/>
      </w:divBdr>
    </w:div>
    <w:div w:id="1986082330">
      <w:bodyDiv w:val="1"/>
      <w:marLeft w:val="0"/>
      <w:marRight w:val="0"/>
      <w:marTop w:val="0"/>
      <w:marBottom w:val="0"/>
      <w:divBdr>
        <w:top w:val="none" w:sz="0" w:space="0" w:color="auto"/>
        <w:left w:val="none" w:sz="0" w:space="0" w:color="auto"/>
        <w:bottom w:val="none" w:sz="0" w:space="0" w:color="auto"/>
        <w:right w:val="none" w:sz="0" w:space="0" w:color="auto"/>
      </w:divBdr>
    </w:div>
    <w:div w:id="1997760970">
      <w:bodyDiv w:val="1"/>
      <w:marLeft w:val="0"/>
      <w:marRight w:val="0"/>
      <w:marTop w:val="0"/>
      <w:marBottom w:val="0"/>
      <w:divBdr>
        <w:top w:val="none" w:sz="0" w:space="0" w:color="auto"/>
        <w:left w:val="none" w:sz="0" w:space="0" w:color="auto"/>
        <w:bottom w:val="none" w:sz="0" w:space="0" w:color="auto"/>
        <w:right w:val="none" w:sz="0" w:space="0" w:color="auto"/>
      </w:divBdr>
    </w:div>
    <w:div w:id="2039426917">
      <w:bodyDiv w:val="1"/>
      <w:marLeft w:val="0"/>
      <w:marRight w:val="0"/>
      <w:marTop w:val="0"/>
      <w:marBottom w:val="0"/>
      <w:divBdr>
        <w:top w:val="none" w:sz="0" w:space="0" w:color="auto"/>
        <w:left w:val="none" w:sz="0" w:space="0" w:color="auto"/>
        <w:bottom w:val="none" w:sz="0" w:space="0" w:color="auto"/>
        <w:right w:val="none" w:sz="0" w:space="0" w:color="auto"/>
      </w:divBdr>
    </w:div>
    <w:div w:id="2049257308">
      <w:bodyDiv w:val="1"/>
      <w:marLeft w:val="0"/>
      <w:marRight w:val="0"/>
      <w:marTop w:val="0"/>
      <w:marBottom w:val="0"/>
      <w:divBdr>
        <w:top w:val="none" w:sz="0" w:space="0" w:color="auto"/>
        <w:left w:val="none" w:sz="0" w:space="0" w:color="auto"/>
        <w:bottom w:val="none" w:sz="0" w:space="0" w:color="auto"/>
        <w:right w:val="none" w:sz="0" w:space="0" w:color="auto"/>
      </w:divBdr>
    </w:div>
    <w:div w:id="2058697982">
      <w:bodyDiv w:val="1"/>
      <w:marLeft w:val="0"/>
      <w:marRight w:val="0"/>
      <w:marTop w:val="0"/>
      <w:marBottom w:val="0"/>
      <w:divBdr>
        <w:top w:val="none" w:sz="0" w:space="0" w:color="auto"/>
        <w:left w:val="none" w:sz="0" w:space="0" w:color="auto"/>
        <w:bottom w:val="none" w:sz="0" w:space="0" w:color="auto"/>
        <w:right w:val="none" w:sz="0" w:space="0" w:color="auto"/>
      </w:divBdr>
    </w:div>
    <w:div w:id="2060549197">
      <w:bodyDiv w:val="1"/>
      <w:marLeft w:val="0"/>
      <w:marRight w:val="0"/>
      <w:marTop w:val="0"/>
      <w:marBottom w:val="0"/>
      <w:divBdr>
        <w:top w:val="none" w:sz="0" w:space="0" w:color="auto"/>
        <w:left w:val="none" w:sz="0" w:space="0" w:color="auto"/>
        <w:bottom w:val="none" w:sz="0" w:space="0" w:color="auto"/>
        <w:right w:val="none" w:sz="0" w:space="0" w:color="auto"/>
      </w:divBdr>
    </w:div>
    <w:div w:id="2094661831">
      <w:bodyDiv w:val="1"/>
      <w:marLeft w:val="0"/>
      <w:marRight w:val="0"/>
      <w:marTop w:val="0"/>
      <w:marBottom w:val="0"/>
      <w:divBdr>
        <w:top w:val="none" w:sz="0" w:space="0" w:color="auto"/>
        <w:left w:val="none" w:sz="0" w:space="0" w:color="auto"/>
        <w:bottom w:val="none" w:sz="0" w:space="0" w:color="auto"/>
        <w:right w:val="none" w:sz="0" w:space="0" w:color="auto"/>
      </w:divBdr>
    </w:div>
    <w:div w:id="2112582399">
      <w:bodyDiv w:val="1"/>
      <w:marLeft w:val="0"/>
      <w:marRight w:val="0"/>
      <w:marTop w:val="0"/>
      <w:marBottom w:val="0"/>
      <w:divBdr>
        <w:top w:val="none" w:sz="0" w:space="0" w:color="auto"/>
        <w:left w:val="none" w:sz="0" w:space="0" w:color="auto"/>
        <w:bottom w:val="none" w:sz="0" w:space="0" w:color="auto"/>
        <w:right w:val="none" w:sz="0" w:space="0" w:color="auto"/>
      </w:divBdr>
    </w:div>
    <w:div w:id="211663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ealth.gov.au/internet/main/publishing.nsf/Content/health-complian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sr.gov.au/about-the-psr-sche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9.health.gov.au/mbs/fullDisplay.cfm?type=note&amp;qt=NoteID&amp;q=IN.0.19"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9.health.gov.au/mbs/fullDisplay.cfm?type=note&amp;q=IN.0.19&amp;qt=noteID&amp;criteria=IN%2E0%2E1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humanservices.gov.au/organisations/health-professionals/topics/education-guide-billing-multiple-mbs-items/33231" TargetMode="External"/><Relationship Id="rId13" Type="http://schemas.openxmlformats.org/officeDocument/2006/relationships/hyperlink" Target="https://www1.health.gov.au/internet/main/publishing.nsf/Content/MBSR-closed-consult" TargetMode="External"/><Relationship Id="rId3" Type="http://schemas.openxmlformats.org/officeDocument/2006/relationships/hyperlink" Target="http://www.health.gov.au/internet/main/publishing.nsf/Content/health-compliance" TargetMode="External"/><Relationship Id="rId7" Type="http://schemas.openxmlformats.org/officeDocument/2006/relationships/hyperlink" Target="https://www1.health.gov.au/internet/main/publishing.nsf/Content/MBSR-tor" TargetMode="External"/><Relationship Id="rId12" Type="http://schemas.openxmlformats.org/officeDocument/2006/relationships/hyperlink" Target="https://www.smh.com.au/opinion/ivf-the-only-bonus-paid-should-be-a-baby-bonus-20170911-gyertn.html" TargetMode="External"/><Relationship Id="rId2" Type="http://schemas.openxmlformats.org/officeDocument/2006/relationships/hyperlink" Target="http://www.msac.gov.au/internet/msac/publishing.nsf/content/factsheet-03" TargetMode="External"/><Relationship Id="rId16" Type="http://schemas.openxmlformats.org/officeDocument/2006/relationships/hyperlink" Target="http://www.safetyandquality.gov.au" TargetMode="External"/><Relationship Id="rId1" Type="http://schemas.openxmlformats.org/officeDocument/2006/relationships/hyperlink" Target="https://www1.health.gov.au/internet/main/publishing.nsf/Content/MBSR-closed-consult" TargetMode="External"/><Relationship Id="rId6" Type="http://schemas.openxmlformats.org/officeDocument/2006/relationships/hyperlink" Target="http://www9.health.gov.au/mbs/fullDisplay.cfm?type=note&amp;q=TN.8.2&amp;qt=noteID&amp;criteria=TN%2E8%2E2" TargetMode="External"/><Relationship Id="rId11" Type="http://schemas.openxmlformats.org/officeDocument/2006/relationships/hyperlink" Target="https://www.mja.com.au/journal/2018/208/3/administrative-encounters-general-practice-low-value-or-hidden-value-care" TargetMode="External"/><Relationship Id="rId5" Type="http://schemas.openxmlformats.org/officeDocument/2006/relationships/hyperlink" Target="https://www1.health.gov.au/internet/main/publishing.nsf/Content/health-provider-tip-off" TargetMode="External"/><Relationship Id="rId15" Type="http://schemas.openxmlformats.org/officeDocument/2006/relationships/hyperlink" Target="https://www.humanservices.gov.au/organisations/health-professionals/topics/education-guide-billing-multiple-mbs-items/33231" TargetMode="External"/><Relationship Id="rId10" Type="http://schemas.openxmlformats.org/officeDocument/2006/relationships/hyperlink" Target="https://www.safetyandquality.gov.au/wp-content/uploads/2014/02/Literature-Review-Medication-Safety-in-Australia-2013.pdf" TargetMode="External"/><Relationship Id="rId4" Type="http://schemas.openxmlformats.org/officeDocument/2006/relationships/hyperlink" Target="mailto:provider.benefits.integrity@health.gov.au" TargetMode="External"/><Relationship Id="rId9" Type="http://schemas.openxmlformats.org/officeDocument/2006/relationships/hyperlink" Target="https://www.health.gov.au/health-workforce/health-workforce-classifications/modified-monash-model" TargetMode="External"/><Relationship Id="rId14" Type="http://schemas.openxmlformats.org/officeDocument/2006/relationships/hyperlink" Target="https://www1.health.gov.au/internet/main/publishing.nsf/Content/MBSR-closed-consu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NIC16</b:Tag>
    <b:SourceType>InternetSite</b:SourceType>
    <b:Guid>{8071DF23-72EB-4714-87A9-258035AE728B}</b:Guid>
    <b:Author>
      <b:Author>
        <b:NameList>
          <b:Person>
            <b:Last>NICE</b:Last>
          </b:Person>
        </b:NameList>
      </b:Author>
    </b:Author>
    <b:Title>Phototherapy for Psoriasis</b:Title>
    <b:Year>2016</b:Year>
    <b:InternetSiteTitle>NICE</b:InternetSiteTitle>
    <b:Month>n/a</b:Month>
    <b:Day>n/a</b:Day>
    <b:URL>http://pathways.nice.org.uk/pathways/psoriasis#path=view%3A/pathways/psoriasis/phototherapy-for-psoriasis.xml&amp;content=view-index</b:URL>
    <b:RefOrder>2</b:RefOrder>
  </b:Source>
  <b:Source>
    <b:Tag>Els12</b:Tag>
    <b:SourceType>JournalArticle</b:SourceType>
    <b:Guid>{FB4A0FA1-A159-41FB-A146-018DBE1723D2}</b:Guid>
    <b:Title>Over 150 potentially low-value health care practices: an Australian study</b:Title>
    <b:Year>2012</b:Year>
    <b:Author>
      <b:Author>
        <b:NameList>
          <b:Person>
            <b:Last>Elshaug</b:Last>
            <b:First>Adam </b:First>
          </b:Person>
          <b:Person>
            <b:Last>Watt</b:Last>
            <b:First>Amber</b:First>
          </b:Person>
          <b:Person>
            <b:Last>Mundy</b:Last>
            <b:First>Linder</b:First>
          </b:Person>
          <b:Person>
            <b:Last>Willis </b:Last>
            <b:First>Cameron</b:First>
          </b:Person>
        </b:NameList>
      </b:Author>
    </b:Author>
    <b:JournalName>The Medical Journal of Australia</b:JournalName>
    <b:Pages>556-560</b:Pages>
    <b:RefOrder>1</b:RefOrder>
  </b:Source>
</b:Sources>
</file>

<file path=customXml/itemProps1.xml><?xml version="1.0" encoding="utf-8"?>
<ds:datastoreItem xmlns:ds="http://schemas.openxmlformats.org/officeDocument/2006/customXml" ds:itemID="{5928F9D4-C2E4-4F70-B13C-A5FC02D17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17194</Words>
  <Characters>94571</Characters>
  <Application>Microsoft Office Word</Application>
  <DocSecurity>0</DocSecurity>
  <Lines>2251</Lines>
  <Paragraphs>1330</Paragraphs>
  <ScaleCrop>false</ScaleCrop>
  <HeadingPairs>
    <vt:vector size="2" baseType="variant">
      <vt:variant>
        <vt:lpstr>Title</vt:lpstr>
      </vt:variant>
      <vt:variant>
        <vt:i4>1</vt:i4>
      </vt:variant>
    </vt:vector>
  </HeadingPairs>
  <TitlesOfParts>
    <vt:vector size="1" baseType="lpstr">
      <vt:lpstr>Report from the Principles and Rules Committee</vt:lpstr>
    </vt:vector>
  </TitlesOfParts>
  <Company>Dept Health And Ageing</Company>
  <LinksUpToDate>false</LinksUpToDate>
  <CharactersWithSpaces>110435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from the Principles and Rules Committee</dc:title>
  <dc:subject/>
  <dc:creator>Medicare Benefits Schedule Review Taskforce</dc:creator>
  <cp:keywords/>
  <dc:description/>
  <cp:lastModifiedBy>SMEDLEY, Tyne</cp:lastModifiedBy>
  <cp:revision>2</cp:revision>
  <cp:lastPrinted>2019-11-27T22:50:00Z</cp:lastPrinted>
  <dcterms:created xsi:type="dcterms:W3CDTF">2021-06-30T06:36:00Z</dcterms:created>
  <dcterms:modified xsi:type="dcterms:W3CDTF">2021-06-30T06:36:00Z</dcterms:modified>
  <cp:contentStatus>Draft</cp:contentStatus>
</cp:coreProperties>
</file>